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708F9E3D" wp14:editId="50B6802C">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FF4B15">
            <w:pPr>
              <w:tabs>
                <w:tab w:val="left" w:pos="4111"/>
              </w:tabs>
              <w:spacing w:before="20" w:after="60" w:line="300" w:lineRule="exact"/>
              <w:ind w:left="57"/>
              <w:rPr>
                <w:rtl/>
                <w:lang w:bidi="ar-EG"/>
              </w:rPr>
            </w:pPr>
            <w:r w:rsidRPr="00DC5505">
              <w:rPr>
                <w:rFonts w:hint="cs"/>
                <w:rtl/>
              </w:rPr>
              <w:t>جنيف،</w:t>
            </w:r>
            <w:r w:rsidR="00FF4B15">
              <w:rPr>
                <w:rFonts w:hint="cs"/>
                <w:rtl/>
              </w:rPr>
              <w:t xml:space="preserve"> </w:t>
            </w:r>
            <w:r w:rsidR="00FF4B15">
              <w:t>6</w:t>
            </w:r>
            <w:r w:rsidR="00FF4B15">
              <w:rPr>
                <w:rFonts w:hint="cs"/>
                <w:rtl/>
                <w:lang w:bidi="ar-EG"/>
              </w:rPr>
              <w:t xml:space="preserve"> مارس </w:t>
            </w:r>
            <w:r w:rsidR="00FF4B15">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E90538">
            <w:pPr>
              <w:tabs>
                <w:tab w:val="left" w:pos="4111"/>
              </w:tabs>
              <w:spacing w:before="40" w:after="40" w:line="300" w:lineRule="exact"/>
              <w:ind w:left="57"/>
            </w:pPr>
            <w:r w:rsidRPr="00DC5505">
              <w:rPr>
                <w:rFonts w:hint="cs"/>
                <w:rtl/>
              </w:rPr>
              <w:t>المرجع:</w:t>
            </w:r>
            <w:r w:rsidR="00114819">
              <w:rPr>
                <w:rFonts w:hint="cs"/>
                <w:rtl/>
              </w:rPr>
              <w:br/>
            </w:r>
            <w:proofErr w:type="gramStart"/>
            <w:r w:rsidR="00114819" w:rsidRPr="00DC5505">
              <w:rPr>
                <w:rFonts w:hint="cs"/>
                <w:rtl/>
                <w:lang w:bidi="ar-SY"/>
              </w:rPr>
              <w:t>الهاتف</w:t>
            </w:r>
            <w:proofErr w:type="gramEnd"/>
            <w:r w:rsidR="00114819" w:rsidRPr="00DC5505">
              <w:rPr>
                <w:rFonts w:hint="cs"/>
                <w:rtl/>
              </w:rPr>
              <w:t>:</w:t>
            </w:r>
            <w:r w:rsidR="00114819">
              <w:rPr>
                <w:rtl/>
              </w:rPr>
              <w:br/>
            </w:r>
            <w:r w:rsidR="00114819" w:rsidRPr="00DC5505">
              <w:rPr>
                <w:rFonts w:hint="cs"/>
                <w:rtl/>
              </w:rPr>
              <w:t>الفاكس:</w:t>
            </w:r>
            <w:r w:rsidR="00BC0F0D">
              <w:rPr>
                <w:rFonts w:hint="cs"/>
                <w:rtl/>
              </w:rPr>
              <w:br/>
            </w:r>
            <w:r w:rsidR="00BC0F0D" w:rsidRPr="00DC5505">
              <w:rPr>
                <w:rFonts w:hint="cs"/>
                <w:rtl/>
              </w:rPr>
              <w:t>البريد الإلكتروني:</w:t>
            </w:r>
          </w:p>
        </w:tc>
        <w:tc>
          <w:tcPr>
            <w:tcW w:w="3340" w:type="dxa"/>
          </w:tcPr>
          <w:p w:rsidR="00DC5505" w:rsidRPr="00FF4B15" w:rsidRDefault="00CF1B69" w:rsidP="00E90538">
            <w:pPr>
              <w:tabs>
                <w:tab w:val="left" w:pos="4111"/>
              </w:tabs>
              <w:spacing w:before="40" w:after="40" w:line="300" w:lineRule="exact"/>
              <w:ind w:left="57"/>
              <w:rPr>
                <w:b/>
                <w:rtl/>
                <w:lang w:bidi="ar-EG"/>
              </w:rPr>
            </w:pPr>
            <w:r>
              <w:rPr>
                <w:b/>
              </w:rPr>
              <w:t>TSB</w:t>
            </w:r>
            <w:r w:rsidR="004F3D50">
              <w:rPr>
                <w:b/>
              </w:rPr>
              <w:t> </w:t>
            </w:r>
            <w:r>
              <w:rPr>
                <w:b/>
              </w:rPr>
              <w:t>Circular</w:t>
            </w:r>
            <w:r w:rsidR="00FF4B15">
              <w:rPr>
                <w:b/>
              </w:rPr>
              <w:t> </w:t>
            </w:r>
            <w:r w:rsidR="00FF4B15" w:rsidRPr="009829FF">
              <w:rPr>
                <w:b/>
                <w:bCs/>
              </w:rPr>
              <w:t>265</w:t>
            </w:r>
            <w:r w:rsidR="00114819">
              <w:rPr>
                <w:b/>
                <w:rtl/>
                <w:lang w:bidi="ar-EG"/>
              </w:rPr>
              <w:br/>
            </w:r>
            <w:r w:rsidR="00114819">
              <w:t>+41 22 730 5875</w:t>
            </w:r>
            <w:r w:rsidR="00114819">
              <w:rPr>
                <w:rtl/>
                <w:lang w:bidi="ar-EG"/>
              </w:rPr>
              <w:br/>
            </w:r>
            <w:r w:rsidR="00114819" w:rsidRPr="00DC5505">
              <w:t>+41</w:t>
            </w:r>
            <w:r w:rsidR="00114819">
              <w:t> </w:t>
            </w:r>
            <w:r w:rsidR="00114819" w:rsidRPr="00DC5505">
              <w:t>22</w:t>
            </w:r>
            <w:r w:rsidR="00114819">
              <w:t> </w:t>
            </w:r>
            <w:r w:rsidR="00114819" w:rsidRPr="00DC5505">
              <w:t>730</w:t>
            </w:r>
            <w:r w:rsidR="00114819">
              <w:t> </w:t>
            </w:r>
            <w:r w:rsidR="00114819" w:rsidRPr="00DC5505">
              <w:t>5853</w:t>
            </w:r>
            <w:r w:rsidR="00BC0F0D">
              <w:rPr>
                <w:rFonts w:hint="cs"/>
                <w:b/>
                <w:rtl/>
                <w:lang w:bidi="ar-EG"/>
              </w:rPr>
              <w:br/>
            </w:r>
            <w:hyperlink r:id="rId10" w:history="1">
              <w:r w:rsidR="00BC0F0D" w:rsidRPr="00617044">
                <w:rPr>
                  <w:rStyle w:val="Hyperlink"/>
                </w:rPr>
                <w:t>tsbreg@itu.int</w:t>
              </w:r>
            </w:hyperlink>
          </w:p>
        </w:tc>
        <w:tc>
          <w:tcPr>
            <w:tcW w:w="4760" w:type="dxa"/>
          </w:tcPr>
          <w:p w:rsidR="00DC5505" w:rsidRPr="00DC5505" w:rsidRDefault="00DC5505" w:rsidP="00E90538">
            <w:pPr>
              <w:numPr>
                <w:ilvl w:val="0"/>
                <w:numId w:val="1"/>
              </w:numPr>
              <w:tabs>
                <w:tab w:val="left" w:pos="284"/>
                <w:tab w:val="left" w:pos="4111"/>
              </w:tabs>
              <w:spacing w:before="40" w:after="40" w:line="300" w:lineRule="exact"/>
              <w:ind w:left="57" w:firstLine="0"/>
              <w:rPr>
                <w:lang w:bidi="ar-EG"/>
              </w:rPr>
            </w:pPr>
            <w:r w:rsidRPr="00DC5505">
              <w:rPr>
                <w:rFonts w:hint="cs"/>
                <w:rtl/>
              </w:rPr>
              <w:t xml:space="preserve">إلى إدارات الدول </w:t>
            </w:r>
            <w:proofErr w:type="gramStart"/>
            <w:r w:rsidRPr="00DC5505">
              <w:rPr>
                <w:rFonts w:hint="cs"/>
                <w:rtl/>
              </w:rPr>
              <w:t>الأعضاء</w:t>
            </w:r>
            <w:proofErr w:type="gramEnd"/>
            <w:r w:rsidRPr="00DC5505">
              <w:rPr>
                <w:rFonts w:hint="cs"/>
                <w:rtl/>
              </w:rPr>
              <w:t xml:space="preserve"> في الاتحاد</w:t>
            </w:r>
          </w:p>
        </w:tc>
      </w:tr>
      <w:tr w:rsidR="00DC5505" w:rsidRPr="00DC5505" w:rsidTr="00CF1B69">
        <w:trPr>
          <w:cantSplit/>
          <w:jc w:val="center"/>
        </w:trPr>
        <w:tc>
          <w:tcPr>
            <w:tcW w:w="1533" w:type="dxa"/>
          </w:tcPr>
          <w:p w:rsidR="00DC5505" w:rsidRPr="00DC5505" w:rsidRDefault="00DC5505" w:rsidP="00E90538">
            <w:pPr>
              <w:spacing w:before="40" w:after="40" w:line="300" w:lineRule="exact"/>
              <w:ind w:left="57"/>
            </w:pPr>
          </w:p>
        </w:tc>
        <w:tc>
          <w:tcPr>
            <w:tcW w:w="3340" w:type="dxa"/>
          </w:tcPr>
          <w:p w:rsidR="00DC5505" w:rsidRPr="00DC5505" w:rsidRDefault="00DC5505" w:rsidP="00E90538">
            <w:pPr>
              <w:tabs>
                <w:tab w:val="left" w:pos="4111"/>
              </w:tabs>
              <w:spacing w:before="40" w:after="40" w:line="300" w:lineRule="exact"/>
              <w:ind w:left="57"/>
              <w:jc w:val="left"/>
              <w:rPr>
                <w:rtl/>
                <w:lang w:bidi="ar-EG"/>
              </w:rPr>
            </w:pPr>
          </w:p>
        </w:tc>
        <w:tc>
          <w:tcPr>
            <w:tcW w:w="4760" w:type="dxa"/>
          </w:tcPr>
          <w:p w:rsidR="00DC5505" w:rsidRPr="00DC5505" w:rsidRDefault="00DC5505" w:rsidP="00E90538">
            <w:pPr>
              <w:tabs>
                <w:tab w:val="left" w:pos="284"/>
                <w:tab w:val="left" w:pos="4111"/>
              </w:tabs>
              <w:spacing w:before="40" w:after="40" w:line="30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DC5505" w:rsidRPr="00DC5505" w:rsidRDefault="00DC5505" w:rsidP="00E90538">
            <w:pPr>
              <w:tabs>
                <w:tab w:val="left" w:pos="284"/>
                <w:tab w:val="left" w:pos="4111"/>
              </w:tabs>
              <w:spacing w:before="40" w:after="40" w:line="300" w:lineRule="exact"/>
              <w:ind w:left="57"/>
              <w:rPr>
                <w:rtl/>
              </w:rPr>
            </w:pPr>
            <w:r w:rsidRPr="00DC5505">
              <w:rPr>
                <w:rFonts w:hint="cs"/>
                <w:rtl/>
              </w:rPr>
              <w:t>-</w:t>
            </w:r>
            <w:r w:rsidRPr="00DC5505">
              <w:rPr>
                <w:rtl/>
              </w:rPr>
              <w:tab/>
            </w:r>
            <w:r w:rsidRPr="00DC5505">
              <w:rPr>
                <w:rFonts w:hint="cs"/>
                <w:rtl/>
              </w:rPr>
              <w:t>أعضاء قطاع تقييس الاتصالات؛</w:t>
            </w:r>
            <w:r w:rsidR="00E90538">
              <w:rPr>
                <w:rtl/>
              </w:rPr>
              <w:tab/>
            </w:r>
            <w:r w:rsidR="00E90538">
              <w:rPr>
                <w:rFonts w:hint="cs"/>
                <w:rtl/>
              </w:rPr>
              <w:br/>
            </w:r>
            <w:r w:rsidRPr="00DC5505">
              <w:rPr>
                <w:rFonts w:hint="cs"/>
                <w:rtl/>
              </w:rPr>
              <w:t>-</w:t>
            </w:r>
            <w:r w:rsidRPr="00DC5505">
              <w:rPr>
                <w:rtl/>
              </w:rPr>
              <w:tab/>
            </w:r>
            <w:r w:rsidRPr="00DC5505">
              <w:rPr>
                <w:rFonts w:hint="cs"/>
                <w:rtl/>
              </w:rPr>
              <w:t>المنتسبين إلى قطاع تقييس الاتصالات؛</w:t>
            </w:r>
            <w:r w:rsidR="00E90538">
              <w:rPr>
                <w:rFonts w:hint="cs"/>
                <w:rtl/>
              </w:rPr>
              <w:tab/>
            </w:r>
            <w:r w:rsidR="00E90538">
              <w:rPr>
                <w:rFonts w:hint="cs"/>
                <w:rtl/>
              </w:rPr>
              <w:br/>
            </w:r>
            <w:r w:rsidR="00876CC0" w:rsidRPr="00C67A47">
              <w:rPr>
                <w:rFonts w:hint="cs"/>
                <w:rtl/>
              </w:rPr>
              <w:t>-</w:t>
            </w:r>
            <w:r w:rsidR="00876CC0" w:rsidRPr="00C67A47">
              <w:rPr>
                <w:rtl/>
                <w:lang w:bidi="ar-EG"/>
              </w:rPr>
              <w:tab/>
            </w:r>
            <w:r w:rsidR="00876CC0" w:rsidRPr="00C67A47">
              <w:rPr>
                <w:rFonts w:hint="cs"/>
                <w:rtl/>
                <w:lang w:bidi="ar-EG"/>
              </w:rPr>
              <w:t>الهيئات الأكاديمية المنضمة إلى قطاع تقييس الاتصالات؛</w:t>
            </w:r>
            <w:r w:rsidR="00E90538">
              <w:rPr>
                <w:rFonts w:hint="cs"/>
                <w:rtl/>
                <w:lang w:bidi="ar-EG"/>
              </w:rPr>
              <w:br/>
            </w:r>
            <w:r w:rsidRPr="00DC5505">
              <w:rPr>
                <w:rFonts w:hint="cs"/>
                <w:rtl/>
              </w:rPr>
              <w:t>-</w:t>
            </w:r>
            <w:r w:rsidRPr="00DC5505">
              <w:rPr>
                <w:rtl/>
              </w:rPr>
              <w:tab/>
            </w:r>
            <w:r w:rsidR="00D75109" w:rsidRPr="00D75109">
              <w:rPr>
                <w:rFonts w:hint="cs"/>
                <w:spacing w:val="-6"/>
                <w:rtl/>
              </w:rPr>
              <w:t>رؤساء جميع لجان</w:t>
            </w:r>
            <w:r w:rsidRPr="00D75109">
              <w:rPr>
                <w:rFonts w:hint="cs"/>
                <w:spacing w:val="-6"/>
                <w:rtl/>
              </w:rPr>
              <w:t xml:space="preserve"> </w:t>
            </w:r>
            <w:r w:rsidR="00D75109" w:rsidRPr="00D75109">
              <w:rPr>
                <w:rFonts w:hint="cs"/>
                <w:spacing w:val="-6"/>
                <w:rtl/>
              </w:rPr>
              <w:t>دراسات قطاع تقييس الاتصالات</w:t>
            </w:r>
            <w:r w:rsidRPr="00D75109">
              <w:rPr>
                <w:rFonts w:hint="cs"/>
                <w:spacing w:val="-6"/>
                <w:rtl/>
                <w:lang w:bidi="ar-EG"/>
              </w:rPr>
              <w:t xml:space="preserve"> ونوابه</w:t>
            </w:r>
            <w:r w:rsidR="00D75109" w:rsidRPr="00D75109">
              <w:rPr>
                <w:rFonts w:hint="cs"/>
                <w:spacing w:val="-6"/>
                <w:rtl/>
                <w:lang w:bidi="ar-EG"/>
              </w:rPr>
              <w:t>م</w:t>
            </w:r>
            <w:r w:rsidRPr="00D75109">
              <w:rPr>
                <w:rFonts w:hint="cs"/>
                <w:spacing w:val="-6"/>
                <w:rtl/>
                <w:lang w:bidi="ar-EG"/>
              </w:rPr>
              <w:t>؛</w:t>
            </w:r>
            <w:r w:rsidR="00E90538">
              <w:rPr>
                <w:rFonts w:hint="cs"/>
                <w:rtl/>
                <w:lang w:bidi="ar-EG"/>
              </w:rPr>
              <w:br/>
            </w:r>
            <w:r w:rsidRPr="00DC5505">
              <w:rPr>
                <w:rFonts w:hint="cs"/>
                <w:rtl/>
              </w:rPr>
              <w:t>-</w:t>
            </w:r>
            <w:r w:rsidRPr="00DC5505">
              <w:rPr>
                <w:rtl/>
              </w:rPr>
              <w:tab/>
              <w:t>مدير مكتب تنمية الاتصالات</w:t>
            </w:r>
            <w:r w:rsidRPr="00DC5505">
              <w:rPr>
                <w:rFonts w:hint="cs"/>
                <w:rtl/>
              </w:rPr>
              <w:t>؛</w:t>
            </w:r>
            <w:r w:rsidR="00E90538">
              <w:rPr>
                <w:rtl/>
              </w:rPr>
              <w:tab/>
            </w:r>
            <w:r w:rsidR="00E90538">
              <w:rPr>
                <w:rFonts w:hint="cs"/>
                <w:rtl/>
              </w:rPr>
              <w:br/>
            </w: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740B46">
            <w:pPr>
              <w:spacing w:before="60" w:after="60" w:line="300" w:lineRule="exact"/>
              <w:ind w:left="57"/>
              <w:rPr>
                <w:rtl/>
                <w:lang w:bidi="ar-SY"/>
              </w:rPr>
            </w:pPr>
          </w:p>
        </w:tc>
        <w:tc>
          <w:tcPr>
            <w:tcW w:w="3340" w:type="dxa"/>
          </w:tcPr>
          <w:p w:rsidR="000C2FB2" w:rsidRPr="00DC5505" w:rsidRDefault="000C2FB2" w:rsidP="00740B46">
            <w:pPr>
              <w:tabs>
                <w:tab w:val="left" w:pos="4111"/>
              </w:tabs>
              <w:spacing w:before="60" w:after="60" w:line="300" w:lineRule="exact"/>
              <w:ind w:left="57"/>
              <w:jc w:val="left"/>
            </w:pPr>
          </w:p>
        </w:tc>
        <w:tc>
          <w:tcPr>
            <w:tcW w:w="4760" w:type="dxa"/>
          </w:tcPr>
          <w:p w:rsidR="000C2FB2" w:rsidRPr="00DC5505" w:rsidRDefault="000C2FB2" w:rsidP="00740B46">
            <w:pPr>
              <w:tabs>
                <w:tab w:val="left" w:pos="284"/>
                <w:tab w:val="left" w:pos="4111"/>
              </w:tabs>
              <w:spacing w:before="60" w:after="6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306169">
            <w:pPr>
              <w:spacing w:before="60" w:after="60"/>
              <w:ind w:left="57"/>
              <w:rPr>
                <w:rtl/>
                <w:lang w:bidi="ar-SY"/>
              </w:rPr>
            </w:pPr>
            <w:r w:rsidRPr="005F33FD">
              <w:rPr>
                <w:rFonts w:hint="cs"/>
                <w:rtl/>
              </w:rPr>
              <w:t>الموضوع:</w:t>
            </w:r>
          </w:p>
        </w:tc>
        <w:tc>
          <w:tcPr>
            <w:tcW w:w="8100" w:type="dxa"/>
            <w:gridSpan w:val="2"/>
          </w:tcPr>
          <w:p w:rsidR="000C2FB2" w:rsidRPr="00FF4B15" w:rsidRDefault="00FF4B15" w:rsidP="00306169">
            <w:pPr>
              <w:tabs>
                <w:tab w:val="left" w:pos="284"/>
                <w:tab w:val="left" w:pos="4111"/>
              </w:tabs>
              <w:spacing w:before="60" w:after="60"/>
              <w:ind w:left="57"/>
              <w:jc w:val="left"/>
              <w:rPr>
                <w:rFonts w:ascii="Times New Roman Bold" w:hAnsi="Times New Roman Bold"/>
                <w:b/>
                <w:bCs/>
                <w:rtl/>
                <w:lang w:bidi="ar-EG"/>
              </w:rPr>
            </w:pPr>
            <w:r w:rsidRPr="00FF4B15">
              <w:rPr>
                <w:rFonts w:ascii="Times New Roman Bold" w:hAnsi="Times New Roman Bold" w:hint="cs"/>
                <w:b/>
                <w:bCs/>
                <w:rtl/>
              </w:rPr>
              <w:t xml:space="preserve">تعيين جهات الاتصال للجان دراسات قطاع تقييس الاتصالات والفريق الاستشاري لتقييس الاتصالات </w:t>
            </w:r>
            <w:r w:rsidRPr="00FF4B15">
              <w:rPr>
                <w:rFonts w:ascii="Times New Roman Bold" w:hAnsi="Times New Roman Bold"/>
                <w:b/>
                <w:bCs/>
              </w:rPr>
              <w:t>(2016-2012)</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 xml:space="preserve">تحية طيبة </w:t>
      </w:r>
      <w:proofErr w:type="gramStart"/>
      <w:r>
        <w:rPr>
          <w:rFonts w:hint="cs"/>
          <w:rtl/>
        </w:rPr>
        <w:t>وبعد</w:t>
      </w:r>
      <w:proofErr w:type="gramEnd"/>
      <w:r>
        <w:rPr>
          <w:rFonts w:hint="cs"/>
          <w:rtl/>
        </w:rPr>
        <w:t>،</w:t>
      </w:r>
    </w:p>
    <w:p w:rsidR="00DC5505" w:rsidRDefault="00255A37" w:rsidP="00255A37">
      <w:pPr>
        <w:rPr>
          <w:rtl/>
          <w:lang w:bidi="ar-EG"/>
        </w:rPr>
      </w:pPr>
      <w:r>
        <w:rPr>
          <w:rFonts w:hint="cs"/>
          <w:rtl/>
          <w:lang w:bidi="ar-EG"/>
        </w:rPr>
        <w:t xml:space="preserve">اتفق الفريق الاستشاري لتقييس الاتصالات </w:t>
      </w:r>
      <w:r>
        <w:t>(TSAG)</w:t>
      </w:r>
      <w:r>
        <w:rPr>
          <w:rFonts w:hint="cs"/>
          <w:rtl/>
        </w:rPr>
        <w:t xml:space="preserve"> في اجتماعه</w:t>
      </w:r>
      <w:r>
        <w:rPr>
          <w:rFonts w:hint="cs"/>
          <w:rtl/>
          <w:lang w:bidi="ar-EG"/>
        </w:rPr>
        <w:t xml:space="preserve"> المنعقد في </w:t>
      </w:r>
      <w:r>
        <w:t>13-10</w:t>
      </w:r>
      <w:r>
        <w:rPr>
          <w:rFonts w:hint="cs"/>
          <w:rtl/>
          <w:lang w:bidi="ar-EG"/>
        </w:rPr>
        <w:t xml:space="preserve"> يناير </w:t>
      </w:r>
      <w:r>
        <w:t>2012</w:t>
      </w:r>
      <w:r>
        <w:rPr>
          <w:rFonts w:hint="cs"/>
          <w:rtl/>
          <w:lang w:bidi="ar-EG"/>
        </w:rPr>
        <w:t xml:space="preserve">، على إصدار رسالة معممة لمطالبة كل عضو من أعضاء قطاع تقييس الاتصالات بتعيين جهة (جهات) الاتصال الخاصة به لاجتماعات لجان دراسات قطاع تقييس الاتصالات والفريق الاستشاري لتقييس الاتصالات. وتعتبر جهة (جهات) الاتصال مسؤولة عن تنسيق طلبات تسجيل الإدارة/المنظمة المعنية (انظر الفقرة </w:t>
      </w:r>
      <w:r>
        <w:t>5.</w:t>
      </w:r>
      <w:proofErr w:type="gramStart"/>
      <w:r>
        <w:t>7</w:t>
      </w:r>
      <w:r>
        <w:rPr>
          <w:rFonts w:hint="cs"/>
          <w:rtl/>
          <w:lang w:bidi="ar-EG"/>
        </w:rPr>
        <w:t xml:space="preserve"> من تقرير رئيس الفريق الاستشاري لتقييس الاتصالات (الوثيقة </w:t>
      </w:r>
      <w:r>
        <w:t>TD 359</w:t>
      </w:r>
      <w:r>
        <w:rPr>
          <w:rFonts w:hint="cs"/>
          <w:rtl/>
          <w:lang w:bidi="ar-EG"/>
        </w:rPr>
        <w:t>).</w:t>
      </w:r>
      <w:proofErr w:type="gramEnd"/>
    </w:p>
    <w:p w:rsidR="00255A37" w:rsidRDefault="00255A37" w:rsidP="00255A37">
      <w:pPr>
        <w:rPr>
          <w:rtl/>
          <w:lang w:bidi="ar-EG"/>
        </w:rPr>
      </w:pPr>
      <w:r>
        <w:rPr>
          <w:rFonts w:hint="cs"/>
          <w:rtl/>
          <w:lang w:bidi="ar-EG"/>
        </w:rPr>
        <w:t>وبناءً على ذلك، يرجى من الدول الأعضاء وأعضاء قطاع تقييس الاتصالات والمنتسبين إليه والهيئات الأكاديمية المنضمة إلى القطاع والمنظمات الإقليمية و/أو الدولية وغيرهم من الأعضاء تعيين جهة اتصال معنية واحدة</w:t>
      </w:r>
      <w:r w:rsidR="00AA3913">
        <w:rPr>
          <w:rFonts w:hint="cs"/>
          <w:rtl/>
          <w:lang w:bidi="ar-EG"/>
        </w:rPr>
        <w:t xml:space="preserve"> أو أكثر لتسهيل تسجيل ممثليهم في اجتماعات قطاع تقييس الاتصالات.</w:t>
      </w:r>
    </w:p>
    <w:p w:rsidR="003B77C5" w:rsidRDefault="003B77C5" w:rsidP="003B77C5">
      <w:pPr>
        <w:rPr>
          <w:rtl/>
          <w:lang w:bidi="ar-EG"/>
        </w:rPr>
      </w:pPr>
      <w:r>
        <w:rPr>
          <w:rFonts w:hint="cs"/>
          <w:rtl/>
          <w:lang w:bidi="ar-EG"/>
        </w:rPr>
        <w:t xml:space="preserve">وسيتم دمج آلية جهات الاتصال المعينة </w:t>
      </w:r>
      <w:r>
        <w:t>(DFP)</w:t>
      </w:r>
      <w:r>
        <w:rPr>
          <w:rFonts w:hint="cs"/>
          <w:rtl/>
          <w:lang w:bidi="ar-EG"/>
        </w:rPr>
        <w:t xml:space="preserve"> الجديدة ضمن النظام الحالي لتسجيل المندوبين في الأحداث بصورة سلسلة وهو ما من شأنه أن يعزز عملية تسجيل المندوبين في اجتماعات قطاع تقييس الاتصالات من على الخط. ولن تستخدم هذه الآلية في الاجتماعات </w:t>
      </w:r>
      <w:proofErr w:type="gramStart"/>
      <w:r>
        <w:rPr>
          <w:rFonts w:hint="cs"/>
          <w:rtl/>
          <w:lang w:bidi="ar-EG"/>
        </w:rPr>
        <w:t>المفتوح</w:t>
      </w:r>
      <w:proofErr w:type="gramEnd"/>
      <w:r>
        <w:rPr>
          <w:rFonts w:hint="cs"/>
          <w:rtl/>
          <w:lang w:bidi="ar-EG"/>
        </w:rPr>
        <w:t xml:space="preserve"> باب المشاركة فيها لغير الأعضاء.</w:t>
      </w:r>
    </w:p>
    <w:p w:rsidR="003B77C5" w:rsidRDefault="003B77C5" w:rsidP="00EA352A">
      <w:pPr>
        <w:rPr>
          <w:rtl/>
          <w:lang w:bidi="ar-EG"/>
        </w:rPr>
      </w:pPr>
      <w:r>
        <w:rPr>
          <w:rFonts w:hint="cs"/>
          <w:rtl/>
          <w:lang w:bidi="ar-EG"/>
        </w:rPr>
        <w:t xml:space="preserve">ولإطلاق الآلية </w:t>
      </w:r>
      <w:r>
        <w:t>DFP</w:t>
      </w:r>
      <w:r>
        <w:rPr>
          <w:rFonts w:hint="cs"/>
          <w:rtl/>
          <w:lang w:bidi="ar-EG"/>
        </w:rPr>
        <w:t xml:space="preserve"> الجديدة، </w:t>
      </w:r>
      <w:r w:rsidR="001C1B0C">
        <w:rPr>
          <w:rFonts w:hint="cs"/>
          <w:rtl/>
          <w:lang w:bidi="ar-EG"/>
        </w:rPr>
        <w:t>يُحبذ</w:t>
      </w:r>
      <w:r>
        <w:rPr>
          <w:rFonts w:hint="cs"/>
          <w:rtl/>
          <w:lang w:bidi="ar-EG"/>
        </w:rPr>
        <w:t xml:space="preserve"> بشدة أن يقوم الأعضاء في قطاع تقييس الاتصالات بتعيين جهة اتصال </w:t>
      </w:r>
      <w:r w:rsidR="00BB2BCA">
        <w:rPr>
          <w:rFonts w:hint="cs"/>
          <w:rtl/>
          <w:lang w:bidi="ar-EG"/>
        </w:rPr>
        <w:t>معنية</w:t>
      </w:r>
      <w:r>
        <w:rPr>
          <w:rFonts w:hint="cs"/>
          <w:rtl/>
          <w:lang w:bidi="ar-EG"/>
        </w:rPr>
        <w:t xml:space="preserve"> واحدة أو أكثر باستكمال الاستمارة المرفقة (انظر الملحق) وتقديمها إلى أمانة مكتب تقييس الاتصالات في موعد أقصاه </w:t>
      </w:r>
      <w:r w:rsidRPr="00B116B2">
        <w:rPr>
          <w:b/>
          <w:bCs/>
        </w:rPr>
        <w:t>1</w:t>
      </w:r>
      <w:r w:rsidR="00EA352A">
        <w:rPr>
          <w:rFonts w:hint="eastAsia"/>
          <w:b/>
          <w:bCs/>
          <w:rtl/>
          <w:lang w:bidi="ar-EG"/>
        </w:rPr>
        <w:t> </w:t>
      </w:r>
      <w:r w:rsidRPr="00B116B2">
        <w:rPr>
          <w:rFonts w:hint="cs"/>
          <w:b/>
          <w:bCs/>
          <w:rtl/>
          <w:lang w:bidi="ar-EG"/>
        </w:rPr>
        <w:t>مايو</w:t>
      </w:r>
      <w:r w:rsidR="00EA352A">
        <w:rPr>
          <w:rFonts w:hint="eastAsia"/>
          <w:b/>
          <w:bCs/>
          <w:rtl/>
          <w:lang w:bidi="ar-EG"/>
        </w:rPr>
        <w:t> </w:t>
      </w:r>
      <w:r w:rsidRPr="00B116B2">
        <w:rPr>
          <w:b/>
          <w:bCs/>
        </w:rPr>
        <w:t>2012</w:t>
      </w:r>
      <w:r>
        <w:rPr>
          <w:rFonts w:hint="cs"/>
          <w:rtl/>
          <w:lang w:bidi="ar-EG"/>
        </w:rPr>
        <w:t xml:space="preserve">. </w:t>
      </w:r>
      <w:proofErr w:type="gramStart"/>
      <w:r>
        <w:rPr>
          <w:rFonts w:hint="cs"/>
          <w:rtl/>
          <w:lang w:bidi="ar-EG"/>
        </w:rPr>
        <w:t>وفي</w:t>
      </w:r>
      <w:proofErr w:type="gramEnd"/>
      <w:r>
        <w:rPr>
          <w:rFonts w:hint="cs"/>
          <w:rtl/>
          <w:lang w:bidi="ar-EG"/>
        </w:rPr>
        <w:t xml:space="preserve"> حال عدم استلام الاستمارة، سيتم أخذ جهة (جهات) الاتصال المعينة من الدليل العالمي للاتحاد الدولي للاتصالات. وبعد تعيينها، ستتلقى كل جهة اتصال معينة، بعد التاريخ المذكور آنفاً مذكرة إعلامية تتضمن التعليمات التفصيلية إلى جانب اسم المستعمل وكلمة السر للنفاذ إلى النظام الإلكتروني.</w:t>
      </w:r>
    </w:p>
    <w:p w:rsidR="003B77C5" w:rsidRDefault="00E60E9A" w:rsidP="003644BC">
      <w:pPr>
        <w:rPr>
          <w:rtl/>
          <w:lang w:bidi="ar-EG"/>
        </w:rPr>
      </w:pPr>
      <w:r>
        <w:rPr>
          <w:rFonts w:hint="cs"/>
          <w:rtl/>
          <w:lang w:bidi="ar-EG"/>
        </w:rPr>
        <w:lastRenderedPageBreak/>
        <w:t xml:space="preserve">وبعد استلام المذكرة الإعلامية، سيظل بمقدور أي عضو تعديل جهة الاتصال المعينة الخاصة به أو الإشارة إلى أنه لم يعد يرغب في تعيين جهة اتصال بإخطار خدمة التسجيل بقطاع تقييس الاتصالات </w:t>
      </w:r>
      <w:r w:rsidR="003644BC">
        <w:t>(</w:t>
      </w:r>
      <w:hyperlink r:id="rId11" w:history="1">
        <w:r w:rsidR="003644BC" w:rsidRPr="00617044">
          <w:rPr>
            <w:rStyle w:val="Hyperlink"/>
          </w:rPr>
          <w:t>tsbreg@itu.</w:t>
        </w:r>
        <w:proofErr w:type="gramStart"/>
        <w:r w:rsidR="003644BC" w:rsidRPr="00617044">
          <w:rPr>
            <w:rStyle w:val="Hyperlink"/>
          </w:rPr>
          <w:t>int</w:t>
        </w:r>
      </w:hyperlink>
      <w:r w:rsidR="003644BC">
        <w:t>)</w:t>
      </w:r>
      <w:r w:rsidR="003644BC">
        <w:rPr>
          <w:rFonts w:hint="cs"/>
          <w:rtl/>
          <w:lang w:bidi="ar-EG"/>
        </w:rPr>
        <w:t>.</w:t>
      </w:r>
      <w:proofErr w:type="gramEnd"/>
    </w:p>
    <w:p w:rsidR="003644BC" w:rsidRDefault="00907D2F" w:rsidP="003644BC">
      <w:pPr>
        <w:rPr>
          <w:rtl/>
          <w:lang w:bidi="ar-EG"/>
        </w:rPr>
      </w:pPr>
      <w:r>
        <w:rPr>
          <w:rFonts w:hint="cs"/>
          <w:rtl/>
          <w:lang w:bidi="ar-EG"/>
        </w:rPr>
        <w:t xml:space="preserve">وفيما بعد، سيتعين على أي عضو لم يعين جهة (جهات) اتصال معينة تقديم قائمة بالأشخاص الذين سيمثلونه في كل اجتماع من اجتماعات قطاع تقييس الاتصالات. وسيكون على الإدارات كذلك بيان </w:t>
      </w:r>
      <w:proofErr w:type="gramStart"/>
      <w:r>
        <w:rPr>
          <w:rFonts w:hint="cs"/>
          <w:rtl/>
          <w:lang w:bidi="ar-EG"/>
        </w:rPr>
        <w:t>اسم</w:t>
      </w:r>
      <w:proofErr w:type="gramEnd"/>
      <w:r>
        <w:rPr>
          <w:rFonts w:hint="cs"/>
          <w:rtl/>
          <w:lang w:bidi="ar-EG"/>
        </w:rPr>
        <w:t xml:space="preserve"> رئيس وفدها (ونائب الرئيس إن أمكن). </w:t>
      </w:r>
      <w:proofErr w:type="gramStart"/>
      <w:r>
        <w:rPr>
          <w:rFonts w:hint="cs"/>
          <w:rtl/>
          <w:lang w:bidi="ar-EG"/>
        </w:rPr>
        <w:t>وسيمنح</w:t>
      </w:r>
      <w:proofErr w:type="gramEnd"/>
      <w:r>
        <w:rPr>
          <w:rFonts w:hint="cs"/>
          <w:rtl/>
          <w:lang w:bidi="ar-EG"/>
        </w:rPr>
        <w:t xml:space="preserve"> كل مشارك من المشاركين المدرجين في القائمة المقدمة من العضو اسم مستعمل فردي وكلمة سر فردية للتسجيل من على الخط، على النحو المتبع سابقاً.</w:t>
      </w:r>
    </w:p>
    <w:p w:rsidR="00907D2F" w:rsidRDefault="00907D2F" w:rsidP="003644BC">
      <w:pPr>
        <w:rPr>
          <w:rtl/>
          <w:lang w:bidi="ar-EG"/>
        </w:rPr>
      </w:pPr>
      <w:r>
        <w:rPr>
          <w:rFonts w:hint="cs"/>
          <w:rtl/>
          <w:lang w:bidi="ar-EG"/>
        </w:rPr>
        <w:t>وسيتلقى رؤساء الفريق الاستشاري</w:t>
      </w:r>
      <w:r w:rsidR="009C0A2B">
        <w:rPr>
          <w:rFonts w:hint="cs"/>
          <w:rtl/>
          <w:lang w:bidi="ar-EG"/>
        </w:rPr>
        <w:t xml:space="preserve"> لتقييس الاتصالات</w:t>
      </w:r>
      <w:r>
        <w:rPr>
          <w:rFonts w:hint="cs"/>
          <w:rtl/>
          <w:lang w:bidi="ar-EG"/>
        </w:rPr>
        <w:t xml:space="preserve"> ولجان الدراسات ونوابهم كلمة سر شخصية لتسهيل طلبات التسجيل الخاصة بهم مباشرة عن طريق خدمة التسجيل في قطاع تقييس الاتصالات.</w:t>
      </w:r>
    </w:p>
    <w:p w:rsidR="00DD1194" w:rsidRPr="008C61DB" w:rsidRDefault="00DD1194" w:rsidP="00513BCE">
      <w:pPr>
        <w:rPr>
          <w:spacing w:val="-2"/>
          <w:rtl/>
          <w:lang w:bidi="ar-EG"/>
        </w:rPr>
      </w:pPr>
      <w:r w:rsidRPr="008C61DB">
        <w:rPr>
          <w:rFonts w:hint="cs"/>
          <w:spacing w:val="-2"/>
          <w:rtl/>
          <w:lang w:bidi="ar-EG"/>
        </w:rPr>
        <w:t xml:space="preserve">وسيتم إدخال الآلية </w:t>
      </w:r>
      <w:r w:rsidRPr="008C61DB">
        <w:rPr>
          <w:spacing w:val="-2"/>
        </w:rPr>
        <w:t>DFP</w:t>
      </w:r>
      <w:r w:rsidRPr="008C61DB">
        <w:rPr>
          <w:rFonts w:hint="cs"/>
          <w:spacing w:val="-2"/>
          <w:rtl/>
          <w:lang w:bidi="ar-EG"/>
        </w:rPr>
        <w:t xml:space="preserve"> الجديدة اعتباراً من اجتماع الفريق الاستشاري لتقييس الاتصالات المزمع عقده في </w:t>
      </w:r>
      <w:r w:rsidRPr="008C61DB">
        <w:rPr>
          <w:spacing w:val="-2"/>
        </w:rPr>
        <w:t>4</w:t>
      </w:r>
      <w:r w:rsidR="008C61DB" w:rsidRPr="008C61DB">
        <w:rPr>
          <w:spacing w:val="-2"/>
        </w:rPr>
        <w:noBreakHyphen/>
      </w:r>
      <w:r w:rsidRPr="008C61DB">
        <w:rPr>
          <w:spacing w:val="-2"/>
        </w:rPr>
        <w:t>2</w:t>
      </w:r>
      <w:r w:rsidR="008C61DB" w:rsidRPr="008C61DB">
        <w:rPr>
          <w:rFonts w:hint="eastAsia"/>
          <w:spacing w:val="-2"/>
          <w:rtl/>
          <w:lang w:bidi="ar-EG"/>
        </w:rPr>
        <w:t> </w:t>
      </w:r>
      <w:r w:rsidRPr="008C61DB">
        <w:rPr>
          <w:rFonts w:hint="cs"/>
          <w:spacing w:val="-2"/>
          <w:rtl/>
          <w:lang w:bidi="ar-EG"/>
        </w:rPr>
        <w:t>يوليو</w:t>
      </w:r>
      <w:r w:rsidR="008C61DB" w:rsidRPr="008C61DB">
        <w:rPr>
          <w:rFonts w:hint="eastAsia"/>
          <w:spacing w:val="-2"/>
          <w:rtl/>
          <w:lang w:bidi="ar-EG"/>
        </w:rPr>
        <w:t> </w:t>
      </w:r>
      <w:r w:rsidRPr="008C61DB">
        <w:rPr>
          <w:spacing w:val="-2"/>
        </w:rPr>
        <w:t>2012</w:t>
      </w:r>
      <w:r w:rsidRPr="008C61DB">
        <w:rPr>
          <w:rFonts w:hint="cs"/>
          <w:spacing w:val="-2"/>
          <w:rtl/>
          <w:lang w:bidi="ar-EG"/>
        </w:rPr>
        <w:t xml:space="preserve">. </w:t>
      </w:r>
      <w:r w:rsidR="00996F6C">
        <w:rPr>
          <w:rFonts w:hint="cs"/>
          <w:spacing w:val="-2"/>
          <w:rtl/>
          <w:lang w:bidi="ar-EG"/>
        </w:rPr>
        <w:t xml:space="preserve">وسيبدأ التسجيل </w:t>
      </w:r>
      <w:proofErr w:type="gramStart"/>
      <w:r w:rsidR="00996F6C">
        <w:rPr>
          <w:rFonts w:hint="cs"/>
          <w:spacing w:val="-2"/>
          <w:rtl/>
          <w:lang w:bidi="ar-EG"/>
        </w:rPr>
        <w:t>من</w:t>
      </w:r>
      <w:proofErr w:type="gramEnd"/>
      <w:r w:rsidR="00996F6C">
        <w:rPr>
          <w:rFonts w:hint="cs"/>
          <w:spacing w:val="-2"/>
          <w:rtl/>
          <w:lang w:bidi="ar-EG"/>
        </w:rPr>
        <w:t xml:space="preserve"> على الخط اعتباراً من </w:t>
      </w:r>
      <w:r w:rsidR="00996F6C" w:rsidRPr="008C61DB">
        <w:rPr>
          <w:spacing w:val="-2"/>
        </w:rPr>
        <w:t>2</w:t>
      </w:r>
      <w:r w:rsidR="00996F6C" w:rsidRPr="008C61DB">
        <w:rPr>
          <w:rFonts w:hint="eastAsia"/>
          <w:spacing w:val="-2"/>
          <w:rtl/>
          <w:lang w:bidi="ar-EG"/>
        </w:rPr>
        <w:t> </w:t>
      </w:r>
      <w:r w:rsidR="00513BCE">
        <w:rPr>
          <w:rFonts w:hint="cs"/>
          <w:spacing w:val="-2"/>
          <w:rtl/>
          <w:lang w:bidi="ar-EG"/>
        </w:rPr>
        <w:t>مايو</w:t>
      </w:r>
      <w:r w:rsidR="00996F6C" w:rsidRPr="008C61DB">
        <w:rPr>
          <w:rFonts w:hint="eastAsia"/>
          <w:spacing w:val="-2"/>
          <w:rtl/>
          <w:lang w:bidi="ar-EG"/>
        </w:rPr>
        <w:t> </w:t>
      </w:r>
      <w:r w:rsidR="00996F6C" w:rsidRPr="008C61DB">
        <w:rPr>
          <w:spacing w:val="-2"/>
        </w:rPr>
        <w:t>2012</w:t>
      </w:r>
      <w:r w:rsidR="00996F6C">
        <w:rPr>
          <w:rFonts w:hint="cs"/>
          <w:spacing w:val="-2"/>
          <w:rtl/>
          <w:lang w:bidi="ar-EG"/>
        </w:rPr>
        <w:t xml:space="preserve">. </w:t>
      </w:r>
      <w:r w:rsidRPr="008C61DB">
        <w:rPr>
          <w:rFonts w:hint="cs"/>
          <w:spacing w:val="-2"/>
          <w:rtl/>
          <w:lang w:bidi="ar-EG"/>
        </w:rPr>
        <w:t>وستتاح تفصيلات أخرى في رسالة الإعلان عن هذا الاجتماع.</w:t>
      </w:r>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w:t>
      </w:r>
      <w:proofErr w:type="gramStart"/>
      <w:r>
        <w:rPr>
          <w:rFonts w:hint="cs"/>
          <w:rtl/>
          <w:lang w:bidi="ar-EG"/>
        </w:rPr>
        <w:t>و</w:t>
      </w:r>
      <w:r w:rsidRPr="005F33FD">
        <w:rPr>
          <w:rFonts w:hint="cs"/>
          <w:rtl/>
          <w:lang w:bidi="ar-EG"/>
        </w:rPr>
        <w:t>الاحترام</w:t>
      </w:r>
      <w:proofErr w:type="gramEnd"/>
      <w:r w:rsidRPr="005F33FD">
        <w:rPr>
          <w:rFonts w:hint="cs"/>
          <w:rtl/>
          <w:lang w:bidi="ar-EG"/>
        </w:rPr>
        <w:t>.</w:t>
      </w:r>
    </w:p>
    <w:p w:rsidR="00DC5505" w:rsidRDefault="00DC5505" w:rsidP="00C5355E">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5844E2">
      <w:pPr>
        <w:tabs>
          <w:tab w:val="left" w:pos="1173"/>
        </w:tabs>
        <w:spacing w:before="1320"/>
        <w:ind w:left="1174" w:hanging="1174"/>
        <w:jc w:val="left"/>
        <w:rPr>
          <w:rtl/>
          <w:lang w:bidi="ar-EG"/>
        </w:rPr>
      </w:pPr>
      <w:r>
        <w:rPr>
          <w:rFonts w:hint="cs"/>
          <w:b/>
          <w:bCs/>
          <w:rtl/>
          <w:lang w:bidi="ar-EG"/>
        </w:rPr>
        <w:t>الملحقات:</w:t>
      </w:r>
      <w:r w:rsidR="008C4385">
        <w:rPr>
          <w:rFonts w:hint="cs"/>
          <w:rtl/>
          <w:lang w:bidi="ar-EG"/>
        </w:rPr>
        <w:t xml:space="preserve"> </w:t>
      </w:r>
      <w:r w:rsidR="005844E2">
        <w:t>1</w:t>
      </w:r>
    </w:p>
    <w:p w:rsidR="00EC4D60" w:rsidRDefault="00EC4D60" w:rsidP="005221F9">
      <w:pPr>
        <w:tabs>
          <w:tab w:val="left" w:pos="1173"/>
        </w:tabs>
        <w:ind w:left="1174" w:hanging="1174"/>
        <w:jc w:val="left"/>
        <w:rPr>
          <w:rtl/>
          <w:lang w:bidi="ar-EG"/>
        </w:rPr>
      </w:pPr>
    </w:p>
    <w:p w:rsidR="005221F9" w:rsidRDefault="005221F9" w:rsidP="005221F9">
      <w:pPr>
        <w:tabs>
          <w:tab w:val="left" w:pos="1173"/>
        </w:tabs>
        <w:ind w:left="1174" w:hanging="1174"/>
        <w:jc w:val="left"/>
        <w:rPr>
          <w:rtl/>
          <w:lang w:bidi="ar-EG"/>
        </w:rPr>
        <w:sectPr w:rsidR="005221F9" w:rsidSect="001631E7">
          <w:headerReference w:type="default" r:id="rId12"/>
          <w:footerReference w:type="default" r:id="rId13"/>
          <w:footerReference w:type="first" r:id="rId14"/>
          <w:pgSz w:w="11901" w:h="16840" w:code="9"/>
          <w:pgMar w:top="1418" w:right="1134" w:bottom="1134" w:left="1134" w:header="567" w:footer="567" w:gutter="0"/>
          <w:pgNumType w:start="1"/>
          <w:cols w:space="720"/>
          <w:titlePg/>
          <w:docGrid w:linePitch="360"/>
        </w:sectPr>
      </w:pPr>
    </w:p>
    <w:p w:rsidR="00896AA7" w:rsidRPr="00896AA7" w:rsidRDefault="00896AA7" w:rsidP="00896AA7">
      <w:pPr>
        <w:autoSpaceDE w:val="0"/>
        <w:autoSpaceDN w:val="0"/>
        <w:bidi w:val="0"/>
        <w:adjustRightInd w:val="0"/>
        <w:spacing w:before="0" w:line="240" w:lineRule="auto"/>
        <w:jc w:val="center"/>
        <w:rPr>
          <w:rFonts w:cs="Times New Roman"/>
          <w:b/>
          <w:bCs/>
          <w:color w:val="000000"/>
          <w:sz w:val="28"/>
          <w:szCs w:val="28"/>
          <w:lang w:eastAsia="zh-CN"/>
        </w:rPr>
      </w:pPr>
      <w:r w:rsidRPr="00896AA7">
        <w:rPr>
          <w:rFonts w:cs="Times New Roman"/>
          <w:b/>
          <w:bCs/>
          <w:color w:val="000000"/>
          <w:sz w:val="28"/>
          <w:szCs w:val="28"/>
          <w:lang w:eastAsia="zh-CN"/>
        </w:rPr>
        <w:lastRenderedPageBreak/>
        <w:t>Annex</w:t>
      </w:r>
    </w:p>
    <w:p w:rsidR="00896AA7" w:rsidRPr="00896AA7" w:rsidRDefault="00896AA7" w:rsidP="00896AA7">
      <w:pPr>
        <w:keepNext/>
        <w:keepLines/>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eastAsia="MS Mincho" w:cs="Times New Roman"/>
          <w:bCs/>
          <w:sz w:val="24"/>
          <w:szCs w:val="24"/>
          <w:lang w:val="en-GB"/>
        </w:rPr>
      </w:pPr>
      <w:r w:rsidRPr="00896AA7">
        <w:rPr>
          <w:rFonts w:eastAsia="MS Mincho" w:cs="Times New Roman"/>
          <w:bCs/>
          <w:sz w:val="24"/>
          <w:szCs w:val="24"/>
          <w:lang w:val="en-GB"/>
        </w:rPr>
        <w:t>(</w:t>
      </w:r>
      <w:proofErr w:type="gramStart"/>
      <w:r w:rsidRPr="00896AA7">
        <w:rPr>
          <w:rFonts w:eastAsia="MS Mincho" w:cs="Times New Roman"/>
          <w:bCs/>
          <w:sz w:val="24"/>
          <w:szCs w:val="24"/>
          <w:lang w:val="en-GB"/>
        </w:rPr>
        <w:t>to</w:t>
      </w:r>
      <w:proofErr w:type="gramEnd"/>
      <w:r w:rsidRPr="00896AA7">
        <w:rPr>
          <w:rFonts w:eastAsia="MS Mincho" w:cs="Times New Roman"/>
          <w:bCs/>
          <w:sz w:val="24"/>
          <w:szCs w:val="24"/>
          <w:lang w:val="en-GB"/>
        </w:rPr>
        <w:t xml:space="preserve"> TSB Circular 265)</w:t>
      </w:r>
    </w:p>
    <w:p w:rsidR="00896AA7" w:rsidRPr="00896AA7" w:rsidRDefault="00896AA7" w:rsidP="00896AA7">
      <w:pPr>
        <w:autoSpaceDE w:val="0"/>
        <w:autoSpaceDN w:val="0"/>
        <w:bidi w:val="0"/>
        <w:adjustRightInd w:val="0"/>
        <w:spacing w:before="0" w:line="240" w:lineRule="auto"/>
        <w:jc w:val="center"/>
        <w:rPr>
          <w:rFonts w:cs="Times New Roman"/>
          <w:b/>
          <w:bCs/>
          <w:color w:val="000000"/>
          <w:sz w:val="28"/>
          <w:szCs w:val="28"/>
          <w:lang w:eastAsia="zh-CN"/>
        </w:rPr>
      </w:pPr>
    </w:p>
    <w:p w:rsidR="00896AA7" w:rsidRPr="00896AA7" w:rsidRDefault="00896AA7" w:rsidP="00896AA7">
      <w:pPr>
        <w:autoSpaceDE w:val="0"/>
        <w:autoSpaceDN w:val="0"/>
        <w:bidi w:val="0"/>
        <w:adjustRightInd w:val="0"/>
        <w:spacing w:before="0" w:line="240" w:lineRule="auto"/>
        <w:jc w:val="center"/>
        <w:rPr>
          <w:rFonts w:cs="Times New Roman"/>
          <w:b/>
          <w:bCs/>
          <w:color w:val="000000"/>
          <w:sz w:val="28"/>
          <w:szCs w:val="28"/>
          <w:lang w:eastAsia="zh-CN"/>
        </w:rPr>
      </w:pPr>
    </w:p>
    <w:p w:rsidR="00896AA7" w:rsidRPr="00896AA7" w:rsidRDefault="00896AA7" w:rsidP="00896AA7">
      <w:pPr>
        <w:autoSpaceDE w:val="0"/>
        <w:autoSpaceDN w:val="0"/>
        <w:bidi w:val="0"/>
        <w:adjustRightInd w:val="0"/>
        <w:spacing w:before="0" w:line="240" w:lineRule="auto"/>
        <w:jc w:val="center"/>
        <w:rPr>
          <w:rFonts w:cs="Times New Roman"/>
          <w:b/>
          <w:bCs/>
          <w:color w:val="000000"/>
          <w:sz w:val="28"/>
          <w:szCs w:val="28"/>
          <w:lang w:eastAsia="zh-CN"/>
        </w:rPr>
      </w:pPr>
      <w:r w:rsidRPr="00896AA7">
        <w:rPr>
          <w:rFonts w:cs="Times New Roman"/>
          <w:b/>
          <w:bCs/>
          <w:color w:val="000000"/>
          <w:sz w:val="28"/>
          <w:szCs w:val="28"/>
          <w:lang w:eastAsia="zh-CN"/>
        </w:rPr>
        <w:t>2012-2016 TSAG and ITU-T Study Group activities</w:t>
      </w:r>
    </w:p>
    <w:p w:rsidR="00896AA7" w:rsidRPr="00896AA7" w:rsidRDefault="00896AA7" w:rsidP="00896AA7">
      <w:pPr>
        <w:autoSpaceDE w:val="0"/>
        <w:autoSpaceDN w:val="0"/>
        <w:bidi w:val="0"/>
        <w:adjustRightInd w:val="0"/>
        <w:spacing w:before="0" w:line="240" w:lineRule="auto"/>
        <w:jc w:val="center"/>
        <w:rPr>
          <w:rFonts w:cs="Times New Roman"/>
          <w:b/>
          <w:bCs/>
          <w:color w:val="000000"/>
          <w:sz w:val="28"/>
          <w:szCs w:val="28"/>
          <w:lang w:eastAsia="zh-CN"/>
        </w:rPr>
      </w:pPr>
    </w:p>
    <w:p w:rsidR="00896AA7" w:rsidRPr="00896AA7" w:rsidRDefault="00896AA7" w:rsidP="00896AA7">
      <w:pPr>
        <w:autoSpaceDE w:val="0"/>
        <w:autoSpaceDN w:val="0"/>
        <w:bidi w:val="0"/>
        <w:adjustRightInd w:val="0"/>
        <w:spacing w:before="0" w:line="240" w:lineRule="auto"/>
        <w:jc w:val="center"/>
        <w:rPr>
          <w:rFonts w:cs="Times New Roman"/>
          <w:color w:val="000000"/>
          <w:sz w:val="28"/>
          <w:szCs w:val="28"/>
          <w:lang w:eastAsia="zh-CN"/>
        </w:rPr>
      </w:pPr>
      <w:r w:rsidRPr="00896AA7">
        <w:rPr>
          <w:rFonts w:cs="Times New Roman"/>
          <w:color w:val="000000"/>
          <w:sz w:val="28"/>
          <w:szCs w:val="28"/>
          <w:lang w:eastAsia="zh-CN"/>
        </w:rPr>
        <w:t>DESIGNATED FOCAL POINTS FOR MEMBER STATES,</w:t>
      </w:r>
    </w:p>
    <w:p w:rsidR="00896AA7" w:rsidRPr="00896AA7" w:rsidRDefault="00896AA7" w:rsidP="00896AA7">
      <w:pPr>
        <w:autoSpaceDE w:val="0"/>
        <w:autoSpaceDN w:val="0"/>
        <w:bidi w:val="0"/>
        <w:adjustRightInd w:val="0"/>
        <w:spacing w:before="0" w:line="240" w:lineRule="auto"/>
        <w:jc w:val="center"/>
        <w:rPr>
          <w:rFonts w:cs="Times New Roman"/>
          <w:color w:val="000000"/>
          <w:sz w:val="28"/>
          <w:szCs w:val="28"/>
          <w:lang w:eastAsia="zh-CN"/>
        </w:rPr>
      </w:pPr>
      <w:r w:rsidRPr="00896AA7">
        <w:rPr>
          <w:rFonts w:cs="Times New Roman"/>
          <w:color w:val="000000"/>
          <w:sz w:val="28"/>
          <w:szCs w:val="28"/>
          <w:lang w:eastAsia="zh-CN"/>
        </w:rPr>
        <w:t>SECTOR MEMBERS, ASSOCIATES, ACADEMIA</w:t>
      </w:r>
    </w:p>
    <w:p w:rsidR="00896AA7" w:rsidRPr="00896AA7" w:rsidRDefault="00896AA7" w:rsidP="00896AA7">
      <w:pPr>
        <w:autoSpaceDE w:val="0"/>
        <w:autoSpaceDN w:val="0"/>
        <w:bidi w:val="0"/>
        <w:adjustRightInd w:val="0"/>
        <w:spacing w:before="0" w:line="240" w:lineRule="auto"/>
        <w:jc w:val="center"/>
        <w:rPr>
          <w:rFonts w:cs="Times New Roman"/>
          <w:color w:val="000000"/>
          <w:sz w:val="28"/>
          <w:szCs w:val="28"/>
          <w:lang w:eastAsia="zh-CN"/>
        </w:rPr>
      </w:pPr>
      <w:proofErr w:type="gramStart"/>
      <w:r w:rsidRPr="00896AA7">
        <w:rPr>
          <w:rFonts w:cs="Times New Roman"/>
          <w:color w:val="000000"/>
          <w:sz w:val="28"/>
          <w:szCs w:val="28"/>
          <w:lang w:eastAsia="zh-CN"/>
        </w:rPr>
        <w:t>and</w:t>
      </w:r>
      <w:proofErr w:type="gramEnd"/>
      <w:r w:rsidRPr="00896AA7">
        <w:rPr>
          <w:rFonts w:cs="Times New Roman"/>
          <w:color w:val="000000"/>
          <w:sz w:val="28"/>
          <w:szCs w:val="28"/>
          <w:lang w:eastAsia="zh-CN"/>
        </w:rPr>
        <w:t xml:space="preserve"> Other Organizations</w:t>
      </w:r>
    </w:p>
    <w:p w:rsidR="00896AA7" w:rsidRPr="00896AA7" w:rsidRDefault="00896AA7" w:rsidP="00896AA7">
      <w:pPr>
        <w:autoSpaceDE w:val="0"/>
        <w:autoSpaceDN w:val="0"/>
        <w:bidi w:val="0"/>
        <w:adjustRightInd w:val="0"/>
        <w:spacing w:before="0" w:line="240" w:lineRule="auto"/>
        <w:jc w:val="center"/>
        <w:rPr>
          <w:rFonts w:cs="Times New Roman"/>
          <w:color w:val="000000"/>
          <w:sz w:val="28"/>
          <w:szCs w:val="28"/>
          <w:lang w:eastAsia="zh-CN"/>
        </w:rPr>
      </w:pPr>
    </w:p>
    <w:p w:rsidR="00896AA7" w:rsidRPr="00896AA7" w:rsidRDefault="00896AA7" w:rsidP="00896AA7">
      <w:pPr>
        <w:autoSpaceDE w:val="0"/>
        <w:autoSpaceDN w:val="0"/>
        <w:bidi w:val="0"/>
        <w:adjustRightInd w:val="0"/>
        <w:spacing w:before="0" w:line="240" w:lineRule="auto"/>
        <w:jc w:val="center"/>
        <w:rPr>
          <w:rFonts w:cs="Times New Roman"/>
          <w:color w:val="000000"/>
          <w:sz w:val="28"/>
          <w:szCs w:val="28"/>
          <w:lang w:eastAsia="zh-CN"/>
        </w:rPr>
      </w:pPr>
      <w:r w:rsidRPr="00896AA7">
        <w:rPr>
          <w:rFonts w:cs="Times New Roman"/>
          <w:color w:val="000000"/>
          <w:sz w:val="28"/>
          <w:szCs w:val="28"/>
          <w:lang w:eastAsia="zh-CN"/>
        </w:rPr>
        <w:t>REGISTRATION OF PARTICIPANTS</w:t>
      </w:r>
    </w:p>
    <w:p w:rsidR="00896AA7" w:rsidRPr="00896AA7" w:rsidRDefault="00896AA7" w:rsidP="00896AA7">
      <w:pPr>
        <w:autoSpaceDE w:val="0"/>
        <w:autoSpaceDN w:val="0"/>
        <w:bidi w:val="0"/>
        <w:adjustRightInd w:val="0"/>
        <w:spacing w:before="0" w:line="240" w:lineRule="auto"/>
        <w:jc w:val="left"/>
        <w:rPr>
          <w:rFonts w:cs="Times New Roman"/>
          <w:color w:val="000000"/>
          <w:sz w:val="24"/>
          <w:szCs w:val="24"/>
          <w:lang w:eastAsia="zh-CN"/>
        </w:rPr>
      </w:pPr>
    </w:p>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before="0" w:line="240" w:lineRule="auto"/>
        <w:textAlignment w:val="baseline"/>
        <w:rPr>
          <w:rFonts w:eastAsia="MS Mincho" w:cs="Times New Roman"/>
          <w:sz w:val="24"/>
          <w:szCs w:val="20"/>
          <w:lang w:val="en-GB"/>
        </w:rPr>
      </w:pPr>
      <w:r w:rsidRPr="00896AA7">
        <w:rPr>
          <w:rFonts w:eastAsia="MS Mincho" w:cs="Times New Roman"/>
          <w:sz w:val="24"/>
          <w:szCs w:val="20"/>
          <w:lang w:val="en-GB"/>
        </w:rPr>
        <w:t xml:space="preserve">Registration for TSAG and ITU-T Study Group activities will be carried out exclusively on-line at the ITU-T Study Group website </w:t>
      </w:r>
      <w:hyperlink r:id="rId15" w:history="1">
        <w:r w:rsidRPr="00896AA7">
          <w:rPr>
            <w:rFonts w:eastAsia="MS Mincho" w:cs="Times New Roman"/>
            <w:color w:val="0000FF"/>
            <w:sz w:val="24"/>
            <w:szCs w:val="20"/>
            <w:u w:val="single"/>
            <w:lang w:val="en-GB"/>
          </w:rPr>
          <w:t>http://www.itu.int/ITU-T/studygroups</w:t>
        </w:r>
      </w:hyperlink>
      <w:r w:rsidRPr="00896AA7">
        <w:rPr>
          <w:rFonts w:eastAsia="MS Mincho" w:cs="Times New Roman"/>
          <w:sz w:val="24"/>
          <w:szCs w:val="20"/>
          <w:lang w:val="en-GB"/>
        </w:rPr>
        <w:t xml:space="preserve"> . All focal point information should reach the ITU-T Delegate Registration Service on or before </w:t>
      </w:r>
      <w:r w:rsidRPr="00896AA7">
        <w:rPr>
          <w:rFonts w:eastAsia="MS Mincho" w:cs="Times New Roman"/>
          <w:b/>
          <w:bCs/>
          <w:sz w:val="24"/>
          <w:szCs w:val="20"/>
          <w:lang w:val="en-GB"/>
        </w:rPr>
        <w:t>1 May 2012</w:t>
      </w:r>
      <w:r w:rsidRPr="00896AA7">
        <w:rPr>
          <w:rFonts w:eastAsia="MS Mincho" w:cs="Times New Roman"/>
          <w:sz w:val="24"/>
          <w:szCs w:val="20"/>
          <w:lang w:val="en-GB"/>
        </w:rPr>
        <w:t>. Focal point information will then be published on the Study Group website on 2 May 2012.</w:t>
      </w:r>
    </w:p>
    <w:p w:rsidR="00896AA7" w:rsidRPr="00896AA7" w:rsidRDefault="00896AA7" w:rsidP="00896AA7">
      <w:pPr>
        <w:autoSpaceDE w:val="0"/>
        <w:autoSpaceDN w:val="0"/>
        <w:bidi w:val="0"/>
        <w:adjustRightInd w:val="0"/>
        <w:spacing w:before="0" w:line="240" w:lineRule="auto"/>
        <w:jc w:val="left"/>
        <w:rPr>
          <w:rFonts w:cs="Times New Roman"/>
          <w:color w:val="000000"/>
          <w:sz w:val="24"/>
          <w:szCs w:val="24"/>
          <w:lang w:eastAsia="zh-CN"/>
        </w:rPr>
      </w:pPr>
      <w:r w:rsidRPr="00896AA7">
        <w:rPr>
          <w:rFonts w:cs="Times New Roman"/>
          <w:color w:val="000000"/>
          <w:sz w:val="24"/>
          <w:szCs w:val="24"/>
          <w:lang w:eastAsia="zh-CN"/>
        </w:rPr>
        <w:t>Please indicate the Designated Focal Point by completing the following form:</w:t>
      </w:r>
    </w:p>
    <w:p w:rsidR="00896AA7" w:rsidRPr="00896AA7" w:rsidRDefault="00896AA7" w:rsidP="00896AA7">
      <w:pPr>
        <w:autoSpaceDE w:val="0"/>
        <w:autoSpaceDN w:val="0"/>
        <w:bidi w:val="0"/>
        <w:adjustRightInd w:val="0"/>
        <w:spacing w:before="0" w:line="240" w:lineRule="auto"/>
        <w:jc w:val="left"/>
        <w:rPr>
          <w:rFonts w:cs="Times New Roman"/>
          <w:color w:val="000000"/>
          <w:sz w:val="24"/>
          <w:szCs w:val="24"/>
          <w:lang w:eastAsia="zh-CN"/>
        </w:rPr>
      </w:pPr>
    </w:p>
    <w:p w:rsidR="00896AA7" w:rsidRPr="00896AA7" w:rsidRDefault="00896AA7" w:rsidP="00896AA7">
      <w:pPr>
        <w:autoSpaceDE w:val="0"/>
        <w:autoSpaceDN w:val="0"/>
        <w:bidi w:val="0"/>
        <w:adjustRightInd w:val="0"/>
        <w:spacing w:before="0" w:line="240" w:lineRule="auto"/>
        <w:jc w:val="left"/>
        <w:rPr>
          <w:rFonts w:cs="Times New Roman"/>
          <w:color w:val="000000"/>
          <w:sz w:val="24"/>
          <w:szCs w:val="24"/>
          <w:lang w:eastAsia="zh-CN"/>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2660"/>
        <w:gridCol w:w="5670"/>
      </w:tblGrid>
      <w:tr w:rsidR="00896AA7" w:rsidRPr="00896AA7" w:rsidTr="001D3D06">
        <w:trPr>
          <w:jc w:val="center"/>
        </w:trPr>
        <w:tc>
          <w:tcPr>
            <w:tcW w:w="2660" w:type="dxa"/>
            <w:tcBorders>
              <w:top w:val="thinThickSmallGap" w:sz="24" w:space="0" w:color="auto"/>
              <w:bottom w:val="nil"/>
            </w:tcBorders>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ind w:left="89"/>
              <w:jc w:val="left"/>
              <w:textAlignment w:val="baseline"/>
              <w:rPr>
                <w:rFonts w:cs="Times New Roman"/>
                <w:sz w:val="24"/>
                <w:szCs w:val="20"/>
                <w:lang w:val="en-GB"/>
              </w:rPr>
            </w:pPr>
            <w:r w:rsidRPr="00896AA7">
              <w:rPr>
                <w:rFonts w:cs="Times New Roman"/>
                <w:sz w:val="24"/>
                <w:szCs w:val="20"/>
                <w:lang w:val="en-GB"/>
              </w:rPr>
              <w:t>Name of Member State:</w:t>
            </w:r>
          </w:p>
        </w:tc>
        <w:tc>
          <w:tcPr>
            <w:tcW w:w="5670" w:type="dxa"/>
            <w:tcBorders>
              <w:top w:val="thinThickSmallGap" w:sz="24" w:space="0" w:color="auto"/>
              <w:bottom w:val="nil"/>
            </w:tcBorders>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96AA7">
              <w:rPr>
                <w:rFonts w:cs="Times New Roman"/>
                <w:sz w:val="24"/>
                <w:szCs w:val="20"/>
                <w:lang w:val="en-GB"/>
              </w:rPr>
              <w:t>________________________________________</w:t>
            </w:r>
          </w:p>
        </w:tc>
      </w:tr>
      <w:tr w:rsidR="00896AA7" w:rsidRPr="00896AA7" w:rsidTr="001D3D06">
        <w:trPr>
          <w:jc w:val="center"/>
        </w:trPr>
        <w:tc>
          <w:tcPr>
            <w:tcW w:w="2660" w:type="dxa"/>
            <w:tcBorders>
              <w:top w:val="nil"/>
              <w:bottom w:val="nil"/>
            </w:tcBorders>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ind w:left="89"/>
              <w:jc w:val="left"/>
              <w:textAlignment w:val="baseline"/>
              <w:rPr>
                <w:rFonts w:cs="Times New Roman"/>
                <w:sz w:val="24"/>
                <w:szCs w:val="20"/>
                <w:lang w:val="en-GB"/>
              </w:rPr>
            </w:pPr>
            <w:r w:rsidRPr="00896AA7">
              <w:rPr>
                <w:rFonts w:cs="Times New Roman"/>
                <w:sz w:val="24"/>
                <w:szCs w:val="20"/>
                <w:lang w:val="en-GB"/>
              </w:rPr>
              <w:t>Name of Member:</w:t>
            </w:r>
          </w:p>
        </w:tc>
        <w:tc>
          <w:tcPr>
            <w:tcW w:w="5670" w:type="dxa"/>
            <w:tcBorders>
              <w:top w:val="nil"/>
              <w:bottom w:val="nil"/>
            </w:tcBorders>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96AA7">
              <w:rPr>
                <w:rFonts w:cs="Times New Roman"/>
                <w:sz w:val="24"/>
                <w:szCs w:val="20"/>
                <w:lang w:val="en-GB"/>
              </w:rPr>
              <w:t>________________________________________</w:t>
            </w:r>
          </w:p>
        </w:tc>
      </w:tr>
      <w:tr w:rsidR="00896AA7" w:rsidRPr="00896AA7" w:rsidTr="001D3D06">
        <w:trPr>
          <w:jc w:val="center"/>
        </w:trPr>
        <w:tc>
          <w:tcPr>
            <w:tcW w:w="8330" w:type="dxa"/>
            <w:gridSpan w:val="2"/>
            <w:tcBorders>
              <w:top w:val="nil"/>
              <w:bottom w:val="nil"/>
            </w:tcBorders>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ind w:left="89"/>
              <w:jc w:val="left"/>
              <w:textAlignment w:val="baseline"/>
              <w:rPr>
                <w:rFonts w:cs="Times New Roman"/>
                <w:sz w:val="24"/>
                <w:szCs w:val="20"/>
                <w:lang w:val="en-GB"/>
              </w:rPr>
            </w:pPr>
            <w:r w:rsidRPr="00896AA7">
              <w:rPr>
                <w:rFonts w:cs="Times New Roman"/>
                <w:sz w:val="24"/>
                <w:szCs w:val="20"/>
                <w:lang w:val="en-GB"/>
              </w:rPr>
              <w:t>______________________________________________________________</w:t>
            </w:r>
          </w:p>
        </w:tc>
      </w:tr>
      <w:tr w:rsidR="00896AA7" w:rsidRPr="00896AA7" w:rsidTr="001D3D06">
        <w:trPr>
          <w:jc w:val="center"/>
        </w:trPr>
        <w:tc>
          <w:tcPr>
            <w:tcW w:w="8330" w:type="dxa"/>
            <w:gridSpan w:val="2"/>
            <w:tcBorders>
              <w:top w:val="nil"/>
              <w:bottom w:val="thinThickSmallGap" w:sz="24" w:space="0" w:color="auto"/>
            </w:tcBorders>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r w:rsidR="00896AA7" w:rsidRPr="00896AA7" w:rsidTr="001D3D06">
        <w:trPr>
          <w:jc w:val="center"/>
        </w:trPr>
        <w:tc>
          <w:tcPr>
            <w:tcW w:w="8330" w:type="dxa"/>
            <w:gridSpan w:val="2"/>
            <w:tcBorders>
              <w:top w:val="thinThickSmallGap" w:sz="24" w:space="0" w:color="auto"/>
            </w:tcBorders>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896AA7">
              <w:rPr>
                <w:rFonts w:cs="Times New Roman"/>
                <w:b/>
                <w:bCs/>
                <w:sz w:val="28"/>
                <w:szCs w:val="28"/>
                <w:lang w:val="en-GB"/>
              </w:rPr>
              <w:t>Designated Focal Point:</w:t>
            </w:r>
          </w:p>
        </w:tc>
      </w:tr>
      <w:tr w:rsidR="00896AA7" w:rsidRPr="00896AA7" w:rsidTr="001D3D06">
        <w:trPr>
          <w:jc w:val="center"/>
        </w:trPr>
        <w:tc>
          <w:tcPr>
            <w:tcW w:w="2660" w:type="dxa"/>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ind w:left="89"/>
              <w:jc w:val="left"/>
              <w:textAlignment w:val="baseline"/>
              <w:rPr>
                <w:rFonts w:cs="Times New Roman"/>
                <w:sz w:val="24"/>
                <w:szCs w:val="20"/>
                <w:lang w:val="en-GB"/>
              </w:rPr>
            </w:pPr>
            <w:r w:rsidRPr="00896AA7">
              <w:rPr>
                <w:rFonts w:cs="Times New Roman"/>
                <w:sz w:val="24"/>
                <w:szCs w:val="20"/>
                <w:lang w:val="en-GB"/>
              </w:rPr>
              <w:t>First name:</w:t>
            </w:r>
          </w:p>
        </w:tc>
        <w:tc>
          <w:tcPr>
            <w:tcW w:w="5670" w:type="dxa"/>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96AA7">
              <w:rPr>
                <w:rFonts w:cs="Times New Roman"/>
                <w:sz w:val="24"/>
                <w:szCs w:val="20"/>
                <w:lang w:val="en-GB"/>
              </w:rPr>
              <w:t>________________________________________</w:t>
            </w:r>
          </w:p>
        </w:tc>
      </w:tr>
      <w:tr w:rsidR="00896AA7" w:rsidRPr="00896AA7" w:rsidTr="001D3D06">
        <w:trPr>
          <w:jc w:val="center"/>
        </w:trPr>
        <w:tc>
          <w:tcPr>
            <w:tcW w:w="2660" w:type="dxa"/>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ind w:left="89"/>
              <w:jc w:val="left"/>
              <w:textAlignment w:val="baseline"/>
              <w:rPr>
                <w:rFonts w:cs="Times New Roman"/>
                <w:sz w:val="24"/>
                <w:szCs w:val="20"/>
                <w:lang w:val="en-GB"/>
              </w:rPr>
            </w:pPr>
            <w:r w:rsidRPr="00896AA7">
              <w:rPr>
                <w:rFonts w:cs="Times New Roman"/>
                <w:sz w:val="24"/>
                <w:szCs w:val="20"/>
                <w:lang w:val="en-GB"/>
              </w:rPr>
              <w:t>Last name:</w:t>
            </w:r>
          </w:p>
        </w:tc>
        <w:tc>
          <w:tcPr>
            <w:tcW w:w="5670" w:type="dxa"/>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96AA7">
              <w:rPr>
                <w:rFonts w:cs="Times New Roman"/>
                <w:sz w:val="24"/>
                <w:szCs w:val="20"/>
                <w:lang w:val="en-GB"/>
              </w:rPr>
              <w:t>________________________________________</w:t>
            </w:r>
          </w:p>
        </w:tc>
      </w:tr>
      <w:tr w:rsidR="00896AA7" w:rsidRPr="00896AA7" w:rsidTr="001D3D06">
        <w:trPr>
          <w:jc w:val="center"/>
        </w:trPr>
        <w:tc>
          <w:tcPr>
            <w:tcW w:w="2660" w:type="dxa"/>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ind w:left="89"/>
              <w:jc w:val="left"/>
              <w:textAlignment w:val="baseline"/>
              <w:rPr>
                <w:rFonts w:cs="Times New Roman"/>
                <w:sz w:val="24"/>
                <w:szCs w:val="20"/>
                <w:lang w:val="en-GB"/>
              </w:rPr>
            </w:pPr>
            <w:r w:rsidRPr="00896AA7">
              <w:rPr>
                <w:rFonts w:cs="Times New Roman"/>
                <w:sz w:val="24"/>
                <w:szCs w:val="20"/>
                <w:lang w:val="en-GB"/>
              </w:rPr>
              <w:t>e-mail address:</w:t>
            </w:r>
          </w:p>
        </w:tc>
        <w:tc>
          <w:tcPr>
            <w:tcW w:w="5670" w:type="dxa"/>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96AA7">
              <w:rPr>
                <w:rFonts w:cs="Times New Roman"/>
                <w:sz w:val="24"/>
                <w:szCs w:val="20"/>
                <w:lang w:val="en-GB"/>
              </w:rPr>
              <w:t>________________________________________</w:t>
            </w:r>
          </w:p>
        </w:tc>
      </w:tr>
      <w:tr w:rsidR="00896AA7" w:rsidRPr="00896AA7" w:rsidTr="001D3D06">
        <w:trPr>
          <w:jc w:val="center"/>
        </w:trPr>
        <w:tc>
          <w:tcPr>
            <w:tcW w:w="2660" w:type="dxa"/>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5670" w:type="dxa"/>
          </w:tcPr>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bl>
    <w:p w:rsidR="00896AA7" w:rsidRPr="00896AA7" w:rsidRDefault="00896AA7" w:rsidP="00896AA7">
      <w:pPr>
        <w:autoSpaceDE w:val="0"/>
        <w:autoSpaceDN w:val="0"/>
        <w:bidi w:val="0"/>
        <w:adjustRightInd w:val="0"/>
        <w:spacing w:before="0" w:line="240" w:lineRule="auto"/>
        <w:jc w:val="left"/>
        <w:rPr>
          <w:rFonts w:cs="Times New Roman"/>
          <w:color w:val="000000"/>
          <w:sz w:val="24"/>
          <w:szCs w:val="24"/>
          <w:lang w:eastAsia="zh-CN"/>
        </w:rPr>
      </w:pPr>
    </w:p>
    <w:p w:rsidR="00896AA7" w:rsidRPr="00896AA7" w:rsidRDefault="00896AA7" w:rsidP="00896AA7">
      <w:pPr>
        <w:autoSpaceDE w:val="0"/>
        <w:autoSpaceDN w:val="0"/>
        <w:bidi w:val="0"/>
        <w:adjustRightInd w:val="0"/>
        <w:spacing w:before="0" w:line="240" w:lineRule="auto"/>
        <w:jc w:val="left"/>
        <w:rPr>
          <w:rFonts w:cs="Times New Roman"/>
          <w:color w:val="000000"/>
          <w:sz w:val="24"/>
          <w:szCs w:val="24"/>
          <w:lang w:eastAsia="zh-CN"/>
        </w:rPr>
      </w:pPr>
    </w:p>
    <w:p w:rsidR="00896AA7" w:rsidRPr="00896AA7" w:rsidRDefault="00896AA7" w:rsidP="00896AA7">
      <w:pPr>
        <w:autoSpaceDE w:val="0"/>
        <w:autoSpaceDN w:val="0"/>
        <w:bidi w:val="0"/>
        <w:adjustRightInd w:val="0"/>
        <w:spacing w:before="0" w:line="240" w:lineRule="auto"/>
        <w:jc w:val="left"/>
        <w:rPr>
          <w:rFonts w:cs="Times New Roman"/>
          <w:b/>
          <w:bCs/>
          <w:i/>
          <w:iCs/>
          <w:color w:val="000000"/>
          <w:sz w:val="24"/>
          <w:szCs w:val="24"/>
          <w:lang w:eastAsia="zh-CN"/>
        </w:rPr>
      </w:pPr>
      <w:r w:rsidRPr="00896AA7">
        <w:rPr>
          <w:rFonts w:cs="Times New Roman"/>
          <w:b/>
          <w:bCs/>
          <w:i/>
          <w:iCs/>
          <w:color w:val="000000"/>
          <w:sz w:val="24"/>
          <w:szCs w:val="24"/>
          <w:lang w:eastAsia="zh-CN"/>
        </w:rPr>
        <w:t>For submission of the above form, or for any additional information, please contact the</w:t>
      </w:r>
    </w:p>
    <w:p w:rsidR="00896AA7" w:rsidRPr="00896AA7" w:rsidRDefault="00896AA7" w:rsidP="00896AA7">
      <w:pPr>
        <w:autoSpaceDE w:val="0"/>
        <w:autoSpaceDN w:val="0"/>
        <w:bidi w:val="0"/>
        <w:adjustRightInd w:val="0"/>
        <w:spacing w:before="0" w:line="240" w:lineRule="auto"/>
        <w:jc w:val="left"/>
        <w:rPr>
          <w:rFonts w:cs="Times New Roman"/>
          <w:b/>
          <w:bCs/>
          <w:i/>
          <w:iCs/>
          <w:color w:val="000000"/>
          <w:sz w:val="24"/>
          <w:szCs w:val="24"/>
          <w:lang w:eastAsia="zh-CN"/>
        </w:rPr>
      </w:pPr>
      <w:proofErr w:type="gramStart"/>
      <w:r w:rsidRPr="00896AA7">
        <w:rPr>
          <w:rFonts w:cs="Times New Roman"/>
          <w:b/>
          <w:bCs/>
          <w:i/>
          <w:iCs/>
          <w:color w:val="000000"/>
          <w:sz w:val="24"/>
          <w:szCs w:val="24"/>
          <w:lang w:eastAsia="zh-CN"/>
        </w:rPr>
        <w:t>Standardization Bureau Secretariat by e-mail (</w:t>
      </w:r>
      <w:r w:rsidRPr="00896AA7">
        <w:rPr>
          <w:rFonts w:cs="Times New Roman"/>
          <w:b/>
          <w:bCs/>
          <w:i/>
          <w:iCs/>
          <w:color w:val="0000FF"/>
          <w:sz w:val="24"/>
          <w:szCs w:val="24"/>
          <w:lang w:eastAsia="zh-CN"/>
        </w:rPr>
        <w:t>tsbreg@itu.int</w:t>
      </w:r>
      <w:r w:rsidRPr="00896AA7">
        <w:rPr>
          <w:rFonts w:cs="Times New Roman"/>
          <w:b/>
          <w:bCs/>
          <w:i/>
          <w:iCs/>
          <w:color w:val="000000"/>
          <w:sz w:val="24"/>
          <w:szCs w:val="24"/>
          <w:lang w:eastAsia="zh-CN"/>
        </w:rPr>
        <w:t>) or by fax (+41 22 730 5853).</w:t>
      </w:r>
      <w:proofErr w:type="gramEnd"/>
    </w:p>
    <w:p w:rsidR="00896AA7" w:rsidRPr="00896AA7" w:rsidRDefault="00896AA7" w:rsidP="00896AA7">
      <w:pPr>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rPr>
          <w:rFonts w:cs="Times New Roman"/>
          <w:sz w:val="24"/>
          <w:szCs w:val="20"/>
        </w:rPr>
      </w:pPr>
      <w:r w:rsidRPr="00896AA7">
        <w:rPr>
          <w:rFonts w:cs="Times New Roman"/>
          <w:color w:val="000000"/>
          <w:sz w:val="24"/>
          <w:szCs w:val="24"/>
          <w:lang w:eastAsia="zh-CN"/>
        </w:rPr>
        <w:t>_____________</w:t>
      </w:r>
    </w:p>
    <w:sectPr w:rsidR="00896AA7" w:rsidRPr="00896AA7" w:rsidSect="00896AA7">
      <w:headerReference w:type="default" r:id="rId16"/>
      <w:footerReference w:type="default" r:id="rId17"/>
      <w:headerReference w:type="first" r:id="rId18"/>
      <w:footerReference w:type="first" r:id="rId19"/>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867" w:rsidRDefault="00155867">
      <w:r>
        <w:separator/>
      </w:r>
    </w:p>
  </w:endnote>
  <w:endnote w:type="continuationSeparator" w:id="0">
    <w:p w:rsidR="00155867" w:rsidRDefault="0015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3E" w:rsidRPr="00E8503E" w:rsidRDefault="00E8503E" w:rsidP="00E8503E">
    <w:pPr>
      <w:tabs>
        <w:tab w:val="left" w:pos="794"/>
        <w:tab w:val="left" w:pos="1191"/>
        <w:tab w:val="left" w:pos="1588"/>
        <w:tab w:val="left" w:pos="1985"/>
        <w:tab w:val="center" w:pos="5387"/>
        <w:tab w:val="right" w:pos="9639"/>
      </w:tabs>
      <w:bidi w:val="0"/>
      <w:spacing w:before="0" w:line="240" w:lineRule="auto"/>
      <w:jc w:val="left"/>
      <w:rPr>
        <w:rFonts w:cs="Times New Roman"/>
        <w:sz w:val="16"/>
        <w:szCs w:val="24"/>
        <w:lang w:val="fr-CH"/>
      </w:rPr>
    </w:pPr>
    <w:r w:rsidRPr="00E8503E">
      <w:rPr>
        <w:rFonts w:cs="Times New Roman"/>
        <w:sz w:val="16"/>
        <w:szCs w:val="24"/>
        <w:lang w:val="fr-CH"/>
      </w:rPr>
      <w:t>ITU-T\BUREAU\CIRC\265</w:t>
    </w:r>
    <w:r>
      <w:rPr>
        <w:rFonts w:cs="Times New Roman"/>
        <w:sz w:val="16"/>
        <w:szCs w:val="24"/>
        <w:lang w:val="fr-CH"/>
      </w:rPr>
      <w:t>A</w:t>
    </w:r>
    <w:r w:rsidRPr="00E8503E">
      <w:rPr>
        <w:rFonts w:cs="Times New Roman"/>
        <w:sz w:val="16"/>
        <w:szCs w:val="24"/>
        <w:lang w:val="fr-CH"/>
      </w:rPr>
      <w:t>.DOC</w:t>
    </w:r>
  </w:p>
  <w:p w:rsidR="00CF1B69" w:rsidRPr="00E8503E" w:rsidRDefault="00CF1B69" w:rsidP="001F1D3B">
    <w:pPr>
      <w:pStyle w:val="Footer"/>
      <w:tabs>
        <w:tab w:val="clear" w:pos="4703"/>
        <w:tab w:val="clear" w:pos="9406"/>
        <w:tab w:val="left" w:pos="5670"/>
        <w:tab w:val="right" w:pos="9729"/>
      </w:tabs>
      <w:bidi w:val="0"/>
      <w:spacing w:before="0" w:line="280" w:lineRule="exact"/>
      <w:rPr>
        <w:vanish/>
        <w:sz w:val="18"/>
        <w:szCs w:val="18"/>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631E7" w:rsidTr="004A03BA">
      <w:trPr>
        <w:cantSplit/>
      </w:trPr>
      <w:tc>
        <w:tcPr>
          <w:tcW w:w="1062" w:type="pct"/>
          <w:tcBorders>
            <w:top w:val="single" w:sz="6" w:space="0" w:color="auto"/>
          </w:tcBorders>
          <w:tcMar>
            <w:top w:w="57" w:type="dxa"/>
          </w:tcMar>
        </w:tcPr>
        <w:p w:rsidR="001631E7" w:rsidRDefault="001631E7" w:rsidP="004A03BA">
          <w:pPr>
            <w:pStyle w:val="itu"/>
          </w:pPr>
          <w:r>
            <w:t>Place des Nations</w:t>
          </w:r>
        </w:p>
      </w:tc>
      <w:tc>
        <w:tcPr>
          <w:tcW w:w="1583" w:type="pct"/>
          <w:tcBorders>
            <w:top w:val="single" w:sz="6" w:space="0" w:color="auto"/>
          </w:tcBorders>
          <w:tcMar>
            <w:top w:w="57" w:type="dxa"/>
          </w:tcMar>
        </w:tcPr>
        <w:p w:rsidR="001631E7" w:rsidRDefault="001631E7" w:rsidP="004A03BA">
          <w:pPr>
            <w:pStyle w:val="itu"/>
          </w:pPr>
          <w:r>
            <w:t>Telephone</w:t>
          </w:r>
          <w:r>
            <w:tab/>
            <w:t>+41 22 730 51 11</w:t>
          </w:r>
        </w:p>
      </w:tc>
      <w:tc>
        <w:tcPr>
          <w:tcW w:w="1224" w:type="pct"/>
          <w:tcBorders>
            <w:top w:val="single" w:sz="6" w:space="0" w:color="auto"/>
          </w:tcBorders>
          <w:tcMar>
            <w:top w:w="57" w:type="dxa"/>
          </w:tcMar>
        </w:tcPr>
        <w:p w:rsidR="001631E7" w:rsidRDefault="001631E7" w:rsidP="004A03B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31E7" w:rsidRDefault="001631E7" w:rsidP="004A03BA">
          <w:pPr>
            <w:pStyle w:val="itu"/>
          </w:pPr>
          <w:r>
            <w:t>E-mail:</w:t>
          </w:r>
          <w:r>
            <w:tab/>
            <w:t>itumail@itu.int</w:t>
          </w:r>
        </w:p>
      </w:tc>
    </w:tr>
    <w:tr w:rsidR="001631E7" w:rsidTr="004A03BA">
      <w:trPr>
        <w:cantSplit/>
      </w:trPr>
      <w:tc>
        <w:tcPr>
          <w:tcW w:w="1062" w:type="pct"/>
        </w:tcPr>
        <w:p w:rsidR="001631E7" w:rsidRPr="008F5E3A" w:rsidRDefault="001631E7" w:rsidP="004A03BA">
          <w:pPr>
            <w:pStyle w:val="itu"/>
          </w:pPr>
          <w:r w:rsidRPr="008F5E3A">
            <w:t>CH-1211 Geneva 20</w:t>
          </w:r>
        </w:p>
      </w:tc>
      <w:tc>
        <w:tcPr>
          <w:tcW w:w="1583" w:type="pct"/>
        </w:tcPr>
        <w:p w:rsidR="001631E7" w:rsidRPr="008F5E3A" w:rsidRDefault="001631E7" w:rsidP="004A03BA">
          <w:pPr>
            <w:pStyle w:val="itu"/>
          </w:pPr>
          <w:r w:rsidRPr="008F5E3A">
            <w:t>Telefax</w:t>
          </w:r>
          <w:r w:rsidRPr="008F5E3A">
            <w:tab/>
            <w:t>Gr3:</w:t>
          </w:r>
          <w:r w:rsidRPr="008F5E3A">
            <w:tab/>
            <w:t>+41 22 733 72 56</w:t>
          </w:r>
        </w:p>
      </w:tc>
      <w:tc>
        <w:tcPr>
          <w:tcW w:w="1224" w:type="pct"/>
        </w:tcPr>
        <w:p w:rsidR="001631E7" w:rsidRPr="008F5E3A" w:rsidRDefault="001631E7" w:rsidP="004A03BA">
          <w:pPr>
            <w:pStyle w:val="itu"/>
          </w:pPr>
          <w:r w:rsidRPr="008F5E3A">
            <w:t>Telegram ITU GENEVE</w:t>
          </w:r>
        </w:p>
      </w:tc>
      <w:tc>
        <w:tcPr>
          <w:tcW w:w="1131" w:type="pct"/>
        </w:tcPr>
        <w:p w:rsidR="001631E7" w:rsidRPr="00724ED5" w:rsidRDefault="001631E7" w:rsidP="004A03BA">
          <w:pPr>
            <w:pStyle w:val="itu"/>
            <w:rPr>
              <w:lang w:val="en-US"/>
            </w:rPr>
          </w:pPr>
          <w:r w:rsidRPr="008F5E3A">
            <w:tab/>
          </w:r>
          <w:hyperlink r:id="rId1" w:history="1">
            <w:r w:rsidRPr="0034525D">
              <w:rPr>
                <w:rStyle w:val="Hyperlink"/>
              </w:rPr>
              <w:t>www.itu.int</w:t>
            </w:r>
          </w:hyperlink>
        </w:p>
      </w:tc>
    </w:tr>
    <w:tr w:rsidR="001631E7" w:rsidTr="004A03BA">
      <w:trPr>
        <w:cantSplit/>
      </w:trPr>
      <w:tc>
        <w:tcPr>
          <w:tcW w:w="1062" w:type="pct"/>
        </w:tcPr>
        <w:p w:rsidR="001631E7" w:rsidRDefault="001631E7" w:rsidP="004A03BA">
          <w:pPr>
            <w:pStyle w:val="itu"/>
          </w:pPr>
          <w:r>
            <w:t>SWITZERLAND</w:t>
          </w:r>
        </w:p>
      </w:tc>
      <w:tc>
        <w:tcPr>
          <w:tcW w:w="1583" w:type="pct"/>
        </w:tcPr>
        <w:p w:rsidR="001631E7" w:rsidRDefault="001631E7" w:rsidP="004A03BA">
          <w:pPr>
            <w:pStyle w:val="itu"/>
          </w:pPr>
          <w:r>
            <w:tab/>
            <w:t>Gr4:</w:t>
          </w:r>
          <w:r>
            <w:tab/>
            <w:t>+41 22 730 65 00</w:t>
          </w:r>
        </w:p>
      </w:tc>
      <w:tc>
        <w:tcPr>
          <w:tcW w:w="1224" w:type="pct"/>
        </w:tcPr>
        <w:p w:rsidR="001631E7" w:rsidRDefault="001631E7" w:rsidP="004A03BA">
          <w:pPr>
            <w:pStyle w:val="itu"/>
          </w:pPr>
        </w:p>
      </w:tc>
      <w:tc>
        <w:tcPr>
          <w:tcW w:w="1131" w:type="pct"/>
        </w:tcPr>
        <w:p w:rsidR="001631E7" w:rsidRDefault="001631E7" w:rsidP="004A03BA">
          <w:pPr>
            <w:pStyle w:val="itu"/>
          </w:pPr>
        </w:p>
      </w:tc>
    </w:tr>
  </w:tbl>
  <w:p w:rsidR="00CF1B69" w:rsidRPr="00AE03C4" w:rsidRDefault="00CF1B69" w:rsidP="001631E7">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F1" w:rsidRPr="00073963" w:rsidRDefault="000D3F63" w:rsidP="00235D6B">
    <w:pPr>
      <w:pStyle w:val="Footer"/>
      <w:rPr>
        <w:sz w:val="16"/>
        <w:lang w:val="fr-CH"/>
      </w:rPr>
    </w:pPr>
    <w:r w:rsidRPr="00801170">
      <w:rPr>
        <w:sz w:val="16"/>
        <w:lang w:val="fr-CH"/>
      </w:rPr>
      <w:t>ITU-T\BUREAU\CIRC</w:t>
    </w:r>
    <w:r>
      <w:rPr>
        <w:sz w:val="16"/>
        <w:lang w:val="fr-CH"/>
      </w:rPr>
      <w:t>\252.E.DOC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3E" w:rsidRPr="00E8503E" w:rsidRDefault="00E8503E" w:rsidP="00E8503E">
    <w:pPr>
      <w:tabs>
        <w:tab w:val="left" w:pos="794"/>
        <w:tab w:val="left" w:pos="1191"/>
        <w:tab w:val="left" w:pos="1588"/>
        <w:tab w:val="left" w:pos="1985"/>
        <w:tab w:val="center" w:pos="5387"/>
        <w:tab w:val="right" w:pos="9639"/>
      </w:tabs>
      <w:bidi w:val="0"/>
      <w:spacing w:before="0" w:line="240" w:lineRule="auto"/>
      <w:jc w:val="left"/>
      <w:rPr>
        <w:rFonts w:cs="Times New Roman"/>
        <w:sz w:val="16"/>
        <w:szCs w:val="24"/>
        <w:lang w:val="fr-CH"/>
      </w:rPr>
    </w:pPr>
    <w:r w:rsidRPr="00E8503E">
      <w:rPr>
        <w:rFonts w:cs="Times New Roman"/>
        <w:sz w:val="16"/>
        <w:szCs w:val="24"/>
        <w:lang w:val="fr-CH"/>
      </w:rPr>
      <w:t>ITU-T\BUREAU\CIRC\265</w:t>
    </w:r>
    <w:r>
      <w:rPr>
        <w:rFonts w:cs="Times New Roman"/>
        <w:sz w:val="16"/>
        <w:szCs w:val="24"/>
        <w:lang w:val="fr-CH"/>
      </w:rPr>
      <w:t>A</w:t>
    </w:r>
    <w:r w:rsidRPr="00E8503E">
      <w:rPr>
        <w:rFonts w:cs="Times New Roman"/>
        <w:sz w:val="16"/>
        <w:szCs w:val="24"/>
        <w:lang w:val="fr-CH"/>
      </w:rPr>
      <w:t>.DOC</w:t>
    </w:r>
  </w:p>
  <w:p w:rsidR="00896AA7" w:rsidRPr="006845A9" w:rsidRDefault="00896AA7" w:rsidP="00896AA7">
    <w:pPr>
      <w:pStyle w:val="Footer"/>
      <w:tabs>
        <w:tab w:val="clear" w:pos="4703"/>
        <w:tab w:val="clear" w:pos="9406"/>
        <w:tab w:val="left" w:pos="5670"/>
        <w:tab w:val="right" w:pos="9729"/>
      </w:tabs>
      <w:bidi w:val="0"/>
      <w:spacing w:before="0" w:line="280" w:lineRule="exact"/>
      <w:rPr>
        <w:vanish/>
        <w:sz w:val="18"/>
        <w:szCs w:val="18"/>
        <w:lang w:val="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867" w:rsidRDefault="00155867">
      <w:r>
        <w:separator/>
      </w:r>
    </w:p>
  </w:footnote>
  <w:footnote w:type="continuationSeparator" w:id="0">
    <w:p w:rsidR="00155867" w:rsidRDefault="00155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34081">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F1" w:rsidRDefault="000D3F63">
    <w:pPr>
      <w:pStyle w:val="Header"/>
    </w:pPr>
    <w:r>
      <w:t xml:space="preserve">- </w:t>
    </w:r>
    <w:r>
      <w:fldChar w:fldCharType="begin"/>
    </w:r>
    <w:r>
      <w:instrText>PAGE</w:instrText>
    </w:r>
    <w:r>
      <w:fldChar w:fldCharType="separate"/>
    </w:r>
    <w:r w:rsidR="00F42647">
      <w:rPr>
        <w:noProof/>
        <w:rtl/>
      </w:rPr>
      <w:t>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A7" w:rsidRDefault="00896AA7" w:rsidP="00896AA7">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34081">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1718"/>
    <w:rsid w:val="00073E7E"/>
    <w:rsid w:val="00076A45"/>
    <w:rsid w:val="00081D8A"/>
    <w:rsid w:val="000A3EFF"/>
    <w:rsid w:val="000A7621"/>
    <w:rsid w:val="000C2FB2"/>
    <w:rsid w:val="000D3455"/>
    <w:rsid w:val="000D3F63"/>
    <w:rsid w:val="000D3F69"/>
    <w:rsid w:val="000D6000"/>
    <w:rsid w:val="0010144A"/>
    <w:rsid w:val="001014A9"/>
    <w:rsid w:val="001132C8"/>
    <w:rsid w:val="00114819"/>
    <w:rsid w:val="00127FFE"/>
    <w:rsid w:val="00133BF7"/>
    <w:rsid w:val="001401E7"/>
    <w:rsid w:val="00150879"/>
    <w:rsid w:val="001523BE"/>
    <w:rsid w:val="00155867"/>
    <w:rsid w:val="0016239F"/>
    <w:rsid w:val="001631E7"/>
    <w:rsid w:val="00180899"/>
    <w:rsid w:val="001919D1"/>
    <w:rsid w:val="0019658A"/>
    <w:rsid w:val="001A5641"/>
    <w:rsid w:val="001A5E10"/>
    <w:rsid w:val="001B5908"/>
    <w:rsid w:val="001C0EF6"/>
    <w:rsid w:val="001C1B0C"/>
    <w:rsid w:val="001C7ECA"/>
    <w:rsid w:val="001D1DF8"/>
    <w:rsid w:val="001D39B3"/>
    <w:rsid w:val="001D3E3A"/>
    <w:rsid w:val="001D6103"/>
    <w:rsid w:val="001D6F02"/>
    <w:rsid w:val="001F1051"/>
    <w:rsid w:val="001F1D3B"/>
    <w:rsid w:val="001F6CD8"/>
    <w:rsid w:val="00201E08"/>
    <w:rsid w:val="0021011A"/>
    <w:rsid w:val="00213FD5"/>
    <w:rsid w:val="00214741"/>
    <w:rsid w:val="0022041F"/>
    <w:rsid w:val="00224522"/>
    <w:rsid w:val="002313E7"/>
    <w:rsid w:val="002330BE"/>
    <w:rsid w:val="00234081"/>
    <w:rsid w:val="00235C8A"/>
    <w:rsid w:val="00246AD0"/>
    <w:rsid w:val="00247D96"/>
    <w:rsid w:val="00247D9B"/>
    <w:rsid w:val="00250DC3"/>
    <w:rsid w:val="00252705"/>
    <w:rsid w:val="00255A37"/>
    <w:rsid w:val="002561C9"/>
    <w:rsid w:val="00256EA5"/>
    <w:rsid w:val="00264241"/>
    <w:rsid w:val="00270797"/>
    <w:rsid w:val="00274B47"/>
    <w:rsid w:val="00286E0F"/>
    <w:rsid w:val="0028734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06169"/>
    <w:rsid w:val="00310129"/>
    <w:rsid w:val="00311F91"/>
    <w:rsid w:val="0031346F"/>
    <w:rsid w:val="00313593"/>
    <w:rsid w:val="0031633A"/>
    <w:rsid w:val="003310D2"/>
    <w:rsid w:val="00335239"/>
    <w:rsid w:val="00343BDE"/>
    <w:rsid w:val="00350939"/>
    <w:rsid w:val="00363805"/>
    <w:rsid w:val="00363E8E"/>
    <w:rsid w:val="003644BC"/>
    <w:rsid w:val="003828C2"/>
    <w:rsid w:val="00393E7C"/>
    <w:rsid w:val="003B2C5F"/>
    <w:rsid w:val="003B459A"/>
    <w:rsid w:val="003B77C5"/>
    <w:rsid w:val="003C01D4"/>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13BCE"/>
    <w:rsid w:val="005221F9"/>
    <w:rsid w:val="00523B5B"/>
    <w:rsid w:val="00535CA0"/>
    <w:rsid w:val="00537B94"/>
    <w:rsid w:val="005429E9"/>
    <w:rsid w:val="00543D04"/>
    <w:rsid w:val="0054515F"/>
    <w:rsid w:val="00550F45"/>
    <w:rsid w:val="00553969"/>
    <w:rsid w:val="0057474C"/>
    <w:rsid w:val="00575402"/>
    <w:rsid w:val="00575B6C"/>
    <w:rsid w:val="0058156E"/>
    <w:rsid w:val="005821D3"/>
    <w:rsid w:val="005844E2"/>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39F"/>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40B46"/>
    <w:rsid w:val="007437F9"/>
    <w:rsid w:val="00744B5C"/>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592F"/>
    <w:rsid w:val="00876CC0"/>
    <w:rsid w:val="00883E59"/>
    <w:rsid w:val="00886A0C"/>
    <w:rsid w:val="00896AA7"/>
    <w:rsid w:val="008B61CA"/>
    <w:rsid w:val="008C3899"/>
    <w:rsid w:val="008C4385"/>
    <w:rsid w:val="008C61DB"/>
    <w:rsid w:val="008C7D86"/>
    <w:rsid w:val="008D27E0"/>
    <w:rsid w:val="008D2E33"/>
    <w:rsid w:val="008D3838"/>
    <w:rsid w:val="008F4C50"/>
    <w:rsid w:val="008F55E3"/>
    <w:rsid w:val="008F7B1F"/>
    <w:rsid w:val="009015FD"/>
    <w:rsid w:val="009041F1"/>
    <w:rsid w:val="009048A4"/>
    <w:rsid w:val="00904BF4"/>
    <w:rsid w:val="00907D2F"/>
    <w:rsid w:val="00911629"/>
    <w:rsid w:val="00914455"/>
    <w:rsid w:val="00920A44"/>
    <w:rsid w:val="009257DF"/>
    <w:rsid w:val="0093679C"/>
    <w:rsid w:val="00965582"/>
    <w:rsid w:val="00973D3C"/>
    <w:rsid w:val="0097559C"/>
    <w:rsid w:val="0097651D"/>
    <w:rsid w:val="0098075F"/>
    <w:rsid w:val="00980D9A"/>
    <w:rsid w:val="009824F8"/>
    <w:rsid w:val="009829FF"/>
    <w:rsid w:val="00986865"/>
    <w:rsid w:val="009938A9"/>
    <w:rsid w:val="009961EB"/>
    <w:rsid w:val="00996F6C"/>
    <w:rsid w:val="009A398E"/>
    <w:rsid w:val="009A61F8"/>
    <w:rsid w:val="009B0414"/>
    <w:rsid w:val="009B5009"/>
    <w:rsid w:val="009C0A2B"/>
    <w:rsid w:val="009C4ADE"/>
    <w:rsid w:val="009D2DD2"/>
    <w:rsid w:val="009E21AD"/>
    <w:rsid w:val="009F4B09"/>
    <w:rsid w:val="00A1272B"/>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A3913"/>
    <w:rsid w:val="00AB063E"/>
    <w:rsid w:val="00AB321E"/>
    <w:rsid w:val="00AB5A96"/>
    <w:rsid w:val="00AD28DD"/>
    <w:rsid w:val="00AF7988"/>
    <w:rsid w:val="00B06EFE"/>
    <w:rsid w:val="00B10464"/>
    <w:rsid w:val="00B116B2"/>
    <w:rsid w:val="00B204CB"/>
    <w:rsid w:val="00B22847"/>
    <w:rsid w:val="00B232BD"/>
    <w:rsid w:val="00B269E5"/>
    <w:rsid w:val="00B36DE3"/>
    <w:rsid w:val="00B40910"/>
    <w:rsid w:val="00B51184"/>
    <w:rsid w:val="00B57363"/>
    <w:rsid w:val="00B73D95"/>
    <w:rsid w:val="00B7558A"/>
    <w:rsid w:val="00B77254"/>
    <w:rsid w:val="00B805FD"/>
    <w:rsid w:val="00B80951"/>
    <w:rsid w:val="00B80A6A"/>
    <w:rsid w:val="00B85152"/>
    <w:rsid w:val="00BB2862"/>
    <w:rsid w:val="00BB2BCA"/>
    <w:rsid w:val="00BB3AA1"/>
    <w:rsid w:val="00BB639B"/>
    <w:rsid w:val="00BC0F0D"/>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3B7"/>
    <w:rsid w:val="00D177A6"/>
    <w:rsid w:val="00D20AE5"/>
    <w:rsid w:val="00D32283"/>
    <w:rsid w:val="00D34A31"/>
    <w:rsid w:val="00D36DE5"/>
    <w:rsid w:val="00D45212"/>
    <w:rsid w:val="00D57797"/>
    <w:rsid w:val="00D61F3A"/>
    <w:rsid w:val="00D668E2"/>
    <w:rsid w:val="00D72ED3"/>
    <w:rsid w:val="00D75109"/>
    <w:rsid w:val="00D807A7"/>
    <w:rsid w:val="00D82615"/>
    <w:rsid w:val="00D84854"/>
    <w:rsid w:val="00D86402"/>
    <w:rsid w:val="00D87242"/>
    <w:rsid w:val="00D90360"/>
    <w:rsid w:val="00DA07ED"/>
    <w:rsid w:val="00DA1155"/>
    <w:rsid w:val="00DB0549"/>
    <w:rsid w:val="00DC2200"/>
    <w:rsid w:val="00DC4DC2"/>
    <w:rsid w:val="00DC5505"/>
    <w:rsid w:val="00DD1194"/>
    <w:rsid w:val="00DD2F5B"/>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0E9A"/>
    <w:rsid w:val="00E61E5B"/>
    <w:rsid w:val="00E65A50"/>
    <w:rsid w:val="00E76382"/>
    <w:rsid w:val="00E7666B"/>
    <w:rsid w:val="00E80F95"/>
    <w:rsid w:val="00E8503E"/>
    <w:rsid w:val="00E90538"/>
    <w:rsid w:val="00E96B35"/>
    <w:rsid w:val="00EA352A"/>
    <w:rsid w:val="00EA5B6B"/>
    <w:rsid w:val="00EA722D"/>
    <w:rsid w:val="00EB28A5"/>
    <w:rsid w:val="00EB661D"/>
    <w:rsid w:val="00EC0515"/>
    <w:rsid w:val="00EC38BA"/>
    <w:rsid w:val="00EC4D60"/>
    <w:rsid w:val="00ED30C0"/>
    <w:rsid w:val="00ED3E50"/>
    <w:rsid w:val="00ED6CD3"/>
    <w:rsid w:val="00EF1712"/>
    <w:rsid w:val="00EF5BAB"/>
    <w:rsid w:val="00F03585"/>
    <w:rsid w:val="00F060DD"/>
    <w:rsid w:val="00F0698D"/>
    <w:rsid w:val="00F11BC4"/>
    <w:rsid w:val="00F14BA4"/>
    <w:rsid w:val="00F20164"/>
    <w:rsid w:val="00F23FC1"/>
    <w:rsid w:val="00F318DD"/>
    <w:rsid w:val="00F42647"/>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4B15"/>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EC4D60"/>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styleId="BodyText">
    <w:name w:val="Body Text"/>
    <w:basedOn w:val="Normal"/>
    <w:link w:val="BodyTextChar"/>
    <w:rsid w:val="00EC4D60"/>
    <w:pPr>
      <w:pBdr>
        <w:top w:val="single" w:sz="4" w:space="5" w:color="auto"/>
      </w:pBd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pPr>
    <w:rPr>
      <w:rFonts w:ascii="Futura Lt BT" w:hAnsi="Futura Lt BT" w:cs="Times New Roman"/>
      <w:sz w:val="18"/>
      <w:szCs w:val="20"/>
      <w:lang w:val="fr-FR"/>
    </w:rPr>
  </w:style>
  <w:style w:type="character" w:customStyle="1" w:styleId="BodyTextChar">
    <w:name w:val="Body Text Char"/>
    <w:basedOn w:val="DefaultParagraphFont"/>
    <w:link w:val="BodyText"/>
    <w:rsid w:val="00EC4D60"/>
    <w:rPr>
      <w:rFonts w:ascii="Futura Lt BT" w:hAnsi="Futura Lt BT"/>
      <w:sz w:val="18"/>
      <w:lang w:val="fr-FR" w:eastAsia="en-US"/>
    </w:rPr>
  </w:style>
  <w:style w:type="paragraph" w:customStyle="1" w:styleId="AnnexNotitle">
    <w:name w:val="Annex_No &amp; title"/>
    <w:basedOn w:val="Normal"/>
    <w:next w:val="Normal"/>
    <w:rsid w:val="00EC4D60"/>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character" w:styleId="FollowedHyperlink">
    <w:name w:val="FollowedHyperlink"/>
    <w:basedOn w:val="DefaultParagraphFont"/>
    <w:rsid w:val="002340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EC4D60"/>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styleId="BodyText">
    <w:name w:val="Body Text"/>
    <w:basedOn w:val="Normal"/>
    <w:link w:val="BodyTextChar"/>
    <w:rsid w:val="00EC4D60"/>
    <w:pPr>
      <w:pBdr>
        <w:top w:val="single" w:sz="4" w:space="5" w:color="auto"/>
      </w:pBd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pPr>
    <w:rPr>
      <w:rFonts w:ascii="Futura Lt BT" w:hAnsi="Futura Lt BT" w:cs="Times New Roman"/>
      <w:sz w:val="18"/>
      <w:szCs w:val="20"/>
      <w:lang w:val="fr-FR"/>
    </w:rPr>
  </w:style>
  <w:style w:type="character" w:customStyle="1" w:styleId="BodyTextChar">
    <w:name w:val="Body Text Char"/>
    <w:basedOn w:val="DefaultParagraphFont"/>
    <w:link w:val="BodyText"/>
    <w:rsid w:val="00EC4D60"/>
    <w:rPr>
      <w:rFonts w:ascii="Futura Lt BT" w:hAnsi="Futura Lt BT"/>
      <w:sz w:val="18"/>
      <w:lang w:val="fr-FR" w:eastAsia="en-US"/>
    </w:rPr>
  </w:style>
  <w:style w:type="paragraph" w:customStyle="1" w:styleId="AnnexNotitle">
    <w:name w:val="Annex_No &amp; title"/>
    <w:basedOn w:val="Normal"/>
    <w:next w:val="Normal"/>
    <w:rsid w:val="00EC4D60"/>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character" w:styleId="FollowedHyperlink">
    <w:name w:val="FollowedHyperlink"/>
    <w:basedOn w:val="DefaultParagraphFont"/>
    <w:rsid w:val="00234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reg@itu.int" TargetMode="External"/><Relationship Id="rId5" Type="http://schemas.openxmlformats.org/officeDocument/2006/relationships/settings" Target="settings.xml"/><Relationship Id="rId15" Type="http://schemas.openxmlformats.org/officeDocument/2006/relationships/hyperlink" Target="http://www.itu.int/ITU-T/studygroups" TargetMode="External"/><Relationship Id="rId10" Type="http://schemas.openxmlformats.org/officeDocument/2006/relationships/hyperlink" Target="mailto:tsbreg@itu.in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261D0-4CBC-4F94-A60D-1BA27E80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3832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4460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2012-03-09T11:55:00Z</cp:lastPrinted>
  <dcterms:created xsi:type="dcterms:W3CDTF">2012-03-21T08:23:00Z</dcterms:created>
  <dcterms:modified xsi:type="dcterms:W3CDTF">2012-03-21T08:23:00Z</dcterms:modified>
</cp:coreProperties>
</file>