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0" w:tblpY="616"/>
        <w:tblW w:w="9911" w:type="dxa"/>
        <w:tblLayout w:type="fixed"/>
        <w:tblCellMar>
          <w:left w:w="0" w:type="dxa"/>
          <w:right w:w="0" w:type="dxa"/>
        </w:tblCellMar>
        <w:tblLook w:val="0000" w:firstRow="0" w:lastRow="0" w:firstColumn="0" w:lastColumn="0" w:noHBand="0" w:noVBand="0"/>
      </w:tblPr>
      <w:tblGrid>
        <w:gridCol w:w="7086"/>
        <w:gridCol w:w="2825"/>
      </w:tblGrid>
      <w:tr w:rsidR="001629DC" w:rsidRPr="00BA093E" w:rsidTr="005F761F">
        <w:trPr>
          <w:cantSplit/>
        </w:trPr>
        <w:tc>
          <w:tcPr>
            <w:tcW w:w="7086" w:type="dxa"/>
            <w:vAlign w:val="center"/>
          </w:tcPr>
          <w:p w:rsidR="001629DC" w:rsidRPr="00BA093E" w:rsidRDefault="001629DC" w:rsidP="005F761F">
            <w:pPr>
              <w:tabs>
                <w:tab w:val="right" w:pos="8732"/>
              </w:tabs>
              <w:rPr>
                <w:rFonts w:ascii="Verdana" w:hAnsi="Verdana"/>
                <w:b/>
                <w:bCs/>
                <w:iCs/>
                <w:color w:val="FFFFFF"/>
                <w:sz w:val="26"/>
                <w:szCs w:val="26"/>
                <w:lang w:val="ru-RU"/>
              </w:rPr>
            </w:pPr>
            <w:r w:rsidRPr="00BA093E">
              <w:rPr>
                <w:rFonts w:ascii="Verdana" w:hAnsi="Verdana"/>
                <w:b/>
                <w:bCs/>
                <w:sz w:val="26"/>
                <w:szCs w:val="26"/>
                <w:lang w:val="ru-RU"/>
              </w:rPr>
              <w:t xml:space="preserve">Бюро стандартизации </w:t>
            </w:r>
            <w:r w:rsidRPr="00BA093E">
              <w:rPr>
                <w:rFonts w:ascii="Verdana" w:hAnsi="Verdana"/>
                <w:b/>
                <w:bCs/>
                <w:sz w:val="26"/>
                <w:szCs w:val="26"/>
                <w:lang w:val="ru-RU"/>
              </w:rPr>
              <w:br/>
              <w:t>электросвязи</w:t>
            </w:r>
          </w:p>
        </w:tc>
        <w:tc>
          <w:tcPr>
            <w:tcW w:w="2825" w:type="dxa"/>
            <w:vAlign w:val="center"/>
          </w:tcPr>
          <w:p w:rsidR="001629DC" w:rsidRPr="00BA093E" w:rsidRDefault="00D47122" w:rsidP="005F761F">
            <w:pPr>
              <w:spacing w:before="0"/>
              <w:jc w:val="right"/>
              <w:rPr>
                <w:rFonts w:ascii="Verdana" w:hAnsi="Verdana"/>
                <w:color w:val="FFFFFF"/>
                <w:sz w:val="26"/>
                <w:szCs w:val="26"/>
                <w:lang w:val="ru-RU"/>
              </w:rPr>
            </w:pPr>
            <w:r w:rsidRPr="00BA093E">
              <w:rPr>
                <w:noProof/>
                <w:szCs w:val="22"/>
                <w:lang w:eastAsia="zh-CN"/>
              </w:rPr>
              <w:drawing>
                <wp:inline distT="0" distB="0" distL="0" distR="0" wp14:anchorId="16919222" wp14:editId="699FDAEC">
                  <wp:extent cx="1310640" cy="701040"/>
                  <wp:effectExtent l="0" t="0" r="3810" b="3810"/>
                  <wp:docPr id="2" name="Picture 2"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inline>
              </w:drawing>
            </w:r>
          </w:p>
        </w:tc>
      </w:tr>
      <w:tr w:rsidR="001629DC" w:rsidRPr="00BA093E" w:rsidTr="005F761F">
        <w:trPr>
          <w:cantSplit/>
        </w:trPr>
        <w:tc>
          <w:tcPr>
            <w:tcW w:w="7086" w:type="dxa"/>
            <w:vAlign w:val="center"/>
          </w:tcPr>
          <w:p w:rsidR="001629DC" w:rsidRPr="00BA093E" w:rsidRDefault="001629DC" w:rsidP="005F761F">
            <w:pPr>
              <w:rPr>
                <w:lang w:val="ru-RU"/>
              </w:rPr>
            </w:pPr>
          </w:p>
        </w:tc>
        <w:tc>
          <w:tcPr>
            <w:tcW w:w="2825" w:type="dxa"/>
            <w:vAlign w:val="center"/>
          </w:tcPr>
          <w:p w:rsidR="001629DC" w:rsidRPr="00BA093E" w:rsidRDefault="001629DC" w:rsidP="005F761F">
            <w:pPr>
              <w:rPr>
                <w:lang w:val="ru-RU"/>
              </w:rPr>
            </w:pPr>
          </w:p>
        </w:tc>
      </w:tr>
    </w:tbl>
    <w:p w:rsidR="001629DC" w:rsidRPr="00BA093E" w:rsidRDefault="001629DC" w:rsidP="007C110E">
      <w:pPr>
        <w:tabs>
          <w:tab w:val="clear" w:pos="794"/>
          <w:tab w:val="clear" w:pos="1191"/>
          <w:tab w:val="clear" w:pos="1588"/>
          <w:tab w:val="clear" w:pos="1985"/>
          <w:tab w:val="left" w:pos="5387"/>
        </w:tabs>
        <w:spacing w:before="360" w:after="360"/>
        <w:rPr>
          <w:lang w:val="ru-RU"/>
        </w:rPr>
      </w:pPr>
      <w:r w:rsidRPr="00BA093E">
        <w:rPr>
          <w:lang w:val="ru-RU"/>
        </w:rPr>
        <w:tab/>
        <w:t>Женева,</w:t>
      </w:r>
      <w:r w:rsidR="00B54B88" w:rsidRPr="00BA093E">
        <w:rPr>
          <w:lang w:val="ru-RU"/>
        </w:rPr>
        <w:t xml:space="preserve"> </w:t>
      </w:r>
      <w:r w:rsidR="009905A9" w:rsidRPr="00BA093E">
        <w:rPr>
          <w:lang w:val="ru-RU"/>
        </w:rPr>
        <w:t>28</w:t>
      </w:r>
      <w:r w:rsidR="00750C16" w:rsidRPr="00BA093E">
        <w:rPr>
          <w:lang w:val="ru-RU"/>
        </w:rPr>
        <w:t xml:space="preserve"> февраля 2012 года</w:t>
      </w:r>
    </w:p>
    <w:tbl>
      <w:tblPr>
        <w:tblW w:w="9913" w:type="dxa"/>
        <w:tblInd w:w="-142" w:type="dxa"/>
        <w:tblLayout w:type="fixed"/>
        <w:tblCellMar>
          <w:left w:w="0" w:type="dxa"/>
          <w:right w:w="0" w:type="dxa"/>
        </w:tblCellMar>
        <w:tblLook w:val="0000" w:firstRow="0" w:lastRow="0" w:firstColumn="0" w:lastColumn="0" w:noHBand="0" w:noVBand="0"/>
      </w:tblPr>
      <w:tblGrid>
        <w:gridCol w:w="1418"/>
        <w:gridCol w:w="4124"/>
        <w:gridCol w:w="4371"/>
      </w:tblGrid>
      <w:tr w:rsidR="001629DC" w:rsidRPr="00165D75" w:rsidTr="005F761F">
        <w:trPr>
          <w:cantSplit/>
        </w:trPr>
        <w:tc>
          <w:tcPr>
            <w:tcW w:w="1418" w:type="dxa"/>
          </w:tcPr>
          <w:p w:rsidR="001629DC" w:rsidRPr="00BA093E" w:rsidRDefault="001629DC" w:rsidP="00867192">
            <w:pPr>
              <w:spacing w:before="0"/>
              <w:rPr>
                <w:lang w:val="ru-RU"/>
              </w:rPr>
            </w:pPr>
            <w:r w:rsidRPr="00BA093E">
              <w:rPr>
                <w:lang w:val="ru-RU"/>
              </w:rPr>
              <w:t>Осн.:</w:t>
            </w:r>
          </w:p>
        </w:tc>
        <w:tc>
          <w:tcPr>
            <w:tcW w:w="4124" w:type="dxa"/>
          </w:tcPr>
          <w:p w:rsidR="001629DC" w:rsidRPr="00BA093E" w:rsidRDefault="001629DC" w:rsidP="00017FE7">
            <w:pPr>
              <w:spacing w:before="0"/>
              <w:rPr>
                <w:lang w:val="ru-RU"/>
              </w:rPr>
            </w:pPr>
            <w:r w:rsidRPr="00BA093E">
              <w:rPr>
                <w:b/>
                <w:bCs/>
                <w:lang w:val="ru-RU"/>
              </w:rPr>
              <w:t xml:space="preserve">Циркуляр </w:t>
            </w:r>
            <w:r w:rsidR="009905A9" w:rsidRPr="00BA093E">
              <w:rPr>
                <w:b/>
                <w:bCs/>
                <w:lang w:val="ru-RU"/>
              </w:rPr>
              <w:t>26</w:t>
            </w:r>
            <w:r w:rsidR="00750C16" w:rsidRPr="00BA093E">
              <w:rPr>
                <w:b/>
                <w:bCs/>
                <w:lang w:val="ru-RU"/>
              </w:rPr>
              <w:t>3</w:t>
            </w:r>
            <w:r w:rsidRPr="00BA093E">
              <w:rPr>
                <w:b/>
                <w:bCs/>
                <w:lang w:val="ru-RU"/>
              </w:rPr>
              <w:t xml:space="preserve"> БСЭ</w:t>
            </w:r>
            <w:r w:rsidR="00867192" w:rsidRPr="00BA093E">
              <w:rPr>
                <w:b/>
                <w:bCs/>
                <w:lang w:val="ru-RU"/>
              </w:rPr>
              <w:br/>
            </w:r>
            <w:r w:rsidR="00532FB1" w:rsidRPr="00BA093E">
              <w:rPr>
                <w:lang w:val="ru-RU"/>
              </w:rPr>
              <w:t>ОГ-M2M</w:t>
            </w:r>
            <w:r w:rsidR="009905A9" w:rsidRPr="00BA093E">
              <w:rPr>
                <w:lang w:val="ru-RU"/>
              </w:rPr>
              <w:t>/MA</w:t>
            </w:r>
          </w:p>
        </w:tc>
        <w:tc>
          <w:tcPr>
            <w:tcW w:w="4371" w:type="dxa"/>
          </w:tcPr>
          <w:p w:rsidR="001629DC" w:rsidRPr="00BA093E" w:rsidRDefault="001629DC" w:rsidP="00B54B88">
            <w:pPr>
              <w:tabs>
                <w:tab w:val="clear" w:pos="794"/>
                <w:tab w:val="clear" w:pos="1191"/>
                <w:tab w:val="clear" w:pos="1588"/>
                <w:tab w:val="clear" w:pos="1985"/>
                <w:tab w:val="left" w:pos="284"/>
              </w:tabs>
              <w:spacing w:before="0"/>
              <w:ind w:left="284" w:hanging="284"/>
              <w:rPr>
                <w:lang w:val="ru-RU"/>
              </w:rPr>
            </w:pPr>
            <w:r w:rsidRPr="00BA093E">
              <w:rPr>
                <w:lang w:val="ru-RU"/>
              </w:rPr>
              <w:t>–</w:t>
            </w:r>
            <w:r w:rsidRPr="00BA093E">
              <w:rPr>
                <w:lang w:val="ru-RU"/>
              </w:rPr>
              <w:tab/>
              <w:t>Администрациям Государств – Членов Союза</w:t>
            </w:r>
          </w:p>
          <w:p w:rsidR="00750C16" w:rsidRPr="00BA093E" w:rsidRDefault="00750C16" w:rsidP="00750C16">
            <w:pPr>
              <w:tabs>
                <w:tab w:val="clear" w:pos="794"/>
                <w:tab w:val="clear" w:pos="1191"/>
                <w:tab w:val="clear" w:pos="1588"/>
                <w:tab w:val="clear" w:pos="1985"/>
                <w:tab w:val="left" w:pos="284"/>
              </w:tabs>
              <w:spacing w:before="0"/>
              <w:ind w:left="284" w:hanging="284"/>
              <w:rPr>
                <w:lang w:val="ru-RU"/>
              </w:rPr>
            </w:pPr>
            <w:r w:rsidRPr="00BA093E">
              <w:rPr>
                <w:lang w:val="ru-RU"/>
              </w:rPr>
              <w:t>–</w:t>
            </w:r>
            <w:r w:rsidRPr="00BA093E">
              <w:rPr>
                <w:lang w:val="ru-RU"/>
              </w:rPr>
              <w:tab/>
              <w:t>Членам Сектора МСЭ-Т</w:t>
            </w:r>
          </w:p>
          <w:p w:rsidR="00750C16" w:rsidRPr="00BA093E" w:rsidRDefault="00750C16" w:rsidP="00750C16">
            <w:pPr>
              <w:tabs>
                <w:tab w:val="clear" w:pos="794"/>
                <w:tab w:val="clear" w:pos="1191"/>
                <w:tab w:val="clear" w:pos="1588"/>
                <w:tab w:val="clear" w:pos="1985"/>
                <w:tab w:val="left" w:pos="284"/>
              </w:tabs>
              <w:spacing w:before="0"/>
              <w:ind w:left="284" w:hanging="284"/>
              <w:rPr>
                <w:lang w:val="ru-RU"/>
              </w:rPr>
            </w:pPr>
            <w:r w:rsidRPr="00BA093E">
              <w:rPr>
                <w:lang w:val="ru-RU"/>
              </w:rPr>
              <w:t>–</w:t>
            </w:r>
            <w:r w:rsidRPr="00BA093E">
              <w:rPr>
                <w:lang w:val="ru-RU"/>
              </w:rPr>
              <w:tab/>
              <w:t>Ассоциированным членам МСЭ-Т</w:t>
            </w:r>
          </w:p>
          <w:p w:rsidR="00750C16" w:rsidRPr="00BA093E" w:rsidRDefault="00750C16" w:rsidP="00750C16">
            <w:pPr>
              <w:tabs>
                <w:tab w:val="clear" w:pos="794"/>
                <w:tab w:val="clear" w:pos="1191"/>
                <w:tab w:val="clear" w:pos="1588"/>
                <w:tab w:val="clear" w:pos="1985"/>
                <w:tab w:val="left" w:pos="284"/>
              </w:tabs>
              <w:spacing w:before="0"/>
              <w:ind w:left="284" w:hanging="284"/>
              <w:rPr>
                <w:lang w:val="ru-RU"/>
              </w:rPr>
            </w:pPr>
            <w:r w:rsidRPr="00BA093E">
              <w:rPr>
                <w:lang w:val="ru-RU"/>
              </w:rPr>
              <w:t>–</w:t>
            </w:r>
            <w:r w:rsidRPr="00BA093E">
              <w:rPr>
                <w:lang w:val="ru-RU"/>
              </w:rPr>
              <w:tab/>
              <w:t>Академическим организациям − Членам МСЭ</w:t>
            </w:r>
            <w:r w:rsidRPr="00BA093E">
              <w:rPr>
                <w:lang w:val="ru-RU"/>
              </w:rPr>
              <w:noBreakHyphen/>
              <w:t>Т</w:t>
            </w:r>
          </w:p>
        </w:tc>
      </w:tr>
      <w:tr w:rsidR="001629DC" w:rsidRPr="00165D75" w:rsidTr="005F761F">
        <w:trPr>
          <w:cantSplit/>
        </w:trPr>
        <w:tc>
          <w:tcPr>
            <w:tcW w:w="1418" w:type="dxa"/>
          </w:tcPr>
          <w:p w:rsidR="001629DC" w:rsidRPr="00BA093E" w:rsidRDefault="001629DC" w:rsidP="00867192">
            <w:pPr>
              <w:spacing w:before="0"/>
              <w:rPr>
                <w:lang w:val="ru-RU"/>
              </w:rPr>
            </w:pPr>
            <w:r w:rsidRPr="00BA093E">
              <w:rPr>
                <w:lang w:val="ru-RU"/>
              </w:rPr>
              <w:t>Тел.:</w:t>
            </w:r>
            <w:r w:rsidR="00867192" w:rsidRPr="00BA093E">
              <w:rPr>
                <w:lang w:val="ru-RU"/>
              </w:rPr>
              <w:br/>
            </w:r>
            <w:r w:rsidRPr="00BA093E">
              <w:rPr>
                <w:lang w:val="ru-RU"/>
              </w:rPr>
              <w:t>Факс:</w:t>
            </w:r>
            <w:r w:rsidR="00867192" w:rsidRPr="00BA093E">
              <w:rPr>
                <w:lang w:val="ru-RU"/>
              </w:rPr>
              <w:br/>
            </w:r>
            <w:r w:rsidRPr="00BA093E">
              <w:rPr>
                <w:lang w:val="ru-RU"/>
              </w:rPr>
              <w:t>Эл. почта:</w:t>
            </w:r>
          </w:p>
        </w:tc>
        <w:tc>
          <w:tcPr>
            <w:tcW w:w="4124" w:type="dxa"/>
          </w:tcPr>
          <w:p w:rsidR="001629DC" w:rsidRPr="00BA093E" w:rsidRDefault="009905A9" w:rsidP="007752C4">
            <w:pPr>
              <w:spacing w:before="0"/>
              <w:rPr>
                <w:lang w:val="ru-RU"/>
              </w:rPr>
            </w:pPr>
            <w:r w:rsidRPr="00BA093E">
              <w:rPr>
                <w:lang w:val="ru-RU"/>
              </w:rPr>
              <w:t>+41 22 730 6828</w:t>
            </w:r>
            <w:r w:rsidRPr="00BA093E">
              <w:rPr>
                <w:lang w:val="ru-RU"/>
              </w:rPr>
              <w:br/>
              <w:t>+41 22 730 5853</w:t>
            </w:r>
            <w:r w:rsidR="00867192" w:rsidRPr="00BA093E">
              <w:rPr>
                <w:lang w:val="ru-RU"/>
              </w:rPr>
              <w:br/>
            </w:r>
            <w:hyperlink r:id="rId10" w:history="1">
              <w:r w:rsidRPr="00BA093E">
                <w:rPr>
                  <w:rStyle w:val="Hyperlink"/>
                  <w:lang w:val="ru-RU"/>
                </w:rPr>
                <w:t>tsbfgm2m@itu.int</w:t>
              </w:r>
            </w:hyperlink>
          </w:p>
        </w:tc>
        <w:tc>
          <w:tcPr>
            <w:tcW w:w="4371" w:type="dxa"/>
          </w:tcPr>
          <w:p w:rsidR="001629DC" w:rsidRPr="00BA093E" w:rsidRDefault="001629DC" w:rsidP="00B54B88">
            <w:pPr>
              <w:tabs>
                <w:tab w:val="clear" w:pos="794"/>
                <w:tab w:val="clear" w:pos="1191"/>
                <w:tab w:val="clear" w:pos="1588"/>
                <w:tab w:val="clear" w:pos="1985"/>
                <w:tab w:val="left" w:pos="284"/>
              </w:tabs>
              <w:spacing w:before="0"/>
              <w:ind w:left="284" w:hanging="284"/>
              <w:rPr>
                <w:lang w:val="ru-RU"/>
              </w:rPr>
            </w:pPr>
            <w:r w:rsidRPr="00BA093E">
              <w:rPr>
                <w:b/>
                <w:bCs/>
                <w:lang w:val="ru-RU"/>
              </w:rPr>
              <w:t>Копии</w:t>
            </w:r>
            <w:r w:rsidRPr="00BA093E">
              <w:rPr>
                <w:lang w:val="ru-RU"/>
              </w:rPr>
              <w:t>:</w:t>
            </w:r>
          </w:p>
          <w:p w:rsidR="001629DC" w:rsidRPr="00BA093E" w:rsidRDefault="001629DC" w:rsidP="00750C16">
            <w:pPr>
              <w:tabs>
                <w:tab w:val="clear" w:pos="794"/>
                <w:tab w:val="clear" w:pos="1191"/>
                <w:tab w:val="clear" w:pos="1588"/>
                <w:tab w:val="clear" w:pos="1985"/>
                <w:tab w:val="left" w:pos="284"/>
              </w:tabs>
              <w:spacing w:before="0"/>
              <w:ind w:left="284" w:hanging="284"/>
              <w:rPr>
                <w:lang w:val="ru-RU"/>
              </w:rPr>
            </w:pPr>
            <w:r w:rsidRPr="00BA093E">
              <w:rPr>
                <w:lang w:val="ru-RU"/>
              </w:rPr>
              <w:t>–</w:t>
            </w:r>
            <w:r w:rsidRPr="00BA093E">
              <w:rPr>
                <w:lang w:val="ru-RU"/>
              </w:rPr>
              <w:tab/>
              <w:t>Председател</w:t>
            </w:r>
            <w:r w:rsidR="00750C16" w:rsidRPr="00BA093E">
              <w:rPr>
                <w:lang w:val="ru-RU"/>
              </w:rPr>
              <w:t>ям</w:t>
            </w:r>
            <w:r w:rsidRPr="00BA093E">
              <w:rPr>
                <w:lang w:val="ru-RU"/>
              </w:rPr>
              <w:t xml:space="preserve"> и заместителям председател</w:t>
            </w:r>
            <w:r w:rsidR="00750C16" w:rsidRPr="00BA093E">
              <w:rPr>
                <w:lang w:val="ru-RU"/>
              </w:rPr>
              <w:t>ей</w:t>
            </w:r>
            <w:r w:rsidRPr="00BA093E">
              <w:rPr>
                <w:lang w:val="ru-RU"/>
              </w:rPr>
              <w:t xml:space="preserve"> </w:t>
            </w:r>
            <w:r w:rsidR="00750C16" w:rsidRPr="00BA093E">
              <w:rPr>
                <w:lang w:val="ru-RU"/>
              </w:rPr>
              <w:t>всех</w:t>
            </w:r>
            <w:r w:rsidRPr="00BA093E">
              <w:rPr>
                <w:lang w:val="ru-RU"/>
              </w:rPr>
              <w:t xml:space="preserve"> </w:t>
            </w:r>
            <w:r w:rsidR="00017FE7" w:rsidRPr="00BA093E">
              <w:rPr>
                <w:lang w:val="ru-RU"/>
              </w:rPr>
              <w:t xml:space="preserve">исследовательских </w:t>
            </w:r>
            <w:r w:rsidRPr="00BA093E">
              <w:rPr>
                <w:lang w:val="ru-RU"/>
              </w:rPr>
              <w:t>комисси</w:t>
            </w:r>
            <w:r w:rsidR="00750C16" w:rsidRPr="00BA093E">
              <w:rPr>
                <w:lang w:val="ru-RU"/>
              </w:rPr>
              <w:t>й МСЭ</w:t>
            </w:r>
            <w:r w:rsidR="00750C16" w:rsidRPr="00BA093E">
              <w:rPr>
                <w:lang w:val="ru-RU"/>
              </w:rPr>
              <w:noBreakHyphen/>
              <w:t>Т</w:t>
            </w:r>
          </w:p>
          <w:p w:rsidR="001629DC" w:rsidRPr="00BA093E" w:rsidRDefault="001629DC" w:rsidP="00B54B88">
            <w:pPr>
              <w:tabs>
                <w:tab w:val="clear" w:pos="794"/>
                <w:tab w:val="clear" w:pos="1191"/>
                <w:tab w:val="clear" w:pos="1588"/>
                <w:tab w:val="clear" w:pos="1985"/>
                <w:tab w:val="left" w:pos="284"/>
              </w:tabs>
              <w:spacing w:before="0"/>
              <w:ind w:left="284" w:hanging="284"/>
              <w:rPr>
                <w:lang w:val="ru-RU"/>
              </w:rPr>
            </w:pPr>
            <w:r w:rsidRPr="00BA093E">
              <w:rPr>
                <w:lang w:val="ru-RU"/>
              </w:rPr>
              <w:t>–</w:t>
            </w:r>
            <w:r w:rsidRPr="00BA093E">
              <w:rPr>
                <w:lang w:val="ru-RU"/>
              </w:rPr>
              <w:tab/>
              <w:t>Директору Бюро развития электросвязи</w:t>
            </w:r>
          </w:p>
          <w:p w:rsidR="001629DC" w:rsidRPr="00BA093E" w:rsidRDefault="001629DC" w:rsidP="00B54B88">
            <w:pPr>
              <w:tabs>
                <w:tab w:val="clear" w:pos="794"/>
                <w:tab w:val="clear" w:pos="1191"/>
                <w:tab w:val="clear" w:pos="1588"/>
                <w:tab w:val="clear" w:pos="1985"/>
                <w:tab w:val="left" w:pos="284"/>
              </w:tabs>
              <w:spacing w:before="0"/>
              <w:ind w:left="284" w:hanging="284"/>
              <w:rPr>
                <w:lang w:val="ru-RU"/>
              </w:rPr>
            </w:pPr>
            <w:r w:rsidRPr="00BA093E">
              <w:rPr>
                <w:lang w:val="ru-RU"/>
              </w:rPr>
              <w:t>–</w:t>
            </w:r>
            <w:r w:rsidRPr="00BA093E">
              <w:rPr>
                <w:lang w:val="ru-RU"/>
              </w:rPr>
              <w:tab/>
              <w:t>Директору Бюро радиосвязи</w:t>
            </w:r>
          </w:p>
        </w:tc>
      </w:tr>
    </w:tbl>
    <w:p w:rsidR="001629DC" w:rsidRPr="00BA093E" w:rsidRDefault="001629DC" w:rsidP="007C110E">
      <w:pPr>
        <w:spacing w:before="0"/>
        <w:rPr>
          <w:lang w:val="ru-RU"/>
        </w:rPr>
      </w:pPr>
    </w:p>
    <w:tbl>
      <w:tblPr>
        <w:tblW w:w="9913" w:type="dxa"/>
        <w:tblInd w:w="-35" w:type="dxa"/>
        <w:tblLayout w:type="fixed"/>
        <w:tblCellMar>
          <w:left w:w="107" w:type="dxa"/>
          <w:right w:w="107" w:type="dxa"/>
        </w:tblCellMar>
        <w:tblLook w:val="0000" w:firstRow="0" w:lastRow="0" w:firstColumn="0" w:lastColumn="0" w:noHBand="0" w:noVBand="0"/>
      </w:tblPr>
      <w:tblGrid>
        <w:gridCol w:w="1418"/>
        <w:gridCol w:w="8495"/>
      </w:tblGrid>
      <w:tr w:rsidR="001629DC" w:rsidRPr="00165D75" w:rsidTr="005F761F">
        <w:trPr>
          <w:cantSplit/>
        </w:trPr>
        <w:tc>
          <w:tcPr>
            <w:tcW w:w="1418" w:type="dxa"/>
          </w:tcPr>
          <w:p w:rsidR="001629DC" w:rsidRPr="00BA093E" w:rsidRDefault="001629DC" w:rsidP="00B54B88">
            <w:pPr>
              <w:spacing w:before="0"/>
              <w:rPr>
                <w:lang w:val="ru-RU"/>
              </w:rPr>
            </w:pPr>
            <w:r w:rsidRPr="00BA093E">
              <w:rPr>
                <w:lang w:val="ru-RU"/>
              </w:rPr>
              <w:t>Предмет:</w:t>
            </w:r>
          </w:p>
        </w:tc>
        <w:tc>
          <w:tcPr>
            <w:tcW w:w="8495" w:type="dxa"/>
          </w:tcPr>
          <w:p w:rsidR="001629DC" w:rsidRPr="00BA093E" w:rsidRDefault="00750C16" w:rsidP="007C110E">
            <w:pPr>
              <w:spacing w:before="0"/>
              <w:rPr>
                <w:lang w:val="ru-RU"/>
              </w:rPr>
            </w:pPr>
            <w:r w:rsidRPr="00BA093E">
              <w:rPr>
                <w:b/>
                <w:bCs/>
                <w:lang w:val="ru-RU"/>
              </w:rPr>
              <w:t xml:space="preserve">Создание новой Оперативной группы </w:t>
            </w:r>
            <w:r w:rsidR="009905A9" w:rsidRPr="00BA093E">
              <w:rPr>
                <w:b/>
                <w:bCs/>
                <w:lang w:val="ru-RU"/>
              </w:rPr>
              <w:t xml:space="preserve">по </w:t>
            </w:r>
            <w:r w:rsidR="004B29E6" w:rsidRPr="00BA093E">
              <w:rPr>
                <w:b/>
                <w:bCs/>
                <w:lang w:val="ru-RU"/>
              </w:rPr>
              <w:t xml:space="preserve">уровню </w:t>
            </w:r>
            <w:r w:rsidR="00B733D6" w:rsidRPr="00BA093E">
              <w:rPr>
                <w:b/>
                <w:bCs/>
                <w:lang w:val="ru-RU"/>
              </w:rPr>
              <w:t>обслуживания</w:t>
            </w:r>
            <w:r w:rsidR="004B29E6" w:rsidRPr="00BA093E">
              <w:rPr>
                <w:b/>
                <w:bCs/>
                <w:lang w:val="ru-RU"/>
              </w:rPr>
              <w:t xml:space="preserve"> </w:t>
            </w:r>
            <w:r w:rsidR="007C110E" w:rsidRPr="00BA093E">
              <w:rPr>
                <w:b/>
                <w:bCs/>
                <w:lang w:val="ru-RU"/>
              </w:rPr>
              <w:t>при</w:t>
            </w:r>
            <w:r w:rsidR="004B29E6" w:rsidRPr="00BA093E">
              <w:rPr>
                <w:b/>
                <w:bCs/>
                <w:lang w:val="ru-RU"/>
              </w:rPr>
              <w:t xml:space="preserve"> межмашинно</w:t>
            </w:r>
            <w:r w:rsidR="007C110E" w:rsidRPr="00BA093E">
              <w:rPr>
                <w:b/>
                <w:bCs/>
                <w:lang w:val="ru-RU"/>
              </w:rPr>
              <w:t>м</w:t>
            </w:r>
            <w:r w:rsidR="004B29E6" w:rsidRPr="00BA093E">
              <w:rPr>
                <w:b/>
                <w:bCs/>
                <w:lang w:val="ru-RU"/>
              </w:rPr>
              <w:t xml:space="preserve"> </w:t>
            </w:r>
            <w:r w:rsidR="007C110E" w:rsidRPr="00BA093E">
              <w:rPr>
                <w:b/>
                <w:bCs/>
                <w:lang w:val="ru-RU"/>
              </w:rPr>
              <w:t>взаимодействии</w:t>
            </w:r>
            <w:r w:rsidR="004B29E6" w:rsidRPr="00BA093E">
              <w:rPr>
                <w:b/>
                <w:bCs/>
                <w:lang w:val="ru-RU"/>
              </w:rPr>
              <w:t xml:space="preserve"> </w:t>
            </w:r>
            <w:r w:rsidR="009905A9" w:rsidRPr="00BA093E">
              <w:rPr>
                <w:b/>
                <w:bCs/>
                <w:lang w:val="ru-RU"/>
              </w:rPr>
              <w:t>(</w:t>
            </w:r>
            <w:r w:rsidR="004B29E6" w:rsidRPr="00BA093E">
              <w:rPr>
                <w:b/>
                <w:bCs/>
                <w:lang w:val="ru-RU"/>
              </w:rPr>
              <w:t>ОГ-</w:t>
            </w:r>
            <w:r w:rsidR="009905A9" w:rsidRPr="00BA093E">
              <w:rPr>
                <w:b/>
                <w:bCs/>
                <w:lang w:val="ru-RU"/>
              </w:rPr>
              <w:t>M2M)</w:t>
            </w:r>
            <w:r w:rsidRPr="00BA093E">
              <w:rPr>
                <w:b/>
                <w:bCs/>
                <w:lang w:val="ru-RU"/>
              </w:rPr>
              <w:t>;</w:t>
            </w:r>
            <w:r w:rsidRPr="00BA093E">
              <w:rPr>
                <w:b/>
                <w:bCs/>
                <w:lang w:val="ru-RU"/>
              </w:rPr>
              <w:br/>
              <w:t xml:space="preserve">Первое собрание </w:t>
            </w:r>
            <w:r w:rsidR="00532FB1" w:rsidRPr="00BA093E">
              <w:rPr>
                <w:b/>
                <w:lang w:val="ru-RU"/>
              </w:rPr>
              <w:t>ОГ-M2M</w:t>
            </w:r>
            <w:r w:rsidR="009905A9" w:rsidRPr="00BA093E">
              <w:rPr>
                <w:b/>
                <w:lang w:val="ru-RU"/>
              </w:rPr>
              <w:t>,</w:t>
            </w:r>
            <w:r w:rsidR="009905A9" w:rsidRPr="00BA093E">
              <w:rPr>
                <w:b/>
                <w:bCs/>
                <w:lang w:val="ru-RU"/>
              </w:rPr>
              <w:t xml:space="preserve"> </w:t>
            </w:r>
            <w:r w:rsidR="001629DC" w:rsidRPr="00BA093E">
              <w:rPr>
                <w:b/>
                <w:bCs/>
                <w:lang w:val="ru-RU"/>
              </w:rPr>
              <w:t xml:space="preserve">Женева, </w:t>
            </w:r>
            <w:r w:rsidRPr="00BA093E">
              <w:rPr>
                <w:b/>
                <w:bCs/>
                <w:lang w:val="ru-RU"/>
              </w:rPr>
              <w:t xml:space="preserve">Швейцария, </w:t>
            </w:r>
            <w:r w:rsidR="00532FB1" w:rsidRPr="00BA093E">
              <w:rPr>
                <w:b/>
                <w:bCs/>
                <w:lang w:val="ru-RU"/>
              </w:rPr>
              <w:t>17−18 апреля</w:t>
            </w:r>
            <w:r w:rsidRPr="00BA093E">
              <w:rPr>
                <w:b/>
                <w:bCs/>
                <w:lang w:val="ru-RU"/>
              </w:rPr>
              <w:t xml:space="preserve"> 2012</w:t>
            </w:r>
            <w:r w:rsidR="007752C4" w:rsidRPr="00BA093E">
              <w:rPr>
                <w:b/>
                <w:bCs/>
                <w:lang w:val="ru-RU"/>
              </w:rPr>
              <w:t> года</w:t>
            </w:r>
          </w:p>
        </w:tc>
      </w:tr>
    </w:tbl>
    <w:p w:rsidR="001629DC" w:rsidRPr="00BA093E" w:rsidRDefault="001629DC" w:rsidP="007C110E">
      <w:pPr>
        <w:pStyle w:val="Normalaftertitle"/>
        <w:spacing w:before="480"/>
        <w:rPr>
          <w:szCs w:val="22"/>
          <w:lang w:val="ru-RU"/>
        </w:rPr>
      </w:pPr>
      <w:r w:rsidRPr="00BA093E">
        <w:rPr>
          <w:szCs w:val="22"/>
          <w:lang w:val="ru-RU"/>
        </w:rPr>
        <w:t>Уважаемая госпожа,</w:t>
      </w:r>
      <w:r w:rsidRPr="00BA093E">
        <w:rPr>
          <w:szCs w:val="22"/>
          <w:lang w:val="ru-RU"/>
        </w:rPr>
        <w:br/>
        <w:t>уважаемый господин,</w:t>
      </w:r>
    </w:p>
    <w:p w:rsidR="00532FB1" w:rsidRPr="00BA093E" w:rsidRDefault="00532FB1" w:rsidP="007C110E">
      <w:pPr>
        <w:rPr>
          <w:szCs w:val="22"/>
          <w:lang w:val="ru-RU"/>
        </w:rPr>
      </w:pPr>
      <w:r w:rsidRPr="00BA093E">
        <w:rPr>
          <w:szCs w:val="22"/>
          <w:lang w:val="ru-RU"/>
        </w:rPr>
        <w:t>1</w:t>
      </w:r>
      <w:r w:rsidRPr="00BA093E">
        <w:rPr>
          <w:szCs w:val="22"/>
          <w:lang w:val="ru-RU"/>
        </w:rPr>
        <w:tab/>
      </w:r>
      <w:r w:rsidR="00B733D6" w:rsidRPr="00BA093E">
        <w:rPr>
          <w:szCs w:val="22"/>
          <w:lang w:val="ru-RU"/>
        </w:rPr>
        <w:t xml:space="preserve">Имею честь объявить о создании Оперативной группы МСЭ-Т по уровню обслуживания </w:t>
      </w:r>
      <w:r w:rsidR="007C110E" w:rsidRPr="00BA093E">
        <w:rPr>
          <w:szCs w:val="22"/>
          <w:lang w:val="ru-RU"/>
        </w:rPr>
        <w:t>при</w:t>
      </w:r>
      <w:r w:rsidR="00B733D6" w:rsidRPr="00BA093E">
        <w:rPr>
          <w:szCs w:val="22"/>
          <w:lang w:val="ru-RU"/>
        </w:rPr>
        <w:t xml:space="preserve"> межмашинно</w:t>
      </w:r>
      <w:r w:rsidR="007C110E" w:rsidRPr="00BA093E">
        <w:rPr>
          <w:szCs w:val="22"/>
          <w:lang w:val="ru-RU"/>
        </w:rPr>
        <w:t>м</w:t>
      </w:r>
      <w:r w:rsidR="00B733D6" w:rsidRPr="00BA093E">
        <w:rPr>
          <w:szCs w:val="22"/>
          <w:lang w:val="ru-RU"/>
        </w:rPr>
        <w:t xml:space="preserve"> </w:t>
      </w:r>
      <w:r w:rsidR="007C110E" w:rsidRPr="00BA093E">
        <w:rPr>
          <w:szCs w:val="22"/>
          <w:lang w:val="ru-RU"/>
        </w:rPr>
        <w:t>взаимодействии</w:t>
      </w:r>
      <w:r w:rsidR="00B733D6" w:rsidRPr="00BA093E">
        <w:rPr>
          <w:szCs w:val="22"/>
          <w:lang w:val="ru-RU"/>
        </w:rPr>
        <w:t xml:space="preserve"> (ОГ-M2M) в соответствии с решением собрания КГСЭ МСЭ-Т, состоявшегося в Женеве 10−13 января 2012 года. </w:t>
      </w:r>
    </w:p>
    <w:p w:rsidR="00532FB1" w:rsidRPr="00BA093E" w:rsidRDefault="00532FB1" w:rsidP="007C110E">
      <w:pPr>
        <w:shd w:val="clear" w:color="auto" w:fill="FFFFFF"/>
        <w:rPr>
          <w:color w:val="000000"/>
          <w:szCs w:val="22"/>
          <w:lang w:val="ru-RU"/>
        </w:rPr>
      </w:pPr>
      <w:r w:rsidRPr="00BA093E">
        <w:rPr>
          <w:szCs w:val="22"/>
          <w:lang w:val="ru-RU"/>
        </w:rPr>
        <w:t>2</w:t>
      </w:r>
      <w:r w:rsidRPr="00BA093E">
        <w:rPr>
          <w:szCs w:val="22"/>
          <w:lang w:val="ru-RU"/>
        </w:rPr>
        <w:tab/>
      </w:r>
      <w:r w:rsidR="003F324C" w:rsidRPr="00BA093E">
        <w:rPr>
          <w:szCs w:val="22"/>
          <w:lang w:val="ru-RU"/>
        </w:rPr>
        <w:t>Эта О</w:t>
      </w:r>
      <w:r w:rsidR="00B733D6" w:rsidRPr="00BA093E">
        <w:rPr>
          <w:szCs w:val="22"/>
          <w:lang w:val="ru-RU"/>
        </w:rPr>
        <w:t>перативная группа будет исследовать работу, проводимую в настоящее время различными организациями по разработке стандартов в области спецификаций уровня обслуживания</w:t>
      </w:r>
      <w:r w:rsidRPr="00BA093E">
        <w:rPr>
          <w:color w:val="000000"/>
          <w:szCs w:val="22"/>
          <w:lang w:val="ru-RU"/>
        </w:rPr>
        <w:t xml:space="preserve"> M2M</w:t>
      </w:r>
      <w:r w:rsidR="003F324C" w:rsidRPr="00BA093E">
        <w:rPr>
          <w:color w:val="000000"/>
          <w:szCs w:val="22"/>
          <w:lang w:val="ru-RU"/>
        </w:rPr>
        <w:t>,</w:t>
      </w:r>
      <w:r w:rsidRPr="00BA093E">
        <w:rPr>
          <w:color w:val="000000"/>
          <w:szCs w:val="22"/>
          <w:lang w:val="ru-RU"/>
        </w:rPr>
        <w:t xml:space="preserve"> </w:t>
      </w:r>
      <w:r w:rsidR="00B733D6" w:rsidRPr="00BA093E">
        <w:rPr>
          <w:color w:val="000000"/>
          <w:szCs w:val="22"/>
          <w:lang w:val="ru-RU"/>
        </w:rPr>
        <w:t xml:space="preserve">в целях определения ключевых требований к общему уровню обслуживания </w:t>
      </w:r>
      <w:r w:rsidRPr="00BA093E">
        <w:rPr>
          <w:color w:val="000000"/>
          <w:szCs w:val="22"/>
          <w:lang w:val="ru-RU"/>
        </w:rPr>
        <w:t>M2M</w:t>
      </w:r>
      <w:r w:rsidR="00B733D6" w:rsidRPr="00BA093E">
        <w:rPr>
          <w:color w:val="000000"/>
          <w:szCs w:val="22"/>
          <w:lang w:val="ru-RU"/>
        </w:rPr>
        <w:t>. ОГ-M2M</w:t>
      </w:r>
      <w:r w:rsidRPr="00BA093E">
        <w:rPr>
          <w:color w:val="000000"/>
          <w:szCs w:val="22"/>
          <w:lang w:val="ru-RU"/>
        </w:rPr>
        <w:t xml:space="preserve"> </w:t>
      </w:r>
      <w:r w:rsidR="00B733D6" w:rsidRPr="00BA093E">
        <w:rPr>
          <w:color w:val="000000"/>
          <w:szCs w:val="22"/>
          <w:lang w:val="ru-RU"/>
        </w:rPr>
        <w:t xml:space="preserve">займется определением минимального набора общих требований вертикальных рынков, сосредоточиваясь сначала на рынке услуг здравоохранения, интерфейсах прикладного программирования и протоколах, поддерживающих приложения и услуги электронного здравоохранения, </w:t>
      </w:r>
      <w:r w:rsidR="003F324C" w:rsidRPr="00BA093E">
        <w:rPr>
          <w:color w:val="000000"/>
          <w:szCs w:val="22"/>
          <w:lang w:val="ru-RU"/>
        </w:rPr>
        <w:t xml:space="preserve">а также </w:t>
      </w:r>
      <w:r w:rsidR="00B733D6" w:rsidRPr="00BA093E">
        <w:rPr>
          <w:color w:val="000000"/>
          <w:szCs w:val="22"/>
          <w:lang w:val="ru-RU"/>
        </w:rPr>
        <w:t>проектах техни</w:t>
      </w:r>
      <w:r w:rsidR="007C110E" w:rsidRPr="00BA093E">
        <w:rPr>
          <w:color w:val="000000"/>
          <w:szCs w:val="22"/>
          <w:lang w:val="ru-RU"/>
        </w:rPr>
        <w:t>ческих отчетов в этих областях.</w:t>
      </w:r>
    </w:p>
    <w:p w:rsidR="00532FB1" w:rsidRPr="00BA093E" w:rsidRDefault="00532FB1" w:rsidP="007C110E">
      <w:pPr>
        <w:rPr>
          <w:szCs w:val="22"/>
          <w:lang w:val="ru-RU"/>
        </w:rPr>
      </w:pPr>
      <w:r w:rsidRPr="00BA093E">
        <w:rPr>
          <w:szCs w:val="22"/>
          <w:lang w:val="ru-RU"/>
        </w:rPr>
        <w:t>3</w:t>
      </w:r>
      <w:r w:rsidRPr="00BA093E">
        <w:rPr>
          <w:szCs w:val="22"/>
          <w:lang w:val="ru-RU"/>
        </w:rPr>
        <w:tab/>
      </w:r>
      <w:r w:rsidR="00B733D6" w:rsidRPr="00BA093E">
        <w:rPr>
          <w:szCs w:val="22"/>
          <w:lang w:val="ru-RU"/>
        </w:rPr>
        <w:t xml:space="preserve">Оперативная группа будет работать в соответствии с процедурами, установленными в Рекомендации МСЭ-Т </w:t>
      </w:r>
      <w:r w:rsidRPr="00BA093E">
        <w:rPr>
          <w:szCs w:val="22"/>
          <w:lang w:val="ru-RU"/>
        </w:rPr>
        <w:t xml:space="preserve">A.7. </w:t>
      </w:r>
      <w:r w:rsidR="00B733D6" w:rsidRPr="00BA093E">
        <w:rPr>
          <w:szCs w:val="22"/>
          <w:lang w:val="ru-RU"/>
        </w:rPr>
        <w:t>Основной комиссией является 11-я</w:t>
      </w:r>
      <w:r w:rsidR="002C6353" w:rsidRPr="00BA093E">
        <w:rPr>
          <w:szCs w:val="22"/>
          <w:lang w:val="ru-RU"/>
        </w:rPr>
        <w:t xml:space="preserve"> Исследовательская комиссия МСЭ</w:t>
      </w:r>
      <w:r w:rsidR="002C6353" w:rsidRPr="00BA093E">
        <w:rPr>
          <w:szCs w:val="22"/>
          <w:lang w:val="ru-RU"/>
        </w:rPr>
        <w:noBreakHyphen/>
      </w:r>
      <w:r w:rsidR="00B733D6" w:rsidRPr="00BA093E">
        <w:rPr>
          <w:szCs w:val="22"/>
          <w:lang w:val="ru-RU"/>
        </w:rPr>
        <w:t>Т. Согласованный круг ведения ОГ-M2M</w:t>
      </w:r>
      <w:r w:rsidRPr="00BA093E">
        <w:rPr>
          <w:szCs w:val="22"/>
          <w:lang w:val="ru-RU"/>
        </w:rPr>
        <w:t xml:space="preserve"> </w:t>
      </w:r>
      <w:r w:rsidR="00B733D6" w:rsidRPr="00BA093E">
        <w:rPr>
          <w:szCs w:val="22"/>
          <w:lang w:val="ru-RU"/>
        </w:rPr>
        <w:t xml:space="preserve">представлен в </w:t>
      </w:r>
      <w:r w:rsidR="00B733D6" w:rsidRPr="00BA093E">
        <w:rPr>
          <w:b/>
          <w:bCs/>
          <w:szCs w:val="22"/>
          <w:lang w:val="ru-RU"/>
        </w:rPr>
        <w:t>Приложении</w:t>
      </w:r>
      <w:r w:rsidRPr="00BA093E">
        <w:rPr>
          <w:b/>
          <w:bCs/>
          <w:szCs w:val="22"/>
          <w:lang w:val="ru-RU"/>
        </w:rPr>
        <w:t> 1</w:t>
      </w:r>
      <w:r w:rsidRPr="00BA093E">
        <w:rPr>
          <w:szCs w:val="22"/>
          <w:lang w:val="ru-RU"/>
        </w:rPr>
        <w:t xml:space="preserve">. </w:t>
      </w:r>
      <w:r w:rsidR="00B733D6" w:rsidRPr="00BA093E">
        <w:rPr>
          <w:szCs w:val="22"/>
          <w:lang w:val="ru-RU"/>
        </w:rPr>
        <w:t xml:space="preserve">Председателем этой Оперативной группы будет </w:t>
      </w:r>
      <w:r w:rsidR="0015712C" w:rsidRPr="00BA093E">
        <w:rPr>
          <w:szCs w:val="22"/>
          <w:lang w:val="ru-RU"/>
        </w:rPr>
        <w:t xml:space="preserve">г-н Хэюань Сюй, Китайская академия исследований в области электросвязи </w:t>
      </w:r>
      <w:r w:rsidRPr="00BA093E">
        <w:rPr>
          <w:szCs w:val="22"/>
          <w:lang w:val="ru-RU"/>
        </w:rPr>
        <w:t>(CATR)</w:t>
      </w:r>
      <w:r w:rsidR="0015712C" w:rsidRPr="00BA093E">
        <w:rPr>
          <w:szCs w:val="22"/>
          <w:lang w:val="ru-RU"/>
        </w:rPr>
        <w:t>. Я твердо убежден, что благодаря учрежде</w:t>
      </w:r>
      <w:r w:rsidR="002C6353" w:rsidRPr="00BA093E">
        <w:rPr>
          <w:szCs w:val="22"/>
          <w:lang w:val="ru-RU"/>
        </w:rPr>
        <w:t>нию этой Оперативной группы МСЭ</w:t>
      </w:r>
      <w:r w:rsidR="002C6353" w:rsidRPr="00BA093E">
        <w:rPr>
          <w:szCs w:val="22"/>
          <w:lang w:val="ru-RU"/>
        </w:rPr>
        <w:noBreakHyphen/>
      </w:r>
      <w:r w:rsidR="0015712C" w:rsidRPr="00BA093E">
        <w:rPr>
          <w:szCs w:val="22"/>
          <w:lang w:val="ru-RU"/>
        </w:rPr>
        <w:t>Т оправдает ожидания своих членов и продемонстрирует способность решать задачи, требую</w:t>
      </w:r>
      <w:r w:rsidR="007C110E" w:rsidRPr="00BA093E">
        <w:rPr>
          <w:szCs w:val="22"/>
          <w:lang w:val="ru-RU"/>
        </w:rPr>
        <w:t>щие незамедлительного внимания.</w:t>
      </w:r>
    </w:p>
    <w:p w:rsidR="00532FB1" w:rsidRPr="00BA093E" w:rsidRDefault="00532FB1" w:rsidP="007C110E">
      <w:pPr>
        <w:rPr>
          <w:szCs w:val="22"/>
          <w:lang w:val="ru-RU"/>
        </w:rPr>
      </w:pPr>
      <w:r w:rsidRPr="00BA093E">
        <w:rPr>
          <w:szCs w:val="22"/>
          <w:lang w:val="ru-RU"/>
        </w:rPr>
        <w:t>4</w:t>
      </w:r>
      <w:r w:rsidRPr="00BA093E">
        <w:rPr>
          <w:szCs w:val="22"/>
          <w:lang w:val="ru-RU"/>
        </w:rPr>
        <w:tab/>
      </w:r>
      <w:r w:rsidR="00604A64" w:rsidRPr="00BA093E">
        <w:rPr>
          <w:szCs w:val="22"/>
          <w:lang w:val="ru-RU"/>
        </w:rPr>
        <w:t>В ОГ-M2M могут участвовать Государства – Члены МСЭ, Члены Сектора, Ассоциированные члены и академические организации, а также любое лицо из страны, являющейся Членом МСЭ, которое пожелает внести свой вклад в ее работу; к таким лицам относятся также члены или представители заинтересованных организаций, разрабатывающи</w:t>
      </w:r>
      <w:r w:rsidR="007C110E" w:rsidRPr="00BA093E">
        <w:rPr>
          <w:szCs w:val="22"/>
          <w:lang w:val="ru-RU"/>
        </w:rPr>
        <w:t>х стандарты.</w:t>
      </w:r>
    </w:p>
    <w:p w:rsidR="00532FB1" w:rsidRPr="00BA093E" w:rsidRDefault="00532FB1" w:rsidP="007C110E">
      <w:pPr>
        <w:tabs>
          <w:tab w:val="clear" w:pos="794"/>
          <w:tab w:val="clear" w:pos="1191"/>
          <w:tab w:val="clear" w:pos="1588"/>
          <w:tab w:val="clear" w:pos="1985"/>
        </w:tabs>
        <w:rPr>
          <w:szCs w:val="22"/>
          <w:lang w:val="ru-RU"/>
        </w:rPr>
      </w:pPr>
      <w:r w:rsidRPr="00BA093E">
        <w:rPr>
          <w:szCs w:val="22"/>
          <w:lang w:val="ru-RU"/>
        </w:rPr>
        <w:t>5</w:t>
      </w:r>
      <w:r w:rsidRPr="00BA093E">
        <w:rPr>
          <w:szCs w:val="22"/>
          <w:lang w:val="ru-RU"/>
        </w:rPr>
        <w:tab/>
      </w:r>
      <w:r w:rsidR="00604A64" w:rsidRPr="00BA093E">
        <w:rPr>
          <w:szCs w:val="22"/>
          <w:lang w:val="ru-RU"/>
        </w:rPr>
        <w:t xml:space="preserve">Первое собрание ОГ-M2M намечено провести в штаб-квартире МСЭ в Женеве, Швейцария, </w:t>
      </w:r>
      <w:r w:rsidR="00604A64" w:rsidRPr="00BA093E">
        <w:rPr>
          <w:b/>
          <w:bCs/>
          <w:szCs w:val="22"/>
          <w:u w:val="single"/>
          <w:lang w:val="ru-RU"/>
        </w:rPr>
        <w:t>17 и 18 апреля 2012 года включительно</w:t>
      </w:r>
      <w:r w:rsidR="00604A64" w:rsidRPr="00BA093E">
        <w:rPr>
          <w:szCs w:val="22"/>
          <w:lang w:val="ru-RU"/>
        </w:rPr>
        <w:t>.</w:t>
      </w:r>
    </w:p>
    <w:p w:rsidR="007C110E" w:rsidRPr="00BA093E" w:rsidRDefault="007C110E">
      <w:pPr>
        <w:tabs>
          <w:tab w:val="clear" w:pos="794"/>
          <w:tab w:val="clear" w:pos="1191"/>
          <w:tab w:val="clear" w:pos="1588"/>
          <w:tab w:val="clear" w:pos="1985"/>
        </w:tabs>
        <w:spacing w:before="0"/>
        <w:rPr>
          <w:szCs w:val="22"/>
          <w:lang w:val="ru-RU"/>
        </w:rPr>
      </w:pPr>
      <w:r w:rsidRPr="00BA093E">
        <w:rPr>
          <w:szCs w:val="22"/>
          <w:lang w:val="ru-RU"/>
        </w:rPr>
        <w:br w:type="page"/>
      </w:r>
    </w:p>
    <w:p w:rsidR="00532FB1" w:rsidRPr="00BA093E" w:rsidRDefault="00532FB1" w:rsidP="007C110E">
      <w:pPr>
        <w:rPr>
          <w:szCs w:val="22"/>
          <w:lang w:val="ru-RU"/>
        </w:rPr>
      </w:pPr>
      <w:r w:rsidRPr="00BA093E">
        <w:rPr>
          <w:szCs w:val="22"/>
          <w:lang w:val="ru-RU"/>
        </w:rPr>
        <w:lastRenderedPageBreak/>
        <w:t>6</w:t>
      </w:r>
      <w:r w:rsidRPr="00BA093E">
        <w:rPr>
          <w:szCs w:val="22"/>
          <w:lang w:val="ru-RU"/>
        </w:rPr>
        <w:tab/>
      </w:r>
      <w:r w:rsidR="00683845" w:rsidRPr="00BA093E">
        <w:rPr>
          <w:szCs w:val="22"/>
          <w:lang w:val="ru-RU"/>
        </w:rPr>
        <w:t>Для собрания будет обеспечиваться дистанционное участие. Более подробная информация о дистанционном участии будет представлена на веб-странице Оперативной группы</w:t>
      </w:r>
      <w:r w:rsidRPr="00BA093E">
        <w:rPr>
          <w:szCs w:val="22"/>
          <w:lang w:val="ru-RU"/>
        </w:rPr>
        <w:t xml:space="preserve">: </w:t>
      </w:r>
      <w:hyperlink r:id="rId11" w:history="1">
        <w:r w:rsidRPr="00BA093E">
          <w:rPr>
            <w:rStyle w:val="Hyperlink"/>
            <w:szCs w:val="22"/>
            <w:lang w:val="ru-RU"/>
          </w:rPr>
          <w:t>http://itu.int/en/ITU-T/focusgroups/m2m/</w:t>
        </w:r>
      </w:hyperlink>
      <w:r w:rsidR="007C110E" w:rsidRPr="00BA093E">
        <w:rPr>
          <w:szCs w:val="22"/>
          <w:lang w:val="ru-RU"/>
        </w:rPr>
        <w:t>.</w:t>
      </w:r>
    </w:p>
    <w:p w:rsidR="00532FB1" w:rsidRPr="00BA093E" w:rsidRDefault="00532FB1" w:rsidP="007C110E">
      <w:pPr>
        <w:rPr>
          <w:szCs w:val="22"/>
          <w:lang w:val="ru-RU"/>
        </w:rPr>
      </w:pPr>
      <w:r w:rsidRPr="00BA093E">
        <w:rPr>
          <w:szCs w:val="22"/>
          <w:lang w:val="ru-RU"/>
        </w:rPr>
        <w:t>7</w:t>
      </w:r>
      <w:r w:rsidRPr="00BA093E">
        <w:rPr>
          <w:szCs w:val="22"/>
          <w:lang w:val="ru-RU"/>
        </w:rPr>
        <w:tab/>
      </w:r>
      <w:r w:rsidR="00683845" w:rsidRPr="00BA093E">
        <w:rPr>
          <w:szCs w:val="22"/>
          <w:lang w:val="ru-RU"/>
        </w:rPr>
        <w:t>Темы для обсуждения на собрании будут размещены на веб-странице Оперативной группы</w:t>
      </w:r>
      <w:r w:rsidRPr="00BA093E">
        <w:rPr>
          <w:szCs w:val="22"/>
          <w:lang w:val="ru-RU"/>
        </w:rPr>
        <w:t>:</w:t>
      </w:r>
      <w:r w:rsidR="00683845" w:rsidRPr="00BA093E">
        <w:rPr>
          <w:szCs w:val="22"/>
          <w:lang w:val="ru-RU"/>
        </w:rPr>
        <w:t xml:space="preserve"> </w:t>
      </w:r>
      <w:hyperlink r:id="rId12" w:history="1">
        <w:r w:rsidRPr="00BA093E">
          <w:rPr>
            <w:rStyle w:val="Hyperlink"/>
            <w:szCs w:val="22"/>
            <w:lang w:val="ru-RU"/>
          </w:rPr>
          <w:t>http://itu.int/en/ITU-T/focusgroups/m2m/</w:t>
        </w:r>
      </w:hyperlink>
      <w:r w:rsidR="002C6353" w:rsidRPr="00BA093E">
        <w:rPr>
          <w:szCs w:val="22"/>
          <w:lang w:val="ru-RU"/>
        </w:rPr>
        <w:t>.</w:t>
      </w:r>
      <w:r w:rsidR="00683845" w:rsidRPr="00BA093E">
        <w:rPr>
          <w:szCs w:val="22"/>
          <w:lang w:val="ru-RU"/>
        </w:rPr>
        <w:t xml:space="preserve"> Информация, касающаяся собрания, проекта повестки дня, а также полученных вкладов, также будет размещена на в</w:t>
      </w:r>
      <w:r w:rsidR="007C110E" w:rsidRPr="00BA093E">
        <w:rPr>
          <w:szCs w:val="22"/>
          <w:lang w:val="ru-RU"/>
        </w:rPr>
        <w:t>еб-странице Оперативной группы.</w:t>
      </w:r>
    </w:p>
    <w:p w:rsidR="00532FB1" w:rsidRPr="00BA093E" w:rsidRDefault="001E5E39" w:rsidP="007C110E">
      <w:pPr>
        <w:pStyle w:val="BodyText2"/>
        <w:tabs>
          <w:tab w:val="clear" w:pos="1191"/>
          <w:tab w:val="left" w:pos="851"/>
        </w:tabs>
        <w:rPr>
          <w:sz w:val="22"/>
          <w:szCs w:val="22"/>
          <w:lang w:val="ru-RU"/>
        </w:rPr>
      </w:pPr>
      <w:r w:rsidRPr="00BA093E">
        <w:rPr>
          <w:sz w:val="22"/>
          <w:szCs w:val="22"/>
          <w:lang w:val="ru-RU"/>
        </w:rPr>
        <w:t xml:space="preserve">Открытие собрания состоится в 09 час. 30 мин. 17 апреля 2012 года. Регистрация участников начнется в 08 час. 30 мин. при входе в здание "Монбрийан". Подробная информация о зале, где будет проходить собрание, будет </w:t>
      </w:r>
      <w:r w:rsidRPr="00BA093E">
        <w:rPr>
          <w:rFonts w:asciiTheme="majorBidi" w:hAnsiTheme="majorBidi" w:cstheme="majorBidi"/>
          <w:color w:val="000000"/>
          <w:sz w:val="22"/>
          <w:szCs w:val="22"/>
          <w:lang w:val="ru-RU"/>
        </w:rPr>
        <w:t xml:space="preserve">представлена на </w:t>
      </w:r>
      <w:r w:rsidR="002C6353" w:rsidRPr="00BA093E">
        <w:rPr>
          <w:rFonts w:asciiTheme="majorBidi" w:hAnsiTheme="majorBidi" w:cstheme="majorBidi"/>
          <w:color w:val="000000"/>
          <w:sz w:val="22"/>
          <w:szCs w:val="22"/>
          <w:lang w:val="ru-RU"/>
        </w:rPr>
        <w:t>экранах, расположенных при входах</w:t>
      </w:r>
      <w:r w:rsidRPr="00BA093E">
        <w:rPr>
          <w:rFonts w:asciiTheme="majorBidi" w:hAnsiTheme="majorBidi" w:cstheme="majorBidi"/>
          <w:color w:val="000000"/>
          <w:sz w:val="22"/>
          <w:szCs w:val="22"/>
          <w:lang w:val="ru-RU"/>
        </w:rPr>
        <w:t xml:space="preserve"> в здания штаб-квартиры МСЭ</w:t>
      </w:r>
      <w:r w:rsidRPr="00BA093E">
        <w:rPr>
          <w:rFonts w:asciiTheme="majorBidi" w:hAnsiTheme="majorBidi" w:cstheme="majorBidi"/>
          <w:sz w:val="22"/>
          <w:szCs w:val="22"/>
          <w:lang w:val="ru-RU"/>
        </w:rPr>
        <w:t>. Для участия в</w:t>
      </w:r>
      <w:r w:rsidRPr="00BA093E">
        <w:rPr>
          <w:sz w:val="22"/>
          <w:szCs w:val="22"/>
          <w:lang w:val="ru-RU"/>
        </w:rPr>
        <w:t> этом собрании регистрационный сбор не требуется</w:t>
      </w:r>
      <w:r w:rsidR="007C110E" w:rsidRPr="00BA093E">
        <w:rPr>
          <w:sz w:val="22"/>
          <w:szCs w:val="22"/>
          <w:lang w:val="ru-RU"/>
        </w:rPr>
        <w:t>.</w:t>
      </w:r>
    </w:p>
    <w:p w:rsidR="00532FB1" w:rsidRPr="00BA093E" w:rsidRDefault="001E5E39" w:rsidP="007C110E">
      <w:pPr>
        <w:pStyle w:val="BodyText2"/>
        <w:tabs>
          <w:tab w:val="clear" w:pos="1191"/>
          <w:tab w:val="left" w:pos="851"/>
        </w:tabs>
        <w:rPr>
          <w:sz w:val="22"/>
          <w:szCs w:val="22"/>
          <w:lang w:val="ru-RU"/>
        </w:rPr>
      </w:pPr>
      <w:r w:rsidRPr="00BA093E">
        <w:rPr>
          <w:sz w:val="22"/>
          <w:szCs w:val="22"/>
          <w:lang w:val="ru-RU"/>
        </w:rPr>
        <w:t>Обсуждения будут проходить только на английском языке</w:t>
      </w:r>
      <w:r w:rsidR="00532FB1" w:rsidRPr="00BA093E">
        <w:rPr>
          <w:sz w:val="22"/>
          <w:szCs w:val="22"/>
          <w:lang w:val="ru-RU"/>
        </w:rPr>
        <w:t>.</w:t>
      </w:r>
    </w:p>
    <w:p w:rsidR="00532FB1" w:rsidRPr="00BA093E" w:rsidRDefault="001E5E39" w:rsidP="007C110E">
      <w:pPr>
        <w:pStyle w:val="BodyText2"/>
        <w:tabs>
          <w:tab w:val="clear" w:pos="1191"/>
          <w:tab w:val="left" w:pos="851"/>
        </w:tabs>
        <w:rPr>
          <w:sz w:val="22"/>
          <w:szCs w:val="22"/>
          <w:lang w:val="ru-RU"/>
        </w:rPr>
      </w:pPr>
      <w:r w:rsidRPr="00BA093E">
        <w:rPr>
          <w:sz w:val="22"/>
          <w:szCs w:val="22"/>
          <w:lang w:val="ru-RU"/>
        </w:rPr>
        <w:t xml:space="preserve">Документы собрания будут общедоступны. При подготовке документов просьба использовать основной шаблон для документов ОГ, размещенный на веб-странице Оперативной группы. Участники должны представлять в БСЭ входные документы для ОГ-M2M в электронном формате следующим образом: </w:t>
      </w:r>
    </w:p>
    <w:p w:rsidR="00532FB1" w:rsidRPr="00BA093E" w:rsidRDefault="007C110E" w:rsidP="00BA093E">
      <w:pPr>
        <w:tabs>
          <w:tab w:val="left" w:pos="1418"/>
          <w:tab w:val="left" w:pos="1702"/>
          <w:tab w:val="left" w:pos="2160"/>
        </w:tabs>
        <w:ind w:left="794" w:hanging="794"/>
        <w:rPr>
          <w:szCs w:val="22"/>
          <w:lang w:val="ru-RU"/>
        </w:rPr>
      </w:pPr>
      <w:r w:rsidRPr="00BA093E">
        <w:rPr>
          <w:szCs w:val="22"/>
          <w:lang w:val="ru-RU"/>
        </w:rPr>
        <w:t>–</w:t>
      </w:r>
      <w:r w:rsidR="00532FB1" w:rsidRPr="00BA093E">
        <w:rPr>
          <w:szCs w:val="22"/>
          <w:lang w:val="ru-RU"/>
        </w:rPr>
        <w:tab/>
      </w:r>
      <w:r w:rsidR="001E5E39" w:rsidRPr="00BA093E">
        <w:rPr>
          <w:lang w:val="ru-RU"/>
        </w:rPr>
        <w:t xml:space="preserve">обратиться в БСЭ по адресу: </w:t>
      </w:r>
      <w:r w:rsidR="00165D75">
        <w:fldChar w:fldCharType="begin"/>
      </w:r>
      <w:r w:rsidR="00165D75" w:rsidRPr="00165D75">
        <w:rPr>
          <w:lang w:val="ru-RU"/>
        </w:rPr>
        <w:instrText xml:space="preserve"> </w:instrText>
      </w:r>
      <w:r w:rsidR="00165D75">
        <w:instrText>HYPERLINK</w:instrText>
      </w:r>
      <w:r w:rsidR="00165D75" w:rsidRPr="00165D75">
        <w:rPr>
          <w:lang w:val="ru-RU"/>
        </w:rPr>
        <w:instrText xml:space="preserve"> "</w:instrText>
      </w:r>
      <w:r w:rsidR="00165D75">
        <w:instrText>mailto</w:instrText>
      </w:r>
      <w:r w:rsidR="00165D75" w:rsidRPr="00165D75">
        <w:rPr>
          <w:lang w:val="ru-RU"/>
        </w:rPr>
        <w:instrText>:</w:instrText>
      </w:r>
      <w:r w:rsidR="00165D75">
        <w:instrText>sbfgm</w:instrText>
      </w:r>
      <w:r w:rsidR="00165D75" w:rsidRPr="00165D75">
        <w:rPr>
          <w:lang w:val="ru-RU"/>
        </w:rPr>
        <w:instrText>2</w:instrText>
      </w:r>
      <w:r w:rsidR="00165D75">
        <w:instrText>m</w:instrText>
      </w:r>
      <w:r w:rsidR="00165D75" w:rsidRPr="00165D75">
        <w:rPr>
          <w:lang w:val="ru-RU"/>
        </w:rPr>
        <w:instrText>@</w:instrText>
      </w:r>
      <w:r w:rsidR="00165D75">
        <w:instrText>itu</w:instrText>
      </w:r>
      <w:r w:rsidR="00165D75" w:rsidRPr="00165D75">
        <w:rPr>
          <w:lang w:val="ru-RU"/>
        </w:rPr>
        <w:instrText>.</w:instrText>
      </w:r>
      <w:r w:rsidR="00165D75">
        <w:instrText>int</w:instrText>
      </w:r>
      <w:r w:rsidR="00165D75" w:rsidRPr="00165D75">
        <w:rPr>
          <w:lang w:val="ru-RU"/>
        </w:rPr>
        <w:instrText xml:space="preserve">" </w:instrText>
      </w:r>
      <w:r w:rsidR="00165D75">
        <w:fldChar w:fldCharType="separate"/>
      </w:r>
      <w:r w:rsidR="001E5E39" w:rsidRPr="00BA093E">
        <w:rPr>
          <w:rStyle w:val="Hyperlink"/>
          <w:lang w:val="ru-RU"/>
        </w:rPr>
        <w:t>sbfgm2m@itu.in</w:t>
      </w:r>
      <w:r w:rsidR="00165D75">
        <w:rPr>
          <w:rStyle w:val="Hyperlink"/>
          <w:lang w:val="ru-RU"/>
        </w:rPr>
        <w:fldChar w:fldCharType="end"/>
      </w:r>
      <w:r w:rsidR="001E5E39" w:rsidRPr="00BA093E">
        <w:rPr>
          <w:lang w:val="ru-RU"/>
        </w:rPr>
        <w:t xml:space="preserve"> для получения номера (nnnn) для каждого документа</w:t>
      </w:r>
      <w:r w:rsidR="001E5E39" w:rsidRPr="00BA093E">
        <w:rPr>
          <w:szCs w:val="22"/>
          <w:lang w:val="ru-RU"/>
        </w:rPr>
        <w:t>;</w:t>
      </w:r>
    </w:p>
    <w:p w:rsidR="00532FB1" w:rsidRPr="00BA093E" w:rsidRDefault="007C110E" w:rsidP="00165D75">
      <w:pPr>
        <w:tabs>
          <w:tab w:val="clear" w:pos="794"/>
          <w:tab w:val="left" w:pos="851"/>
          <w:tab w:val="left" w:pos="1418"/>
          <w:tab w:val="left" w:pos="1702"/>
          <w:tab w:val="left" w:pos="2160"/>
        </w:tabs>
        <w:ind w:left="794" w:hanging="794"/>
        <w:rPr>
          <w:szCs w:val="22"/>
          <w:lang w:val="ru-RU"/>
        </w:rPr>
      </w:pPr>
      <w:r w:rsidRPr="00BA093E">
        <w:rPr>
          <w:szCs w:val="22"/>
          <w:lang w:val="ru-RU"/>
        </w:rPr>
        <w:t>–</w:t>
      </w:r>
      <w:r w:rsidR="00532FB1" w:rsidRPr="00BA093E">
        <w:rPr>
          <w:szCs w:val="22"/>
          <w:lang w:val="ru-RU"/>
        </w:rPr>
        <w:tab/>
      </w:r>
      <w:r w:rsidR="001E5E39" w:rsidRPr="00BA093E">
        <w:rPr>
          <w:lang w:val="ru-RU"/>
        </w:rPr>
        <w:t xml:space="preserve">подготовить документ со следующим названием файла: </w:t>
      </w:r>
      <w:r w:rsidR="00165D75">
        <w:t>m</w:t>
      </w:r>
      <w:r w:rsidR="00165D75" w:rsidRPr="00165D75">
        <w:rPr>
          <w:lang w:val="ru-RU"/>
        </w:rPr>
        <w:t>2</w:t>
      </w:r>
      <w:r w:rsidR="00165D75">
        <w:t>m</w:t>
      </w:r>
      <w:r w:rsidR="001E5E39" w:rsidRPr="00BA093E">
        <w:rPr>
          <w:lang w:val="ru-RU"/>
        </w:rPr>
        <w:t xml:space="preserve">-i-nnnn (с соответствующим расширением файла); </w:t>
      </w:r>
    </w:p>
    <w:p w:rsidR="00532FB1" w:rsidRPr="00BA093E" w:rsidRDefault="007C110E" w:rsidP="00165D75">
      <w:pPr>
        <w:tabs>
          <w:tab w:val="clear" w:pos="794"/>
          <w:tab w:val="left" w:pos="851"/>
          <w:tab w:val="left" w:pos="1418"/>
          <w:tab w:val="left" w:pos="1702"/>
          <w:tab w:val="left" w:pos="2160"/>
        </w:tabs>
        <w:ind w:left="794" w:hanging="794"/>
        <w:rPr>
          <w:szCs w:val="22"/>
          <w:lang w:val="ru-RU"/>
        </w:rPr>
      </w:pPr>
      <w:r w:rsidRPr="00BA093E">
        <w:rPr>
          <w:szCs w:val="22"/>
          <w:lang w:val="ru-RU"/>
        </w:rPr>
        <w:t>–</w:t>
      </w:r>
      <w:r w:rsidR="00532FB1" w:rsidRPr="00BA093E">
        <w:rPr>
          <w:szCs w:val="22"/>
          <w:lang w:val="ru-RU"/>
        </w:rPr>
        <w:tab/>
      </w:r>
      <w:r w:rsidR="001E5E39" w:rsidRPr="00BA093E">
        <w:rPr>
          <w:lang w:val="ru-RU"/>
        </w:rPr>
        <w:t xml:space="preserve">используя клиента FTP, загрузить документ в папку для документов "drop folder" в области FTP FG </w:t>
      </w:r>
      <w:r w:rsidR="00165D75">
        <w:t>M</w:t>
      </w:r>
      <w:r w:rsidR="00165D75" w:rsidRPr="00165D75">
        <w:rPr>
          <w:lang w:val="ru-RU"/>
        </w:rPr>
        <w:t>2</w:t>
      </w:r>
      <w:r w:rsidR="00165D75">
        <w:t>M</w:t>
      </w:r>
      <w:r w:rsidR="001E5E39" w:rsidRPr="00BA093E">
        <w:rPr>
          <w:lang w:val="ru-RU"/>
        </w:rPr>
        <w:t>, а именно:</w:t>
      </w:r>
      <w:r w:rsidR="001E5E39" w:rsidRPr="00BA093E">
        <w:rPr>
          <w:lang w:val="ru-RU"/>
        </w:rPr>
        <w:br/>
      </w:r>
      <w:r w:rsidR="001E5E39" w:rsidRPr="00BA093E">
        <w:rPr>
          <w:b/>
          <w:bCs/>
          <w:lang w:val="ru-RU"/>
        </w:rPr>
        <w:t>Host name</w:t>
      </w:r>
      <w:r w:rsidR="001E5E39" w:rsidRPr="00BA093E">
        <w:rPr>
          <w:lang w:val="ru-RU"/>
        </w:rPr>
        <w:t xml:space="preserve">: </w:t>
      </w:r>
      <w:r w:rsidR="00A244F6" w:rsidRPr="00BA093E">
        <w:rPr>
          <w:szCs w:val="22"/>
          <w:lang w:val="ru-RU"/>
        </w:rPr>
        <w:t>ifa.itu.int</w:t>
      </w:r>
      <w:r w:rsidR="001E5E39" w:rsidRPr="00BA093E">
        <w:rPr>
          <w:lang w:val="ru-RU"/>
        </w:rPr>
        <w:br/>
      </w:r>
      <w:r w:rsidR="001E5E39" w:rsidRPr="00BA093E">
        <w:rPr>
          <w:b/>
          <w:bCs/>
          <w:lang w:val="ru-RU"/>
        </w:rPr>
        <w:t>Path</w:t>
      </w:r>
      <w:r w:rsidR="001E5E39" w:rsidRPr="00BA093E">
        <w:rPr>
          <w:lang w:val="ru-RU"/>
        </w:rPr>
        <w:t xml:space="preserve">: </w:t>
      </w:r>
      <w:r w:rsidR="00A244F6" w:rsidRPr="00BA093E">
        <w:rPr>
          <w:szCs w:val="22"/>
          <w:lang w:val="ru-RU"/>
        </w:rPr>
        <w:t>/t/fg/m2m/docs/incoming</w:t>
      </w:r>
    </w:p>
    <w:p w:rsidR="00532FB1" w:rsidRPr="00BA093E" w:rsidRDefault="008E6127" w:rsidP="007C110E">
      <w:pPr>
        <w:tabs>
          <w:tab w:val="clear" w:pos="794"/>
          <w:tab w:val="left" w:pos="0"/>
          <w:tab w:val="left" w:pos="1418"/>
          <w:tab w:val="left" w:pos="1702"/>
          <w:tab w:val="left" w:pos="2160"/>
        </w:tabs>
        <w:rPr>
          <w:szCs w:val="22"/>
          <w:lang w:val="ru-RU"/>
        </w:rPr>
      </w:pPr>
      <w:r w:rsidRPr="00BA093E">
        <w:rPr>
          <w:lang w:val="ru-RU"/>
        </w:rPr>
        <w:t>Примечание. − Содержание папки для документов "drop box" можно прочитать с помощью браузера по адресу</w:t>
      </w:r>
      <w:r w:rsidR="00532FB1" w:rsidRPr="00BA093E">
        <w:rPr>
          <w:szCs w:val="22"/>
          <w:lang w:val="ru-RU"/>
        </w:rPr>
        <w:t xml:space="preserve">: </w:t>
      </w:r>
      <w:hyperlink r:id="rId13" w:history="1">
        <w:r w:rsidR="00532FB1" w:rsidRPr="00BA093E">
          <w:rPr>
            <w:rStyle w:val="Hyperlink"/>
            <w:szCs w:val="22"/>
            <w:lang w:val="ru-RU"/>
          </w:rPr>
          <w:t>http://ifa.itu.int/t/fg/m2m/docs/incoming/</w:t>
        </w:r>
      </w:hyperlink>
      <w:r w:rsidR="00625681" w:rsidRPr="00BA093E">
        <w:rPr>
          <w:szCs w:val="22"/>
          <w:lang w:val="ru-RU"/>
        </w:rPr>
        <w:t>.</w:t>
      </w:r>
    </w:p>
    <w:p w:rsidR="00532FB1" w:rsidRPr="00BA093E" w:rsidRDefault="008E6127" w:rsidP="007C110E">
      <w:pPr>
        <w:tabs>
          <w:tab w:val="left" w:pos="1418"/>
          <w:tab w:val="left" w:pos="1702"/>
          <w:tab w:val="left" w:pos="2160"/>
        </w:tabs>
        <w:rPr>
          <w:szCs w:val="22"/>
          <w:lang w:val="ru-RU"/>
        </w:rPr>
      </w:pPr>
      <w:r w:rsidRPr="00BA093E">
        <w:rPr>
          <w:lang w:val="ru-RU"/>
        </w:rPr>
        <w:t xml:space="preserve">Документы будут обработаны БСЭ и перемещены в соответствующую папку "только для чтения": </w:t>
      </w:r>
      <w:r w:rsidR="00165D75">
        <w:fldChar w:fldCharType="begin"/>
      </w:r>
      <w:r w:rsidR="00165D75" w:rsidRPr="00165D75">
        <w:rPr>
          <w:lang w:val="ru-RU"/>
        </w:rPr>
        <w:instrText xml:space="preserve"> </w:instrText>
      </w:r>
      <w:r w:rsidR="00165D75">
        <w:instrText>HYPERLINK</w:instrText>
      </w:r>
      <w:r w:rsidR="00165D75" w:rsidRPr="00165D75">
        <w:rPr>
          <w:lang w:val="ru-RU"/>
        </w:rPr>
        <w:instrText xml:space="preserve"> "</w:instrText>
      </w:r>
      <w:r w:rsidR="00165D75">
        <w:instrText>http</w:instrText>
      </w:r>
      <w:r w:rsidR="00165D75" w:rsidRPr="00165D75">
        <w:rPr>
          <w:lang w:val="ru-RU"/>
        </w:rPr>
        <w:instrText>://</w:instrText>
      </w:r>
      <w:r w:rsidR="00165D75">
        <w:instrText>ifa</w:instrText>
      </w:r>
      <w:r w:rsidR="00165D75" w:rsidRPr="00165D75">
        <w:rPr>
          <w:lang w:val="ru-RU"/>
        </w:rPr>
        <w:instrText>.</w:instrText>
      </w:r>
      <w:r w:rsidR="00165D75">
        <w:instrText>itu</w:instrText>
      </w:r>
      <w:r w:rsidR="00165D75" w:rsidRPr="00165D75">
        <w:rPr>
          <w:lang w:val="ru-RU"/>
        </w:rPr>
        <w:instrText>.</w:instrText>
      </w:r>
      <w:r w:rsidR="00165D75">
        <w:instrText>int</w:instrText>
      </w:r>
      <w:r w:rsidR="00165D75" w:rsidRPr="00165D75">
        <w:rPr>
          <w:lang w:val="ru-RU"/>
        </w:rPr>
        <w:instrText>/</w:instrText>
      </w:r>
      <w:r w:rsidR="00165D75">
        <w:instrText>t</w:instrText>
      </w:r>
      <w:r w:rsidR="00165D75" w:rsidRPr="00165D75">
        <w:rPr>
          <w:lang w:val="ru-RU"/>
        </w:rPr>
        <w:instrText>/</w:instrText>
      </w:r>
      <w:r w:rsidR="00165D75">
        <w:instrText>fg</w:instrText>
      </w:r>
      <w:r w:rsidR="00165D75" w:rsidRPr="00165D75">
        <w:rPr>
          <w:lang w:val="ru-RU"/>
        </w:rPr>
        <w:instrText>/</w:instrText>
      </w:r>
      <w:r w:rsidR="00165D75">
        <w:instrText>m</w:instrText>
      </w:r>
      <w:r w:rsidR="00165D75" w:rsidRPr="00165D75">
        <w:rPr>
          <w:lang w:val="ru-RU"/>
        </w:rPr>
        <w:instrText>2</w:instrText>
      </w:r>
      <w:r w:rsidR="00165D75">
        <w:instrText>m</w:instrText>
      </w:r>
      <w:r w:rsidR="00165D75" w:rsidRPr="00165D75">
        <w:rPr>
          <w:lang w:val="ru-RU"/>
        </w:rPr>
        <w:instrText>/</w:instrText>
      </w:r>
      <w:r w:rsidR="00165D75">
        <w:instrText>docs</w:instrText>
      </w:r>
      <w:r w:rsidR="00165D75" w:rsidRPr="00165D75">
        <w:rPr>
          <w:lang w:val="ru-RU"/>
        </w:rPr>
        <w:instrText>/1204-</w:instrText>
      </w:r>
      <w:r w:rsidR="00165D75">
        <w:instrText>gva</w:instrText>
      </w:r>
      <w:r w:rsidR="00165D75" w:rsidRPr="00165D75">
        <w:rPr>
          <w:lang w:val="ru-RU"/>
        </w:rPr>
        <w:instrText>/</w:instrText>
      </w:r>
      <w:r w:rsidR="00165D75">
        <w:instrText>in</w:instrText>
      </w:r>
      <w:r w:rsidR="00165D75" w:rsidRPr="00165D75">
        <w:rPr>
          <w:lang w:val="ru-RU"/>
        </w:rPr>
        <w:instrText xml:space="preserve">/" </w:instrText>
      </w:r>
      <w:r w:rsidR="00165D75">
        <w:fldChar w:fldCharType="separate"/>
      </w:r>
      <w:r w:rsidR="00532FB1" w:rsidRPr="00BA093E">
        <w:rPr>
          <w:rStyle w:val="Hyperlink"/>
          <w:szCs w:val="22"/>
          <w:lang w:val="ru-RU"/>
        </w:rPr>
        <w:t>http://ifa.itu.int/t/fg/m2m/docs/1204-gva/in/</w:t>
      </w:r>
      <w:r w:rsidR="00165D75">
        <w:rPr>
          <w:rStyle w:val="Hyperlink"/>
          <w:szCs w:val="22"/>
          <w:lang w:val="ru-RU"/>
        </w:rPr>
        <w:fldChar w:fldCharType="end"/>
      </w:r>
      <w:r w:rsidR="00625681" w:rsidRPr="00BA093E">
        <w:rPr>
          <w:szCs w:val="22"/>
          <w:lang w:val="ru-RU"/>
        </w:rPr>
        <w:t>.</w:t>
      </w:r>
    </w:p>
    <w:p w:rsidR="00532FB1" w:rsidRPr="00BA093E" w:rsidRDefault="008E6127" w:rsidP="007C110E">
      <w:pPr>
        <w:tabs>
          <w:tab w:val="left" w:pos="1418"/>
          <w:tab w:val="left" w:pos="1702"/>
          <w:tab w:val="left" w:pos="2160"/>
        </w:tabs>
        <w:rPr>
          <w:szCs w:val="22"/>
          <w:lang w:val="ru-RU"/>
        </w:rPr>
      </w:pPr>
      <w:r w:rsidRPr="00BA093E">
        <w:rPr>
          <w:lang w:val="ru-RU"/>
        </w:rPr>
        <w:t xml:space="preserve">По согласованию с </w:t>
      </w:r>
      <w:r w:rsidR="002C6353" w:rsidRPr="00BA093E">
        <w:rPr>
          <w:lang w:val="ru-RU"/>
        </w:rPr>
        <w:t>руководством Оперативной группы</w:t>
      </w:r>
      <w:r w:rsidRPr="00BA093E">
        <w:rPr>
          <w:lang w:val="ru-RU"/>
        </w:rPr>
        <w:t xml:space="preserve"> предельный срок представления документов для этого первого собрания установлен на </w:t>
      </w:r>
      <w:r w:rsidRPr="00BA093E">
        <w:rPr>
          <w:b/>
          <w:bCs/>
          <w:lang w:val="ru-RU"/>
        </w:rPr>
        <w:t>10 апреля 2012 года</w:t>
      </w:r>
      <w:r w:rsidRPr="00BA093E">
        <w:rPr>
          <w:lang w:val="ru-RU"/>
        </w:rPr>
        <w:t>. Просьба учесть, что это собрание проводится на безбумажной основе</w:t>
      </w:r>
      <w:r w:rsidR="00625681" w:rsidRPr="00BA093E">
        <w:rPr>
          <w:lang w:val="ru-RU"/>
        </w:rPr>
        <w:t>.</w:t>
      </w:r>
    </w:p>
    <w:p w:rsidR="00532FB1" w:rsidRPr="00BA093E" w:rsidRDefault="00532FB1" w:rsidP="00625681">
      <w:pPr>
        <w:tabs>
          <w:tab w:val="left" w:pos="1418"/>
          <w:tab w:val="left" w:pos="1702"/>
          <w:tab w:val="left" w:pos="2160"/>
        </w:tabs>
        <w:rPr>
          <w:szCs w:val="22"/>
          <w:lang w:val="ru-RU"/>
        </w:rPr>
      </w:pPr>
      <w:r w:rsidRPr="00BA093E">
        <w:rPr>
          <w:szCs w:val="22"/>
          <w:lang w:val="ru-RU"/>
        </w:rPr>
        <w:t>8</w:t>
      </w:r>
      <w:r w:rsidRPr="00BA093E">
        <w:rPr>
          <w:szCs w:val="22"/>
          <w:lang w:val="ru-RU"/>
        </w:rPr>
        <w:tab/>
      </w:r>
      <w:r w:rsidR="005B2007" w:rsidRPr="00BA093E">
        <w:rPr>
          <w:rFonts w:asciiTheme="majorBidi" w:hAnsiTheme="majorBidi" w:cstheme="majorBidi"/>
          <w:color w:val="000000"/>
          <w:szCs w:val="22"/>
          <w:lang w:val="ru-RU"/>
        </w:rPr>
        <w:t>В зонах расположения основных конференционных залов МСЭ и в здании МЦКЖ (Международного центра конференций в Женеве) имеются средс</w:t>
      </w:r>
      <w:r w:rsidR="002C6353" w:rsidRPr="00BA093E">
        <w:rPr>
          <w:rFonts w:asciiTheme="majorBidi" w:hAnsiTheme="majorBidi" w:cstheme="majorBidi"/>
          <w:color w:val="000000"/>
          <w:szCs w:val="22"/>
          <w:lang w:val="ru-RU"/>
        </w:rPr>
        <w:t xml:space="preserve">тва беспроводной ЛВС, которыми </w:t>
      </w:r>
      <w:r w:rsidR="005B2007" w:rsidRPr="00BA093E">
        <w:rPr>
          <w:rFonts w:asciiTheme="majorBidi" w:hAnsiTheme="majorBidi" w:cstheme="majorBidi"/>
          <w:color w:val="000000"/>
          <w:szCs w:val="22"/>
          <w:lang w:val="ru-RU"/>
        </w:rPr>
        <w:t>могут воспользоваться делегаты. В здании МСЭ "Монбрийан", как и ранее, имеется проводной доступ к сети. Подробная информация представлена на веб-сайте МСЭ-Т</w:t>
      </w:r>
      <w:r w:rsidRPr="00BA093E">
        <w:rPr>
          <w:szCs w:val="22"/>
          <w:lang w:val="ru-RU"/>
        </w:rPr>
        <w:t xml:space="preserve"> (</w:t>
      </w:r>
      <w:hyperlink r:id="rId14" w:history="1">
        <w:r w:rsidR="00625681" w:rsidRPr="00BA093E">
          <w:rPr>
            <w:rStyle w:val="Hyperlink"/>
            <w:szCs w:val="22"/>
            <w:lang w:val="ru-RU"/>
          </w:rPr>
          <w:t>http://itu.int/ITU</w:t>
        </w:r>
        <w:r w:rsidR="00625681" w:rsidRPr="00BA093E">
          <w:rPr>
            <w:rStyle w:val="Hyperlink"/>
            <w:szCs w:val="22"/>
            <w:lang w:val="ru-RU"/>
          </w:rPr>
          <w:noBreakHyphen/>
          <w:t>T/edh/faqs</w:t>
        </w:r>
        <w:r w:rsidR="00625681" w:rsidRPr="00BA093E">
          <w:rPr>
            <w:rStyle w:val="Hyperlink"/>
            <w:szCs w:val="22"/>
            <w:lang w:val="ru-RU"/>
          </w:rPr>
          <w:noBreakHyphen/>
          <w:t>support.html</w:t>
        </w:r>
      </w:hyperlink>
      <w:r w:rsidRPr="00BA093E">
        <w:rPr>
          <w:szCs w:val="22"/>
          <w:lang w:val="ru-RU"/>
        </w:rPr>
        <w:t>).</w:t>
      </w:r>
    </w:p>
    <w:p w:rsidR="00532FB1" w:rsidRPr="00BA093E" w:rsidRDefault="00532FB1" w:rsidP="007C110E">
      <w:pPr>
        <w:tabs>
          <w:tab w:val="left" w:pos="1418"/>
          <w:tab w:val="left" w:pos="1702"/>
          <w:tab w:val="left" w:pos="2160"/>
        </w:tabs>
        <w:rPr>
          <w:szCs w:val="22"/>
          <w:lang w:val="ru-RU"/>
        </w:rPr>
      </w:pPr>
      <w:r w:rsidRPr="00BA093E">
        <w:rPr>
          <w:szCs w:val="22"/>
          <w:lang w:val="ru-RU"/>
        </w:rPr>
        <w:t>9</w:t>
      </w:r>
      <w:r w:rsidRPr="00BA093E">
        <w:rPr>
          <w:szCs w:val="22"/>
          <w:lang w:val="ru-RU"/>
        </w:rPr>
        <w:tab/>
      </w:r>
      <w:r w:rsidR="005B2007" w:rsidRPr="00BA093E">
        <w:rPr>
          <w:rFonts w:asciiTheme="majorBidi" w:hAnsiTheme="majorBidi" w:cstheme="majorBidi"/>
          <w:color w:val="000000"/>
          <w:szCs w:val="22"/>
          <w:lang w:val="ru-RU"/>
        </w:rPr>
        <w:t xml:space="preserve">Для вашего удобства в </w:t>
      </w:r>
      <w:r w:rsidR="005B2007" w:rsidRPr="00BA093E">
        <w:rPr>
          <w:rFonts w:asciiTheme="majorBidi" w:hAnsiTheme="majorBidi" w:cstheme="majorBidi"/>
          <w:b/>
          <w:bCs/>
          <w:color w:val="000000"/>
          <w:szCs w:val="22"/>
          <w:lang w:val="ru-RU"/>
        </w:rPr>
        <w:t>Приложении 2</w:t>
      </w:r>
      <w:r w:rsidR="005B2007" w:rsidRPr="00BA093E">
        <w:rPr>
          <w:rFonts w:asciiTheme="majorBidi" w:hAnsiTheme="majorBidi" w:cstheme="majorBidi"/>
          <w:color w:val="000000"/>
          <w:szCs w:val="22"/>
          <w:lang w:val="ru-RU"/>
        </w:rPr>
        <w:t xml:space="preserve"> содержится форма для резервирования номера в гостинице </w:t>
      </w:r>
      <w:r w:rsidRPr="00BA093E">
        <w:rPr>
          <w:szCs w:val="22"/>
          <w:lang w:val="ru-RU"/>
        </w:rPr>
        <w:t>(</w:t>
      </w:r>
      <w:r w:rsidR="005B2007" w:rsidRPr="00BA093E">
        <w:rPr>
          <w:lang w:val="ru-RU"/>
        </w:rPr>
        <w:t xml:space="preserve">список гостиниц см. </w:t>
      </w:r>
      <w:hyperlink r:id="rId15" w:history="1">
        <w:r w:rsidRPr="00BA093E">
          <w:rPr>
            <w:rStyle w:val="Hyperlink"/>
            <w:szCs w:val="22"/>
            <w:lang w:val="ru-RU"/>
          </w:rPr>
          <w:t>http://itu.int/travel/</w:t>
        </w:r>
      </w:hyperlink>
      <w:r w:rsidRPr="00BA093E">
        <w:rPr>
          <w:szCs w:val="22"/>
          <w:lang w:val="ru-RU"/>
        </w:rPr>
        <w:t>).</w:t>
      </w:r>
    </w:p>
    <w:p w:rsidR="00532FB1" w:rsidRPr="00BA093E" w:rsidRDefault="00532FB1" w:rsidP="00625681">
      <w:pPr>
        <w:ind w:right="-142"/>
        <w:rPr>
          <w:b/>
          <w:bCs/>
          <w:i/>
          <w:iCs/>
          <w:szCs w:val="22"/>
          <w:lang w:val="ru-RU"/>
        </w:rPr>
      </w:pPr>
      <w:r w:rsidRPr="00BA093E">
        <w:rPr>
          <w:szCs w:val="22"/>
          <w:lang w:val="ru-RU"/>
        </w:rPr>
        <w:t>10</w:t>
      </w:r>
      <w:r w:rsidRPr="00BA093E">
        <w:rPr>
          <w:szCs w:val="22"/>
          <w:lang w:val="ru-RU"/>
        </w:rPr>
        <w:tab/>
      </w:r>
      <w:r w:rsidR="005B2007" w:rsidRPr="00BA093E">
        <w:rPr>
          <w:rFonts w:asciiTheme="majorBidi" w:hAnsiTheme="majorBidi" w:cstheme="majorBidi"/>
          <w:color w:val="000000"/>
          <w:szCs w:val="22"/>
          <w:lang w:val="ru-RU"/>
        </w:rPr>
        <w:t xml:space="preserve">С тем чтобы БСЭ могло предпринять необходимые действия в отношении организации собрания Оперативной группы, был бы признателен вам, если бы вы зарегистрировались </w:t>
      </w:r>
      <w:r w:rsidR="005B2007" w:rsidRPr="00BA093E">
        <w:rPr>
          <w:lang w:val="ru-RU"/>
        </w:rPr>
        <w:t xml:space="preserve">с использованием онлайновой формы по адресу: </w:t>
      </w:r>
      <w:r w:rsidR="00165D75">
        <w:fldChar w:fldCharType="begin"/>
      </w:r>
      <w:r w:rsidR="00165D75" w:rsidRPr="00165D75">
        <w:rPr>
          <w:lang w:val="ru-RU"/>
        </w:rPr>
        <w:instrText xml:space="preserve"> </w:instrText>
      </w:r>
      <w:r w:rsidR="00165D75">
        <w:instrText>HYPERLINK</w:instrText>
      </w:r>
      <w:r w:rsidR="00165D75" w:rsidRPr="00165D75">
        <w:rPr>
          <w:lang w:val="ru-RU"/>
        </w:rPr>
        <w:instrText xml:space="preserve"> "</w:instrText>
      </w:r>
      <w:r w:rsidR="00165D75">
        <w:instrText>http</w:instrText>
      </w:r>
      <w:r w:rsidR="00165D75" w:rsidRPr="00165D75">
        <w:rPr>
          <w:lang w:val="ru-RU"/>
        </w:rPr>
        <w:instrText>://</w:instrText>
      </w:r>
      <w:r w:rsidR="00165D75">
        <w:instrText>itu</w:instrText>
      </w:r>
      <w:r w:rsidR="00165D75" w:rsidRPr="00165D75">
        <w:rPr>
          <w:lang w:val="ru-RU"/>
        </w:rPr>
        <w:instrText>.</w:instrText>
      </w:r>
      <w:r w:rsidR="00165D75">
        <w:instrText>int</w:instrText>
      </w:r>
      <w:r w:rsidR="00165D75" w:rsidRPr="00165D75">
        <w:rPr>
          <w:lang w:val="ru-RU"/>
        </w:rPr>
        <w:instrText>/</w:instrText>
      </w:r>
      <w:r w:rsidR="00165D75">
        <w:instrText>reg</w:instrText>
      </w:r>
      <w:r w:rsidR="00165D75" w:rsidRPr="00165D75">
        <w:rPr>
          <w:lang w:val="ru-RU"/>
        </w:rPr>
        <w:instrText>/</w:instrText>
      </w:r>
      <w:r w:rsidR="00165D75">
        <w:instrText>tsg</w:instrText>
      </w:r>
      <w:r w:rsidR="00165D75" w:rsidRPr="00165D75">
        <w:rPr>
          <w:lang w:val="ru-RU"/>
        </w:rPr>
        <w:instrText xml:space="preserve">/3000361" </w:instrText>
      </w:r>
      <w:r w:rsidR="00165D75">
        <w:fldChar w:fldCharType="separate"/>
      </w:r>
      <w:r w:rsidR="005B2007" w:rsidRPr="00BA093E">
        <w:rPr>
          <w:rStyle w:val="Hyperlink"/>
          <w:szCs w:val="22"/>
          <w:lang w:val="ru-RU"/>
        </w:rPr>
        <w:t>http://itu.int/reg/tsg/3000361</w:t>
      </w:r>
      <w:r w:rsidR="00165D75">
        <w:rPr>
          <w:rStyle w:val="Hyperlink"/>
          <w:szCs w:val="22"/>
          <w:lang w:val="ru-RU"/>
        </w:rPr>
        <w:fldChar w:fldCharType="end"/>
      </w:r>
      <w:r w:rsidR="005B2007" w:rsidRPr="00BA093E">
        <w:rPr>
          <w:lang w:val="ru-RU"/>
        </w:rPr>
        <w:t xml:space="preserve"> в максимально короткий срок, </w:t>
      </w:r>
      <w:r w:rsidR="005B2007" w:rsidRPr="00BA093E">
        <w:rPr>
          <w:b/>
          <w:bCs/>
          <w:lang w:val="ru-RU"/>
        </w:rPr>
        <w:t>но не позднее 3 апреля 2012 года</w:t>
      </w:r>
      <w:r w:rsidR="005B2007" w:rsidRPr="00BA093E">
        <w:rPr>
          <w:lang w:val="ru-RU"/>
        </w:rPr>
        <w:t xml:space="preserve">. </w:t>
      </w:r>
      <w:r w:rsidR="002C6353" w:rsidRPr="00BA093E">
        <w:rPr>
          <w:b/>
          <w:bCs/>
          <w:lang w:val="ru-RU"/>
        </w:rPr>
        <w:t>Обращаем в</w:t>
      </w:r>
      <w:r w:rsidR="005B2007" w:rsidRPr="00BA093E">
        <w:rPr>
          <w:b/>
          <w:bCs/>
          <w:lang w:val="ru-RU"/>
        </w:rPr>
        <w:t xml:space="preserve">аше внимание на то, что предварительная регистрация участников собрания проводится только </w:t>
      </w:r>
      <w:r w:rsidR="005B2007" w:rsidRPr="00BA093E">
        <w:rPr>
          <w:b/>
          <w:bCs/>
          <w:i/>
          <w:iCs/>
          <w:lang w:val="ru-RU"/>
        </w:rPr>
        <w:t>в онлайновом режиме</w:t>
      </w:r>
      <w:r w:rsidR="005B2007" w:rsidRPr="00BA093E">
        <w:rPr>
          <w:lang w:val="ru-RU"/>
        </w:rPr>
        <w:t xml:space="preserve">. Просим </w:t>
      </w:r>
      <w:r w:rsidR="002C6353" w:rsidRPr="00BA093E">
        <w:rPr>
          <w:spacing w:val="-2"/>
          <w:lang w:val="ru-RU"/>
        </w:rPr>
        <w:t>периодически</w:t>
      </w:r>
      <w:r w:rsidR="005B2007" w:rsidRPr="00BA093E">
        <w:rPr>
          <w:spacing w:val="-2"/>
          <w:lang w:val="ru-RU"/>
        </w:rPr>
        <w:t xml:space="preserve"> </w:t>
      </w:r>
      <w:r w:rsidR="00D845A7" w:rsidRPr="00BA093E">
        <w:rPr>
          <w:spacing w:val="-2"/>
          <w:lang w:val="ru-RU"/>
        </w:rPr>
        <w:t xml:space="preserve">проверять веб-страницу </w:t>
      </w:r>
      <w:r w:rsidR="00B733D6" w:rsidRPr="00BA093E">
        <w:rPr>
          <w:spacing w:val="-2"/>
          <w:szCs w:val="22"/>
          <w:lang w:val="ru-RU"/>
        </w:rPr>
        <w:t>ОГ-M2M</w:t>
      </w:r>
      <w:r w:rsidRPr="00BA093E">
        <w:rPr>
          <w:spacing w:val="-2"/>
          <w:szCs w:val="22"/>
          <w:lang w:val="ru-RU"/>
        </w:rPr>
        <w:t xml:space="preserve"> </w:t>
      </w:r>
      <w:hyperlink r:id="rId16" w:history="1">
        <w:r w:rsidRPr="00BA093E">
          <w:rPr>
            <w:rStyle w:val="Hyperlink"/>
            <w:spacing w:val="-2"/>
            <w:szCs w:val="22"/>
            <w:lang w:val="ru-RU"/>
          </w:rPr>
          <w:t>http://itu.int/en/ITU-T/focusgroups/m2m/Pages/default.aspx</w:t>
        </w:r>
      </w:hyperlink>
      <w:r w:rsidRPr="00BA093E">
        <w:rPr>
          <w:szCs w:val="22"/>
          <w:lang w:val="ru-RU"/>
        </w:rPr>
        <w:t xml:space="preserve"> </w:t>
      </w:r>
      <w:r w:rsidR="00D845A7" w:rsidRPr="00BA093E">
        <w:rPr>
          <w:szCs w:val="22"/>
          <w:lang w:val="ru-RU"/>
        </w:rPr>
        <w:t>для получения обновленной информации, касающейся планирования собрания.</w:t>
      </w:r>
    </w:p>
    <w:p w:rsidR="00532FB1" w:rsidRPr="00BA093E" w:rsidRDefault="00532FB1" w:rsidP="007C110E">
      <w:pPr>
        <w:pStyle w:val="BodyText2"/>
        <w:rPr>
          <w:sz w:val="22"/>
          <w:szCs w:val="22"/>
          <w:lang w:val="ru-RU"/>
        </w:rPr>
      </w:pPr>
      <w:r w:rsidRPr="00BA093E">
        <w:rPr>
          <w:sz w:val="22"/>
          <w:szCs w:val="22"/>
          <w:lang w:val="ru-RU"/>
        </w:rPr>
        <w:t>11</w:t>
      </w:r>
      <w:r w:rsidRPr="00BA093E">
        <w:rPr>
          <w:sz w:val="22"/>
          <w:szCs w:val="22"/>
          <w:lang w:val="ru-RU"/>
        </w:rPr>
        <w:tab/>
      </w:r>
      <w:r w:rsidR="00D845A7" w:rsidRPr="00BA093E">
        <w:rPr>
          <w:sz w:val="22"/>
          <w:szCs w:val="22"/>
          <w:lang w:val="ru-RU"/>
        </w:rPr>
        <w:t>Х</w:t>
      </w:r>
      <w:r w:rsidR="002C6353" w:rsidRPr="00BA093E">
        <w:rPr>
          <w:sz w:val="22"/>
          <w:szCs w:val="22"/>
          <w:lang w:val="ru-RU"/>
        </w:rPr>
        <w:t>отели бы напомнить в</w:t>
      </w:r>
      <w:r w:rsidR="00D845A7" w:rsidRPr="00BA093E">
        <w:rPr>
          <w:sz w:val="22"/>
          <w:szCs w:val="22"/>
          <w:lang w:val="ru-RU"/>
        </w:rPr>
        <w:t xml:space="preserve">ам о том, что для въезда в Швейцарию и пребывания в ней в течение любого срока гражданам некоторых стран необходимо получить визу. </w:t>
      </w:r>
      <w:r w:rsidR="00D845A7" w:rsidRPr="00BA093E">
        <w:rPr>
          <w:b/>
          <w:bCs/>
          <w:sz w:val="22"/>
          <w:szCs w:val="22"/>
          <w:lang w:val="ru-RU"/>
        </w:rPr>
        <w:t>Визу следует запрашивать не менее чем за четыре (4) недели до даты начала собрания</w:t>
      </w:r>
      <w:r w:rsidR="00D845A7" w:rsidRPr="00BA093E">
        <w:rPr>
          <w:sz w:val="22"/>
          <w:szCs w:val="22"/>
          <w:lang w:val="ru-RU"/>
        </w:rPr>
        <w:t xml:space="preserve"> и получать в учреждении (посольстве или консульств</w:t>
      </w:r>
      <w:r w:rsidR="002C6353" w:rsidRPr="00BA093E">
        <w:rPr>
          <w:sz w:val="22"/>
          <w:szCs w:val="22"/>
          <w:lang w:val="ru-RU"/>
        </w:rPr>
        <w:t>е), представляющем Швейцарию в в</w:t>
      </w:r>
      <w:r w:rsidR="00D845A7" w:rsidRPr="00BA093E">
        <w:rPr>
          <w:sz w:val="22"/>
          <w:szCs w:val="22"/>
          <w:lang w:val="ru-RU"/>
        </w:rPr>
        <w:t xml:space="preserve">ашей стране, или, если в </w:t>
      </w:r>
      <w:r w:rsidR="002C6353" w:rsidRPr="00BA093E">
        <w:rPr>
          <w:sz w:val="22"/>
          <w:szCs w:val="22"/>
          <w:lang w:val="ru-RU"/>
        </w:rPr>
        <w:t>в</w:t>
      </w:r>
      <w:r w:rsidR="00D845A7" w:rsidRPr="00BA093E">
        <w:rPr>
          <w:sz w:val="22"/>
          <w:szCs w:val="22"/>
          <w:lang w:val="ru-RU"/>
        </w:rPr>
        <w:t>ашей стране такое учреждение отсутствует, − в ближайшем к стране выезда</w:t>
      </w:r>
      <w:r w:rsidR="00625681" w:rsidRPr="00BA093E">
        <w:rPr>
          <w:sz w:val="22"/>
          <w:szCs w:val="22"/>
          <w:lang w:val="ru-RU"/>
        </w:rPr>
        <w:t>.</w:t>
      </w:r>
    </w:p>
    <w:p w:rsidR="00532FB1" w:rsidRPr="00BA093E" w:rsidRDefault="00532FB1" w:rsidP="007C110E">
      <w:pPr>
        <w:tabs>
          <w:tab w:val="clear" w:pos="794"/>
          <w:tab w:val="clear" w:pos="1191"/>
          <w:tab w:val="clear" w:pos="1588"/>
          <w:tab w:val="clear" w:pos="1985"/>
        </w:tabs>
        <w:rPr>
          <w:szCs w:val="22"/>
          <w:lang w:val="ru-RU"/>
        </w:rPr>
      </w:pPr>
      <w:r w:rsidRPr="00BA093E">
        <w:rPr>
          <w:szCs w:val="22"/>
          <w:lang w:val="ru-RU"/>
        </w:rPr>
        <w:lastRenderedPageBreak/>
        <w:tab/>
      </w:r>
      <w:r w:rsidR="004350B6" w:rsidRPr="00BA093E">
        <w:rPr>
          <w:szCs w:val="22"/>
          <w:lang w:val="ru-RU"/>
        </w:rPr>
        <w:t xml:space="preserve">В случае возникновения трудностей для </w:t>
      </w:r>
      <w:r w:rsidR="004350B6" w:rsidRPr="00BA093E">
        <w:rPr>
          <w:b/>
          <w:bCs/>
          <w:szCs w:val="22"/>
          <w:lang w:val="ru-RU"/>
        </w:rPr>
        <w:t>Государств – Членов МСЭ, Членов Сектора, Ассоциированных членов или академических организаций</w:t>
      </w:r>
      <w:r w:rsidR="004350B6" w:rsidRPr="00BA093E">
        <w:rPr>
          <w:szCs w:val="22"/>
          <w:lang w:val="ru-RU"/>
        </w:rPr>
        <w:t xml:space="preserve"> и на основании официального запроса, представленного ими в БСЭ, Союз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Любой такой запрос следует осуществлять посредством направления официального письма от админис</w:t>
      </w:r>
      <w:r w:rsidR="002C6353" w:rsidRPr="00BA093E">
        <w:rPr>
          <w:szCs w:val="22"/>
          <w:lang w:val="ru-RU"/>
        </w:rPr>
        <w:t>трации или учреждения, которые в</w:t>
      </w:r>
      <w:r w:rsidR="004350B6" w:rsidRPr="00BA093E">
        <w:rPr>
          <w:szCs w:val="22"/>
          <w:lang w:val="ru-RU"/>
        </w:rPr>
        <w:t>ы 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собрания МСЭ-Т, и направить в БСЭ с пометкой "</w:t>
      </w:r>
      <w:r w:rsidR="004350B6" w:rsidRPr="00BA093E">
        <w:rPr>
          <w:b/>
          <w:bCs/>
          <w:szCs w:val="22"/>
          <w:lang w:val="ru-RU"/>
        </w:rPr>
        <w:t>запрос о содействии в получении визы</w:t>
      </w:r>
      <w:r w:rsidR="004350B6" w:rsidRPr="00BA093E">
        <w:rPr>
          <w:szCs w:val="22"/>
          <w:lang w:val="ru-RU"/>
        </w:rPr>
        <w:t>" ("visa request") по факсу (+41 22 730 5853) либо по электронной почте (</w:t>
      </w:r>
      <w:r w:rsidR="00165D75">
        <w:fldChar w:fldCharType="begin"/>
      </w:r>
      <w:r w:rsidR="00165D75" w:rsidRPr="00165D75">
        <w:rPr>
          <w:lang w:val="ru-RU"/>
        </w:rPr>
        <w:instrText xml:space="preserve"> </w:instrText>
      </w:r>
      <w:r w:rsidR="00165D75">
        <w:instrText>HYPERLINK</w:instrText>
      </w:r>
      <w:r w:rsidR="00165D75" w:rsidRPr="00165D75">
        <w:rPr>
          <w:lang w:val="ru-RU"/>
        </w:rPr>
        <w:instrText xml:space="preserve"> "</w:instrText>
      </w:r>
      <w:r w:rsidR="00165D75">
        <w:instrText>mailto</w:instrText>
      </w:r>
      <w:r w:rsidR="00165D75" w:rsidRPr="00165D75">
        <w:rPr>
          <w:lang w:val="ru-RU"/>
        </w:rPr>
        <w:instrText>:</w:instrText>
      </w:r>
      <w:r w:rsidR="00165D75">
        <w:instrText>tsbreg</w:instrText>
      </w:r>
      <w:r w:rsidR="00165D75" w:rsidRPr="00165D75">
        <w:rPr>
          <w:lang w:val="ru-RU"/>
        </w:rPr>
        <w:instrText>@</w:instrText>
      </w:r>
      <w:r w:rsidR="00165D75">
        <w:instrText>itu</w:instrText>
      </w:r>
      <w:r w:rsidR="00165D75" w:rsidRPr="00165D75">
        <w:rPr>
          <w:lang w:val="ru-RU"/>
        </w:rPr>
        <w:instrText>.</w:instrText>
      </w:r>
      <w:r w:rsidR="00165D75">
        <w:instrText>int</w:instrText>
      </w:r>
      <w:r w:rsidR="00165D75" w:rsidRPr="00165D75">
        <w:rPr>
          <w:lang w:val="ru-RU"/>
        </w:rPr>
        <w:instrText xml:space="preserve">" </w:instrText>
      </w:r>
      <w:r w:rsidR="00165D75">
        <w:fldChar w:fldCharType="separate"/>
      </w:r>
      <w:r w:rsidR="004350B6" w:rsidRPr="00BA093E">
        <w:rPr>
          <w:rStyle w:val="Hyperlink"/>
          <w:szCs w:val="22"/>
          <w:lang w:val="ru-RU"/>
        </w:rPr>
        <w:t>tsbreg</w:t>
      </w:r>
      <w:bookmarkStart w:id="0" w:name="_GoBack"/>
      <w:bookmarkEnd w:id="0"/>
      <w:r w:rsidR="004350B6" w:rsidRPr="00BA093E">
        <w:rPr>
          <w:rStyle w:val="Hyperlink"/>
          <w:szCs w:val="22"/>
          <w:lang w:val="ru-RU"/>
        </w:rPr>
        <w:t>@itu.int</w:t>
      </w:r>
      <w:r w:rsidR="00165D75">
        <w:rPr>
          <w:rStyle w:val="Hyperlink"/>
          <w:szCs w:val="22"/>
          <w:lang w:val="ru-RU"/>
        </w:rPr>
        <w:fldChar w:fldCharType="end"/>
      </w:r>
      <w:r w:rsidR="004350B6" w:rsidRPr="00BA093E">
        <w:rPr>
          <w:szCs w:val="22"/>
          <w:lang w:val="ru-RU"/>
        </w:rPr>
        <w:t xml:space="preserve">). </w:t>
      </w:r>
      <w:r w:rsidR="002C6353" w:rsidRPr="00BA093E">
        <w:rPr>
          <w:b/>
          <w:bCs/>
          <w:szCs w:val="22"/>
          <w:u w:val="single"/>
          <w:lang w:val="ru-RU"/>
        </w:rPr>
        <w:t>Также обращаем в</w:t>
      </w:r>
      <w:r w:rsidR="004350B6" w:rsidRPr="00BA093E">
        <w:rPr>
          <w:b/>
          <w:bCs/>
          <w:szCs w:val="22"/>
          <w:u w:val="single"/>
          <w:lang w:val="ru-RU"/>
        </w:rPr>
        <w:t>аше внимание на то, что МСЭ может оказывать содействие только представителям Государств – Членов МСЭ, Членов Секторов МСЭ, а также Ассоциированных членов МСЭ или академических организаций − Членов МСЭ</w:t>
      </w:r>
      <w:r w:rsidR="004350B6" w:rsidRPr="00BA093E">
        <w:rPr>
          <w:szCs w:val="22"/>
          <w:lang w:val="ru-RU"/>
        </w:rPr>
        <w:t>.</w:t>
      </w:r>
    </w:p>
    <w:p w:rsidR="00532FB1" w:rsidRPr="00BA093E" w:rsidRDefault="004350B6" w:rsidP="00625681">
      <w:pPr>
        <w:keepNext/>
        <w:spacing w:before="240"/>
        <w:rPr>
          <w:szCs w:val="22"/>
          <w:lang w:val="ru-RU"/>
        </w:rPr>
      </w:pPr>
      <w:r w:rsidRPr="00BA093E">
        <w:rPr>
          <w:szCs w:val="22"/>
          <w:lang w:val="ru-RU"/>
        </w:rPr>
        <w:t>С уважением</w:t>
      </w:r>
      <w:r w:rsidR="00532FB1" w:rsidRPr="00BA093E">
        <w:rPr>
          <w:szCs w:val="22"/>
          <w:lang w:val="ru-RU"/>
        </w:rPr>
        <w:t>,</w:t>
      </w:r>
    </w:p>
    <w:p w:rsidR="00532FB1" w:rsidRPr="00BA093E" w:rsidRDefault="004350B6" w:rsidP="00625681">
      <w:pPr>
        <w:spacing w:before="1080"/>
        <w:rPr>
          <w:szCs w:val="22"/>
          <w:lang w:val="ru-RU"/>
        </w:rPr>
      </w:pPr>
      <w:r w:rsidRPr="00BA093E">
        <w:rPr>
          <w:lang w:val="ru-RU"/>
        </w:rPr>
        <w:t>Малколм Джонсон</w:t>
      </w:r>
      <w:r w:rsidRPr="00BA093E">
        <w:rPr>
          <w:lang w:val="ru-RU"/>
        </w:rPr>
        <w:br/>
        <w:t>Директор Бюро</w:t>
      </w:r>
      <w:r w:rsidRPr="00BA093E">
        <w:rPr>
          <w:lang w:val="ru-RU"/>
        </w:rPr>
        <w:br/>
        <w:t>стандартизации электросвязи</w:t>
      </w:r>
    </w:p>
    <w:p w:rsidR="00532FB1" w:rsidRPr="00BA093E" w:rsidRDefault="00532FB1" w:rsidP="007C110E">
      <w:pPr>
        <w:tabs>
          <w:tab w:val="clear" w:pos="794"/>
          <w:tab w:val="clear" w:pos="1191"/>
          <w:tab w:val="clear" w:pos="1588"/>
          <w:tab w:val="clear" w:pos="1985"/>
        </w:tabs>
        <w:spacing w:before="0"/>
        <w:rPr>
          <w:szCs w:val="22"/>
          <w:lang w:val="ru-RU"/>
        </w:rPr>
      </w:pPr>
      <w:r w:rsidRPr="00BA093E">
        <w:rPr>
          <w:szCs w:val="22"/>
          <w:lang w:val="ru-RU"/>
        </w:rPr>
        <w:br w:type="page"/>
      </w:r>
    </w:p>
    <w:p w:rsidR="00532FB1" w:rsidRPr="00BA093E" w:rsidRDefault="00582837" w:rsidP="00582837">
      <w:pPr>
        <w:jc w:val="center"/>
        <w:rPr>
          <w:lang w:val="ru-RU"/>
        </w:rPr>
      </w:pPr>
      <w:r w:rsidRPr="00BA093E">
        <w:rPr>
          <w:sz w:val="26"/>
          <w:szCs w:val="26"/>
          <w:lang w:val="ru-RU"/>
        </w:rPr>
        <w:lastRenderedPageBreak/>
        <w:t>ПРИЛОЖЕНИЕ</w:t>
      </w:r>
      <w:r w:rsidR="00532FB1" w:rsidRPr="00BA093E">
        <w:rPr>
          <w:sz w:val="26"/>
          <w:szCs w:val="26"/>
          <w:lang w:val="ru-RU"/>
        </w:rPr>
        <w:t xml:space="preserve"> 1</w:t>
      </w:r>
      <w:r w:rsidR="00532FB1" w:rsidRPr="00BA093E">
        <w:rPr>
          <w:sz w:val="26"/>
          <w:szCs w:val="26"/>
          <w:lang w:val="ru-RU"/>
        </w:rPr>
        <w:br/>
      </w:r>
      <w:r w:rsidRPr="00BA093E">
        <w:rPr>
          <w:szCs w:val="22"/>
          <w:lang w:val="ru-RU"/>
        </w:rPr>
        <w:t>(к Циркуляру 263 БСЭ</w:t>
      </w:r>
      <w:r w:rsidR="00532FB1" w:rsidRPr="00BA093E">
        <w:rPr>
          <w:lang w:val="ru-RU"/>
        </w:rPr>
        <w:t>)</w:t>
      </w:r>
    </w:p>
    <w:p w:rsidR="00532FB1" w:rsidRPr="00BA093E" w:rsidRDefault="00582837" w:rsidP="00532FB1">
      <w:pPr>
        <w:spacing w:before="100" w:after="100" w:line="240" w:lineRule="atLeast"/>
        <w:jc w:val="center"/>
        <w:rPr>
          <w:b/>
          <w:bCs/>
          <w:color w:val="000000"/>
          <w:sz w:val="26"/>
          <w:szCs w:val="26"/>
          <w:lang w:val="ru-RU"/>
        </w:rPr>
      </w:pPr>
      <w:r w:rsidRPr="00BA093E">
        <w:rPr>
          <w:b/>
          <w:bCs/>
          <w:color w:val="000000"/>
          <w:sz w:val="26"/>
          <w:szCs w:val="26"/>
          <w:lang w:val="ru-RU"/>
        </w:rPr>
        <w:t>Круг ведения</w:t>
      </w:r>
    </w:p>
    <w:p w:rsidR="00532FB1" w:rsidRPr="00BA093E" w:rsidRDefault="00582837" w:rsidP="00582837">
      <w:pPr>
        <w:spacing w:before="100" w:after="100" w:line="240" w:lineRule="atLeast"/>
        <w:jc w:val="center"/>
        <w:rPr>
          <w:b/>
          <w:bCs/>
          <w:color w:val="000000"/>
          <w:sz w:val="26"/>
          <w:szCs w:val="26"/>
          <w:lang w:val="ru-RU"/>
        </w:rPr>
      </w:pPr>
      <w:r w:rsidRPr="00BA093E">
        <w:rPr>
          <w:b/>
          <w:bCs/>
          <w:color w:val="000000"/>
          <w:sz w:val="26"/>
          <w:szCs w:val="26"/>
          <w:lang w:val="ru-RU"/>
        </w:rPr>
        <w:t xml:space="preserve">Оперативной группы МСЭ-Т по уровню обслуживания </w:t>
      </w:r>
      <w:r w:rsidR="00532FB1" w:rsidRPr="00BA093E">
        <w:rPr>
          <w:b/>
          <w:bCs/>
          <w:color w:val="000000"/>
          <w:sz w:val="26"/>
          <w:szCs w:val="26"/>
          <w:lang w:val="ru-RU"/>
        </w:rPr>
        <w:t>M2M</w:t>
      </w:r>
    </w:p>
    <w:p w:rsidR="00532FB1" w:rsidRPr="00BA093E" w:rsidRDefault="00582837" w:rsidP="00C806FF">
      <w:pPr>
        <w:spacing w:before="480"/>
        <w:rPr>
          <w:color w:val="000000"/>
          <w:lang w:val="ru-RU"/>
        </w:rPr>
      </w:pPr>
      <w:r w:rsidRPr="00BA093E">
        <w:rPr>
          <w:color w:val="000000"/>
          <w:lang w:val="ru-RU"/>
        </w:rPr>
        <w:t xml:space="preserve">Оперативная группа создана в соответствии с Рекомендацией МСЭ-Т </w:t>
      </w:r>
      <w:r w:rsidR="00532FB1" w:rsidRPr="00BA093E">
        <w:rPr>
          <w:color w:val="000000"/>
          <w:lang w:val="ru-RU"/>
        </w:rPr>
        <w:t>A.7.</w:t>
      </w:r>
    </w:p>
    <w:p w:rsidR="00532FB1" w:rsidRPr="00BA093E" w:rsidRDefault="00C806FF" w:rsidP="00C806FF">
      <w:pPr>
        <w:pStyle w:val="Heading1"/>
        <w:rPr>
          <w:lang w:val="ru-RU"/>
        </w:rPr>
      </w:pPr>
      <w:r w:rsidRPr="00BA093E">
        <w:rPr>
          <w:lang w:val="ru-RU"/>
        </w:rPr>
        <w:t>1</w:t>
      </w:r>
      <w:r w:rsidRPr="00BA093E">
        <w:rPr>
          <w:lang w:val="ru-RU"/>
        </w:rPr>
        <w:tab/>
      </w:r>
      <w:r w:rsidR="00582837" w:rsidRPr="00BA093E">
        <w:rPr>
          <w:lang w:val="ru-RU"/>
        </w:rPr>
        <w:t>Обоснование и сфера действия</w:t>
      </w:r>
    </w:p>
    <w:p w:rsidR="00532FB1" w:rsidRPr="00BA093E" w:rsidRDefault="00582837" w:rsidP="00C806FF">
      <w:pPr>
        <w:rPr>
          <w:color w:val="000000"/>
          <w:lang w:val="ru-RU"/>
        </w:rPr>
      </w:pPr>
      <w:r w:rsidRPr="00BA093E">
        <w:rPr>
          <w:color w:val="000000"/>
          <w:lang w:val="ru-RU"/>
        </w:rPr>
        <w:t>Межмашинн</w:t>
      </w:r>
      <w:r w:rsidR="007C110E" w:rsidRPr="00BA093E">
        <w:rPr>
          <w:color w:val="000000"/>
          <w:lang w:val="ru-RU"/>
        </w:rPr>
        <w:t>ое</w:t>
      </w:r>
      <w:r w:rsidRPr="00BA093E">
        <w:rPr>
          <w:color w:val="000000"/>
          <w:lang w:val="ru-RU"/>
        </w:rPr>
        <w:t xml:space="preserve"> </w:t>
      </w:r>
      <w:r w:rsidR="007C110E" w:rsidRPr="00BA093E">
        <w:rPr>
          <w:color w:val="000000"/>
          <w:lang w:val="ru-RU"/>
        </w:rPr>
        <w:t>взаимодействие</w:t>
      </w:r>
      <w:r w:rsidRPr="00BA093E">
        <w:rPr>
          <w:color w:val="000000"/>
          <w:lang w:val="ru-RU"/>
        </w:rPr>
        <w:t xml:space="preserve"> </w:t>
      </w:r>
      <w:r w:rsidR="00532FB1" w:rsidRPr="00BA093E">
        <w:rPr>
          <w:color w:val="000000"/>
          <w:lang w:val="ru-RU"/>
        </w:rPr>
        <w:t xml:space="preserve">(M2M) </w:t>
      </w:r>
      <w:r w:rsidRPr="00BA093E">
        <w:rPr>
          <w:color w:val="000000"/>
          <w:lang w:val="ru-RU"/>
        </w:rPr>
        <w:t>считается одним из основных инструментов реализации приложений и услуг на многих вертикальных рынках (например, здравоохранение, материально-техническое обеспечение, транспорт,</w:t>
      </w:r>
      <w:r w:rsidR="00F5457A" w:rsidRPr="00BA093E">
        <w:rPr>
          <w:color w:val="000000"/>
          <w:lang w:val="ru-RU"/>
        </w:rPr>
        <w:t xml:space="preserve"> коммунальные службы и т. д.). Общий уровень обслуживания</w:t>
      </w:r>
      <w:r w:rsidR="00532FB1" w:rsidRPr="00BA093E">
        <w:rPr>
          <w:color w:val="000000"/>
          <w:lang w:val="ru-RU"/>
        </w:rPr>
        <w:t xml:space="preserve"> M2M</w:t>
      </w:r>
      <w:r w:rsidR="00F5457A" w:rsidRPr="00BA093E">
        <w:rPr>
          <w:color w:val="000000"/>
          <w:lang w:val="ru-RU"/>
        </w:rPr>
        <w:t xml:space="preserve">, согласованный на глобальном уровне с участием заинтересованных сторон из групп, связанных с </w:t>
      </w:r>
      <w:r w:rsidR="00532FB1" w:rsidRPr="00BA093E">
        <w:rPr>
          <w:color w:val="000000"/>
          <w:lang w:val="ru-RU"/>
        </w:rPr>
        <w:t xml:space="preserve">M2M </w:t>
      </w:r>
      <w:r w:rsidR="00F5457A" w:rsidRPr="00BA093E">
        <w:rPr>
          <w:color w:val="000000"/>
          <w:lang w:val="ru-RU"/>
        </w:rPr>
        <w:t xml:space="preserve">и вертикальными рынками, обеспечил бы рентабельную платформу, которую можно легко развернуть </w:t>
      </w:r>
      <w:r w:rsidR="0012598A" w:rsidRPr="00BA093E">
        <w:rPr>
          <w:color w:val="000000"/>
          <w:lang w:val="ru-RU"/>
        </w:rPr>
        <w:t xml:space="preserve">в аппаратном и программном обеспечении в среде с участием многих поставщиков и в различных секторах. </w:t>
      </w:r>
    </w:p>
    <w:p w:rsidR="00532FB1" w:rsidRPr="00BA093E" w:rsidRDefault="0012598A" w:rsidP="00C806FF">
      <w:pPr>
        <w:rPr>
          <w:lang w:val="ru-RU"/>
        </w:rPr>
      </w:pPr>
      <w:r w:rsidRPr="00BA093E">
        <w:rPr>
          <w:color w:val="000000"/>
          <w:lang w:val="ru-RU"/>
        </w:rPr>
        <w:t>Оперативная группа по уровню обслуживания</w:t>
      </w:r>
      <w:r w:rsidR="00532FB1" w:rsidRPr="00BA093E">
        <w:rPr>
          <w:lang w:val="ru-RU"/>
        </w:rPr>
        <w:t xml:space="preserve"> M2M (</w:t>
      </w:r>
      <w:r w:rsidR="00B733D6" w:rsidRPr="00BA093E">
        <w:rPr>
          <w:lang w:val="ru-RU"/>
        </w:rPr>
        <w:t>ОГ-M2M</w:t>
      </w:r>
      <w:r w:rsidR="00532FB1" w:rsidRPr="00BA093E">
        <w:rPr>
          <w:lang w:val="ru-RU"/>
        </w:rPr>
        <w:t xml:space="preserve">) </w:t>
      </w:r>
      <w:r w:rsidRPr="00BA093E">
        <w:rPr>
          <w:lang w:val="ru-RU"/>
        </w:rPr>
        <w:t>будет исследовать работу, проводимую в настоящее время различными организациями по разработке стандартов (ОРС) в области спецификаций уровня обслуживания M2M</w:t>
      </w:r>
      <w:r w:rsidR="002C6353" w:rsidRPr="00BA093E">
        <w:rPr>
          <w:lang w:val="ru-RU"/>
        </w:rPr>
        <w:t>,</w:t>
      </w:r>
      <w:r w:rsidR="00532FB1" w:rsidRPr="00BA093E">
        <w:rPr>
          <w:lang w:val="ru-RU"/>
        </w:rPr>
        <w:t xml:space="preserve"> </w:t>
      </w:r>
      <w:r w:rsidRPr="00BA093E">
        <w:rPr>
          <w:lang w:val="ru-RU"/>
        </w:rPr>
        <w:t xml:space="preserve">в целях определения важнейших требований к общему </w:t>
      </w:r>
      <w:r w:rsidRPr="00BA093E">
        <w:rPr>
          <w:lang w:val="ru-RU" w:eastAsia="zh-CN"/>
        </w:rPr>
        <w:t>уровню</w:t>
      </w:r>
      <w:r w:rsidRPr="00BA093E">
        <w:rPr>
          <w:lang w:val="ru-RU"/>
        </w:rPr>
        <w:t xml:space="preserve"> обслуживания M2M</w:t>
      </w:r>
      <w:r w:rsidR="00C806FF" w:rsidRPr="00BA093E">
        <w:rPr>
          <w:lang w:val="ru-RU"/>
        </w:rPr>
        <w:t>.</w:t>
      </w:r>
    </w:p>
    <w:p w:rsidR="00532FB1" w:rsidRPr="00BA093E" w:rsidRDefault="00B733D6" w:rsidP="00C806FF">
      <w:pPr>
        <w:rPr>
          <w:lang w:val="ru-RU" w:eastAsia="zh-CN"/>
        </w:rPr>
      </w:pPr>
      <w:r w:rsidRPr="00BA093E">
        <w:rPr>
          <w:lang w:val="ru-RU"/>
        </w:rPr>
        <w:t>ОГ-M2M</w:t>
      </w:r>
      <w:r w:rsidR="00532FB1" w:rsidRPr="00BA093E">
        <w:rPr>
          <w:lang w:val="ru-RU"/>
        </w:rPr>
        <w:t xml:space="preserve"> </w:t>
      </w:r>
      <w:r w:rsidR="0012598A" w:rsidRPr="00BA093E">
        <w:rPr>
          <w:color w:val="000000"/>
          <w:szCs w:val="22"/>
          <w:lang w:val="ru-RU"/>
        </w:rPr>
        <w:t xml:space="preserve">займется определением минимального набора общих требований вертикальных рынков, сосредоточиваясь сначала на рынке услуг здравоохранения, интерфейсах прикладного программирования </w:t>
      </w:r>
      <w:r w:rsidR="00CA3040" w:rsidRPr="00BA093E">
        <w:rPr>
          <w:lang w:val="ru-RU"/>
        </w:rPr>
        <w:t xml:space="preserve">(API) </w:t>
      </w:r>
      <w:r w:rsidR="0012598A" w:rsidRPr="00BA093E">
        <w:rPr>
          <w:color w:val="000000"/>
          <w:szCs w:val="22"/>
          <w:lang w:val="ru-RU"/>
        </w:rPr>
        <w:t xml:space="preserve">и протоколах, поддерживающих приложения и услуги электронного здравоохранения, </w:t>
      </w:r>
      <w:r w:rsidR="002C6353" w:rsidRPr="00BA093E">
        <w:rPr>
          <w:color w:val="000000"/>
          <w:szCs w:val="22"/>
          <w:lang w:val="ru-RU"/>
        </w:rPr>
        <w:t xml:space="preserve">а также </w:t>
      </w:r>
      <w:r w:rsidR="0012598A" w:rsidRPr="00BA093E">
        <w:rPr>
          <w:color w:val="000000"/>
          <w:szCs w:val="22"/>
          <w:lang w:val="ru-RU"/>
        </w:rPr>
        <w:t>проектах технических отчетов в этих областях</w:t>
      </w:r>
      <w:r w:rsidR="00CA3040" w:rsidRPr="00BA093E">
        <w:rPr>
          <w:color w:val="000000"/>
          <w:szCs w:val="22"/>
          <w:lang w:val="ru-RU"/>
        </w:rPr>
        <w:t>.</w:t>
      </w:r>
    </w:p>
    <w:p w:rsidR="00532FB1" w:rsidRPr="00BA093E" w:rsidRDefault="00CA3040" w:rsidP="00C806FF">
      <w:pPr>
        <w:rPr>
          <w:lang w:val="ru-RU"/>
        </w:rPr>
      </w:pPr>
      <w:r w:rsidRPr="00BA093E">
        <w:rPr>
          <w:lang w:val="ru-RU"/>
        </w:rPr>
        <w:t xml:space="preserve">Оперативная группа не предназначена для дублирования усилий </w:t>
      </w:r>
      <w:r w:rsidR="002C6353" w:rsidRPr="00BA093E">
        <w:rPr>
          <w:lang w:val="ru-RU"/>
        </w:rPr>
        <w:t xml:space="preserve">других сторон </w:t>
      </w:r>
      <w:r w:rsidRPr="00BA093E">
        <w:rPr>
          <w:lang w:val="ru-RU"/>
        </w:rPr>
        <w:t xml:space="preserve">и будет пользоваться результатами проводимой работы и специальными знаниями. Поэтому задачей </w:t>
      </w:r>
      <w:r w:rsidR="00B733D6" w:rsidRPr="00BA093E">
        <w:rPr>
          <w:lang w:val="ru-RU"/>
        </w:rPr>
        <w:t>ОГ-M2M</w:t>
      </w:r>
      <w:r w:rsidR="00532FB1" w:rsidRPr="00BA093E">
        <w:rPr>
          <w:lang w:val="ru-RU"/>
        </w:rPr>
        <w:t xml:space="preserve"> </w:t>
      </w:r>
      <w:r w:rsidRPr="00BA093E">
        <w:rPr>
          <w:lang w:val="ru-RU"/>
        </w:rPr>
        <w:t>является привлечение заинтересованных сторон из вертикальных рынков, котор</w:t>
      </w:r>
      <w:r w:rsidR="00C67DF4">
        <w:rPr>
          <w:lang w:val="ru-RU"/>
        </w:rPr>
        <w:t>ые не относятся к традиционным Ч</w:t>
      </w:r>
      <w:r w:rsidRPr="00BA093E">
        <w:rPr>
          <w:lang w:val="ru-RU"/>
        </w:rPr>
        <w:t xml:space="preserve">ленам МСЭ-Т, таких как Альянс </w:t>
      </w:r>
      <w:r w:rsidR="00532FB1" w:rsidRPr="00BA093E">
        <w:rPr>
          <w:lang w:val="ru-RU"/>
        </w:rPr>
        <w:t xml:space="preserve">Continua Health </w:t>
      </w:r>
      <w:r w:rsidRPr="00BA093E">
        <w:rPr>
          <w:lang w:val="ru-RU"/>
        </w:rPr>
        <w:t xml:space="preserve">и Всемирная организация здравоохранения (ВОЗ) в </w:t>
      </w:r>
      <w:r w:rsidR="002C6353" w:rsidRPr="00BA093E">
        <w:rPr>
          <w:lang w:val="ru-RU"/>
        </w:rPr>
        <w:t>сфере</w:t>
      </w:r>
      <w:r w:rsidRPr="00BA093E">
        <w:rPr>
          <w:lang w:val="ru-RU"/>
        </w:rPr>
        <w:t xml:space="preserve"> здравоохранения, а также будет сотрудничать с сообществами в области </w:t>
      </w:r>
      <w:r w:rsidR="00532FB1" w:rsidRPr="00BA093E">
        <w:rPr>
          <w:lang w:val="ru-RU"/>
        </w:rPr>
        <w:t xml:space="preserve">M2M </w:t>
      </w:r>
      <w:r w:rsidRPr="00BA093E">
        <w:rPr>
          <w:lang w:val="ru-RU"/>
        </w:rPr>
        <w:t xml:space="preserve">во всем мире (включая научно-исследовательские и академические организации), </w:t>
      </w:r>
      <w:r w:rsidR="007C5CD2" w:rsidRPr="00BA093E">
        <w:rPr>
          <w:lang w:val="ru-RU"/>
        </w:rPr>
        <w:t xml:space="preserve">с </w:t>
      </w:r>
      <w:r w:rsidR="00C806FF" w:rsidRPr="00BA093E">
        <w:rPr>
          <w:lang w:val="ru-RU"/>
        </w:rPr>
        <w:t>ОРС, форумами и консорциумами.</w:t>
      </w:r>
    </w:p>
    <w:p w:rsidR="00532FB1" w:rsidRPr="00BA093E" w:rsidRDefault="00C806FF" w:rsidP="00C806FF">
      <w:pPr>
        <w:pStyle w:val="Heading1"/>
        <w:rPr>
          <w:lang w:val="ru-RU"/>
        </w:rPr>
      </w:pPr>
      <w:r w:rsidRPr="00BA093E">
        <w:rPr>
          <w:lang w:val="ru-RU"/>
        </w:rPr>
        <w:t>2</w:t>
      </w:r>
      <w:r w:rsidRPr="00BA093E">
        <w:rPr>
          <w:lang w:val="ru-RU"/>
        </w:rPr>
        <w:tab/>
      </w:r>
      <w:r w:rsidR="00987191" w:rsidRPr="00BA093E">
        <w:rPr>
          <w:lang w:val="ru-RU"/>
        </w:rPr>
        <w:t>Задачи</w:t>
      </w:r>
    </w:p>
    <w:p w:rsidR="00532FB1" w:rsidRPr="00BA093E" w:rsidRDefault="00983CB8" w:rsidP="00983CB8">
      <w:pPr>
        <w:tabs>
          <w:tab w:val="clear" w:pos="794"/>
          <w:tab w:val="clear" w:pos="1191"/>
          <w:tab w:val="clear" w:pos="1588"/>
          <w:tab w:val="clear" w:pos="1985"/>
        </w:tabs>
        <w:ind w:left="794" w:hanging="794"/>
        <w:rPr>
          <w:lang w:val="ru-RU"/>
        </w:rPr>
      </w:pPr>
      <w:r w:rsidRPr="00BA093E">
        <w:rPr>
          <w:lang w:val="ru-RU"/>
        </w:rPr>
        <w:t>•</w:t>
      </w:r>
      <w:r w:rsidRPr="00BA093E">
        <w:rPr>
          <w:lang w:val="ru-RU"/>
        </w:rPr>
        <w:tab/>
      </w:r>
      <w:r w:rsidR="00987191" w:rsidRPr="00BA093E">
        <w:rPr>
          <w:lang w:val="ru-RU"/>
        </w:rPr>
        <w:t xml:space="preserve">Сбор и документальное оформление информации от глобального сообщества в области </w:t>
      </w:r>
      <w:r w:rsidR="00532FB1" w:rsidRPr="00BA093E">
        <w:rPr>
          <w:lang w:val="ru-RU"/>
        </w:rPr>
        <w:t xml:space="preserve">M2M </w:t>
      </w:r>
      <w:r w:rsidR="00987191" w:rsidRPr="00BA093E">
        <w:rPr>
          <w:lang w:val="ru-RU"/>
        </w:rPr>
        <w:t xml:space="preserve">и от объединений, действующих на вертикальных рынках, </w:t>
      </w:r>
      <w:r w:rsidR="007C5CD2" w:rsidRPr="00BA093E">
        <w:rPr>
          <w:lang w:val="ru-RU"/>
        </w:rPr>
        <w:t>которая касается</w:t>
      </w:r>
      <w:r w:rsidR="00987191" w:rsidRPr="00BA093E">
        <w:rPr>
          <w:lang w:val="ru-RU"/>
        </w:rPr>
        <w:t xml:space="preserve"> текущей работы и технических спецификаций, включая требования, варианты использования, услуги и бизнес-модели и т. </w:t>
      </w:r>
      <w:r w:rsidR="00F81977" w:rsidRPr="00BA093E">
        <w:rPr>
          <w:lang w:val="ru-RU"/>
        </w:rPr>
        <w:t>д</w:t>
      </w:r>
      <w:r w:rsidR="00987191" w:rsidRPr="00BA093E">
        <w:rPr>
          <w:lang w:val="ru-RU"/>
        </w:rPr>
        <w:t>.</w:t>
      </w:r>
    </w:p>
    <w:p w:rsidR="00532FB1" w:rsidRPr="00BA093E" w:rsidRDefault="00983CB8" w:rsidP="00983CB8">
      <w:pPr>
        <w:tabs>
          <w:tab w:val="clear" w:pos="794"/>
          <w:tab w:val="clear" w:pos="1191"/>
          <w:tab w:val="clear" w:pos="1588"/>
          <w:tab w:val="clear" w:pos="1985"/>
        </w:tabs>
        <w:ind w:left="794" w:hanging="794"/>
        <w:rPr>
          <w:lang w:val="ru-RU"/>
        </w:rPr>
      </w:pPr>
      <w:r w:rsidRPr="00BA093E">
        <w:rPr>
          <w:lang w:val="ru-RU"/>
        </w:rPr>
        <w:t>•</w:t>
      </w:r>
      <w:r w:rsidRPr="00BA093E">
        <w:rPr>
          <w:lang w:val="ru-RU"/>
        </w:rPr>
        <w:tab/>
      </w:r>
      <w:r w:rsidR="00987191" w:rsidRPr="00BA093E">
        <w:rPr>
          <w:lang w:val="ru-RU"/>
        </w:rPr>
        <w:t xml:space="preserve">Подготовка проектов технических отчетов для содействия разработке </w:t>
      </w:r>
      <w:r w:rsidR="00532FB1" w:rsidRPr="00BA093E">
        <w:rPr>
          <w:lang w:val="ru-RU"/>
        </w:rPr>
        <w:t>API</w:t>
      </w:r>
      <w:r w:rsidR="00F81977" w:rsidRPr="00BA093E">
        <w:rPr>
          <w:lang w:val="ru-RU"/>
        </w:rPr>
        <w:t xml:space="preserve"> и протоколов, обеспечивающих возможность </w:t>
      </w:r>
      <w:r w:rsidR="007C5CD2" w:rsidRPr="00BA093E">
        <w:rPr>
          <w:lang w:val="ru-RU"/>
        </w:rPr>
        <w:t xml:space="preserve">развития </w:t>
      </w:r>
      <w:r w:rsidR="00F81977" w:rsidRPr="00BA093E">
        <w:rPr>
          <w:lang w:val="ru-RU"/>
        </w:rPr>
        <w:t xml:space="preserve">услуг и приложений </w:t>
      </w:r>
      <w:r w:rsidR="00532FB1" w:rsidRPr="00BA093E">
        <w:rPr>
          <w:lang w:val="ru-RU"/>
        </w:rPr>
        <w:t>M2M</w:t>
      </w:r>
      <w:r w:rsidR="00F81977" w:rsidRPr="00BA093E">
        <w:rPr>
          <w:lang w:val="ru-RU"/>
        </w:rPr>
        <w:t xml:space="preserve">, сосредоточиваясь сначала на услугах и приложениях электронного здравоохранения. </w:t>
      </w:r>
    </w:p>
    <w:p w:rsidR="00532FB1" w:rsidRPr="00BA093E" w:rsidRDefault="00983CB8" w:rsidP="00983CB8">
      <w:pPr>
        <w:tabs>
          <w:tab w:val="clear" w:pos="794"/>
          <w:tab w:val="clear" w:pos="1191"/>
          <w:tab w:val="clear" w:pos="1588"/>
          <w:tab w:val="clear" w:pos="1985"/>
        </w:tabs>
        <w:ind w:left="794" w:hanging="794"/>
        <w:rPr>
          <w:lang w:val="ru-RU"/>
        </w:rPr>
      </w:pPr>
      <w:r w:rsidRPr="00BA093E">
        <w:rPr>
          <w:lang w:val="ru-RU"/>
        </w:rPr>
        <w:t>•</w:t>
      </w:r>
      <w:r w:rsidRPr="00BA093E">
        <w:rPr>
          <w:lang w:val="ru-RU"/>
        </w:rPr>
        <w:tab/>
      </w:r>
      <w:r w:rsidR="00F81977" w:rsidRPr="00BA093E">
        <w:rPr>
          <w:lang w:val="ru-RU"/>
        </w:rPr>
        <w:t xml:space="preserve">Содействие </w:t>
      </w:r>
      <w:r w:rsidR="007C5CD2" w:rsidRPr="00BA093E">
        <w:rPr>
          <w:lang w:val="ru-RU"/>
        </w:rPr>
        <w:t xml:space="preserve">участию и вкладам </w:t>
      </w:r>
      <w:r w:rsidR="00F81977" w:rsidRPr="00BA093E">
        <w:rPr>
          <w:lang w:val="ru-RU"/>
        </w:rPr>
        <w:t xml:space="preserve">и поощрение участия и вкладов заинтересованных сторон, действующих на вертикальных рынках, </w:t>
      </w:r>
      <w:r w:rsidR="007C5CD2" w:rsidRPr="00BA093E">
        <w:rPr>
          <w:lang w:val="ru-RU"/>
        </w:rPr>
        <w:t>а также</w:t>
      </w:r>
      <w:r w:rsidR="00F81977" w:rsidRPr="00BA093E">
        <w:rPr>
          <w:lang w:val="ru-RU"/>
        </w:rPr>
        <w:t xml:space="preserve"> взаимодействие с другими ОРС, чтобы не допускать дублирования деятельности. </w:t>
      </w:r>
    </w:p>
    <w:p w:rsidR="00532FB1" w:rsidRPr="00BA093E" w:rsidRDefault="00983CB8" w:rsidP="00983CB8">
      <w:pPr>
        <w:tabs>
          <w:tab w:val="clear" w:pos="794"/>
          <w:tab w:val="clear" w:pos="1191"/>
          <w:tab w:val="clear" w:pos="1588"/>
          <w:tab w:val="clear" w:pos="1985"/>
        </w:tabs>
        <w:ind w:left="794" w:hanging="794"/>
        <w:rPr>
          <w:lang w:val="ru-RU"/>
        </w:rPr>
      </w:pPr>
      <w:r w:rsidRPr="00BA093E">
        <w:rPr>
          <w:lang w:val="ru-RU"/>
        </w:rPr>
        <w:t>•</w:t>
      </w:r>
      <w:r w:rsidRPr="00BA093E">
        <w:rPr>
          <w:lang w:val="ru-RU"/>
        </w:rPr>
        <w:tab/>
      </w:r>
      <w:r w:rsidR="00F81977" w:rsidRPr="00BA093E">
        <w:rPr>
          <w:lang w:val="ru-RU"/>
        </w:rPr>
        <w:t>Помощь в подготовке и проведении семинара-практикума МСЭ/ВОЗ по электронному здравоохранению</w:t>
      </w:r>
      <w:r w:rsidR="008F7405" w:rsidRPr="00BA093E">
        <w:rPr>
          <w:lang w:val="ru-RU"/>
        </w:rPr>
        <w:t xml:space="preserve"> (</w:t>
      </w:r>
      <w:r w:rsidR="00F81977" w:rsidRPr="00BA093E">
        <w:rPr>
          <w:lang w:val="ru-RU"/>
        </w:rPr>
        <w:t>26−27 апреля 2012 г.)</w:t>
      </w:r>
      <w:r w:rsidR="008F7405" w:rsidRPr="00BA093E">
        <w:rPr>
          <w:lang w:val="ru-RU"/>
        </w:rPr>
        <w:t xml:space="preserve">, в том что касается приложений и услуг </w:t>
      </w:r>
      <w:r w:rsidR="00532FB1" w:rsidRPr="00BA093E">
        <w:rPr>
          <w:lang w:val="ru-RU"/>
        </w:rPr>
        <w:t xml:space="preserve">M2M </w:t>
      </w:r>
      <w:r w:rsidR="008F7405" w:rsidRPr="00BA093E">
        <w:rPr>
          <w:lang w:val="ru-RU"/>
        </w:rPr>
        <w:t xml:space="preserve">для сектора здравоохранения. </w:t>
      </w:r>
    </w:p>
    <w:p w:rsidR="00532FB1" w:rsidRPr="00BA093E" w:rsidRDefault="00C806FF" w:rsidP="00C806FF">
      <w:pPr>
        <w:pStyle w:val="Heading1"/>
        <w:rPr>
          <w:lang w:val="ru-RU"/>
        </w:rPr>
      </w:pPr>
      <w:r w:rsidRPr="00BA093E">
        <w:rPr>
          <w:lang w:val="ru-RU"/>
        </w:rPr>
        <w:t>3</w:t>
      </w:r>
      <w:r w:rsidRPr="00BA093E">
        <w:rPr>
          <w:lang w:val="ru-RU"/>
        </w:rPr>
        <w:tab/>
      </w:r>
      <w:r w:rsidR="00983CB8" w:rsidRPr="00BA093E">
        <w:rPr>
          <w:lang w:val="ru-RU"/>
        </w:rPr>
        <w:t>Структура</w:t>
      </w:r>
    </w:p>
    <w:p w:rsidR="00532FB1" w:rsidRPr="00BA093E" w:rsidRDefault="008F7405" w:rsidP="00C806FF">
      <w:pPr>
        <w:rPr>
          <w:color w:val="000000"/>
          <w:lang w:val="ru-RU"/>
        </w:rPr>
      </w:pPr>
      <w:r w:rsidRPr="00BA093E">
        <w:rPr>
          <w:color w:val="000000"/>
          <w:lang w:val="ru-RU"/>
        </w:rPr>
        <w:t xml:space="preserve">Будет создана структура высокого уровня и рабочая группа </w:t>
      </w:r>
      <w:r w:rsidR="007C5CD2" w:rsidRPr="00BA093E">
        <w:rPr>
          <w:color w:val="000000"/>
          <w:lang w:val="ru-RU"/>
        </w:rPr>
        <w:t>"П</w:t>
      </w:r>
      <w:r w:rsidRPr="00BA093E">
        <w:rPr>
          <w:color w:val="000000"/>
          <w:lang w:val="ru-RU"/>
        </w:rPr>
        <w:t>риложения и услуг</w:t>
      </w:r>
      <w:r w:rsidR="007C5CD2" w:rsidRPr="00BA093E">
        <w:rPr>
          <w:color w:val="000000"/>
          <w:lang w:val="ru-RU"/>
        </w:rPr>
        <w:t>и</w:t>
      </w:r>
      <w:r w:rsidRPr="00BA093E">
        <w:rPr>
          <w:color w:val="000000"/>
          <w:lang w:val="ru-RU"/>
        </w:rPr>
        <w:t xml:space="preserve"> электронного здравоохранения". В ее состав будут входить три рабочие подгруппы </w:t>
      </w:r>
      <w:r w:rsidR="00086920" w:rsidRPr="00BA093E">
        <w:rPr>
          <w:color w:val="000000"/>
          <w:lang w:val="ru-RU"/>
        </w:rPr>
        <w:t xml:space="preserve">"Варианты использования и модели услуг </w:t>
      </w:r>
      <w:r w:rsidR="00532FB1" w:rsidRPr="00BA093E">
        <w:rPr>
          <w:color w:val="000000"/>
          <w:lang w:val="ru-RU"/>
        </w:rPr>
        <w:t>M2M</w:t>
      </w:r>
      <w:r w:rsidR="00086920" w:rsidRPr="00BA093E">
        <w:rPr>
          <w:color w:val="000000"/>
          <w:lang w:val="ru-RU"/>
        </w:rPr>
        <w:t>", "Требования к уровню</w:t>
      </w:r>
      <w:r w:rsidR="0012598A" w:rsidRPr="00BA093E">
        <w:rPr>
          <w:color w:val="000000"/>
          <w:lang w:val="ru-RU"/>
        </w:rPr>
        <w:t xml:space="preserve"> обслуживания M2M</w:t>
      </w:r>
      <w:r w:rsidR="00086920" w:rsidRPr="00BA093E">
        <w:rPr>
          <w:color w:val="000000"/>
          <w:lang w:val="ru-RU"/>
        </w:rPr>
        <w:t xml:space="preserve">" и "API и протоколы </w:t>
      </w:r>
      <w:r w:rsidR="00532FB1" w:rsidRPr="00BA093E">
        <w:rPr>
          <w:color w:val="000000"/>
          <w:lang w:val="ru-RU"/>
        </w:rPr>
        <w:t>M2M</w:t>
      </w:r>
      <w:r w:rsidR="00086920" w:rsidRPr="00BA093E">
        <w:rPr>
          <w:color w:val="000000"/>
          <w:lang w:val="ru-RU"/>
        </w:rPr>
        <w:t xml:space="preserve">". </w:t>
      </w:r>
    </w:p>
    <w:p w:rsidR="00532FB1" w:rsidRPr="00BA093E" w:rsidRDefault="00C806FF" w:rsidP="00C806FF">
      <w:pPr>
        <w:pStyle w:val="Heading1"/>
        <w:rPr>
          <w:lang w:val="ru-RU"/>
        </w:rPr>
      </w:pPr>
      <w:r w:rsidRPr="00BA093E">
        <w:rPr>
          <w:lang w:val="ru-RU"/>
        </w:rPr>
        <w:lastRenderedPageBreak/>
        <w:t>4</w:t>
      </w:r>
      <w:r w:rsidRPr="00BA093E">
        <w:rPr>
          <w:lang w:val="ru-RU"/>
        </w:rPr>
        <w:tab/>
      </w:r>
      <w:r w:rsidR="00086920" w:rsidRPr="00BA093E">
        <w:rPr>
          <w:lang w:val="ru-RU"/>
        </w:rPr>
        <w:t>Относящееся к вопросу</w:t>
      </w:r>
    </w:p>
    <w:p w:rsidR="00532FB1" w:rsidRPr="00BA093E" w:rsidRDefault="00B733D6" w:rsidP="00C806FF">
      <w:pPr>
        <w:rPr>
          <w:color w:val="000000"/>
          <w:lang w:val="ru-RU"/>
        </w:rPr>
      </w:pPr>
      <w:r w:rsidRPr="00BA093E">
        <w:rPr>
          <w:color w:val="000000"/>
          <w:lang w:val="ru-RU"/>
        </w:rPr>
        <w:t>ОГ-M2M</w:t>
      </w:r>
      <w:r w:rsidR="00532FB1" w:rsidRPr="00BA093E">
        <w:rPr>
          <w:color w:val="000000"/>
          <w:lang w:val="ru-RU"/>
        </w:rPr>
        <w:t xml:space="preserve"> </w:t>
      </w:r>
      <w:r w:rsidR="00086920" w:rsidRPr="00BA093E">
        <w:rPr>
          <w:color w:val="000000"/>
          <w:lang w:val="ru-RU"/>
        </w:rPr>
        <w:t>будет работать в тесном сотрудничестве со всеми исследовательскими комиссиями МСЭ-Т, особенно</w:t>
      </w:r>
      <w:r w:rsidR="00532FB1" w:rsidRPr="00BA093E">
        <w:rPr>
          <w:color w:val="000000"/>
          <w:lang w:val="ru-RU"/>
        </w:rPr>
        <w:t xml:space="preserve"> </w:t>
      </w:r>
      <w:r w:rsidR="00086920" w:rsidRPr="00BA093E">
        <w:rPr>
          <w:color w:val="000000"/>
          <w:lang w:val="ru-RU"/>
        </w:rPr>
        <w:t>с ИК</w:t>
      </w:r>
      <w:r w:rsidR="00532FB1" w:rsidRPr="00BA093E">
        <w:rPr>
          <w:color w:val="000000"/>
          <w:lang w:val="ru-RU"/>
        </w:rPr>
        <w:t xml:space="preserve">11, </w:t>
      </w:r>
      <w:r w:rsidR="00086920" w:rsidRPr="00BA093E">
        <w:rPr>
          <w:color w:val="000000"/>
          <w:lang w:val="ru-RU"/>
        </w:rPr>
        <w:t>ИК</w:t>
      </w:r>
      <w:r w:rsidR="00532FB1" w:rsidRPr="00BA093E">
        <w:rPr>
          <w:color w:val="000000"/>
          <w:lang w:val="ru-RU"/>
        </w:rPr>
        <w:t xml:space="preserve">13 </w:t>
      </w:r>
      <w:r w:rsidR="00086920" w:rsidRPr="00BA093E">
        <w:rPr>
          <w:color w:val="000000"/>
          <w:lang w:val="ru-RU"/>
        </w:rPr>
        <w:t>и ИК</w:t>
      </w:r>
      <w:r w:rsidR="00532FB1" w:rsidRPr="00BA093E">
        <w:rPr>
          <w:color w:val="000000"/>
          <w:lang w:val="ru-RU"/>
        </w:rPr>
        <w:t>16 (</w:t>
      </w:r>
      <w:r w:rsidR="00100CF6" w:rsidRPr="00BA093E">
        <w:rPr>
          <w:color w:val="000000"/>
          <w:lang w:val="ru-RU"/>
        </w:rPr>
        <w:t>в частности, с ГИС-IoT</w:t>
      </w:r>
      <w:r w:rsidR="00532FB1" w:rsidRPr="00BA093E">
        <w:rPr>
          <w:color w:val="000000"/>
          <w:lang w:val="ru-RU"/>
        </w:rPr>
        <w:t xml:space="preserve">) </w:t>
      </w:r>
      <w:r w:rsidR="007C5CD2" w:rsidRPr="00BA093E">
        <w:rPr>
          <w:color w:val="000000"/>
          <w:lang w:val="ru-RU"/>
        </w:rPr>
        <w:t>путем</w:t>
      </w:r>
      <w:r w:rsidR="00532FB1" w:rsidRPr="00BA093E">
        <w:rPr>
          <w:color w:val="000000"/>
          <w:lang w:val="ru-RU"/>
        </w:rPr>
        <w:t xml:space="preserve"> </w:t>
      </w:r>
      <w:r w:rsidR="00100CF6" w:rsidRPr="00BA093E">
        <w:rPr>
          <w:color w:val="000000"/>
          <w:lang w:val="ru-RU"/>
        </w:rPr>
        <w:t>проведения максимально приближенных по времени и месту собраний (см. пункт 11), например по координации соответствующих программ работы и по координации проведения семинаров и семинаров-практикумов</w:t>
      </w:r>
      <w:r w:rsidR="00E02D68" w:rsidRPr="00BA093E">
        <w:rPr>
          <w:color w:val="000000"/>
          <w:lang w:val="ru-RU"/>
        </w:rPr>
        <w:t xml:space="preserve"> согласно Р</w:t>
      </w:r>
      <w:r w:rsidR="00100CF6" w:rsidRPr="00BA093E">
        <w:rPr>
          <w:color w:val="000000"/>
          <w:lang w:val="ru-RU"/>
        </w:rPr>
        <w:t xml:space="preserve">екомендации МСЭ-Т </w:t>
      </w:r>
      <w:r w:rsidR="00532FB1" w:rsidRPr="00BA093E">
        <w:rPr>
          <w:color w:val="000000"/>
          <w:lang w:val="ru-RU"/>
        </w:rPr>
        <w:t>A.31.</w:t>
      </w:r>
    </w:p>
    <w:p w:rsidR="00532FB1" w:rsidRPr="00BA093E" w:rsidRDefault="00EF2CF2" w:rsidP="00C806FF">
      <w:pPr>
        <w:rPr>
          <w:color w:val="000000"/>
          <w:lang w:val="ru-RU"/>
        </w:rPr>
      </w:pPr>
      <w:r w:rsidRPr="00BA093E">
        <w:rPr>
          <w:color w:val="000000"/>
          <w:lang w:val="ru-RU"/>
        </w:rPr>
        <w:t xml:space="preserve">Важнейшее значение для успеха Оперативной группы имеет сотрудничество с соответствующими ОРС, правительственными/отраслевыми форумами и консорциумами, компаниями, академическими институтами, научно-исследовательскими институтами и </w:t>
      </w:r>
      <w:r w:rsidR="00324EB5" w:rsidRPr="00BA093E">
        <w:rPr>
          <w:color w:val="000000"/>
          <w:lang w:val="ru-RU"/>
        </w:rPr>
        <w:t>экспертами по соответствующим вопросам.</w:t>
      </w:r>
      <w:r w:rsidRPr="00BA093E">
        <w:rPr>
          <w:color w:val="000000"/>
          <w:lang w:val="ru-RU"/>
        </w:rPr>
        <w:t xml:space="preserve"> </w:t>
      </w:r>
      <w:r w:rsidR="00B733D6" w:rsidRPr="00BA093E">
        <w:rPr>
          <w:color w:val="000000"/>
          <w:lang w:val="ru-RU"/>
        </w:rPr>
        <w:t>ОГ-M2M</w:t>
      </w:r>
      <w:r w:rsidR="00E02D68" w:rsidRPr="00BA093E">
        <w:rPr>
          <w:color w:val="000000"/>
          <w:lang w:val="ru-RU"/>
        </w:rPr>
        <w:t xml:space="preserve">, в соответствии с Рекомендацией МСЭ-T A.7, определит другие соответствующие структуры, с которыми она будет сотрудничать, и вид фактического сотрудничества. </w:t>
      </w:r>
    </w:p>
    <w:p w:rsidR="00532FB1" w:rsidRPr="00BA093E" w:rsidRDefault="00C806FF" w:rsidP="00C806FF">
      <w:pPr>
        <w:pStyle w:val="Heading1"/>
        <w:rPr>
          <w:lang w:val="ru-RU"/>
        </w:rPr>
      </w:pPr>
      <w:r w:rsidRPr="00BA093E">
        <w:rPr>
          <w:lang w:val="ru-RU"/>
        </w:rPr>
        <w:t>5</w:t>
      </w:r>
      <w:r w:rsidRPr="00BA093E">
        <w:rPr>
          <w:lang w:val="ru-RU"/>
        </w:rPr>
        <w:tab/>
      </w:r>
      <w:r w:rsidR="00817E44" w:rsidRPr="00BA093E">
        <w:rPr>
          <w:lang w:val="ru-RU"/>
        </w:rPr>
        <w:t>Конкре</w:t>
      </w:r>
      <w:r w:rsidR="00983CB8" w:rsidRPr="00BA093E">
        <w:rPr>
          <w:lang w:val="ru-RU"/>
        </w:rPr>
        <w:t>тные задачи и результаты работы</w:t>
      </w:r>
    </w:p>
    <w:p w:rsidR="00532FB1" w:rsidRPr="00BA093E" w:rsidRDefault="00983CB8" w:rsidP="00983CB8">
      <w:pPr>
        <w:tabs>
          <w:tab w:val="clear" w:pos="794"/>
          <w:tab w:val="clear" w:pos="1191"/>
          <w:tab w:val="clear" w:pos="1588"/>
          <w:tab w:val="clear" w:pos="1985"/>
        </w:tabs>
        <w:ind w:left="794" w:hanging="794"/>
        <w:rPr>
          <w:lang w:val="ru-RU"/>
        </w:rPr>
      </w:pPr>
      <w:r w:rsidRPr="00BA093E">
        <w:rPr>
          <w:lang w:val="ru-RU"/>
        </w:rPr>
        <w:t>•</w:t>
      </w:r>
      <w:r w:rsidRPr="00BA093E">
        <w:rPr>
          <w:lang w:val="ru-RU"/>
        </w:rPr>
        <w:tab/>
      </w:r>
      <w:r w:rsidR="00817E44" w:rsidRPr="00BA093E">
        <w:rPr>
          <w:lang w:val="ru-RU"/>
        </w:rPr>
        <w:t>Проведение "анализа пробелов" для</w:t>
      </w:r>
      <w:r w:rsidR="007C5CD2" w:rsidRPr="00BA093E">
        <w:rPr>
          <w:lang w:val="ru-RU"/>
        </w:rPr>
        <w:t xml:space="preserve"> определения</w:t>
      </w:r>
      <w:r w:rsidR="00817E44" w:rsidRPr="00BA093E">
        <w:rPr>
          <w:lang w:val="ru-RU"/>
        </w:rPr>
        <w:t xml:space="preserve"> потребностей в уровне</w:t>
      </w:r>
      <w:r w:rsidR="0012598A" w:rsidRPr="00BA093E">
        <w:rPr>
          <w:lang w:val="ru-RU"/>
        </w:rPr>
        <w:t xml:space="preserve"> обслуживания M2M</w:t>
      </w:r>
      <w:r w:rsidR="00532FB1" w:rsidRPr="00BA093E">
        <w:rPr>
          <w:lang w:val="ru-RU"/>
        </w:rPr>
        <w:t xml:space="preserve"> </w:t>
      </w:r>
      <w:r w:rsidR="007C5CD2" w:rsidRPr="00BA093E">
        <w:rPr>
          <w:lang w:val="ru-RU"/>
        </w:rPr>
        <w:t>на</w:t>
      </w:r>
      <w:r w:rsidR="00817E44" w:rsidRPr="00BA093E">
        <w:rPr>
          <w:lang w:val="ru-RU"/>
        </w:rPr>
        <w:t xml:space="preserve"> вертикальных рынк</w:t>
      </w:r>
      <w:r w:rsidR="007C5CD2" w:rsidRPr="00BA093E">
        <w:rPr>
          <w:lang w:val="ru-RU"/>
        </w:rPr>
        <w:t>ах</w:t>
      </w:r>
      <w:r w:rsidR="00817E44" w:rsidRPr="00BA093E">
        <w:rPr>
          <w:lang w:val="ru-RU"/>
        </w:rPr>
        <w:t>, сосредоточиваясь сначала на приложениях</w:t>
      </w:r>
      <w:r w:rsidR="00035BCD" w:rsidRPr="00BA093E">
        <w:rPr>
          <w:lang w:val="ru-RU"/>
        </w:rPr>
        <w:t xml:space="preserve"> и услугах для рынка услуг </w:t>
      </w:r>
      <w:r w:rsidR="007C110E" w:rsidRPr="00BA093E">
        <w:rPr>
          <w:lang w:val="ru-RU"/>
        </w:rPr>
        <w:t>медицинской помощи</w:t>
      </w:r>
      <w:r w:rsidRPr="00BA093E">
        <w:rPr>
          <w:lang w:val="ru-RU"/>
        </w:rPr>
        <w:t>.</w:t>
      </w:r>
    </w:p>
    <w:p w:rsidR="00532FB1" w:rsidRPr="00BA093E" w:rsidRDefault="00983CB8" w:rsidP="00983CB8">
      <w:pPr>
        <w:tabs>
          <w:tab w:val="clear" w:pos="794"/>
          <w:tab w:val="clear" w:pos="1191"/>
          <w:tab w:val="clear" w:pos="1588"/>
          <w:tab w:val="clear" w:pos="1985"/>
        </w:tabs>
        <w:ind w:left="794" w:hanging="794"/>
        <w:rPr>
          <w:lang w:val="ru-RU"/>
        </w:rPr>
      </w:pPr>
      <w:r w:rsidRPr="00BA093E">
        <w:rPr>
          <w:lang w:val="ru-RU"/>
        </w:rPr>
        <w:t>•</w:t>
      </w:r>
      <w:r w:rsidRPr="00BA093E">
        <w:rPr>
          <w:lang w:val="ru-RU"/>
        </w:rPr>
        <w:tab/>
      </w:r>
      <w:r w:rsidR="001648B6" w:rsidRPr="00BA093E">
        <w:rPr>
          <w:lang w:val="ru-RU"/>
        </w:rPr>
        <w:t xml:space="preserve">Определение минимального общего набора требований к уровню </w:t>
      </w:r>
      <w:r w:rsidR="0012598A" w:rsidRPr="00BA093E">
        <w:rPr>
          <w:lang w:val="ru-RU"/>
        </w:rPr>
        <w:t>обслуживания M2M</w:t>
      </w:r>
      <w:r w:rsidR="00532FB1" w:rsidRPr="00BA093E">
        <w:rPr>
          <w:lang w:val="ru-RU"/>
        </w:rPr>
        <w:t xml:space="preserve"> </w:t>
      </w:r>
      <w:r w:rsidR="001648B6" w:rsidRPr="00BA093E">
        <w:rPr>
          <w:lang w:val="ru-RU"/>
        </w:rPr>
        <w:t>и его возможностей</w:t>
      </w:r>
      <w:r w:rsidR="00035BCD" w:rsidRPr="00BA093E">
        <w:rPr>
          <w:lang w:val="ru-RU"/>
        </w:rPr>
        <w:t>, сосредоточиваясь сначала на приложениях и услуга</w:t>
      </w:r>
      <w:r w:rsidRPr="00BA093E">
        <w:rPr>
          <w:lang w:val="ru-RU"/>
        </w:rPr>
        <w:t>х электронного здравоохранения.</w:t>
      </w:r>
    </w:p>
    <w:p w:rsidR="00532FB1" w:rsidRPr="00BA093E" w:rsidRDefault="00983CB8" w:rsidP="00983CB8">
      <w:pPr>
        <w:tabs>
          <w:tab w:val="clear" w:pos="794"/>
          <w:tab w:val="clear" w:pos="1191"/>
          <w:tab w:val="clear" w:pos="1588"/>
          <w:tab w:val="clear" w:pos="1985"/>
        </w:tabs>
        <w:ind w:left="794" w:hanging="794"/>
        <w:rPr>
          <w:lang w:val="ru-RU"/>
        </w:rPr>
      </w:pPr>
      <w:r w:rsidRPr="00BA093E">
        <w:rPr>
          <w:lang w:val="ru-RU"/>
        </w:rPr>
        <w:t>•</w:t>
      </w:r>
      <w:r w:rsidRPr="00BA093E">
        <w:rPr>
          <w:lang w:val="ru-RU"/>
        </w:rPr>
        <w:tab/>
      </w:r>
      <w:r w:rsidR="001732A8" w:rsidRPr="00BA093E">
        <w:rPr>
          <w:lang w:val="ru-RU"/>
        </w:rPr>
        <w:t xml:space="preserve">Изучение вопроса о том, соответствуют ли существующие </w:t>
      </w:r>
      <w:r w:rsidR="00532FB1" w:rsidRPr="00BA093E">
        <w:rPr>
          <w:lang w:val="ru-RU"/>
        </w:rPr>
        <w:t>API</w:t>
      </w:r>
      <w:r w:rsidR="001732A8" w:rsidRPr="00BA093E">
        <w:rPr>
          <w:lang w:val="ru-RU"/>
        </w:rPr>
        <w:t xml:space="preserve"> и протоколы указанным выше требованиям и возможностям для обеспечения общего уровня</w:t>
      </w:r>
      <w:r w:rsidR="0012598A" w:rsidRPr="00BA093E">
        <w:rPr>
          <w:lang w:val="ru-RU"/>
        </w:rPr>
        <w:t xml:space="preserve"> обслуживания M2M</w:t>
      </w:r>
      <w:r w:rsidR="00532FB1" w:rsidRPr="00BA093E">
        <w:rPr>
          <w:lang w:val="ru-RU"/>
        </w:rPr>
        <w:t xml:space="preserve"> </w:t>
      </w:r>
      <w:r w:rsidR="001732A8" w:rsidRPr="00BA093E">
        <w:rPr>
          <w:lang w:val="ru-RU"/>
        </w:rPr>
        <w:t xml:space="preserve">между приложениями </w:t>
      </w:r>
      <w:r w:rsidR="00532FB1" w:rsidRPr="00BA093E">
        <w:rPr>
          <w:lang w:val="ru-RU"/>
        </w:rPr>
        <w:t xml:space="preserve">M2M </w:t>
      </w:r>
      <w:r w:rsidR="001732A8" w:rsidRPr="00BA093E">
        <w:rPr>
          <w:lang w:val="ru-RU"/>
        </w:rPr>
        <w:t>и сетями электросвязи</w:t>
      </w:r>
      <w:r w:rsidR="00532FB1" w:rsidRPr="00BA093E">
        <w:rPr>
          <w:lang w:val="ru-RU"/>
        </w:rPr>
        <w:t>.</w:t>
      </w:r>
    </w:p>
    <w:p w:rsidR="00532FB1" w:rsidRPr="00BA093E" w:rsidRDefault="00983CB8" w:rsidP="00983CB8">
      <w:pPr>
        <w:tabs>
          <w:tab w:val="clear" w:pos="794"/>
          <w:tab w:val="clear" w:pos="1191"/>
          <w:tab w:val="clear" w:pos="1588"/>
          <w:tab w:val="clear" w:pos="1985"/>
        </w:tabs>
        <w:ind w:left="794" w:hanging="794"/>
        <w:rPr>
          <w:lang w:val="ru-RU"/>
        </w:rPr>
      </w:pPr>
      <w:r w:rsidRPr="00BA093E">
        <w:rPr>
          <w:lang w:val="ru-RU"/>
        </w:rPr>
        <w:t>•</w:t>
      </w:r>
      <w:r w:rsidRPr="00BA093E">
        <w:rPr>
          <w:lang w:val="ru-RU"/>
        </w:rPr>
        <w:tab/>
      </w:r>
      <w:r w:rsidR="003C7CDF" w:rsidRPr="00BA093E">
        <w:rPr>
          <w:lang w:val="ru-RU"/>
        </w:rPr>
        <w:t>Подготовка проектов технических отчетов с описанием и изучением существующих пробелов и определением будущей работы по стандартизации для МСЭ-Т в области уровня</w:t>
      </w:r>
      <w:r w:rsidR="0012598A" w:rsidRPr="00BA093E">
        <w:rPr>
          <w:lang w:val="ru-RU"/>
        </w:rPr>
        <w:t xml:space="preserve"> обслуживания M2M</w:t>
      </w:r>
      <w:r w:rsidR="00532FB1" w:rsidRPr="00BA093E">
        <w:rPr>
          <w:lang w:val="ru-RU"/>
        </w:rPr>
        <w:t>.</w:t>
      </w:r>
    </w:p>
    <w:p w:rsidR="00532FB1" w:rsidRPr="00BA093E" w:rsidRDefault="00983CB8" w:rsidP="00983CB8">
      <w:pPr>
        <w:tabs>
          <w:tab w:val="clear" w:pos="794"/>
          <w:tab w:val="clear" w:pos="1191"/>
          <w:tab w:val="clear" w:pos="1588"/>
          <w:tab w:val="clear" w:pos="1985"/>
        </w:tabs>
        <w:ind w:left="794" w:hanging="794"/>
        <w:rPr>
          <w:lang w:val="ru-RU"/>
        </w:rPr>
      </w:pPr>
      <w:r w:rsidRPr="00BA093E">
        <w:rPr>
          <w:lang w:val="ru-RU"/>
        </w:rPr>
        <w:t>•</w:t>
      </w:r>
      <w:r w:rsidRPr="00BA093E">
        <w:rPr>
          <w:lang w:val="ru-RU"/>
        </w:rPr>
        <w:tab/>
      </w:r>
      <w:r w:rsidR="00566B5D" w:rsidRPr="00BA093E">
        <w:rPr>
          <w:lang w:val="ru-RU"/>
        </w:rPr>
        <w:t xml:space="preserve">Содействие согласованию и консолидации на глобальном уровне путем предоставления окончательных результатов работы </w:t>
      </w:r>
      <w:r w:rsidR="00046F3D" w:rsidRPr="00BA093E">
        <w:rPr>
          <w:lang w:val="ru-RU"/>
        </w:rPr>
        <w:t xml:space="preserve">для </w:t>
      </w:r>
      <w:r w:rsidR="00B32D09" w:rsidRPr="00BA093E">
        <w:rPr>
          <w:lang w:val="ru-RU"/>
        </w:rPr>
        <w:t>основной исследовательской комиссии</w:t>
      </w:r>
      <w:r w:rsidR="00046F3D" w:rsidRPr="00BA093E">
        <w:rPr>
          <w:lang w:val="ru-RU"/>
        </w:rPr>
        <w:t xml:space="preserve"> и, в соответствующих случаях, для </w:t>
      </w:r>
      <w:r w:rsidR="00B32D09" w:rsidRPr="00BA093E">
        <w:rPr>
          <w:lang w:val="ru-RU"/>
        </w:rPr>
        <w:t>други</w:t>
      </w:r>
      <w:r w:rsidR="00046F3D" w:rsidRPr="00BA093E">
        <w:rPr>
          <w:lang w:val="ru-RU"/>
        </w:rPr>
        <w:t>х</w:t>
      </w:r>
      <w:r w:rsidR="00B32D09" w:rsidRPr="00BA093E">
        <w:rPr>
          <w:lang w:val="ru-RU"/>
        </w:rPr>
        <w:t xml:space="preserve"> исследовательски</w:t>
      </w:r>
      <w:r w:rsidR="00046F3D" w:rsidRPr="00BA093E">
        <w:rPr>
          <w:lang w:val="ru-RU"/>
        </w:rPr>
        <w:t>х</w:t>
      </w:r>
      <w:r w:rsidR="00B32D09" w:rsidRPr="00BA093E">
        <w:rPr>
          <w:lang w:val="ru-RU"/>
        </w:rPr>
        <w:t xml:space="preserve"> комисси</w:t>
      </w:r>
      <w:r w:rsidR="00046F3D" w:rsidRPr="00BA093E">
        <w:rPr>
          <w:lang w:val="ru-RU"/>
        </w:rPr>
        <w:t>й</w:t>
      </w:r>
      <w:r w:rsidR="00532FB1" w:rsidRPr="00BA093E">
        <w:rPr>
          <w:lang w:val="ru-RU"/>
        </w:rPr>
        <w:t>.</w:t>
      </w:r>
    </w:p>
    <w:p w:rsidR="00532FB1" w:rsidRPr="00BA093E" w:rsidRDefault="00983CB8" w:rsidP="00983CB8">
      <w:pPr>
        <w:tabs>
          <w:tab w:val="clear" w:pos="794"/>
          <w:tab w:val="clear" w:pos="1191"/>
          <w:tab w:val="clear" w:pos="1588"/>
          <w:tab w:val="clear" w:pos="1985"/>
        </w:tabs>
        <w:ind w:left="794" w:hanging="794"/>
        <w:rPr>
          <w:lang w:val="ru-RU"/>
        </w:rPr>
      </w:pPr>
      <w:r w:rsidRPr="00BA093E">
        <w:rPr>
          <w:lang w:val="ru-RU"/>
        </w:rPr>
        <w:t>•</w:t>
      </w:r>
      <w:r w:rsidRPr="00BA093E">
        <w:rPr>
          <w:lang w:val="ru-RU"/>
        </w:rPr>
        <w:tab/>
      </w:r>
      <w:r w:rsidR="00B32D09" w:rsidRPr="00BA093E">
        <w:rPr>
          <w:lang w:val="ru-RU"/>
        </w:rPr>
        <w:t xml:space="preserve">Разработка постоянно обновляющегося списка ОРС, форумов и консорциумов, занимающихся API и протоколами уровня </w:t>
      </w:r>
      <w:r w:rsidR="0012598A" w:rsidRPr="00BA093E">
        <w:rPr>
          <w:lang w:val="ru-RU"/>
        </w:rPr>
        <w:t>обслуживания M2M</w:t>
      </w:r>
      <w:r w:rsidR="00B32D09" w:rsidRPr="00BA093E">
        <w:rPr>
          <w:lang w:val="ru-RU"/>
        </w:rPr>
        <w:t>, включающего информацию об их деятельности и документ</w:t>
      </w:r>
      <w:r w:rsidR="00046F3D" w:rsidRPr="00BA093E">
        <w:rPr>
          <w:lang w:val="ru-RU"/>
        </w:rPr>
        <w:t>ах</w:t>
      </w:r>
      <w:r w:rsidR="00B32D09" w:rsidRPr="00BA093E">
        <w:rPr>
          <w:lang w:val="ru-RU"/>
        </w:rPr>
        <w:t>, в контексте общей платформы уровня</w:t>
      </w:r>
      <w:r w:rsidR="0012598A" w:rsidRPr="00BA093E">
        <w:rPr>
          <w:lang w:val="ru-RU"/>
        </w:rPr>
        <w:t xml:space="preserve"> обслуживания M2M</w:t>
      </w:r>
      <w:r w:rsidR="00532FB1" w:rsidRPr="00BA093E">
        <w:rPr>
          <w:lang w:val="ru-RU"/>
        </w:rPr>
        <w:t>.</w:t>
      </w:r>
    </w:p>
    <w:p w:rsidR="00532FB1" w:rsidRPr="00BA093E" w:rsidRDefault="00C806FF" w:rsidP="00C806FF">
      <w:pPr>
        <w:pStyle w:val="Heading1"/>
        <w:rPr>
          <w:lang w:val="ru-RU"/>
        </w:rPr>
      </w:pPr>
      <w:r w:rsidRPr="00BA093E">
        <w:rPr>
          <w:lang w:val="ru-RU"/>
        </w:rPr>
        <w:t>6</w:t>
      </w:r>
      <w:r w:rsidRPr="00BA093E">
        <w:rPr>
          <w:lang w:val="ru-RU"/>
        </w:rPr>
        <w:tab/>
      </w:r>
      <w:r w:rsidR="00B32D09" w:rsidRPr="00BA093E">
        <w:rPr>
          <w:lang w:val="ru-RU"/>
        </w:rPr>
        <w:t xml:space="preserve">Основная </w:t>
      </w:r>
      <w:r w:rsidR="00BB5CCC" w:rsidRPr="00BA093E">
        <w:rPr>
          <w:lang w:val="ru-RU"/>
        </w:rPr>
        <w:t xml:space="preserve">комиссия </w:t>
      </w:r>
    </w:p>
    <w:p w:rsidR="00532FB1" w:rsidRPr="00BA093E" w:rsidRDefault="00BB5CCC" w:rsidP="00C806FF">
      <w:pPr>
        <w:rPr>
          <w:color w:val="000000"/>
          <w:lang w:val="ru-RU"/>
        </w:rPr>
      </w:pPr>
      <w:r w:rsidRPr="00BA093E">
        <w:rPr>
          <w:color w:val="000000"/>
          <w:lang w:val="ru-RU"/>
        </w:rPr>
        <w:t xml:space="preserve">Основной комиссией является 11-я Исследовательская комиссия МСЭ-Т. </w:t>
      </w:r>
    </w:p>
    <w:p w:rsidR="00532FB1" w:rsidRPr="00BA093E" w:rsidRDefault="00C806FF" w:rsidP="00C806FF">
      <w:pPr>
        <w:pStyle w:val="Heading1"/>
        <w:rPr>
          <w:lang w:val="ru-RU"/>
        </w:rPr>
      </w:pPr>
      <w:r w:rsidRPr="00BA093E">
        <w:rPr>
          <w:lang w:val="ru-RU"/>
        </w:rPr>
        <w:t>7</w:t>
      </w:r>
      <w:r w:rsidRPr="00BA093E">
        <w:rPr>
          <w:lang w:val="ru-RU"/>
        </w:rPr>
        <w:tab/>
      </w:r>
      <w:r w:rsidR="00BB5CCC" w:rsidRPr="00BA093E">
        <w:rPr>
          <w:lang w:val="ru-RU"/>
        </w:rPr>
        <w:t>Руководство</w:t>
      </w:r>
    </w:p>
    <w:p w:rsidR="00532FB1" w:rsidRPr="00BA093E" w:rsidRDefault="00BB5CCC" w:rsidP="00C806FF">
      <w:pPr>
        <w:rPr>
          <w:color w:val="000000"/>
          <w:lang w:val="ru-RU"/>
        </w:rPr>
      </w:pPr>
      <w:r w:rsidRPr="00BA093E">
        <w:rPr>
          <w:color w:val="000000"/>
          <w:lang w:val="ru-RU"/>
        </w:rPr>
        <w:t>См. раздел</w:t>
      </w:r>
      <w:r w:rsidR="00532FB1" w:rsidRPr="00BA093E">
        <w:rPr>
          <w:color w:val="000000"/>
          <w:lang w:val="ru-RU"/>
        </w:rPr>
        <w:t xml:space="preserve"> 2.3 </w:t>
      </w:r>
      <w:r w:rsidRPr="00BA093E">
        <w:rPr>
          <w:color w:val="000000"/>
          <w:lang w:val="ru-RU"/>
        </w:rPr>
        <w:t>Рекомендации МСЭ</w:t>
      </w:r>
      <w:r w:rsidR="00532FB1" w:rsidRPr="00BA093E">
        <w:rPr>
          <w:color w:val="000000"/>
          <w:lang w:val="ru-RU"/>
        </w:rPr>
        <w:t>-T A.7</w:t>
      </w:r>
    </w:p>
    <w:p w:rsidR="00532FB1" w:rsidRPr="00BA093E" w:rsidRDefault="00C806FF" w:rsidP="00C806FF">
      <w:pPr>
        <w:pStyle w:val="Heading1"/>
        <w:rPr>
          <w:lang w:val="ru-RU"/>
        </w:rPr>
      </w:pPr>
      <w:r w:rsidRPr="00BA093E">
        <w:rPr>
          <w:lang w:val="ru-RU"/>
        </w:rPr>
        <w:t>8</w:t>
      </w:r>
      <w:r w:rsidRPr="00BA093E">
        <w:rPr>
          <w:lang w:val="ru-RU"/>
        </w:rPr>
        <w:tab/>
      </w:r>
      <w:r w:rsidR="00BB5CCC" w:rsidRPr="00BA093E">
        <w:rPr>
          <w:lang w:val="ru-RU"/>
        </w:rPr>
        <w:t>Участие</w:t>
      </w:r>
    </w:p>
    <w:p w:rsidR="00532FB1" w:rsidRPr="00BA093E" w:rsidRDefault="00BB5CCC" w:rsidP="00C806FF">
      <w:pPr>
        <w:rPr>
          <w:color w:val="000000"/>
          <w:lang w:val="ru-RU"/>
        </w:rPr>
      </w:pPr>
      <w:r w:rsidRPr="00BA093E">
        <w:rPr>
          <w:color w:val="000000"/>
          <w:lang w:val="ru-RU"/>
        </w:rPr>
        <w:t xml:space="preserve">См. раздел </w:t>
      </w:r>
      <w:r w:rsidR="00532FB1" w:rsidRPr="00BA093E">
        <w:rPr>
          <w:color w:val="000000"/>
          <w:lang w:val="ru-RU"/>
        </w:rPr>
        <w:t xml:space="preserve">3 </w:t>
      </w:r>
      <w:r w:rsidRPr="00BA093E">
        <w:rPr>
          <w:color w:val="000000"/>
          <w:lang w:val="ru-RU"/>
        </w:rPr>
        <w:t xml:space="preserve">Рекомендации МСЭ-T </w:t>
      </w:r>
      <w:r w:rsidR="00532FB1" w:rsidRPr="00BA093E">
        <w:rPr>
          <w:color w:val="000000"/>
          <w:lang w:val="ru-RU"/>
        </w:rPr>
        <w:t xml:space="preserve">A.7. </w:t>
      </w:r>
      <w:r w:rsidRPr="00BA093E">
        <w:rPr>
          <w:color w:val="000000"/>
          <w:lang w:val="ru-RU"/>
        </w:rPr>
        <w:t xml:space="preserve">Для справочных целей будет вестись список участников, который будет сообщаться основной комиссии. </w:t>
      </w:r>
    </w:p>
    <w:p w:rsidR="00532FB1" w:rsidRPr="00BA093E" w:rsidRDefault="00C806FF" w:rsidP="00C806FF">
      <w:pPr>
        <w:pStyle w:val="Heading1"/>
        <w:rPr>
          <w:lang w:val="ru-RU"/>
        </w:rPr>
      </w:pPr>
      <w:r w:rsidRPr="00BA093E">
        <w:rPr>
          <w:lang w:val="ru-RU"/>
        </w:rPr>
        <w:t>9</w:t>
      </w:r>
      <w:r w:rsidRPr="00BA093E">
        <w:rPr>
          <w:lang w:val="ru-RU"/>
        </w:rPr>
        <w:tab/>
      </w:r>
      <w:r w:rsidR="00BB5CCC" w:rsidRPr="00BA093E">
        <w:rPr>
          <w:lang w:val="ru-RU"/>
        </w:rPr>
        <w:t xml:space="preserve">Административная поддержка </w:t>
      </w:r>
    </w:p>
    <w:p w:rsidR="00532FB1" w:rsidRPr="00BA093E" w:rsidRDefault="00BB5CCC" w:rsidP="00C806FF">
      <w:pPr>
        <w:rPr>
          <w:color w:val="000000"/>
          <w:lang w:val="ru-RU"/>
        </w:rPr>
      </w:pPr>
      <w:r w:rsidRPr="00BA093E">
        <w:rPr>
          <w:color w:val="000000"/>
          <w:lang w:val="ru-RU"/>
        </w:rPr>
        <w:t xml:space="preserve">См. раздел </w:t>
      </w:r>
      <w:r w:rsidR="00532FB1" w:rsidRPr="00BA093E">
        <w:rPr>
          <w:color w:val="000000"/>
          <w:lang w:val="ru-RU"/>
        </w:rPr>
        <w:t xml:space="preserve">5 </w:t>
      </w:r>
      <w:r w:rsidRPr="00BA093E">
        <w:rPr>
          <w:color w:val="000000"/>
          <w:lang w:val="ru-RU"/>
        </w:rPr>
        <w:t xml:space="preserve">Рекомендации МСЭ-T </w:t>
      </w:r>
      <w:r w:rsidR="00532FB1" w:rsidRPr="00BA093E">
        <w:rPr>
          <w:color w:val="000000"/>
          <w:lang w:val="ru-RU"/>
        </w:rPr>
        <w:t>A.7.</w:t>
      </w:r>
    </w:p>
    <w:p w:rsidR="00532FB1" w:rsidRPr="00BA093E" w:rsidRDefault="00C806FF" w:rsidP="00C806FF">
      <w:pPr>
        <w:pStyle w:val="Heading1"/>
        <w:rPr>
          <w:lang w:val="ru-RU"/>
        </w:rPr>
      </w:pPr>
      <w:r w:rsidRPr="00BA093E">
        <w:rPr>
          <w:lang w:val="ru-RU"/>
        </w:rPr>
        <w:t>10</w:t>
      </w:r>
      <w:r w:rsidRPr="00BA093E">
        <w:rPr>
          <w:lang w:val="ru-RU"/>
        </w:rPr>
        <w:tab/>
      </w:r>
      <w:r w:rsidR="00BB5CCC" w:rsidRPr="00BA093E">
        <w:rPr>
          <w:lang w:val="ru-RU"/>
        </w:rPr>
        <w:t>Общее финансирование</w:t>
      </w:r>
    </w:p>
    <w:p w:rsidR="00532FB1" w:rsidRPr="00BA093E" w:rsidRDefault="00BB5CCC" w:rsidP="00C806FF">
      <w:pPr>
        <w:rPr>
          <w:color w:val="000000"/>
          <w:lang w:val="ru-RU"/>
        </w:rPr>
      </w:pPr>
      <w:r w:rsidRPr="00BA093E">
        <w:rPr>
          <w:color w:val="000000"/>
          <w:lang w:val="ru-RU"/>
        </w:rPr>
        <w:t xml:space="preserve">См. разделы </w:t>
      </w:r>
      <w:r w:rsidR="00532FB1" w:rsidRPr="00BA093E">
        <w:rPr>
          <w:color w:val="000000"/>
          <w:lang w:val="ru-RU"/>
        </w:rPr>
        <w:t xml:space="preserve">4 </w:t>
      </w:r>
      <w:r w:rsidRPr="00BA093E">
        <w:rPr>
          <w:color w:val="000000"/>
          <w:lang w:val="ru-RU"/>
        </w:rPr>
        <w:t>и</w:t>
      </w:r>
      <w:r w:rsidR="00532FB1" w:rsidRPr="00BA093E">
        <w:rPr>
          <w:color w:val="000000"/>
          <w:lang w:val="ru-RU"/>
        </w:rPr>
        <w:t xml:space="preserve"> 10.2 </w:t>
      </w:r>
      <w:r w:rsidRPr="00BA093E">
        <w:rPr>
          <w:color w:val="000000"/>
          <w:lang w:val="ru-RU"/>
        </w:rPr>
        <w:t xml:space="preserve">Рекомендации МСЭ-T </w:t>
      </w:r>
      <w:r w:rsidR="00532FB1" w:rsidRPr="00BA093E">
        <w:rPr>
          <w:color w:val="000000"/>
          <w:lang w:val="ru-RU"/>
        </w:rPr>
        <w:t>A.7.</w:t>
      </w:r>
    </w:p>
    <w:p w:rsidR="00983CB8" w:rsidRPr="00BA093E" w:rsidRDefault="00983CB8">
      <w:pPr>
        <w:tabs>
          <w:tab w:val="clear" w:pos="794"/>
          <w:tab w:val="clear" w:pos="1191"/>
          <w:tab w:val="clear" w:pos="1588"/>
          <w:tab w:val="clear" w:pos="1985"/>
        </w:tabs>
        <w:spacing w:before="0"/>
        <w:rPr>
          <w:rFonts w:cs="Arial"/>
          <w:b/>
          <w:bCs/>
          <w:color w:val="000000"/>
          <w:szCs w:val="20"/>
          <w:lang w:val="ru-RU"/>
        </w:rPr>
      </w:pPr>
      <w:r w:rsidRPr="00BA093E">
        <w:rPr>
          <w:lang w:val="ru-RU"/>
        </w:rPr>
        <w:br w:type="page"/>
      </w:r>
    </w:p>
    <w:p w:rsidR="00532FB1" w:rsidRPr="00BA093E" w:rsidRDefault="00C806FF" w:rsidP="00C806FF">
      <w:pPr>
        <w:pStyle w:val="Heading1"/>
        <w:rPr>
          <w:lang w:val="ru-RU"/>
        </w:rPr>
      </w:pPr>
      <w:r w:rsidRPr="00BA093E">
        <w:rPr>
          <w:lang w:val="ru-RU"/>
        </w:rPr>
        <w:lastRenderedPageBreak/>
        <w:t>11</w:t>
      </w:r>
      <w:r w:rsidRPr="00BA093E">
        <w:rPr>
          <w:lang w:val="ru-RU"/>
        </w:rPr>
        <w:tab/>
      </w:r>
      <w:r w:rsidR="00BB5CCC" w:rsidRPr="00BA093E">
        <w:rPr>
          <w:lang w:val="ru-RU"/>
        </w:rPr>
        <w:t xml:space="preserve">Собрания </w:t>
      </w:r>
    </w:p>
    <w:p w:rsidR="00532FB1" w:rsidRPr="00BA093E" w:rsidRDefault="00BB5CCC" w:rsidP="00C806FF">
      <w:pPr>
        <w:rPr>
          <w:color w:val="000000"/>
          <w:lang w:val="ru-RU"/>
        </w:rPr>
      </w:pPr>
      <w:r w:rsidRPr="00BA093E">
        <w:rPr>
          <w:color w:val="000000"/>
          <w:lang w:val="ru-RU"/>
        </w:rPr>
        <w:t>Частота и место проведения собраний будут определять</w:t>
      </w:r>
      <w:r w:rsidR="00046F3D" w:rsidRPr="00BA093E">
        <w:rPr>
          <w:color w:val="000000"/>
          <w:lang w:val="ru-RU"/>
        </w:rPr>
        <w:t>ся</w:t>
      </w:r>
      <w:r w:rsidRPr="00BA093E">
        <w:rPr>
          <w:color w:val="000000"/>
          <w:lang w:val="ru-RU"/>
        </w:rPr>
        <w:t xml:space="preserve"> Оперативной группой, и общий план собраний будет сообщаться как можно скорее. Оперативная группа </w:t>
      </w:r>
      <w:r w:rsidR="005E1ED7" w:rsidRPr="00BA093E">
        <w:rPr>
          <w:color w:val="000000"/>
          <w:lang w:val="ru-RU"/>
        </w:rPr>
        <w:t xml:space="preserve">будет в максимальной степени использовать инструменты дистанционного сотрудничества, а также, насколько это возможно, проведение собраний максимально приближенно по времени и месту с существующими собраниями. О собраниях будет объявляться с помощью электронных средств (например, по электронной почте и на веб-сайте и т. д.), по крайней мере за четыре недели до начала собрания. </w:t>
      </w:r>
    </w:p>
    <w:p w:rsidR="00532FB1" w:rsidRPr="00BA093E" w:rsidRDefault="00C806FF" w:rsidP="00C806FF">
      <w:pPr>
        <w:pStyle w:val="Heading1"/>
        <w:rPr>
          <w:lang w:val="ru-RU"/>
        </w:rPr>
      </w:pPr>
      <w:r w:rsidRPr="00BA093E">
        <w:rPr>
          <w:lang w:val="ru-RU"/>
        </w:rPr>
        <w:t>12</w:t>
      </w:r>
      <w:r w:rsidRPr="00BA093E">
        <w:rPr>
          <w:lang w:val="ru-RU"/>
        </w:rPr>
        <w:tab/>
      </w:r>
      <w:r w:rsidR="005E1ED7" w:rsidRPr="00BA093E">
        <w:rPr>
          <w:lang w:val="ru-RU"/>
        </w:rPr>
        <w:t xml:space="preserve">Технические вклады </w:t>
      </w:r>
    </w:p>
    <w:p w:rsidR="00532FB1" w:rsidRPr="00BA093E" w:rsidRDefault="005E1ED7" w:rsidP="00C806FF">
      <w:pPr>
        <w:rPr>
          <w:color w:val="000000"/>
          <w:lang w:val="ru-RU"/>
        </w:rPr>
      </w:pPr>
      <w:r w:rsidRPr="00BA093E">
        <w:rPr>
          <w:color w:val="000000"/>
          <w:lang w:val="ru-RU"/>
        </w:rPr>
        <w:t xml:space="preserve">Вклады должны предоставляться не позже чем за десять календарных дней до начала собрания. </w:t>
      </w:r>
    </w:p>
    <w:p w:rsidR="00532FB1" w:rsidRPr="00BA093E" w:rsidRDefault="00C806FF" w:rsidP="00C806FF">
      <w:pPr>
        <w:pStyle w:val="Heading1"/>
        <w:rPr>
          <w:lang w:val="ru-RU"/>
        </w:rPr>
      </w:pPr>
      <w:r w:rsidRPr="00BA093E">
        <w:rPr>
          <w:lang w:val="ru-RU"/>
        </w:rPr>
        <w:t>13</w:t>
      </w:r>
      <w:r w:rsidRPr="00BA093E">
        <w:rPr>
          <w:lang w:val="ru-RU"/>
        </w:rPr>
        <w:tab/>
      </w:r>
      <w:r w:rsidR="005E1ED7" w:rsidRPr="00BA093E">
        <w:rPr>
          <w:lang w:val="ru-RU"/>
        </w:rPr>
        <w:t>Рабочий язык</w:t>
      </w:r>
    </w:p>
    <w:p w:rsidR="00532FB1" w:rsidRPr="00BA093E" w:rsidRDefault="005E1ED7" w:rsidP="00C806FF">
      <w:pPr>
        <w:rPr>
          <w:color w:val="000000"/>
          <w:lang w:val="ru-RU"/>
        </w:rPr>
      </w:pPr>
      <w:r w:rsidRPr="00BA093E">
        <w:rPr>
          <w:color w:val="000000"/>
          <w:lang w:val="ru-RU"/>
        </w:rPr>
        <w:t xml:space="preserve">Рабочим языком будет английский. </w:t>
      </w:r>
    </w:p>
    <w:p w:rsidR="00532FB1" w:rsidRPr="00BA093E" w:rsidRDefault="00C806FF" w:rsidP="00C806FF">
      <w:pPr>
        <w:pStyle w:val="Heading1"/>
        <w:rPr>
          <w:lang w:val="ru-RU"/>
        </w:rPr>
      </w:pPr>
      <w:r w:rsidRPr="00BA093E">
        <w:rPr>
          <w:lang w:val="ru-RU"/>
        </w:rPr>
        <w:t>14</w:t>
      </w:r>
      <w:r w:rsidRPr="00BA093E">
        <w:rPr>
          <w:lang w:val="ru-RU"/>
        </w:rPr>
        <w:tab/>
      </w:r>
      <w:r w:rsidR="005E1ED7" w:rsidRPr="00BA093E">
        <w:rPr>
          <w:lang w:val="ru-RU"/>
        </w:rPr>
        <w:t xml:space="preserve">Утверждение результатов работы </w:t>
      </w:r>
    </w:p>
    <w:p w:rsidR="00532FB1" w:rsidRPr="00BA093E" w:rsidRDefault="005E1ED7" w:rsidP="00C806FF">
      <w:pPr>
        <w:rPr>
          <w:color w:val="000000"/>
          <w:lang w:val="ru-RU"/>
        </w:rPr>
      </w:pPr>
      <w:r w:rsidRPr="00BA093E">
        <w:rPr>
          <w:color w:val="000000"/>
          <w:lang w:val="ru-RU"/>
        </w:rPr>
        <w:t xml:space="preserve">Результаты работы будут утверждаться на основе консенсуса. </w:t>
      </w:r>
    </w:p>
    <w:p w:rsidR="00532FB1" w:rsidRPr="00BA093E" w:rsidRDefault="00983CB8" w:rsidP="00983CB8">
      <w:pPr>
        <w:pStyle w:val="Heading1"/>
        <w:rPr>
          <w:lang w:val="ru-RU"/>
        </w:rPr>
      </w:pPr>
      <w:r w:rsidRPr="00BA093E">
        <w:rPr>
          <w:lang w:val="ru-RU"/>
        </w:rPr>
        <w:t>15</w:t>
      </w:r>
      <w:r w:rsidRPr="00BA093E">
        <w:rPr>
          <w:lang w:val="ru-RU"/>
        </w:rPr>
        <w:tab/>
      </w:r>
      <w:r w:rsidR="00A54F8F" w:rsidRPr="00BA093E">
        <w:rPr>
          <w:lang w:val="ru-RU"/>
        </w:rPr>
        <w:t>Рабочие руководящие принципы</w:t>
      </w:r>
    </w:p>
    <w:p w:rsidR="00532FB1" w:rsidRPr="00BA093E" w:rsidRDefault="00A54F8F" w:rsidP="00C806FF">
      <w:pPr>
        <w:rPr>
          <w:color w:val="000000"/>
          <w:lang w:val="ru-RU"/>
        </w:rPr>
      </w:pPr>
      <w:r w:rsidRPr="00BA093E">
        <w:rPr>
          <w:color w:val="000000"/>
          <w:lang w:val="ru-RU"/>
        </w:rPr>
        <w:t xml:space="preserve">Рабочие процедуры должны </w:t>
      </w:r>
      <w:r w:rsidR="00046F3D" w:rsidRPr="00BA093E">
        <w:rPr>
          <w:color w:val="000000"/>
          <w:lang w:val="ru-RU"/>
        </w:rPr>
        <w:t>соответствовать</w:t>
      </w:r>
      <w:r w:rsidRPr="00BA093E">
        <w:rPr>
          <w:color w:val="000000"/>
          <w:lang w:val="ru-RU"/>
        </w:rPr>
        <w:t xml:space="preserve"> процедурам собраний Докладчиков. Никаких дополнительных рабочих руководящих принципов не определено. </w:t>
      </w:r>
    </w:p>
    <w:p w:rsidR="00532FB1" w:rsidRPr="00BA093E" w:rsidRDefault="00983CB8" w:rsidP="00983CB8">
      <w:pPr>
        <w:pStyle w:val="Heading1"/>
        <w:rPr>
          <w:lang w:val="ru-RU"/>
        </w:rPr>
      </w:pPr>
      <w:r w:rsidRPr="00BA093E">
        <w:rPr>
          <w:lang w:val="ru-RU"/>
        </w:rPr>
        <w:t>16</w:t>
      </w:r>
      <w:r w:rsidRPr="00BA093E">
        <w:rPr>
          <w:lang w:val="ru-RU"/>
        </w:rPr>
        <w:tab/>
      </w:r>
      <w:r w:rsidR="00A54F8F" w:rsidRPr="00BA093E">
        <w:rPr>
          <w:lang w:val="ru-RU"/>
        </w:rPr>
        <w:t>Отчеты о ходе работы</w:t>
      </w:r>
    </w:p>
    <w:p w:rsidR="00532FB1" w:rsidRPr="00BA093E" w:rsidRDefault="00A54F8F" w:rsidP="00C806FF">
      <w:pPr>
        <w:rPr>
          <w:color w:val="000000"/>
          <w:lang w:val="ru-RU"/>
        </w:rPr>
      </w:pPr>
      <w:r w:rsidRPr="00BA093E">
        <w:rPr>
          <w:color w:val="000000"/>
          <w:lang w:val="ru-RU"/>
        </w:rPr>
        <w:t xml:space="preserve">См. раздел 11 Рекомендации МСЭ-T </w:t>
      </w:r>
      <w:r w:rsidR="00532FB1" w:rsidRPr="00BA093E">
        <w:rPr>
          <w:color w:val="000000"/>
          <w:lang w:val="ru-RU"/>
        </w:rPr>
        <w:t>A.7.</w:t>
      </w:r>
    </w:p>
    <w:p w:rsidR="00532FB1" w:rsidRPr="00BA093E" w:rsidRDefault="00983CB8" w:rsidP="00983CB8">
      <w:pPr>
        <w:pStyle w:val="Heading1"/>
        <w:rPr>
          <w:lang w:val="ru-RU"/>
        </w:rPr>
      </w:pPr>
      <w:r w:rsidRPr="00BA093E">
        <w:rPr>
          <w:lang w:val="ru-RU"/>
        </w:rPr>
        <w:t>17</w:t>
      </w:r>
      <w:r w:rsidRPr="00BA093E">
        <w:rPr>
          <w:lang w:val="ru-RU"/>
        </w:rPr>
        <w:tab/>
      </w:r>
      <w:r w:rsidR="00A54F8F" w:rsidRPr="00BA093E">
        <w:rPr>
          <w:lang w:val="ru-RU"/>
        </w:rPr>
        <w:t xml:space="preserve">Объявление о создании Оперативной группы </w:t>
      </w:r>
    </w:p>
    <w:p w:rsidR="00532FB1" w:rsidRPr="00BA093E" w:rsidRDefault="00A54F8F" w:rsidP="00C67DF4">
      <w:pPr>
        <w:rPr>
          <w:color w:val="000000"/>
          <w:lang w:val="ru-RU"/>
        </w:rPr>
      </w:pPr>
      <w:r w:rsidRPr="00BA093E">
        <w:rPr>
          <w:color w:val="000000"/>
          <w:lang w:val="ru-RU"/>
        </w:rPr>
        <w:t xml:space="preserve">О создании Оперативной группы </w:t>
      </w:r>
      <w:r w:rsidR="00046F3D" w:rsidRPr="00BA093E">
        <w:rPr>
          <w:color w:val="000000"/>
          <w:lang w:val="ru-RU"/>
        </w:rPr>
        <w:t>будет объявлено</w:t>
      </w:r>
      <w:r w:rsidRPr="00BA093E">
        <w:rPr>
          <w:color w:val="000000"/>
          <w:lang w:val="ru-RU"/>
        </w:rPr>
        <w:t xml:space="preserve"> в циркулярном письме БСЭ, адресованном всем </w:t>
      </w:r>
      <w:r w:rsidR="00C67DF4">
        <w:rPr>
          <w:color w:val="000000"/>
          <w:lang w:val="ru-RU"/>
        </w:rPr>
        <w:t>Ч</w:t>
      </w:r>
      <w:r w:rsidRPr="00BA093E">
        <w:rPr>
          <w:color w:val="000000"/>
          <w:lang w:val="ru-RU"/>
        </w:rPr>
        <w:t xml:space="preserve">ленам МСЭ, на веб-странице МСЭ-Т </w:t>
      </w:r>
      <w:r w:rsidR="00532FB1" w:rsidRPr="00BA093E">
        <w:rPr>
          <w:color w:val="000000"/>
          <w:lang w:val="ru-RU"/>
        </w:rPr>
        <w:t xml:space="preserve">Newslog </w:t>
      </w:r>
      <w:r w:rsidRPr="00BA093E">
        <w:rPr>
          <w:color w:val="000000"/>
          <w:lang w:val="ru-RU"/>
        </w:rPr>
        <w:t xml:space="preserve">и с помощью других средств, включая переписку с другими заинтересованными организациями. </w:t>
      </w:r>
    </w:p>
    <w:p w:rsidR="00532FB1" w:rsidRPr="00BA093E" w:rsidRDefault="00983CB8" w:rsidP="00983CB8">
      <w:pPr>
        <w:pStyle w:val="Heading1"/>
        <w:rPr>
          <w:lang w:val="ru-RU"/>
        </w:rPr>
      </w:pPr>
      <w:r w:rsidRPr="00BA093E">
        <w:rPr>
          <w:lang w:val="ru-RU"/>
        </w:rPr>
        <w:t>18</w:t>
      </w:r>
      <w:r w:rsidRPr="00BA093E">
        <w:rPr>
          <w:lang w:val="ru-RU"/>
        </w:rPr>
        <w:tab/>
      </w:r>
      <w:r w:rsidR="00A54F8F" w:rsidRPr="00BA093E">
        <w:rPr>
          <w:lang w:val="ru-RU"/>
        </w:rPr>
        <w:t xml:space="preserve">Основные этапы и продолжительность работы Оперативной группы </w:t>
      </w:r>
    </w:p>
    <w:p w:rsidR="00532FB1" w:rsidRPr="00BA093E" w:rsidRDefault="007845C0" w:rsidP="00C806FF">
      <w:pPr>
        <w:rPr>
          <w:color w:val="000000"/>
          <w:lang w:val="ru-RU"/>
        </w:rPr>
      </w:pPr>
      <w:r w:rsidRPr="00BA093E">
        <w:rPr>
          <w:color w:val="000000"/>
          <w:lang w:val="ru-RU"/>
        </w:rPr>
        <w:t xml:space="preserve">Продолжительность деятельности Оперативной группы составляет один год после проведения первого собрания. </w:t>
      </w:r>
    </w:p>
    <w:p w:rsidR="00532FB1" w:rsidRPr="00BA093E" w:rsidRDefault="007845C0" w:rsidP="00C806FF">
      <w:pPr>
        <w:rPr>
          <w:color w:val="000000"/>
          <w:lang w:val="ru-RU"/>
        </w:rPr>
      </w:pPr>
      <w:r w:rsidRPr="00BA093E">
        <w:rPr>
          <w:color w:val="000000"/>
          <w:lang w:val="ru-RU"/>
        </w:rPr>
        <w:t xml:space="preserve">Предварительный список основных этапов работы включает: </w:t>
      </w:r>
    </w:p>
    <w:p w:rsidR="00532FB1" w:rsidRPr="00BA093E" w:rsidRDefault="00BA093E" w:rsidP="00BA093E">
      <w:pPr>
        <w:tabs>
          <w:tab w:val="clear" w:pos="794"/>
          <w:tab w:val="clear" w:pos="1191"/>
          <w:tab w:val="clear" w:pos="1588"/>
          <w:tab w:val="clear" w:pos="1985"/>
        </w:tabs>
        <w:ind w:left="794" w:hanging="794"/>
        <w:rPr>
          <w:lang w:val="ru-RU"/>
        </w:rPr>
      </w:pPr>
      <w:r w:rsidRPr="00BA093E">
        <w:rPr>
          <w:lang w:val="ru-RU"/>
        </w:rPr>
        <w:t>•</w:t>
      </w:r>
      <w:r w:rsidRPr="00BA093E">
        <w:rPr>
          <w:lang w:val="ru-RU"/>
        </w:rPr>
        <w:tab/>
      </w:r>
      <w:r w:rsidR="007845C0" w:rsidRPr="00BA093E">
        <w:rPr>
          <w:lang w:val="ru-RU"/>
        </w:rPr>
        <w:t>Первое собрание Оперативной группы: Женева, Швейцария, апрель 2012 года</w:t>
      </w:r>
    </w:p>
    <w:p w:rsidR="00532FB1" w:rsidRPr="00BA093E" w:rsidRDefault="00BA093E" w:rsidP="00BA093E">
      <w:pPr>
        <w:tabs>
          <w:tab w:val="clear" w:pos="794"/>
          <w:tab w:val="clear" w:pos="1191"/>
          <w:tab w:val="clear" w:pos="1588"/>
          <w:tab w:val="clear" w:pos="1985"/>
        </w:tabs>
        <w:ind w:left="794" w:hanging="794"/>
        <w:rPr>
          <w:lang w:val="ru-RU"/>
        </w:rPr>
      </w:pPr>
      <w:r w:rsidRPr="00BA093E">
        <w:rPr>
          <w:lang w:val="ru-RU"/>
        </w:rPr>
        <w:t>•</w:t>
      </w:r>
      <w:r w:rsidRPr="00BA093E">
        <w:rPr>
          <w:lang w:val="ru-RU"/>
        </w:rPr>
        <w:tab/>
      </w:r>
      <w:r w:rsidR="007845C0" w:rsidRPr="00BA093E">
        <w:rPr>
          <w:lang w:val="ru-RU"/>
        </w:rPr>
        <w:t>Промежуточное представление Оперативной группы и видов ее деятельности: совместный семинар-практикум МСЭ/ВОЗ по электронному здравоохранению. Женева, Швейцария, 26−27 апреля 2012 года</w:t>
      </w:r>
      <w:r w:rsidR="00532FB1" w:rsidRPr="00BA093E">
        <w:rPr>
          <w:lang w:val="ru-RU"/>
        </w:rPr>
        <w:t xml:space="preserve"> </w:t>
      </w:r>
    </w:p>
    <w:p w:rsidR="00532FB1" w:rsidRPr="00BA093E" w:rsidRDefault="00BA093E" w:rsidP="00BA093E">
      <w:pPr>
        <w:tabs>
          <w:tab w:val="clear" w:pos="794"/>
          <w:tab w:val="clear" w:pos="1191"/>
          <w:tab w:val="clear" w:pos="1588"/>
          <w:tab w:val="clear" w:pos="1985"/>
        </w:tabs>
        <w:ind w:left="794" w:hanging="794"/>
        <w:rPr>
          <w:lang w:val="ru-RU"/>
        </w:rPr>
      </w:pPr>
      <w:r w:rsidRPr="00BA093E">
        <w:rPr>
          <w:lang w:val="ru-RU"/>
        </w:rPr>
        <w:t>•</w:t>
      </w:r>
      <w:r w:rsidRPr="00BA093E">
        <w:rPr>
          <w:lang w:val="ru-RU"/>
        </w:rPr>
        <w:tab/>
      </w:r>
      <w:r w:rsidR="007845C0" w:rsidRPr="00BA093E">
        <w:rPr>
          <w:lang w:val="ru-RU"/>
        </w:rPr>
        <w:t>Сопутствующее мероприятие по электронному здравоохранению</w:t>
      </w:r>
      <w:r w:rsidR="00046F3D" w:rsidRPr="00BA093E">
        <w:rPr>
          <w:lang w:val="ru-RU"/>
        </w:rPr>
        <w:t xml:space="preserve"> во время ВАСЭ-12</w:t>
      </w:r>
      <w:r w:rsidR="007845C0" w:rsidRPr="00BA093E">
        <w:rPr>
          <w:lang w:val="ru-RU"/>
        </w:rPr>
        <w:t xml:space="preserve">: </w:t>
      </w:r>
      <w:r w:rsidR="00046F3D" w:rsidRPr="00BA093E">
        <w:rPr>
          <w:lang w:val="ru-RU"/>
        </w:rPr>
        <w:t>Дубай</w:t>
      </w:r>
      <w:r w:rsidR="007845C0" w:rsidRPr="00BA093E">
        <w:rPr>
          <w:lang w:val="ru-RU"/>
        </w:rPr>
        <w:t>, Объединенные Арабские Эмираты, ноябрь 2012 года</w:t>
      </w:r>
    </w:p>
    <w:p w:rsidR="00532FB1" w:rsidRPr="00BA093E" w:rsidRDefault="00983CB8" w:rsidP="00983CB8">
      <w:pPr>
        <w:pStyle w:val="Heading1"/>
        <w:rPr>
          <w:lang w:val="ru-RU"/>
        </w:rPr>
      </w:pPr>
      <w:r w:rsidRPr="00BA093E">
        <w:rPr>
          <w:lang w:val="ru-RU"/>
        </w:rPr>
        <w:t>19</w:t>
      </w:r>
      <w:r w:rsidRPr="00BA093E">
        <w:rPr>
          <w:lang w:val="ru-RU"/>
        </w:rPr>
        <w:tab/>
      </w:r>
      <w:r w:rsidR="00A54F8F" w:rsidRPr="00BA093E">
        <w:rPr>
          <w:lang w:val="ru-RU"/>
        </w:rPr>
        <w:t>Патентная политика</w:t>
      </w:r>
    </w:p>
    <w:p w:rsidR="00532FB1" w:rsidRPr="00BA093E" w:rsidRDefault="007845C0" w:rsidP="00C806FF">
      <w:pPr>
        <w:rPr>
          <w:color w:val="000000"/>
          <w:lang w:val="ru-RU"/>
        </w:rPr>
      </w:pPr>
      <w:r w:rsidRPr="00BA093E">
        <w:rPr>
          <w:color w:val="000000"/>
          <w:lang w:val="ru-RU"/>
        </w:rPr>
        <w:t xml:space="preserve">См. раздел </w:t>
      </w:r>
      <w:r w:rsidR="00532FB1" w:rsidRPr="00BA093E">
        <w:rPr>
          <w:color w:val="000000"/>
          <w:lang w:val="ru-RU"/>
        </w:rPr>
        <w:t xml:space="preserve">9 </w:t>
      </w:r>
      <w:r w:rsidRPr="00BA093E">
        <w:rPr>
          <w:color w:val="000000"/>
          <w:lang w:val="ru-RU"/>
        </w:rPr>
        <w:t xml:space="preserve">Рекомендации МСЭ-T </w:t>
      </w:r>
      <w:r w:rsidR="00532FB1" w:rsidRPr="00BA093E">
        <w:rPr>
          <w:color w:val="000000"/>
          <w:lang w:val="ru-RU"/>
        </w:rPr>
        <w:t>A.7.</w:t>
      </w:r>
    </w:p>
    <w:p w:rsidR="00532FB1" w:rsidRDefault="00532FB1" w:rsidP="00532FB1">
      <w:pPr>
        <w:rPr>
          <w:rFonts w:eastAsia="MS Mincho"/>
          <w:lang w:val="ru-RU" w:eastAsia="ja-JP"/>
        </w:rPr>
      </w:pPr>
    </w:p>
    <w:p w:rsidR="00444E7E" w:rsidRDefault="00444E7E" w:rsidP="00532FB1">
      <w:pPr>
        <w:rPr>
          <w:rFonts w:eastAsia="MS Mincho"/>
          <w:lang w:val="ru-RU" w:eastAsia="ja-JP"/>
        </w:rPr>
        <w:sectPr w:rsidR="00444E7E" w:rsidSect="00F93AEE">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134" w:header="567" w:footer="567" w:gutter="0"/>
          <w:pgNumType w:start="1"/>
          <w:cols w:space="720"/>
          <w:titlePg/>
          <w:docGrid w:linePitch="299"/>
        </w:sectPr>
      </w:pPr>
    </w:p>
    <w:p w:rsidR="00532FB1" w:rsidRPr="00BA093E" w:rsidRDefault="00532FB1" w:rsidP="00BA093E">
      <w:pPr>
        <w:tabs>
          <w:tab w:val="clear" w:pos="794"/>
        </w:tabs>
        <w:spacing w:after="240"/>
        <w:jc w:val="center"/>
        <w:rPr>
          <w:lang w:val="ru-RU"/>
        </w:rPr>
      </w:pPr>
      <w:r w:rsidRPr="00BA093E">
        <w:rPr>
          <w:sz w:val="26"/>
          <w:szCs w:val="26"/>
          <w:lang w:val="ru-RU"/>
        </w:rPr>
        <w:lastRenderedPageBreak/>
        <w:t>ANNEX 2</w:t>
      </w:r>
      <w:r w:rsidRPr="00BA093E">
        <w:rPr>
          <w:sz w:val="26"/>
          <w:szCs w:val="26"/>
          <w:lang w:val="ru-RU"/>
        </w:rPr>
        <w:br/>
      </w:r>
      <w:r w:rsidRPr="00BA093E">
        <w:rPr>
          <w:lang w:val="ru-RU"/>
        </w:rPr>
        <w:t>(To TSB Circular 263)</w:t>
      </w:r>
    </w:p>
    <w:tbl>
      <w:tblPr>
        <w:tblW w:w="0" w:type="auto"/>
        <w:jc w:val="center"/>
        <w:tblLayout w:type="fixed"/>
        <w:tblLook w:val="0000" w:firstRow="0" w:lastRow="0" w:firstColumn="0" w:lastColumn="0" w:noHBand="0" w:noVBand="0"/>
      </w:tblPr>
      <w:tblGrid>
        <w:gridCol w:w="9360"/>
      </w:tblGrid>
      <w:tr w:rsidR="00532FB1" w:rsidRPr="00BA093E" w:rsidTr="00532FB1">
        <w:trPr>
          <w:cantSplit/>
          <w:jc w:val="center"/>
        </w:trPr>
        <w:tc>
          <w:tcPr>
            <w:tcW w:w="9360" w:type="dxa"/>
            <w:tcBorders>
              <w:top w:val="single" w:sz="6" w:space="0" w:color="auto"/>
              <w:left w:val="single" w:sz="6" w:space="0" w:color="auto"/>
              <w:bottom w:val="single" w:sz="6" w:space="0" w:color="auto"/>
              <w:right w:val="single" w:sz="6" w:space="0" w:color="auto"/>
            </w:tcBorders>
          </w:tcPr>
          <w:p w:rsidR="00532FB1" w:rsidRPr="00165D75" w:rsidRDefault="00532FB1" w:rsidP="00532FB1">
            <w:pPr>
              <w:tabs>
                <w:tab w:val="left" w:pos="1440"/>
                <w:tab w:val="left" w:pos="8647"/>
              </w:tabs>
              <w:spacing w:before="0" w:line="288" w:lineRule="atLeast"/>
              <w:ind w:right="133"/>
              <w:jc w:val="center"/>
              <w:rPr>
                <w:i/>
                <w:sz w:val="20"/>
              </w:rPr>
            </w:pPr>
          </w:p>
          <w:p w:rsidR="00532FB1" w:rsidRPr="00165D75" w:rsidRDefault="00532FB1" w:rsidP="00532FB1">
            <w:pPr>
              <w:tabs>
                <w:tab w:val="left" w:pos="1440"/>
                <w:tab w:val="left" w:pos="8647"/>
              </w:tabs>
              <w:spacing w:before="0" w:line="288" w:lineRule="atLeast"/>
              <w:ind w:right="133"/>
              <w:jc w:val="center"/>
              <w:rPr>
                <w:i/>
              </w:rPr>
            </w:pPr>
            <w:r w:rsidRPr="00165D75">
              <w:rPr>
                <w:i/>
              </w:rPr>
              <w:t xml:space="preserve">This confirmation form </w:t>
            </w:r>
            <w:r w:rsidRPr="00165D75">
              <w:rPr>
                <w:b/>
                <w:bCs/>
                <w:i/>
              </w:rPr>
              <w:t xml:space="preserve">should </w:t>
            </w:r>
            <w:r w:rsidRPr="00165D75">
              <w:rPr>
                <w:b/>
                <w:i/>
              </w:rPr>
              <w:t xml:space="preserve">be sent direct </w:t>
            </w:r>
            <w:r w:rsidRPr="00165D75">
              <w:rPr>
                <w:b/>
                <w:bCs/>
                <w:i/>
              </w:rPr>
              <w:t>to the hotel</w:t>
            </w:r>
            <w:r w:rsidRPr="00165D75">
              <w:rPr>
                <w:b/>
                <w:i/>
              </w:rPr>
              <w:t xml:space="preserve"> </w:t>
            </w:r>
            <w:r w:rsidRPr="00165D75">
              <w:rPr>
                <w:i/>
              </w:rPr>
              <w:t>of your choice</w:t>
            </w:r>
          </w:p>
          <w:p w:rsidR="00532FB1" w:rsidRPr="00165D75" w:rsidRDefault="00532FB1" w:rsidP="00532FB1">
            <w:pPr>
              <w:spacing w:before="0" w:after="100" w:line="288" w:lineRule="atLeast"/>
              <w:ind w:right="130"/>
              <w:jc w:val="center"/>
              <w:rPr>
                <w:sz w:val="20"/>
              </w:rPr>
            </w:pPr>
          </w:p>
        </w:tc>
      </w:tr>
    </w:tbl>
    <w:p w:rsidR="00532FB1" w:rsidRPr="00165D75" w:rsidRDefault="00532FB1" w:rsidP="00532FB1">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532FB1" w:rsidRPr="00BA093E" w:rsidTr="00532FB1">
        <w:trPr>
          <w:cantSplit/>
          <w:jc w:val="center"/>
        </w:trPr>
        <w:tc>
          <w:tcPr>
            <w:tcW w:w="1291" w:type="dxa"/>
          </w:tcPr>
          <w:p w:rsidR="00532FB1" w:rsidRPr="00BA093E" w:rsidRDefault="00532FB1" w:rsidP="00532FB1">
            <w:pPr>
              <w:tabs>
                <w:tab w:val="center" w:pos="9639"/>
              </w:tabs>
              <w:spacing w:before="57" w:line="240" w:lineRule="atLeast"/>
              <w:ind w:right="-176"/>
              <w:jc w:val="center"/>
              <w:rPr>
                <w:sz w:val="28"/>
                <w:lang w:val="ru-RU"/>
              </w:rPr>
            </w:pPr>
            <w:r w:rsidRPr="00BA093E">
              <w:rPr>
                <w:noProof/>
                <w:lang w:eastAsia="zh-CN"/>
              </w:rPr>
              <w:drawing>
                <wp:inline distT="0" distB="0" distL="0" distR="0" wp14:anchorId="59102F51" wp14:editId="5CF419DB">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532FB1" w:rsidRPr="00BA093E" w:rsidRDefault="00532FB1" w:rsidP="00532FB1">
            <w:pPr>
              <w:tabs>
                <w:tab w:val="center" w:pos="9639"/>
              </w:tabs>
              <w:spacing w:line="240" w:lineRule="atLeast"/>
              <w:ind w:right="-40"/>
              <w:jc w:val="center"/>
              <w:rPr>
                <w:b/>
                <w:bCs/>
                <w:sz w:val="28"/>
                <w:szCs w:val="28"/>
                <w:lang w:val="ru-RU"/>
              </w:rPr>
            </w:pPr>
            <w:r w:rsidRPr="00BA093E">
              <w:rPr>
                <w:sz w:val="26"/>
                <w:lang w:val="ru-RU"/>
              </w:rPr>
              <w:br/>
            </w:r>
            <w:r w:rsidRPr="00BA093E">
              <w:rPr>
                <w:b/>
                <w:bCs/>
                <w:sz w:val="28"/>
                <w:szCs w:val="28"/>
                <w:lang w:val="ru-RU"/>
              </w:rPr>
              <w:t>INTERNATIONAL TELECOMMUNICATION UNION</w:t>
            </w:r>
            <w:r w:rsidRPr="00BA093E">
              <w:rPr>
                <w:b/>
                <w:bCs/>
                <w:sz w:val="28"/>
                <w:szCs w:val="28"/>
                <w:lang w:val="ru-RU"/>
              </w:rPr>
              <w:br/>
            </w:r>
          </w:p>
        </w:tc>
        <w:tc>
          <w:tcPr>
            <w:tcW w:w="1400" w:type="dxa"/>
          </w:tcPr>
          <w:p w:rsidR="00532FB1" w:rsidRPr="00BA093E" w:rsidRDefault="00532FB1" w:rsidP="00532FB1">
            <w:pPr>
              <w:tabs>
                <w:tab w:val="center" w:pos="9639"/>
              </w:tabs>
              <w:spacing w:before="57" w:line="240" w:lineRule="atLeast"/>
              <w:ind w:left="-142" w:right="-74"/>
              <w:jc w:val="center"/>
              <w:rPr>
                <w:sz w:val="28"/>
                <w:lang w:val="ru-RU"/>
              </w:rPr>
            </w:pPr>
            <w:r w:rsidRPr="00BA093E">
              <w:rPr>
                <w:noProof/>
                <w:lang w:eastAsia="zh-CN"/>
              </w:rPr>
              <w:drawing>
                <wp:inline distT="0" distB="0" distL="0" distR="0" wp14:anchorId="1B90C1D3" wp14:editId="1B687846">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532FB1" w:rsidRPr="00BA093E" w:rsidRDefault="00532FB1" w:rsidP="00532FB1">
      <w:pPr>
        <w:tabs>
          <w:tab w:val="left" w:pos="1440"/>
        </w:tabs>
        <w:spacing w:before="0" w:line="240" w:lineRule="atLeast"/>
        <w:ind w:left="284" w:right="-143"/>
        <w:jc w:val="center"/>
        <w:rPr>
          <w:b/>
          <w:lang w:val="ru-RU"/>
        </w:rPr>
      </w:pPr>
    </w:p>
    <w:p w:rsidR="00532FB1" w:rsidRPr="00165D75" w:rsidRDefault="00532FB1" w:rsidP="00532FB1">
      <w:pPr>
        <w:tabs>
          <w:tab w:val="center" w:pos="4678"/>
        </w:tabs>
        <w:spacing w:before="0" w:line="240" w:lineRule="atLeast"/>
        <w:ind w:left="284" w:right="-143"/>
        <w:jc w:val="center"/>
        <w:rPr>
          <w:b/>
          <w:bCs/>
        </w:rPr>
      </w:pPr>
      <w:r w:rsidRPr="00165D75">
        <w:rPr>
          <w:b/>
          <w:bCs/>
        </w:rPr>
        <w:t>TELECOMMUNICATION STANDARDIZATION SECTOR</w:t>
      </w:r>
      <w:r w:rsidRPr="00165D75">
        <w:rPr>
          <w:b/>
          <w:bCs/>
        </w:rPr>
        <w:br/>
      </w:r>
    </w:p>
    <w:p w:rsidR="00532FB1" w:rsidRPr="00165D75" w:rsidRDefault="00532FB1" w:rsidP="00532FB1">
      <w:pPr>
        <w:tabs>
          <w:tab w:val="left" w:pos="1440"/>
        </w:tabs>
        <w:spacing w:before="0" w:line="240" w:lineRule="atLeast"/>
        <w:ind w:left="284" w:right="-143"/>
        <w:rPr>
          <w:sz w:val="20"/>
        </w:rPr>
      </w:pPr>
    </w:p>
    <w:p w:rsidR="00532FB1" w:rsidRPr="00165D75" w:rsidRDefault="00532FB1" w:rsidP="00532FB1">
      <w:pPr>
        <w:tabs>
          <w:tab w:val="left" w:pos="1440"/>
        </w:tabs>
        <w:spacing w:before="0" w:line="240" w:lineRule="atLeast"/>
        <w:ind w:left="284" w:right="515"/>
        <w:rPr>
          <w:sz w:val="20"/>
        </w:rPr>
      </w:pPr>
      <w:r w:rsidRPr="00165D75">
        <w:rPr>
          <w:i/>
          <w:sz w:val="20"/>
        </w:rPr>
        <w:t xml:space="preserve">Focus Group M2M-----------------------------   from    </w:t>
      </w:r>
      <w:proofErr w:type="gramStart"/>
      <w:r w:rsidRPr="00165D75">
        <w:rPr>
          <w:i/>
          <w:sz w:val="20"/>
        </w:rPr>
        <w:t>-------------------------  to</w:t>
      </w:r>
      <w:proofErr w:type="gramEnd"/>
      <w:r w:rsidRPr="00165D75">
        <w:rPr>
          <w:i/>
          <w:sz w:val="20"/>
        </w:rPr>
        <w:t xml:space="preserve"> -----------------------</w:t>
      </w:r>
    </w:p>
    <w:p w:rsidR="00532FB1" w:rsidRPr="00165D75" w:rsidRDefault="00532FB1" w:rsidP="00532FB1">
      <w:pPr>
        <w:tabs>
          <w:tab w:val="left" w:pos="1440"/>
        </w:tabs>
        <w:spacing w:before="0" w:line="240" w:lineRule="atLeast"/>
        <w:ind w:left="284" w:right="515"/>
        <w:rPr>
          <w:sz w:val="20"/>
        </w:rPr>
      </w:pPr>
    </w:p>
    <w:p w:rsidR="00532FB1" w:rsidRPr="00165D75" w:rsidRDefault="00532FB1" w:rsidP="00532FB1">
      <w:pPr>
        <w:tabs>
          <w:tab w:val="left" w:pos="1440"/>
        </w:tabs>
        <w:spacing w:before="0" w:line="240" w:lineRule="atLeast"/>
        <w:ind w:left="284" w:right="515"/>
        <w:rPr>
          <w:sz w:val="20"/>
        </w:rPr>
      </w:pPr>
      <w:r w:rsidRPr="00165D75">
        <w:rPr>
          <w:i/>
          <w:sz w:val="20"/>
        </w:rPr>
        <w:t>Confirmation of the reservation made on (date) -------------------------   with (hotel)   -------------------------------</w:t>
      </w:r>
    </w:p>
    <w:p w:rsidR="00532FB1" w:rsidRPr="00165D75" w:rsidRDefault="00532FB1" w:rsidP="00532FB1">
      <w:pPr>
        <w:tabs>
          <w:tab w:val="left" w:pos="1440"/>
        </w:tabs>
        <w:spacing w:before="0" w:line="240" w:lineRule="atLeast"/>
        <w:ind w:left="284" w:right="515"/>
        <w:rPr>
          <w:sz w:val="20"/>
        </w:rPr>
      </w:pPr>
    </w:p>
    <w:p w:rsidR="00532FB1" w:rsidRPr="00165D75" w:rsidRDefault="00532FB1" w:rsidP="00532FB1">
      <w:pPr>
        <w:tabs>
          <w:tab w:val="left" w:pos="1440"/>
        </w:tabs>
        <w:spacing w:before="0" w:line="240" w:lineRule="atLeast"/>
        <w:ind w:left="284" w:right="515"/>
        <w:rPr>
          <w:sz w:val="20"/>
        </w:rPr>
      </w:pPr>
    </w:p>
    <w:p w:rsidR="00532FB1" w:rsidRPr="00165D75" w:rsidRDefault="00532FB1" w:rsidP="00532FB1">
      <w:pPr>
        <w:tabs>
          <w:tab w:val="left" w:pos="1440"/>
        </w:tabs>
        <w:spacing w:before="0" w:line="240" w:lineRule="atLeast"/>
        <w:ind w:left="284" w:right="515"/>
        <w:rPr>
          <w:u w:val="single"/>
        </w:rPr>
      </w:pPr>
      <w:proofErr w:type="gramStart"/>
      <w:r w:rsidRPr="00165D75">
        <w:rPr>
          <w:b/>
          <w:i/>
          <w:u w:val="single"/>
        </w:rPr>
        <w:t>at</w:t>
      </w:r>
      <w:proofErr w:type="gramEnd"/>
      <w:r w:rsidRPr="00165D75">
        <w:rPr>
          <w:b/>
          <w:i/>
          <w:u w:val="single"/>
        </w:rPr>
        <w:t xml:space="preserve"> the ITU preferential tariff </w:t>
      </w:r>
    </w:p>
    <w:p w:rsidR="00532FB1" w:rsidRPr="00165D75" w:rsidRDefault="00532FB1" w:rsidP="00532FB1">
      <w:pPr>
        <w:tabs>
          <w:tab w:val="left" w:pos="1440"/>
        </w:tabs>
        <w:spacing w:before="0" w:line="240" w:lineRule="atLeast"/>
        <w:ind w:left="284" w:right="515"/>
        <w:rPr>
          <w:sz w:val="20"/>
        </w:rPr>
      </w:pPr>
    </w:p>
    <w:p w:rsidR="00532FB1" w:rsidRPr="00165D75" w:rsidRDefault="00532FB1" w:rsidP="00532FB1">
      <w:pPr>
        <w:tabs>
          <w:tab w:val="left" w:pos="1440"/>
        </w:tabs>
        <w:spacing w:before="0" w:line="240" w:lineRule="atLeast"/>
        <w:ind w:left="284" w:right="515"/>
        <w:rPr>
          <w:i/>
          <w:sz w:val="20"/>
        </w:rPr>
      </w:pPr>
      <w:r w:rsidRPr="00165D75">
        <w:rPr>
          <w:i/>
          <w:sz w:val="20"/>
        </w:rPr>
        <w:t>------------ single/double room(s)</w:t>
      </w:r>
    </w:p>
    <w:p w:rsidR="00532FB1" w:rsidRPr="00165D75" w:rsidRDefault="00532FB1" w:rsidP="00532FB1">
      <w:pPr>
        <w:tabs>
          <w:tab w:val="left" w:pos="1440"/>
        </w:tabs>
        <w:spacing w:before="0" w:line="240" w:lineRule="atLeast"/>
        <w:ind w:left="284" w:right="515"/>
        <w:rPr>
          <w:i/>
          <w:sz w:val="20"/>
        </w:rPr>
      </w:pPr>
    </w:p>
    <w:p w:rsidR="00532FB1" w:rsidRPr="00165D75" w:rsidRDefault="00532FB1" w:rsidP="00532FB1">
      <w:pPr>
        <w:tabs>
          <w:tab w:val="left" w:pos="1440"/>
        </w:tabs>
        <w:spacing w:before="0" w:line="240" w:lineRule="atLeast"/>
        <w:ind w:left="284" w:right="515"/>
        <w:rPr>
          <w:i/>
          <w:sz w:val="20"/>
        </w:rPr>
      </w:pPr>
      <w:proofErr w:type="gramStart"/>
      <w:r w:rsidRPr="00165D75">
        <w:rPr>
          <w:i/>
          <w:sz w:val="20"/>
        </w:rPr>
        <w:t>arriving</w:t>
      </w:r>
      <w:proofErr w:type="gramEnd"/>
      <w:r w:rsidRPr="00165D75">
        <w:rPr>
          <w:i/>
          <w:sz w:val="20"/>
        </w:rPr>
        <w:t xml:space="preserve"> on (date) ---------------------------  at (time)  -------------  departing on (date) -------------------------------</w:t>
      </w:r>
    </w:p>
    <w:p w:rsidR="00532FB1" w:rsidRPr="00165D75" w:rsidRDefault="00532FB1" w:rsidP="00532FB1">
      <w:pPr>
        <w:tabs>
          <w:tab w:val="left" w:pos="1440"/>
        </w:tabs>
        <w:spacing w:before="0" w:line="240" w:lineRule="atLeast"/>
        <w:ind w:left="284" w:right="515"/>
        <w:rPr>
          <w:sz w:val="20"/>
        </w:rPr>
      </w:pPr>
    </w:p>
    <w:p w:rsidR="00532FB1" w:rsidRPr="00165D75" w:rsidRDefault="00532FB1" w:rsidP="00532FB1">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165D75">
        <w:rPr>
          <w:rFonts w:eastAsia="SimSun"/>
          <w:b/>
          <w:bCs/>
          <w:i/>
          <w:iCs/>
          <w:sz w:val="20"/>
          <w:lang w:eastAsia="zh-CN"/>
        </w:rPr>
        <w:t xml:space="preserve">GENEVA TRANSPORT CARD: </w:t>
      </w:r>
      <w:r w:rsidRPr="00165D75">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65D75">
        <w:rPr>
          <w:rFonts w:eastAsia="SimSun"/>
          <w:i/>
          <w:iCs/>
          <w:sz w:val="20"/>
          <w:lang w:eastAsia="zh-CN"/>
        </w:rPr>
        <w:t>Versoix</w:t>
      </w:r>
      <w:proofErr w:type="spellEnd"/>
      <w:r w:rsidRPr="00165D75">
        <w:rPr>
          <w:rFonts w:eastAsia="SimSun"/>
          <w:i/>
          <w:iCs/>
          <w:sz w:val="20"/>
          <w:lang w:eastAsia="zh-CN"/>
        </w:rPr>
        <w:t xml:space="preserve"> and the airport. </w:t>
      </w:r>
    </w:p>
    <w:p w:rsidR="00532FB1" w:rsidRPr="00165D75" w:rsidRDefault="00532FB1" w:rsidP="00532FB1">
      <w:pPr>
        <w:tabs>
          <w:tab w:val="left" w:pos="1440"/>
        </w:tabs>
        <w:spacing w:before="0" w:line="240" w:lineRule="atLeast"/>
        <w:ind w:left="284" w:right="515"/>
        <w:rPr>
          <w:sz w:val="20"/>
        </w:rPr>
      </w:pPr>
    </w:p>
    <w:p w:rsidR="00532FB1" w:rsidRPr="00165D75" w:rsidRDefault="00532FB1" w:rsidP="00532FB1">
      <w:pPr>
        <w:tabs>
          <w:tab w:val="left" w:pos="1440"/>
        </w:tabs>
        <w:spacing w:before="0" w:line="240" w:lineRule="atLeast"/>
        <w:ind w:left="284" w:right="515"/>
        <w:rPr>
          <w:sz w:val="20"/>
        </w:rPr>
      </w:pPr>
      <w:r w:rsidRPr="00165D75">
        <w:rPr>
          <w:i/>
          <w:sz w:val="20"/>
        </w:rPr>
        <w:t>Family name</w:t>
      </w:r>
      <w:r w:rsidRPr="00165D75">
        <w:rPr>
          <w:sz w:val="20"/>
        </w:rPr>
        <w:t xml:space="preserve">    -----------------------------------------------------------------------------------------------------------------</w:t>
      </w:r>
    </w:p>
    <w:p w:rsidR="00532FB1" w:rsidRPr="00165D75" w:rsidRDefault="00532FB1" w:rsidP="00532FB1">
      <w:pPr>
        <w:tabs>
          <w:tab w:val="left" w:pos="1440"/>
        </w:tabs>
        <w:spacing w:before="0" w:line="240" w:lineRule="atLeast"/>
        <w:ind w:left="284" w:right="515"/>
        <w:rPr>
          <w:sz w:val="20"/>
        </w:rPr>
      </w:pPr>
    </w:p>
    <w:p w:rsidR="00532FB1" w:rsidRPr="00165D75" w:rsidRDefault="00532FB1" w:rsidP="00532FB1">
      <w:pPr>
        <w:tabs>
          <w:tab w:val="left" w:pos="1440"/>
        </w:tabs>
        <w:spacing w:before="0" w:line="240" w:lineRule="atLeast"/>
        <w:ind w:left="284" w:right="515"/>
        <w:rPr>
          <w:sz w:val="20"/>
        </w:rPr>
      </w:pPr>
      <w:r w:rsidRPr="00165D75">
        <w:rPr>
          <w:i/>
          <w:sz w:val="20"/>
        </w:rPr>
        <w:t xml:space="preserve">First name    </w:t>
      </w:r>
      <w:r w:rsidRPr="00165D75">
        <w:rPr>
          <w:sz w:val="20"/>
        </w:rPr>
        <w:t xml:space="preserve">    ----------------------------------------------------------------------------------------------------------------</w:t>
      </w:r>
    </w:p>
    <w:p w:rsidR="00532FB1" w:rsidRPr="00165D75" w:rsidRDefault="00532FB1" w:rsidP="00532FB1">
      <w:pPr>
        <w:tabs>
          <w:tab w:val="left" w:pos="1440"/>
        </w:tabs>
        <w:spacing w:before="0" w:line="240" w:lineRule="atLeast"/>
        <w:ind w:left="284" w:right="515"/>
        <w:rPr>
          <w:sz w:val="20"/>
        </w:rPr>
      </w:pPr>
    </w:p>
    <w:p w:rsidR="00532FB1" w:rsidRPr="00165D75" w:rsidRDefault="00532FB1" w:rsidP="00532FB1">
      <w:pPr>
        <w:tabs>
          <w:tab w:val="left" w:pos="1440"/>
        </w:tabs>
        <w:spacing w:before="0" w:line="240" w:lineRule="atLeast"/>
        <w:ind w:left="284" w:right="515"/>
        <w:rPr>
          <w:sz w:val="20"/>
        </w:rPr>
      </w:pPr>
    </w:p>
    <w:p w:rsidR="00532FB1" w:rsidRPr="00165D75" w:rsidRDefault="00532FB1" w:rsidP="00532FB1">
      <w:pPr>
        <w:tabs>
          <w:tab w:val="left" w:pos="1440"/>
        </w:tabs>
        <w:spacing w:before="0" w:line="240" w:lineRule="atLeast"/>
        <w:ind w:left="284" w:right="515"/>
        <w:rPr>
          <w:i/>
          <w:iCs/>
          <w:sz w:val="20"/>
        </w:rPr>
      </w:pPr>
      <w:r w:rsidRPr="00165D75">
        <w:rPr>
          <w:i/>
          <w:sz w:val="20"/>
        </w:rPr>
        <w:t xml:space="preserve">Address        </w:t>
      </w:r>
      <w:r w:rsidRPr="00165D75">
        <w:rPr>
          <w:sz w:val="20"/>
        </w:rPr>
        <w:t xml:space="preserve">    ------------------------------------------------------------------------        </w:t>
      </w:r>
      <w:r w:rsidRPr="00165D75">
        <w:rPr>
          <w:i/>
          <w:iCs/>
          <w:sz w:val="20"/>
        </w:rPr>
        <w:t>Tel: -----------------------------</w:t>
      </w:r>
    </w:p>
    <w:p w:rsidR="00532FB1" w:rsidRPr="00165D75" w:rsidRDefault="00532FB1" w:rsidP="00532FB1">
      <w:pPr>
        <w:tabs>
          <w:tab w:val="left" w:pos="1440"/>
        </w:tabs>
        <w:spacing w:before="0" w:line="240" w:lineRule="atLeast"/>
        <w:ind w:left="284" w:right="515"/>
        <w:rPr>
          <w:i/>
          <w:iCs/>
          <w:sz w:val="20"/>
        </w:rPr>
      </w:pPr>
    </w:p>
    <w:p w:rsidR="00532FB1" w:rsidRPr="00165D75" w:rsidRDefault="00532FB1" w:rsidP="00532FB1">
      <w:pPr>
        <w:tabs>
          <w:tab w:val="left" w:pos="1440"/>
        </w:tabs>
        <w:spacing w:before="0" w:line="240" w:lineRule="atLeast"/>
        <w:ind w:left="284" w:right="515"/>
        <w:rPr>
          <w:i/>
          <w:iCs/>
          <w:sz w:val="20"/>
        </w:rPr>
      </w:pPr>
      <w:r w:rsidRPr="00165D75">
        <w:rPr>
          <w:i/>
          <w:iCs/>
          <w:sz w:val="20"/>
        </w:rPr>
        <w:t>-----------------------------------------------------------------------------------------         Fax: -----------------------------</w:t>
      </w:r>
    </w:p>
    <w:p w:rsidR="00532FB1" w:rsidRPr="00165D75" w:rsidRDefault="00532FB1" w:rsidP="00532FB1">
      <w:pPr>
        <w:tabs>
          <w:tab w:val="left" w:pos="1440"/>
        </w:tabs>
        <w:spacing w:before="0" w:line="240" w:lineRule="atLeast"/>
        <w:ind w:left="284" w:right="515"/>
        <w:rPr>
          <w:i/>
          <w:iCs/>
          <w:sz w:val="20"/>
        </w:rPr>
      </w:pPr>
    </w:p>
    <w:p w:rsidR="00532FB1" w:rsidRPr="00165D75" w:rsidRDefault="00532FB1" w:rsidP="00532FB1">
      <w:pPr>
        <w:tabs>
          <w:tab w:val="left" w:pos="1440"/>
        </w:tabs>
        <w:spacing w:before="0" w:line="240" w:lineRule="atLeast"/>
        <w:ind w:left="284" w:right="515"/>
        <w:rPr>
          <w:sz w:val="20"/>
        </w:rPr>
      </w:pPr>
      <w:r w:rsidRPr="00165D75">
        <w:rPr>
          <w:i/>
          <w:iCs/>
          <w:sz w:val="20"/>
        </w:rPr>
        <w:t>-----------------------------------------------------------------------------------------      E-mail:</w:t>
      </w:r>
      <w:r w:rsidRPr="00165D75">
        <w:rPr>
          <w:sz w:val="20"/>
        </w:rPr>
        <w:t xml:space="preserve"> ----------------------------</w:t>
      </w:r>
    </w:p>
    <w:p w:rsidR="00532FB1" w:rsidRPr="00165D75" w:rsidRDefault="00532FB1" w:rsidP="00532FB1">
      <w:pPr>
        <w:tabs>
          <w:tab w:val="left" w:pos="1440"/>
        </w:tabs>
        <w:spacing w:before="0" w:line="240" w:lineRule="atLeast"/>
        <w:ind w:left="284" w:right="515"/>
        <w:rPr>
          <w:sz w:val="20"/>
        </w:rPr>
      </w:pPr>
    </w:p>
    <w:p w:rsidR="00532FB1" w:rsidRPr="00165D75" w:rsidRDefault="00532FB1" w:rsidP="00532FB1">
      <w:pPr>
        <w:tabs>
          <w:tab w:val="left" w:pos="1440"/>
        </w:tabs>
        <w:spacing w:before="0" w:line="240" w:lineRule="atLeast"/>
        <w:ind w:left="284" w:right="515"/>
        <w:rPr>
          <w:sz w:val="20"/>
        </w:rPr>
      </w:pPr>
    </w:p>
    <w:p w:rsidR="00532FB1" w:rsidRPr="00165D75" w:rsidRDefault="00532FB1" w:rsidP="00532FB1">
      <w:pPr>
        <w:tabs>
          <w:tab w:val="left" w:pos="1440"/>
        </w:tabs>
        <w:spacing w:before="0" w:line="240" w:lineRule="atLeast"/>
        <w:ind w:left="284" w:right="515"/>
        <w:rPr>
          <w:sz w:val="20"/>
        </w:rPr>
      </w:pPr>
      <w:r w:rsidRPr="00165D75">
        <w:rPr>
          <w:i/>
          <w:sz w:val="20"/>
        </w:rPr>
        <w:t>Credit card to guarantee this reservation</w:t>
      </w:r>
      <w:r w:rsidRPr="00165D75">
        <w:rPr>
          <w:sz w:val="20"/>
        </w:rPr>
        <w:t>:        AX/VISA/DINERS/</w:t>
      </w:r>
      <w:proofErr w:type="gramStart"/>
      <w:r w:rsidRPr="00165D75">
        <w:rPr>
          <w:sz w:val="20"/>
        </w:rPr>
        <w:t>EC  (</w:t>
      </w:r>
      <w:proofErr w:type="gramEnd"/>
      <w:r w:rsidRPr="00165D75">
        <w:rPr>
          <w:i/>
          <w:iCs/>
          <w:sz w:val="20"/>
        </w:rPr>
        <w:t>or</w:t>
      </w:r>
      <w:r w:rsidRPr="00165D75">
        <w:rPr>
          <w:sz w:val="20"/>
        </w:rPr>
        <w:t xml:space="preserve"> </w:t>
      </w:r>
      <w:r w:rsidRPr="00165D75">
        <w:rPr>
          <w:i/>
          <w:sz w:val="20"/>
        </w:rPr>
        <w:t>other) ---------------------------------</w:t>
      </w:r>
    </w:p>
    <w:p w:rsidR="00532FB1" w:rsidRPr="00165D75" w:rsidRDefault="00532FB1" w:rsidP="00532FB1">
      <w:pPr>
        <w:tabs>
          <w:tab w:val="left" w:pos="1440"/>
        </w:tabs>
        <w:spacing w:before="0" w:line="240" w:lineRule="atLeast"/>
        <w:ind w:left="284" w:right="515"/>
        <w:rPr>
          <w:sz w:val="20"/>
        </w:rPr>
      </w:pPr>
    </w:p>
    <w:p w:rsidR="00532FB1" w:rsidRPr="00165D75" w:rsidRDefault="00532FB1" w:rsidP="00532FB1">
      <w:pPr>
        <w:tabs>
          <w:tab w:val="left" w:pos="1440"/>
        </w:tabs>
        <w:spacing w:before="0" w:line="240" w:lineRule="atLeast"/>
        <w:ind w:left="284" w:right="515"/>
        <w:rPr>
          <w:sz w:val="20"/>
        </w:rPr>
      </w:pPr>
    </w:p>
    <w:p w:rsidR="00532FB1" w:rsidRPr="00165D75" w:rsidRDefault="00532FB1" w:rsidP="00532FB1">
      <w:pPr>
        <w:tabs>
          <w:tab w:val="left" w:pos="1440"/>
        </w:tabs>
        <w:spacing w:before="0" w:line="240" w:lineRule="atLeast"/>
        <w:ind w:left="284" w:right="515"/>
        <w:rPr>
          <w:sz w:val="20"/>
        </w:rPr>
      </w:pPr>
      <w:r w:rsidRPr="00165D75">
        <w:rPr>
          <w:i/>
          <w:iCs/>
          <w:sz w:val="20"/>
        </w:rPr>
        <w:t xml:space="preserve">No. </w:t>
      </w:r>
      <w:r w:rsidRPr="00165D75">
        <w:rPr>
          <w:sz w:val="20"/>
        </w:rPr>
        <w:t xml:space="preserve">--------------------------------------------------------         </w:t>
      </w:r>
      <w:proofErr w:type="gramStart"/>
      <w:r w:rsidRPr="00165D75">
        <w:rPr>
          <w:sz w:val="20"/>
        </w:rPr>
        <w:t>v</w:t>
      </w:r>
      <w:r w:rsidRPr="00165D75">
        <w:rPr>
          <w:i/>
          <w:sz w:val="20"/>
        </w:rPr>
        <w:t>alid</w:t>
      </w:r>
      <w:proofErr w:type="gramEnd"/>
      <w:r w:rsidRPr="00165D75">
        <w:rPr>
          <w:i/>
          <w:sz w:val="20"/>
        </w:rPr>
        <w:t xml:space="preserve"> until</w:t>
      </w:r>
      <w:r w:rsidRPr="00165D75">
        <w:rPr>
          <w:sz w:val="20"/>
        </w:rPr>
        <w:t xml:space="preserve">      ------------------------------------------------</w:t>
      </w:r>
    </w:p>
    <w:p w:rsidR="00532FB1" w:rsidRPr="00165D75" w:rsidRDefault="00532FB1" w:rsidP="00532FB1">
      <w:pPr>
        <w:tabs>
          <w:tab w:val="left" w:pos="1440"/>
        </w:tabs>
        <w:spacing w:before="0" w:line="240" w:lineRule="atLeast"/>
        <w:ind w:left="284" w:right="515"/>
        <w:rPr>
          <w:sz w:val="20"/>
        </w:rPr>
      </w:pPr>
    </w:p>
    <w:p w:rsidR="00532FB1" w:rsidRPr="00165D75" w:rsidRDefault="00532FB1" w:rsidP="00532FB1">
      <w:pPr>
        <w:tabs>
          <w:tab w:val="left" w:pos="1440"/>
        </w:tabs>
        <w:spacing w:before="0" w:line="240" w:lineRule="atLeast"/>
        <w:ind w:left="284" w:right="515"/>
        <w:rPr>
          <w:sz w:val="20"/>
        </w:rPr>
      </w:pPr>
    </w:p>
    <w:p w:rsidR="00532FB1" w:rsidRPr="00165D75" w:rsidRDefault="00532FB1" w:rsidP="00532FB1">
      <w:pPr>
        <w:tabs>
          <w:tab w:val="left" w:pos="1440"/>
        </w:tabs>
        <w:spacing w:before="0" w:line="240" w:lineRule="atLeast"/>
        <w:ind w:left="284" w:right="515"/>
        <w:rPr>
          <w:sz w:val="20"/>
        </w:rPr>
      </w:pPr>
      <w:r w:rsidRPr="00165D75">
        <w:rPr>
          <w:i/>
          <w:sz w:val="20"/>
        </w:rPr>
        <w:t>Date</w:t>
      </w:r>
      <w:r w:rsidRPr="00165D75">
        <w:rPr>
          <w:sz w:val="20"/>
        </w:rPr>
        <w:t xml:space="preserve"> ------------------------------------------------------      </w:t>
      </w:r>
      <w:r w:rsidRPr="00165D75">
        <w:rPr>
          <w:i/>
          <w:sz w:val="20"/>
        </w:rPr>
        <w:t xml:space="preserve">Signature </w:t>
      </w:r>
      <w:r w:rsidRPr="00165D75">
        <w:rPr>
          <w:sz w:val="20"/>
        </w:rPr>
        <w:t xml:space="preserve">       -------------------------------------------------</w:t>
      </w:r>
    </w:p>
    <w:p w:rsidR="00BA093E" w:rsidRPr="00BA093E" w:rsidRDefault="00BA093E" w:rsidP="00BA093E">
      <w:pPr>
        <w:spacing w:before="720"/>
        <w:jc w:val="center"/>
        <w:rPr>
          <w:lang w:val="ru-RU"/>
        </w:rPr>
      </w:pPr>
      <w:r w:rsidRPr="00BA093E">
        <w:rPr>
          <w:lang w:val="ru-RU"/>
        </w:rPr>
        <w:t>______________</w:t>
      </w:r>
    </w:p>
    <w:sectPr w:rsidR="00BA093E" w:rsidRPr="00BA093E" w:rsidSect="00444E7E">
      <w:type w:val="oddPage"/>
      <w:pgSz w:w="11907" w:h="16840" w:code="9"/>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CB8" w:rsidRDefault="00983CB8">
      <w:r>
        <w:separator/>
      </w:r>
    </w:p>
  </w:endnote>
  <w:endnote w:type="continuationSeparator" w:id="0">
    <w:p w:rsidR="00983CB8" w:rsidRDefault="0098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9D1" w:rsidRDefault="008939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9D1" w:rsidRDefault="008939D1" w:rsidP="008939D1">
    <w:pPr>
      <w:pStyle w:val="Footer"/>
      <w:rPr>
        <w:lang w:val="fr-CH"/>
      </w:rPr>
    </w:pPr>
    <w:r>
      <w:rPr>
        <w:lang w:val="fr-CH"/>
      </w:rPr>
      <w:t>ITU-T\BUREAU\CIRC\263R.DOC</w:t>
    </w:r>
  </w:p>
  <w:p w:rsidR="00983CB8" w:rsidRPr="008939D1" w:rsidRDefault="00983CB8" w:rsidP="008939D1">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983CB8" w:rsidRPr="00EF273F" w:rsidTr="00B54B88">
      <w:trPr>
        <w:cantSplit/>
      </w:trPr>
      <w:tc>
        <w:tcPr>
          <w:tcW w:w="1062" w:type="pct"/>
          <w:tcBorders>
            <w:top w:val="single" w:sz="6" w:space="0" w:color="auto"/>
          </w:tcBorders>
          <w:tcMar>
            <w:top w:w="57" w:type="dxa"/>
          </w:tcMar>
        </w:tcPr>
        <w:p w:rsidR="00983CB8" w:rsidRPr="00EF273F" w:rsidRDefault="00983CB8" w:rsidP="00B54B88">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983CB8" w:rsidRPr="00EF273F" w:rsidRDefault="00983CB8" w:rsidP="00B54B88">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Telephone</w:t>
          </w:r>
          <w:r w:rsidRPr="00EF273F">
            <w:rPr>
              <w:sz w:val="18"/>
              <w:szCs w:val="18"/>
              <w:lang w:val="en-GB"/>
            </w:rPr>
            <w:tab/>
            <w:t>+41 22 730 51 11</w:t>
          </w:r>
        </w:p>
      </w:tc>
      <w:tc>
        <w:tcPr>
          <w:tcW w:w="1224" w:type="pct"/>
          <w:tcBorders>
            <w:top w:val="single" w:sz="6" w:space="0" w:color="auto"/>
          </w:tcBorders>
          <w:tcMar>
            <w:top w:w="57" w:type="dxa"/>
          </w:tcMar>
        </w:tcPr>
        <w:p w:rsidR="00983CB8" w:rsidRPr="00EF273F" w:rsidRDefault="00983CB8" w:rsidP="00B54B88">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 xml:space="preserve">Telex 421 000 </w:t>
          </w:r>
          <w:proofErr w:type="spellStart"/>
          <w:r w:rsidRPr="00EF273F">
            <w:rPr>
              <w:sz w:val="18"/>
              <w:szCs w:val="18"/>
              <w:lang w:val="en-GB"/>
            </w:rPr>
            <w:t>uit</w:t>
          </w:r>
          <w:proofErr w:type="spellEnd"/>
          <w:r w:rsidRPr="00EF273F">
            <w:rPr>
              <w:sz w:val="18"/>
              <w:szCs w:val="18"/>
              <w:lang w:val="en-GB"/>
            </w:rPr>
            <w:t xml:space="preserve"> </w:t>
          </w:r>
          <w:proofErr w:type="spellStart"/>
          <w:r w:rsidRPr="00EF273F">
            <w:rPr>
              <w:sz w:val="18"/>
              <w:szCs w:val="18"/>
              <w:lang w:val="en-GB"/>
            </w:rPr>
            <w:t>ch</w:t>
          </w:r>
          <w:proofErr w:type="spellEnd"/>
        </w:p>
      </w:tc>
      <w:tc>
        <w:tcPr>
          <w:tcW w:w="1131" w:type="pct"/>
          <w:tcBorders>
            <w:top w:val="single" w:sz="6" w:space="0" w:color="auto"/>
          </w:tcBorders>
          <w:tcMar>
            <w:top w:w="57" w:type="dxa"/>
          </w:tcMar>
        </w:tcPr>
        <w:p w:rsidR="00983CB8" w:rsidRPr="00EF273F" w:rsidRDefault="00983CB8" w:rsidP="00B54B88">
          <w:pPr>
            <w:tabs>
              <w:tab w:val="clear" w:pos="794"/>
              <w:tab w:val="clear" w:pos="1191"/>
              <w:tab w:val="clear" w:pos="1588"/>
              <w:tab w:val="clear" w:pos="1985"/>
              <w:tab w:val="left" w:pos="709"/>
            </w:tabs>
            <w:spacing w:before="0"/>
            <w:rPr>
              <w:sz w:val="18"/>
              <w:szCs w:val="18"/>
              <w:lang w:val="en-GB"/>
            </w:rPr>
          </w:pPr>
          <w:r w:rsidRPr="00EF273F">
            <w:rPr>
              <w:sz w:val="18"/>
              <w:szCs w:val="18"/>
              <w:lang w:val="en-GB"/>
            </w:rPr>
            <w:t>E-mail:</w:t>
          </w:r>
          <w:r w:rsidRPr="00EF273F">
            <w:rPr>
              <w:sz w:val="18"/>
              <w:szCs w:val="18"/>
              <w:lang w:val="en-GB"/>
            </w:rPr>
            <w:tab/>
          </w:r>
          <w:hyperlink r:id="rId1" w:history="1">
            <w:r w:rsidRPr="00EF273F">
              <w:rPr>
                <w:color w:val="0000FF"/>
                <w:sz w:val="18"/>
                <w:szCs w:val="18"/>
                <w:u w:val="single"/>
                <w:lang w:val="en-GB"/>
              </w:rPr>
              <w:t>itumail@itu.int</w:t>
            </w:r>
          </w:hyperlink>
        </w:p>
      </w:tc>
    </w:tr>
    <w:tr w:rsidR="00983CB8" w:rsidRPr="00EF273F" w:rsidTr="00B54B88">
      <w:trPr>
        <w:cantSplit/>
      </w:trPr>
      <w:tc>
        <w:tcPr>
          <w:tcW w:w="1062" w:type="pct"/>
        </w:tcPr>
        <w:p w:rsidR="00983CB8" w:rsidRPr="00EF273F" w:rsidRDefault="00983CB8" w:rsidP="00B54B88">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 xml:space="preserve">CH-1211 </w:t>
          </w:r>
          <w:smartTag w:uri="urn:schemas-microsoft-com:office:smarttags" w:element="metricconverter">
            <w:r w:rsidRPr="00EF273F">
              <w:rPr>
                <w:sz w:val="18"/>
                <w:szCs w:val="18"/>
                <w:lang w:val="en-GB"/>
              </w:rPr>
              <w:t>Geneva</w:t>
            </w:r>
          </w:smartTag>
          <w:r w:rsidRPr="00EF273F">
            <w:rPr>
              <w:sz w:val="18"/>
              <w:szCs w:val="18"/>
              <w:lang w:val="en-GB"/>
            </w:rPr>
            <w:t xml:space="preserve"> 20</w:t>
          </w:r>
        </w:p>
      </w:tc>
      <w:tc>
        <w:tcPr>
          <w:tcW w:w="1583" w:type="pct"/>
        </w:tcPr>
        <w:p w:rsidR="00983CB8" w:rsidRPr="00EF273F" w:rsidRDefault="00983CB8" w:rsidP="00B54B88">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Telefax</w:t>
          </w:r>
          <w:r w:rsidRPr="00EF273F">
            <w:rPr>
              <w:sz w:val="18"/>
              <w:szCs w:val="18"/>
              <w:lang w:val="en-GB"/>
            </w:rPr>
            <w:tab/>
            <w:t>Gr3:</w:t>
          </w:r>
          <w:r w:rsidRPr="00EF273F">
            <w:rPr>
              <w:sz w:val="18"/>
              <w:szCs w:val="18"/>
              <w:lang w:val="en-GB"/>
            </w:rPr>
            <w:tab/>
            <w:t>+41 22 733 72 56</w:t>
          </w:r>
        </w:p>
      </w:tc>
      <w:tc>
        <w:tcPr>
          <w:tcW w:w="1224" w:type="pct"/>
        </w:tcPr>
        <w:p w:rsidR="00983CB8" w:rsidRPr="00EF273F" w:rsidRDefault="00983CB8" w:rsidP="00B54B88">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Telegram ITU GENEVE</w:t>
          </w:r>
        </w:p>
      </w:tc>
      <w:tc>
        <w:tcPr>
          <w:tcW w:w="1131" w:type="pct"/>
        </w:tcPr>
        <w:p w:rsidR="00983CB8" w:rsidRPr="00EF273F" w:rsidRDefault="00983CB8" w:rsidP="00B54B88">
          <w:pPr>
            <w:tabs>
              <w:tab w:val="clear" w:pos="794"/>
              <w:tab w:val="clear" w:pos="1191"/>
              <w:tab w:val="clear" w:pos="1588"/>
              <w:tab w:val="clear" w:pos="1985"/>
              <w:tab w:val="left" w:pos="709"/>
            </w:tabs>
            <w:spacing w:before="0"/>
            <w:rPr>
              <w:sz w:val="18"/>
              <w:szCs w:val="18"/>
              <w:lang w:val="ru-RU"/>
            </w:rPr>
          </w:pPr>
          <w:r w:rsidRPr="00EF273F">
            <w:rPr>
              <w:sz w:val="18"/>
              <w:szCs w:val="18"/>
              <w:lang w:val="en-GB"/>
            </w:rPr>
            <w:tab/>
          </w:r>
          <w:hyperlink r:id="rId2" w:history="1">
            <w:r w:rsidRPr="00EF273F">
              <w:rPr>
                <w:color w:val="0000FF"/>
                <w:sz w:val="18"/>
                <w:szCs w:val="18"/>
                <w:u w:val="single"/>
                <w:lang w:val="en-GB"/>
              </w:rPr>
              <w:t>www.itu.int</w:t>
            </w:r>
          </w:hyperlink>
        </w:p>
      </w:tc>
    </w:tr>
    <w:tr w:rsidR="00983CB8" w:rsidRPr="00EF273F" w:rsidTr="00B54B88">
      <w:trPr>
        <w:cantSplit/>
      </w:trPr>
      <w:tc>
        <w:tcPr>
          <w:tcW w:w="1062" w:type="pct"/>
        </w:tcPr>
        <w:p w:rsidR="00983CB8" w:rsidRPr="00EF273F" w:rsidRDefault="00983CB8" w:rsidP="00B54B88">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983CB8" w:rsidRPr="00EF273F" w:rsidRDefault="00983CB8" w:rsidP="00B54B88">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983CB8" w:rsidRPr="00EF273F" w:rsidRDefault="00983CB8" w:rsidP="00B54B88">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983CB8" w:rsidRPr="00EF273F" w:rsidRDefault="00983CB8" w:rsidP="00B54B88">
          <w:pPr>
            <w:tabs>
              <w:tab w:val="clear" w:pos="794"/>
              <w:tab w:val="clear" w:pos="1191"/>
              <w:tab w:val="clear" w:pos="1588"/>
              <w:tab w:val="clear" w:pos="1985"/>
              <w:tab w:val="left" w:pos="709"/>
              <w:tab w:val="left" w:pos="1134"/>
            </w:tabs>
            <w:spacing w:before="0"/>
            <w:rPr>
              <w:sz w:val="18"/>
              <w:szCs w:val="18"/>
              <w:lang w:val="fr-CH"/>
            </w:rPr>
          </w:pPr>
        </w:p>
      </w:tc>
    </w:tr>
  </w:tbl>
  <w:p w:rsidR="00983CB8" w:rsidRPr="00B54B88" w:rsidRDefault="00983CB8" w:rsidP="00B54B88">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CB8" w:rsidRDefault="00983CB8">
      <w:r>
        <w:separator/>
      </w:r>
    </w:p>
  </w:footnote>
  <w:footnote w:type="continuationSeparator" w:id="0">
    <w:p w:rsidR="00983CB8" w:rsidRDefault="00983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9D1" w:rsidRDefault="008939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B8" w:rsidRDefault="00983CB8">
    <w:pPr>
      <w:pStyle w:val="Header"/>
    </w:pPr>
    <w:r>
      <w:t xml:space="preserve">- </w:t>
    </w:r>
    <w:sdt>
      <w:sdtPr>
        <w:id w:val="20254328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718E9">
          <w:rPr>
            <w:noProof/>
          </w:rPr>
          <w:t>2</w:t>
        </w:r>
        <w:r>
          <w:rPr>
            <w:noProof/>
          </w:rPr>
          <w:fldChar w:fldCharType="end"/>
        </w:r>
        <w:r>
          <w:rPr>
            <w:noProof/>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9D1" w:rsidRDefault="008939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E61366"/>
    <w:lvl w:ilvl="0">
      <w:start w:val="1"/>
      <w:numFmt w:val="decimal"/>
      <w:lvlText w:val="%1."/>
      <w:lvlJc w:val="left"/>
      <w:pPr>
        <w:tabs>
          <w:tab w:val="num" w:pos="1492"/>
        </w:tabs>
        <w:ind w:left="1492" w:hanging="360"/>
      </w:pPr>
    </w:lvl>
  </w:abstractNum>
  <w:abstractNum w:abstractNumId="1">
    <w:nsid w:val="FFFFFF7D"/>
    <w:multiLevelType w:val="singleLevel"/>
    <w:tmpl w:val="310ACE56"/>
    <w:lvl w:ilvl="0">
      <w:start w:val="1"/>
      <w:numFmt w:val="decimal"/>
      <w:lvlText w:val="%1."/>
      <w:lvlJc w:val="left"/>
      <w:pPr>
        <w:tabs>
          <w:tab w:val="num" w:pos="1209"/>
        </w:tabs>
        <w:ind w:left="1209" w:hanging="360"/>
      </w:pPr>
    </w:lvl>
  </w:abstractNum>
  <w:abstractNum w:abstractNumId="2">
    <w:nsid w:val="FFFFFF7E"/>
    <w:multiLevelType w:val="singleLevel"/>
    <w:tmpl w:val="AF80672A"/>
    <w:lvl w:ilvl="0">
      <w:start w:val="1"/>
      <w:numFmt w:val="decimal"/>
      <w:lvlText w:val="%1."/>
      <w:lvlJc w:val="left"/>
      <w:pPr>
        <w:tabs>
          <w:tab w:val="num" w:pos="926"/>
        </w:tabs>
        <w:ind w:left="926" w:hanging="360"/>
      </w:pPr>
    </w:lvl>
  </w:abstractNum>
  <w:abstractNum w:abstractNumId="3">
    <w:nsid w:val="FFFFFF7F"/>
    <w:multiLevelType w:val="singleLevel"/>
    <w:tmpl w:val="55BC6E10"/>
    <w:lvl w:ilvl="0">
      <w:start w:val="1"/>
      <w:numFmt w:val="decimal"/>
      <w:lvlText w:val="%1."/>
      <w:lvlJc w:val="left"/>
      <w:pPr>
        <w:tabs>
          <w:tab w:val="num" w:pos="643"/>
        </w:tabs>
        <w:ind w:left="643" w:hanging="360"/>
      </w:pPr>
    </w:lvl>
  </w:abstractNum>
  <w:abstractNum w:abstractNumId="4">
    <w:nsid w:val="FFFFFF80"/>
    <w:multiLevelType w:val="singleLevel"/>
    <w:tmpl w:val="920A2A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7E6F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E845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30FD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EEF820"/>
    <w:lvl w:ilvl="0">
      <w:start w:val="1"/>
      <w:numFmt w:val="decimal"/>
      <w:lvlText w:val="%1."/>
      <w:lvlJc w:val="left"/>
      <w:pPr>
        <w:tabs>
          <w:tab w:val="num" w:pos="360"/>
        </w:tabs>
        <w:ind w:left="360" w:hanging="360"/>
      </w:pPr>
    </w:lvl>
  </w:abstractNum>
  <w:abstractNum w:abstractNumId="9">
    <w:nsid w:val="FFFFFF89"/>
    <w:multiLevelType w:val="singleLevel"/>
    <w:tmpl w:val="0836475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5192D77"/>
    <w:multiLevelType w:val="hybridMultilevel"/>
    <w:tmpl w:val="210AFF94"/>
    <w:lvl w:ilvl="0" w:tplc="673E30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2">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6">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80B34D5"/>
    <w:multiLevelType w:val="hybridMultilevel"/>
    <w:tmpl w:val="3EDCE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1">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31"/>
  </w:num>
  <w:num w:numId="4">
    <w:abstractNumId w:val="13"/>
  </w:num>
  <w:num w:numId="5">
    <w:abstractNumId w:val="24"/>
  </w:num>
  <w:num w:numId="6">
    <w:abstractNumId w:val="12"/>
  </w:num>
  <w:num w:numId="7">
    <w:abstractNumId w:val="26"/>
  </w:num>
  <w:num w:numId="8">
    <w:abstractNumId w:val="20"/>
  </w:num>
  <w:num w:numId="9">
    <w:abstractNumId w:val="22"/>
  </w:num>
  <w:num w:numId="10">
    <w:abstractNumId w:val="15"/>
  </w:num>
  <w:num w:numId="11">
    <w:abstractNumId w:val="25"/>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8"/>
  </w:num>
  <w:num w:numId="14">
    <w:abstractNumId w:val="19"/>
  </w:num>
  <w:num w:numId="15">
    <w:abstractNumId w:val="14"/>
  </w:num>
  <w:num w:numId="16">
    <w:abstractNumId w:val="29"/>
  </w:num>
  <w:num w:numId="17">
    <w:abstractNumId w:val="28"/>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1"/>
  </w:num>
  <w:num w:numId="29">
    <w:abstractNumId w:val="32"/>
  </w:num>
  <w:num w:numId="30">
    <w:abstractNumId w:val="30"/>
  </w:num>
  <w:num w:numId="31">
    <w:abstractNumId w:val="27"/>
  </w:num>
  <w:num w:numId="32">
    <w:abstractNumId w:val="17"/>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C16"/>
    <w:rsid w:val="00017FE7"/>
    <w:rsid w:val="00022027"/>
    <w:rsid w:val="00024565"/>
    <w:rsid w:val="00025619"/>
    <w:rsid w:val="0003235D"/>
    <w:rsid w:val="00035BCD"/>
    <w:rsid w:val="00046F3D"/>
    <w:rsid w:val="00082B7B"/>
    <w:rsid w:val="00086920"/>
    <w:rsid w:val="00095EA0"/>
    <w:rsid w:val="000C2147"/>
    <w:rsid w:val="000C7D98"/>
    <w:rsid w:val="000E1BDF"/>
    <w:rsid w:val="00100CF6"/>
    <w:rsid w:val="00103310"/>
    <w:rsid w:val="00115B49"/>
    <w:rsid w:val="0012598A"/>
    <w:rsid w:val="0015712C"/>
    <w:rsid w:val="001629DC"/>
    <w:rsid w:val="001648B6"/>
    <w:rsid w:val="00165D75"/>
    <w:rsid w:val="001732A8"/>
    <w:rsid w:val="001748F4"/>
    <w:rsid w:val="001B4A74"/>
    <w:rsid w:val="001D261C"/>
    <w:rsid w:val="001E4632"/>
    <w:rsid w:val="001E5E39"/>
    <w:rsid w:val="00207341"/>
    <w:rsid w:val="00254B4A"/>
    <w:rsid w:val="0025701E"/>
    <w:rsid w:val="0026232A"/>
    <w:rsid w:val="002736E9"/>
    <w:rsid w:val="002B37F9"/>
    <w:rsid w:val="002C6353"/>
    <w:rsid w:val="002D06B7"/>
    <w:rsid w:val="002D26FD"/>
    <w:rsid w:val="002E4C41"/>
    <w:rsid w:val="002F029E"/>
    <w:rsid w:val="00324EB5"/>
    <w:rsid w:val="0033434F"/>
    <w:rsid w:val="00340304"/>
    <w:rsid w:val="003718E9"/>
    <w:rsid w:val="003C7CDF"/>
    <w:rsid w:val="003F324C"/>
    <w:rsid w:val="003F5B77"/>
    <w:rsid w:val="004167E6"/>
    <w:rsid w:val="0041688E"/>
    <w:rsid w:val="004350B6"/>
    <w:rsid w:val="00444B73"/>
    <w:rsid w:val="00444E7E"/>
    <w:rsid w:val="00455EFA"/>
    <w:rsid w:val="004650C7"/>
    <w:rsid w:val="00475A27"/>
    <w:rsid w:val="00495F13"/>
    <w:rsid w:val="004A0D07"/>
    <w:rsid w:val="004B29E6"/>
    <w:rsid w:val="004C5268"/>
    <w:rsid w:val="004E01AE"/>
    <w:rsid w:val="004F48F0"/>
    <w:rsid w:val="00514426"/>
    <w:rsid w:val="00532FB1"/>
    <w:rsid w:val="00547481"/>
    <w:rsid w:val="00566B5D"/>
    <w:rsid w:val="00582837"/>
    <w:rsid w:val="005B2007"/>
    <w:rsid w:val="005D044D"/>
    <w:rsid w:val="005E1ED7"/>
    <w:rsid w:val="005E616E"/>
    <w:rsid w:val="005F761F"/>
    <w:rsid w:val="00604A64"/>
    <w:rsid w:val="006139B2"/>
    <w:rsid w:val="00625681"/>
    <w:rsid w:val="00625BAF"/>
    <w:rsid w:val="00636D90"/>
    <w:rsid w:val="00657E48"/>
    <w:rsid w:val="006777D5"/>
    <w:rsid w:val="00683845"/>
    <w:rsid w:val="006F1984"/>
    <w:rsid w:val="00701561"/>
    <w:rsid w:val="0071361F"/>
    <w:rsid w:val="00717255"/>
    <w:rsid w:val="00717999"/>
    <w:rsid w:val="007259F6"/>
    <w:rsid w:val="00725B3A"/>
    <w:rsid w:val="0073537C"/>
    <w:rsid w:val="00741C5B"/>
    <w:rsid w:val="0074299E"/>
    <w:rsid w:val="0074789F"/>
    <w:rsid w:val="00750C16"/>
    <w:rsid w:val="00753F18"/>
    <w:rsid w:val="00763FF3"/>
    <w:rsid w:val="007752C4"/>
    <w:rsid w:val="007845C0"/>
    <w:rsid w:val="0079397B"/>
    <w:rsid w:val="007B6ADC"/>
    <w:rsid w:val="007C110E"/>
    <w:rsid w:val="007C11C4"/>
    <w:rsid w:val="007C5CD2"/>
    <w:rsid w:val="007D0BFA"/>
    <w:rsid w:val="00803BC4"/>
    <w:rsid w:val="00817E44"/>
    <w:rsid w:val="00826CB4"/>
    <w:rsid w:val="00831FDC"/>
    <w:rsid w:val="00832A5A"/>
    <w:rsid w:val="00867192"/>
    <w:rsid w:val="00871131"/>
    <w:rsid w:val="00871B1D"/>
    <w:rsid w:val="0087671E"/>
    <w:rsid w:val="008939D1"/>
    <w:rsid w:val="008C5C0E"/>
    <w:rsid w:val="008C7044"/>
    <w:rsid w:val="008E0925"/>
    <w:rsid w:val="008E6127"/>
    <w:rsid w:val="008F7405"/>
    <w:rsid w:val="009344BF"/>
    <w:rsid w:val="009469D2"/>
    <w:rsid w:val="00983CB8"/>
    <w:rsid w:val="00987191"/>
    <w:rsid w:val="009905A9"/>
    <w:rsid w:val="009979B5"/>
    <w:rsid w:val="009A2C9B"/>
    <w:rsid w:val="009B6144"/>
    <w:rsid w:val="00A21DD2"/>
    <w:rsid w:val="00A244F6"/>
    <w:rsid w:val="00A54F8F"/>
    <w:rsid w:val="00A563C7"/>
    <w:rsid w:val="00A57977"/>
    <w:rsid w:val="00A654CA"/>
    <w:rsid w:val="00A66C90"/>
    <w:rsid w:val="00A8170F"/>
    <w:rsid w:val="00A8211C"/>
    <w:rsid w:val="00A91EB5"/>
    <w:rsid w:val="00AD3D11"/>
    <w:rsid w:val="00AF2B53"/>
    <w:rsid w:val="00B2169C"/>
    <w:rsid w:val="00B32D09"/>
    <w:rsid w:val="00B34D84"/>
    <w:rsid w:val="00B54B88"/>
    <w:rsid w:val="00B733D6"/>
    <w:rsid w:val="00BA093E"/>
    <w:rsid w:val="00BB5CCC"/>
    <w:rsid w:val="00BC33B4"/>
    <w:rsid w:val="00BF32F5"/>
    <w:rsid w:val="00C22D6C"/>
    <w:rsid w:val="00C56C51"/>
    <w:rsid w:val="00C60E38"/>
    <w:rsid w:val="00C623F1"/>
    <w:rsid w:val="00C67DF4"/>
    <w:rsid w:val="00C806FF"/>
    <w:rsid w:val="00CA3040"/>
    <w:rsid w:val="00D47122"/>
    <w:rsid w:val="00D83022"/>
    <w:rsid w:val="00D845A7"/>
    <w:rsid w:val="00D911F5"/>
    <w:rsid w:val="00DA1127"/>
    <w:rsid w:val="00DC6716"/>
    <w:rsid w:val="00DD2CE8"/>
    <w:rsid w:val="00DF012B"/>
    <w:rsid w:val="00DF109B"/>
    <w:rsid w:val="00E02D68"/>
    <w:rsid w:val="00E07386"/>
    <w:rsid w:val="00E14A1A"/>
    <w:rsid w:val="00E17F1A"/>
    <w:rsid w:val="00E4042C"/>
    <w:rsid w:val="00E45C46"/>
    <w:rsid w:val="00E45E53"/>
    <w:rsid w:val="00E645B4"/>
    <w:rsid w:val="00EA1D2D"/>
    <w:rsid w:val="00EC5E44"/>
    <w:rsid w:val="00EF273F"/>
    <w:rsid w:val="00EF2CF2"/>
    <w:rsid w:val="00F15118"/>
    <w:rsid w:val="00F205F5"/>
    <w:rsid w:val="00F5457A"/>
    <w:rsid w:val="00F81977"/>
    <w:rsid w:val="00F830DA"/>
    <w:rsid w:val="00F83892"/>
    <w:rsid w:val="00F8473D"/>
    <w:rsid w:val="00F8789D"/>
    <w:rsid w:val="00F93AEE"/>
    <w:rsid w:val="00FC019B"/>
    <w:rsid w:val="00FD353E"/>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C16"/>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rsid w:val="00017FE7"/>
    <w:pPr>
      <w:keepNext/>
      <w:spacing w:before="240"/>
      <w:outlineLvl w:val="0"/>
    </w:pPr>
    <w:rPr>
      <w:rFonts w:cs="Arial"/>
      <w:b/>
      <w:bCs/>
      <w:color w:val="000000"/>
      <w:szCs w:val="20"/>
    </w:rPr>
  </w:style>
  <w:style w:type="paragraph" w:styleId="Heading2">
    <w:name w:val="heading 2"/>
    <w:basedOn w:val="Normal"/>
    <w:next w:val="Normal"/>
    <w:qFormat/>
    <w:rsid w:val="00017FE7"/>
    <w:pPr>
      <w:keepNext/>
      <w:widowControl w:val="0"/>
      <w:autoSpaceDE w:val="0"/>
      <w:autoSpaceDN w:val="0"/>
      <w:adjustRightInd w:val="0"/>
      <w:outlineLvl w:val="1"/>
    </w:pPr>
    <w:rPr>
      <w:b/>
      <w:bCs/>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50C7"/>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017FE7"/>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017FE7"/>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B54B88"/>
    <w:rPr>
      <w:sz w:val="16"/>
      <w:szCs w:val="24"/>
      <w:lang w:eastAsia="en-US"/>
    </w:rPr>
  </w:style>
  <w:style w:type="character" w:customStyle="1" w:styleId="HeaderChar">
    <w:name w:val="Header Char"/>
    <w:basedOn w:val="DefaultParagraphFont"/>
    <w:link w:val="Header"/>
    <w:uiPriority w:val="99"/>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B54B8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ListParagraph">
    <w:name w:val="List Paragraph"/>
    <w:basedOn w:val="Normal"/>
    <w:uiPriority w:val="34"/>
    <w:qFormat/>
    <w:rsid w:val="00750C16"/>
    <w:pPr>
      <w:ind w:left="720"/>
      <w:contextualSpacing/>
    </w:pPr>
    <w:rPr>
      <w:rFonts w:eastAsiaTheme="minorEastAsia"/>
    </w:rPr>
  </w:style>
  <w:style w:type="paragraph" w:customStyle="1" w:styleId="Reasons">
    <w:name w:val="Reasons"/>
    <w:basedOn w:val="Normal"/>
    <w:qFormat/>
    <w:rsid w:val="00750C16"/>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871B1D"/>
    <w:rPr>
      <w:color w:val="800080" w:themeColor="followedHyperlink"/>
      <w:u w:val="single"/>
    </w:rPr>
  </w:style>
  <w:style w:type="paragraph" w:styleId="BodyText3">
    <w:name w:val="Body Text 3"/>
    <w:basedOn w:val="Normal"/>
    <w:link w:val="BodyText3Char"/>
    <w:uiPriority w:val="99"/>
    <w:rsid w:val="00532FB1"/>
    <w:pPr>
      <w:overflowPunct w:val="0"/>
      <w:autoSpaceDE w:val="0"/>
      <w:autoSpaceDN w:val="0"/>
      <w:adjustRightInd w:val="0"/>
      <w:spacing w:after="120"/>
      <w:textAlignment w:val="baseline"/>
    </w:pPr>
    <w:rPr>
      <w:rFonts w:eastAsia="Malgun Gothic"/>
      <w:sz w:val="16"/>
      <w:szCs w:val="16"/>
      <w:lang w:val="en-GB"/>
    </w:rPr>
  </w:style>
  <w:style w:type="character" w:customStyle="1" w:styleId="BodyText3Char">
    <w:name w:val="Body Text 3 Char"/>
    <w:basedOn w:val="DefaultParagraphFont"/>
    <w:link w:val="BodyText3"/>
    <w:uiPriority w:val="99"/>
    <w:rsid w:val="00532FB1"/>
    <w:rPr>
      <w:rFonts w:eastAsia="Malgun Gothic"/>
      <w:sz w:val="16"/>
      <w:szCs w:val="16"/>
      <w:lang w:val="en-GB" w:eastAsia="en-US"/>
    </w:rPr>
  </w:style>
  <w:style w:type="paragraph" w:styleId="BalloonText">
    <w:name w:val="Balloon Text"/>
    <w:basedOn w:val="Normal"/>
    <w:link w:val="BalloonTextChar"/>
    <w:rsid w:val="003718E9"/>
    <w:pPr>
      <w:spacing w:before="0"/>
    </w:pPr>
    <w:rPr>
      <w:rFonts w:ascii="Tahoma" w:hAnsi="Tahoma" w:cs="Tahoma"/>
      <w:sz w:val="16"/>
      <w:szCs w:val="16"/>
    </w:rPr>
  </w:style>
  <w:style w:type="character" w:customStyle="1" w:styleId="BalloonTextChar">
    <w:name w:val="Balloon Text Char"/>
    <w:basedOn w:val="DefaultParagraphFont"/>
    <w:link w:val="BalloonText"/>
    <w:rsid w:val="003718E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C16"/>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rsid w:val="00017FE7"/>
    <w:pPr>
      <w:keepNext/>
      <w:spacing w:before="240"/>
      <w:outlineLvl w:val="0"/>
    </w:pPr>
    <w:rPr>
      <w:rFonts w:cs="Arial"/>
      <w:b/>
      <w:bCs/>
      <w:color w:val="000000"/>
      <w:szCs w:val="20"/>
    </w:rPr>
  </w:style>
  <w:style w:type="paragraph" w:styleId="Heading2">
    <w:name w:val="heading 2"/>
    <w:basedOn w:val="Normal"/>
    <w:next w:val="Normal"/>
    <w:qFormat/>
    <w:rsid w:val="00017FE7"/>
    <w:pPr>
      <w:keepNext/>
      <w:widowControl w:val="0"/>
      <w:autoSpaceDE w:val="0"/>
      <w:autoSpaceDN w:val="0"/>
      <w:adjustRightInd w:val="0"/>
      <w:outlineLvl w:val="1"/>
    </w:pPr>
    <w:rPr>
      <w:b/>
      <w:bCs/>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50C7"/>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017FE7"/>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017FE7"/>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B54B88"/>
    <w:rPr>
      <w:sz w:val="16"/>
      <w:szCs w:val="24"/>
      <w:lang w:eastAsia="en-US"/>
    </w:rPr>
  </w:style>
  <w:style w:type="character" w:customStyle="1" w:styleId="HeaderChar">
    <w:name w:val="Header Char"/>
    <w:basedOn w:val="DefaultParagraphFont"/>
    <w:link w:val="Header"/>
    <w:uiPriority w:val="99"/>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B54B8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ListParagraph">
    <w:name w:val="List Paragraph"/>
    <w:basedOn w:val="Normal"/>
    <w:uiPriority w:val="34"/>
    <w:qFormat/>
    <w:rsid w:val="00750C16"/>
    <w:pPr>
      <w:ind w:left="720"/>
      <w:contextualSpacing/>
    </w:pPr>
    <w:rPr>
      <w:rFonts w:eastAsiaTheme="minorEastAsia"/>
    </w:rPr>
  </w:style>
  <w:style w:type="paragraph" w:customStyle="1" w:styleId="Reasons">
    <w:name w:val="Reasons"/>
    <w:basedOn w:val="Normal"/>
    <w:qFormat/>
    <w:rsid w:val="00750C16"/>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871B1D"/>
    <w:rPr>
      <w:color w:val="800080" w:themeColor="followedHyperlink"/>
      <w:u w:val="single"/>
    </w:rPr>
  </w:style>
  <w:style w:type="paragraph" w:styleId="BodyText3">
    <w:name w:val="Body Text 3"/>
    <w:basedOn w:val="Normal"/>
    <w:link w:val="BodyText3Char"/>
    <w:uiPriority w:val="99"/>
    <w:rsid w:val="00532FB1"/>
    <w:pPr>
      <w:overflowPunct w:val="0"/>
      <w:autoSpaceDE w:val="0"/>
      <w:autoSpaceDN w:val="0"/>
      <w:adjustRightInd w:val="0"/>
      <w:spacing w:after="120"/>
      <w:textAlignment w:val="baseline"/>
    </w:pPr>
    <w:rPr>
      <w:rFonts w:eastAsia="Malgun Gothic"/>
      <w:sz w:val="16"/>
      <w:szCs w:val="16"/>
      <w:lang w:val="en-GB"/>
    </w:rPr>
  </w:style>
  <w:style w:type="character" w:customStyle="1" w:styleId="BodyText3Char">
    <w:name w:val="Body Text 3 Char"/>
    <w:basedOn w:val="DefaultParagraphFont"/>
    <w:link w:val="BodyText3"/>
    <w:uiPriority w:val="99"/>
    <w:rsid w:val="00532FB1"/>
    <w:rPr>
      <w:rFonts w:eastAsia="Malgun Gothic"/>
      <w:sz w:val="16"/>
      <w:szCs w:val="16"/>
      <w:lang w:val="en-GB" w:eastAsia="en-US"/>
    </w:rPr>
  </w:style>
  <w:style w:type="paragraph" w:styleId="BalloonText">
    <w:name w:val="Balloon Text"/>
    <w:basedOn w:val="Normal"/>
    <w:link w:val="BalloonTextChar"/>
    <w:rsid w:val="003718E9"/>
    <w:pPr>
      <w:spacing w:before="0"/>
    </w:pPr>
    <w:rPr>
      <w:rFonts w:ascii="Tahoma" w:hAnsi="Tahoma" w:cs="Tahoma"/>
      <w:sz w:val="16"/>
      <w:szCs w:val="16"/>
    </w:rPr>
  </w:style>
  <w:style w:type="character" w:customStyle="1" w:styleId="BalloonTextChar">
    <w:name w:val="Balloon Text Char"/>
    <w:basedOn w:val="DefaultParagraphFont"/>
    <w:link w:val="BalloonText"/>
    <w:rsid w:val="003718E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234317872">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fa.itu.int/t/fg/m2m/docs/incomin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itu.int/en/ITU-T/focusgroups/m2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en/ITU-T/focusgroups/m2m/Pages/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focusgroups/m2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tu.int/travel/" TargetMode="External"/><Relationship Id="rId23" Type="http://schemas.openxmlformats.org/officeDocument/2006/relationships/image" Target="media/image2.wmf"/><Relationship Id="rId10" Type="http://schemas.openxmlformats.org/officeDocument/2006/relationships/hyperlink" Target="mailto:tsbfgm2m@itu.in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edh/faqssupport.html"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A96A9-EBBB-4C02-96DD-D988B5004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PR_TSBCIRC1.dotm</Template>
  <TotalTime>0</TotalTime>
  <Pages>7</Pages>
  <Words>2011</Words>
  <Characters>15469</Characters>
  <Application>Microsoft Office Word</Application>
  <DocSecurity>4</DocSecurity>
  <Lines>128</Lines>
  <Paragraphs>34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17446</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Mateu, Cedric</cp:lastModifiedBy>
  <cp:revision>2</cp:revision>
  <cp:lastPrinted>2012-03-01T16:40:00Z</cp:lastPrinted>
  <dcterms:created xsi:type="dcterms:W3CDTF">2012-03-21T13:40:00Z</dcterms:created>
  <dcterms:modified xsi:type="dcterms:W3CDTF">2012-03-21T13:40:00Z</dcterms:modified>
</cp:coreProperties>
</file>