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2898"/>
        <w:gridCol w:w="5202"/>
      </w:tblGrid>
      <w:tr w:rsidR="00007569" w:rsidRPr="00007569" w:rsidTr="00DE3DC9">
        <w:trPr>
          <w:cantSplit/>
          <w:trHeight w:val="340"/>
        </w:trPr>
        <w:tc>
          <w:tcPr>
            <w:tcW w:w="1533" w:type="dxa"/>
          </w:tcPr>
          <w:p w:rsidR="00007569" w:rsidRPr="00007569" w:rsidRDefault="00007569" w:rsidP="00CF1B69">
            <w:pPr>
              <w:tabs>
                <w:tab w:val="left" w:pos="4111"/>
              </w:tabs>
              <w:spacing w:before="20" w:line="300" w:lineRule="exact"/>
              <w:ind w:left="57"/>
            </w:pPr>
          </w:p>
        </w:tc>
        <w:tc>
          <w:tcPr>
            <w:tcW w:w="2898" w:type="dxa"/>
          </w:tcPr>
          <w:p w:rsidR="00007569" w:rsidRPr="00007569" w:rsidRDefault="00007569" w:rsidP="00CF1B69">
            <w:pPr>
              <w:tabs>
                <w:tab w:val="left" w:pos="4111"/>
              </w:tabs>
              <w:spacing w:before="20" w:line="300" w:lineRule="exact"/>
              <w:ind w:left="57"/>
              <w:rPr>
                <w:b/>
              </w:rPr>
            </w:pPr>
          </w:p>
        </w:tc>
        <w:tc>
          <w:tcPr>
            <w:tcW w:w="5202" w:type="dxa"/>
          </w:tcPr>
          <w:p w:rsidR="00007569" w:rsidRPr="00007569" w:rsidRDefault="00007569" w:rsidP="00CF1B69">
            <w:pPr>
              <w:tabs>
                <w:tab w:val="left" w:pos="4111"/>
              </w:tabs>
              <w:spacing w:line="300" w:lineRule="exact"/>
              <w:ind w:left="57"/>
              <w:rPr>
                <w:rtl/>
                <w:lang w:bidi="ar-SY"/>
              </w:rPr>
            </w:pPr>
            <w:r w:rsidRPr="00007569">
              <w:rPr>
                <w:rFonts w:hint="cs"/>
                <w:rtl/>
              </w:rPr>
              <w:t>جنيف،</w:t>
            </w:r>
            <w:r w:rsidRPr="00007569">
              <w:rPr>
                <w:rFonts w:hint="cs"/>
                <w:rtl/>
                <w:lang w:bidi="ar-EG"/>
              </w:rPr>
              <w:t xml:space="preserve"> </w:t>
            </w:r>
            <w:r w:rsidR="00456D50">
              <w:rPr>
                <w:lang w:bidi="ar-EG"/>
              </w:rPr>
              <w:t>30</w:t>
            </w:r>
            <w:r w:rsidR="00456D50">
              <w:rPr>
                <w:rFonts w:hint="cs"/>
                <w:rtl/>
                <w:lang w:bidi="ar-SY"/>
              </w:rPr>
              <w:t xml:space="preserve"> يناير </w:t>
            </w:r>
            <w:r w:rsidR="00456D50">
              <w:rPr>
                <w:lang w:bidi="ar-SY"/>
              </w:rPr>
              <w:t>2012</w:t>
            </w:r>
          </w:p>
          <w:p w:rsidR="00007569" w:rsidRPr="00007569" w:rsidRDefault="00007569" w:rsidP="00CF1B69">
            <w:pPr>
              <w:tabs>
                <w:tab w:val="left" w:pos="4111"/>
              </w:tabs>
              <w:spacing w:before="0" w:line="300" w:lineRule="exact"/>
              <w:ind w:left="57"/>
            </w:pPr>
          </w:p>
        </w:tc>
      </w:tr>
      <w:tr w:rsidR="00007569" w:rsidRPr="00007569" w:rsidTr="00DE3DC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2898" w:type="dxa"/>
          </w:tcPr>
          <w:p w:rsidR="00007569" w:rsidRPr="00456D50" w:rsidRDefault="00C5483C" w:rsidP="00456D50">
            <w:pPr>
              <w:tabs>
                <w:tab w:val="left" w:pos="4111"/>
              </w:tabs>
              <w:spacing w:before="20" w:line="300" w:lineRule="exact"/>
              <w:ind w:left="57"/>
              <w:jc w:val="left"/>
              <w:rPr>
                <w:b/>
                <w:rtl/>
                <w:lang w:bidi="ar-SY"/>
              </w:rPr>
            </w:pPr>
            <w:r>
              <w:rPr>
                <w:b/>
              </w:rPr>
              <w:t>TSB</w:t>
            </w:r>
            <w:r w:rsidR="00F03585">
              <w:rPr>
                <w:b/>
              </w:rPr>
              <w:t> </w:t>
            </w:r>
            <w:r>
              <w:rPr>
                <w:b/>
              </w:rPr>
              <w:t xml:space="preserve">Circular </w:t>
            </w:r>
            <w:r w:rsidR="00456D50">
              <w:rPr>
                <w:b/>
              </w:rPr>
              <w:t>255</w:t>
            </w:r>
          </w:p>
        </w:tc>
        <w:tc>
          <w:tcPr>
            <w:tcW w:w="5202"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DE3DC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2898" w:type="dxa"/>
          </w:tcPr>
          <w:p w:rsidR="00FE7226" w:rsidRDefault="00C33D50" w:rsidP="009C1CA8">
            <w:pPr>
              <w:tabs>
                <w:tab w:val="right" w:pos="1432"/>
                <w:tab w:val="left" w:pos="4111"/>
              </w:tabs>
              <w:spacing w:before="60" w:after="60" w:line="300" w:lineRule="exact"/>
              <w:ind w:left="57"/>
              <w:jc w:val="left"/>
              <w:rPr>
                <w:rtl/>
                <w:lang w:bidi="ar-EG"/>
              </w:rPr>
            </w:pPr>
            <w:r>
              <w:t xml:space="preserve">+41 22 </w:t>
            </w:r>
            <w:r w:rsidR="009C1CA8">
              <w:t>730 6828</w:t>
            </w:r>
            <w:r w:rsidR="00FE7226">
              <w:rPr>
                <w:rFonts w:hint="cs"/>
                <w:rtl/>
                <w:lang w:bidi="ar-EG"/>
              </w:rPr>
              <w:br/>
            </w:r>
            <w:r w:rsidR="00007569" w:rsidRPr="00007569">
              <w:t>+41 22 730 5853</w:t>
            </w:r>
          </w:p>
          <w:p w:rsidR="00007569" w:rsidRDefault="0037234E" w:rsidP="009C1CA8">
            <w:pPr>
              <w:tabs>
                <w:tab w:val="right" w:pos="1432"/>
                <w:tab w:val="left" w:pos="4111"/>
              </w:tabs>
              <w:spacing w:before="20" w:after="60" w:line="300" w:lineRule="exact"/>
              <w:ind w:left="57"/>
              <w:jc w:val="left"/>
              <w:rPr>
                <w:lang w:bidi="ar-SY"/>
              </w:rPr>
            </w:pPr>
            <w:hyperlink r:id="rId10" w:history="1">
              <w:r w:rsidR="009C1CA8" w:rsidRPr="00EC580E">
                <w:rPr>
                  <w:rStyle w:val="Hyperlink"/>
                  <w:lang w:bidi="ar-SY"/>
                </w:rPr>
                <w:t>tsbdir@itu.int</w:t>
              </w:r>
            </w:hyperlink>
          </w:p>
          <w:p w:rsidR="009C1CA8" w:rsidRPr="00007569" w:rsidRDefault="009C1CA8" w:rsidP="009C1CA8">
            <w:pPr>
              <w:tabs>
                <w:tab w:val="right" w:pos="1432"/>
                <w:tab w:val="left" w:pos="4111"/>
              </w:tabs>
              <w:spacing w:before="20" w:after="60" w:line="300" w:lineRule="exact"/>
              <w:ind w:left="57"/>
              <w:jc w:val="left"/>
              <w:rPr>
                <w:rtl/>
                <w:lang w:bidi="ar-SY"/>
              </w:rPr>
            </w:pPr>
          </w:p>
        </w:tc>
        <w:tc>
          <w:tcPr>
            <w:tcW w:w="5202"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456D50">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456D50">
              <w:rPr>
                <w:rFonts w:hint="cs"/>
                <w:spacing w:val="-4"/>
                <w:rtl/>
              </w:rPr>
              <w:t>رؤساء لجان الدراسات بقطاع تقييس الاتصالات ونوابهم؛</w:t>
            </w:r>
          </w:p>
          <w:p w:rsidR="00007569" w:rsidRPr="00007569" w:rsidRDefault="00007569" w:rsidP="00456D50">
            <w:pPr>
              <w:tabs>
                <w:tab w:val="left" w:pos="284"/>
                <w:tab w:val="left" w:pos="4111"/>
              </w:tabs>
              <w:spacing w:before="0" w:line="300" w:lineRule="exact"/>
              <w:ind w:left="284" w:hanging="227"/>
              <w:rPr>
                <w:rtl/>
                <w:lang w:bidi="ar-EG"/>
              </w:rPr>
            </w:pPr>
            <w:r w:rsidRPr="00007569">
              <w:rPr>
                <w:rFonts w:hint="cs"/>
                <w:rtl/>
              </w:rPr>
              <w:t>-</w:t>
            </w:r>
            <w:r w:rsidRPr="00007569">
              <w:rPr>
                <w:rtl/>
              </w:rPr>
              <w:tab/>
            </w:r>
            <w:r w:rsidR="00456D50">
              <w:rPr>
                <w:rFonts w:hint="cs"/>
                <w:rtl/>
              </w:rPr>
              <w:t xml:space="preserve">رئيسي فرقتي العمل </w:t>
            </w:r>
            <w:r w:rsidR="00456D50">
              <w:t>5A</w:t>
            </w:r>
            <w:r w:rsidR="00456D50">
              <w:rPr>
                <w:rFonts w:hint="cs"/>
                <w:rtl/>
                <w:lang w:bidi="ar-SY"/>
              </w:rPr>
              <w:t xml:space="preserve"> و</w:t>
            </w:r>
            <w:r w:rsidR="00456D50">
              <w:rPr>
                <w:lang w:bidi="ar-SY"/>
              </w:rPr>
              <w:t>5D</w:t>
            </w:r>
            <w:r w:rsidR="00456D50">
              <w:rPr>
                <w:rFonts w:hint="cs"/>
                <w:rtl/>
                <w:lang w:bidi="ar-SY"/>
              </w:rPr>
              <w:t xml:space="preserve"> بقطاع الاتصالات الراديوية ونوابهما</w:t>
            </w:r>
            <w:r w:rsidRPr="00007569">
              <w:rPr>
                <w:rFonts w:hint="cs"/>
                <w:rtl/>
              </w:rPr>
              <w:t>؛</w:t>
            </w:r>
          </w:p>
          <w:p w:rsid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r w:rsidR="00456D50">
              <w:rPr>
                <w:rFonts w:hint="cs"/>
                <w:rtl/>
              </w:rPr>
              <w:t>؛</w:t>
            </w:r>
          </w:p>
          <w:p w:rsidR="00456D50" w:rsidRPr="00456D50" w:rsidRDefault="00456D50" w:rsidP="00456D50">
            <w:pPr>
              <w:tabs>
                <w:tab w:val="left" w:pos="284"/>
                <w:tab w:val="left" w:pos="4111"/>
              </w:tabs>
              <w:spacing w:before="0" w:after="60" w:line="300" w:lineRule="exact"/>
              <w:ind w:left="284" w:hanging="227"/>
              <w:rPr>
                <w:spacing w:val="-6"/>
                <w:rtl/>
              </w:rPr>
            </w:pPr>
            <w:r w:rsidRPr="00456D50">
              <w:rPr>
                <w:rFonts w:hint="cs"/>
                <w:spacing w:val="-6"/>
                <w:rtl/>
              </w:rPr>
              <w:t>-</w:t>
            </w:r>
            <w:r w:rsidRPr="00456D50">
              <w:rPr>
                <w:spacing w:val="-6"/>
                <w:rtl/>
              </w:rPr>
              <w:tab/>
            </w:r>
            <w:r w:rsidRPr="00A7234D">
              <w:rPr>
                <w:rFonts w:hint="cs"/>
                <w:spacing w:val="-8"/>
                <w:rtl/>
              </w:rPr>
              <w:t xml:space="preserve">الهيئات التالية: </w:t>
            </w:r>
            <w:r w:rsidRPr="00A7234D">
              <w:rPr>
                <w:spacing w:val="-8"/>
              </w:rPr>
              <w:t>ISO TC 204</w:t>
            </w:r>
            <w:r w:rsidRPr="00A7234D">
              <w:rPr>
                <w:rFonts w:hint="cs"/>
                <w:spacing w:val="-8"/>
                <w:rtl/>
                <w:lang w:bidi="ar-SY"/>
              </w:rPr>
              <w:t xml:space="preserve"> و</w:t>
            </w:r>
            <w:r w:rsidRPr="00A7234D">
              <w:rPr>
                <w:spacing w:val="-8"/>
                <w:lang w:bidi="ar-SY"/>
              </w:rPr>
              <w:t>ISO TC 22</w:t>
            </w:r>
            <w:r w:rsidRPr="00A7234D">
              <w:rPr>
                <w:rFonts w:hint="cs"/>
                <w:spacing w:val="-8"/>
                <w:rtl/>
                <w:lang w:bidi="ar-SY"/>
              </w:rPr>
              <w:t xml:space="preserve"> و</w:t>
            </w:r>
            <w:r w:rsidRPr="00A7234D">
              <w:rPr>
                <w:spacing w:val="-8"/>
                <w:lang w:bidi="ar-SY"/>
              </w:rPr>
              <w:t>ARIB</w:t>
            </w:r>
            <w:r w:rsidRPr="00A7234D">
              <w:rPr>
                <w:rFonts w:hint="cs"/>
                <w:spacing w:val="-8"/>
                <w:rtl/>
                <w:lang w:bidi="ar-SY"/>
              </w:rPr>
              <w:t xml:space="preserve"> و</w:t>
            </w:r>
            <w:r w:rsidRPr="00A7234D">
              <w:rPr>
                <w:spacing w:val="-8"/>
                <w:lang w:bidi="ar-SY"/>
              </w:rPr>
              <w:t>ATIS</w:t>
            </w:r>
            <w:r w:rsidRPr="00A7234D">
              <w:rPr>
                <w:rFonts w:hint="cs"/>
                <w:spacing w:val="-8"/>
                <w:rtl/>
                <w:lang w:bidi="ar-SY"/>
              </w:rPr>
              <w:t xml:space="preserve"> و</w:t>
            </w:r>
            <w:r w:rsidRPr="00A7234D">
              <w:rPr>
                <w:spacing w:val="-8"/>
                <w:lang w:bidi="ar-SY"/>
              </w:rPr>
              <w:t>CCSA</w:t>
            </w:r>
            <w:r w:rsidRPr="00A7234D">
              <w:rPr>
                <w:rFonts w:hint="cs"/>
                <w:spacing w:val="-8"/>
                <w:rtl/>
                <w:lang w:bidi="ar-SY"/>
              </w:rPr>
              <w:t xml:space="preserve"> و</w:t>
            </w:r>
            <w:r w:rsidRPr="00A7234D">
              <w:rPr>
                <w:spacing w:val="-8"/>
                <w:lang w:bidi="ar-SY"/>
              </w:rPr>
              <w:t>ETSI</w:t>
            </w:r>
            <w:r w:rsidRPr="00A7234D">
              <w:rPr>
                <w:rFonts w:hint="cs"/>
                <w:spacing w:val="-8"/>
                <w:rtl/>
                <w:lang w:bidi="ar-SY"/>
              </w:rPr>
              <w:t xml:space="preserve"> و</w:t>
            </w:r>
            <w:r w:rsidRPr="00A7234D">
              <w:rPr>
                <w:spacing w:val="-8"/>
                <w:lang w:bidi="ar-SY"/>
              </w:rPr>
              <w:t>IEEE</w:t>
            </w:r>
            <w:r w:rsidRPr="00A7234D">
              <w:rPr>
                <w:rFonts w:hint="cs"/>
                <w:spacing w:val="-8"/>
                <w:rtl/>
                <w:lang w:bidi="ar-SY"/>
              </w:rPr>
              <w:t xml:space="preserve"> </w:t>
            </w:r>
            <w:r w:rsidR="008E3CBB" w:rsidRPr="00A7234D">
              <w:rPr>
                <w:rFonts w:hint="cs"/>
                <w:spacing w:val="-8"/>
                <w:rtl/>
                <w:lang w:bidi="ar-SY"/>
              </w:rPr>
              <w:t>و</w:t>
            </w:r>
            <w:r w:rsidR="008E3CBB" w:rsidRPr="00A7234D">
              <w:rPr>
                <w:spacing w:val="-8"/>
                <w:lang w:bidi="ar-SY"/>
              </w:rPr>
              <w:t>ISACC</w:t>
            </w:r>
            <w:r w:rsidR="008E3CBB" w:rsidRPr="00A7234D">
              <w:rPr>
                <w:rFonts w:hint="cs"/>
                <w:spacing w:val="-8"/>
                <w:rtl/>
              </w:rPr>
              <w:t xml:space="preserve"> </w:t>
            </w:r>
            <w:r w:rsidRPr="00A7234D">
              <w:rPr>
                <w:rFonts w:hint="cs"/>
                <w:spacing w:val="-8"/>
                <w:rtl/>
                <w:lang w:bidi="ar-SY"/>
              </w:rPr>
              <w:t>و</w:t>
            </w:r>
            <w:r w:rsidRPr="00A7234D">
              <w:rPr>
                <w:spacing w:val="-8"/>
                <w:lang w:bidi="ar-SY"/>
              </w:rPr>
              <w:t>SAE</w:t>
            </w:r>
            <w:r w:rsidRPr="00A7234D">
              <w:rPr>
                <w:rFonts w:hint="cs"/>
                <w:spacing w:val="-8"/>
                <w:rtl/>
                <w:lang w:bidi="ar-SY"/>
              </w:rPr>
              <w:t xml:space="preserve"> و</w:t>
            </w:r>
            <w:r w:rsidRPr="00A7234D">
              <w:rPr>
                <w:spacing w:val="-8"/>
                <w:lang w:bidi="ar-SY"/>
              </w:rPr>
              <w:t>TIA</w:t>
            </w:r>
            <w:r w:rsidRPr="00A7234D">
              <w:rPr>
                <w:rFonts w:hint="cs"/>
                <w:spacing w:val="-8"/>
                <w:rtl/>
                <w:lang w:bidi="ar-SY"/>
              </w:rPr>
              <w:t xml:space="preserve"> و</w:t>
            </w:r>
            <w:r w:rsidRPr="00A7234D">
              <w:rPr>
                <w:spacing w:val="-8"/>
                <w:lang w:bidi="ar-SY"/>
              </w:rPr>
              <w:t>TTC</w:t>
            </w:r>
            <w:r w:rsidRPr="00A7234D">
              <w:rPr>
                <w:rFonts w:hint="cs"/>
                <w:spacing w:val="-8"/>
                <w:rtl/>
                <w:lang w:bidi="ar-SY"/>
              </w:rPr>
              <w:t xml:space="preserve"> و</w:t>
            </w:r>
            <w:r w:rsidRPr="00A7234D">
              <w:rPr>
                <w:spacing w:val="-8"/>
                <w:lang w:bidi="ar-SY"/>
              </w:rPr>
              <w:t>TTA</w:t>
            </w:r>
            <w:r w:rsidR="00CD38D6">
              <w:rPr>
                <w:rFonts w:hint="cs"/>
                <w:spacing w:val="-6"/>
                <w:rtl/>
              </w:rPr>
              <w:t>.</w:t>
            </w:r>
          </w:p>
        </w:tc>
      </w:tr>
      <w:tr w:rsidR="00F71CA3" w:rsidRPr="00007569" w:rsidTr="00DE3DC9">
        <w:trPr>
          <w:cantSplit/>
        </w:trPr>
        <w:tc>
          <w:tcPr>
            <w:tcW w:w="1533" w:type="dxa"/>
          </w:tcPr>
          <w:p w:rsidR="00F71CA3" w:rsidRPr="00007569" w:rsidRDefault="00F71CA3" w:rsidP="0031633A">
            <w:pPr>
              <w:spacing w:after="120"/>
              <w:ind w:left="57"/>
              <w:rPr>
                <w:rtl/>
                <w:lang w:bidi="ar-SY"/>
              </w:rPr>
            </w:pPr>
          </w:p>
        </w:tc>
        <w:tc>
          <w:tcPr>
            <w:tcW w:w="2898" w:type="dxa"/>
          </w:tcPr>
          <w:p w:rsidR="00F71CA3" w:rsidRPr="00007569" w:rsidRDefault="00F71CA3" w:rsidP="00F71CA3">
            <w:pPr>
              <w:tabs>
                <w:tab w:val="right" w:pos="1432"/>
                <w:tab w:val="left" w:pos="4111"/>
              </w:tabs>
              <w:spacing w:after="120"/>
              <w:ind w:left="57"/>
              <w:jc w:val="left"/>
              <w:rPr>
                <w:rtl/>
                <w:lang w:bidi="ar-EG"/>
              </w:rPr>
            </w:pPr>
          </w:p>
        </w:tc>
        <w:tc>
          <w:tcPr>
            <w:tcW w:w="5202"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456D50" w:rsidP="00456D50">
            <w:pPr>
              <w:tabs>
                <w:tab w:val="left" w:pos="284"/>
                <w:tab w:val="left" w:pos="4111"/>
              </w:tabs>
              <w:spacing w:after="120"/>
              <w:ind w:left="57"/>
              <w:jc w:val="left"/>
              <w:rPr>
                <w:b/>
                <w:bCs/>
                <w:rtl/>
                <w:lang w:bidi="ar-SY"/>
              </w:rPr>
            </w:pPr>
            <w:r>
              <w:rPr>
                <w:rFonts w:hint="cs"/>
                <w:b/>
                <w:bCs/>
                <w:rtl/>
              </w:rPr>
              <w:t>اجتماع التعاون بشأن معايير الاتصالات المتعلقة بأنظمة النقل الذكية</w:t>
            </w:r>
            <w:r>
              <w:rPr>
                <w:b/>
                <w:bCs/>
                <w:rtl/>
              </w:rPr>
              <w:br/>
            </w:r>
            <w:r w:rsidR="003B1F1E">
              <w:rPr>
                <w:rFonts w:hint="cs"/>
                <w:b/>
                <w:bCs/>
                <w:rtl/>
              </w:rPr>
              <w:t>تروي</w:t>
            </w:r>
            <w:r>
              <w:rPr>
                <w:rFonts w:hint="cs"/>
                <w:b/>
                <w:bCs/>
                <w:rtl/>
              </w:rPr>
              <w:t xml:space="preserve">، ميتشغان (الولايات المتحدة الأمريكية)، </w:t>
            </w:r>
            <w:r>
              <w:rPr>
                <w:b/>
                <w:bCs/>
              </w:rPr>
              <w:t>3</w:t>
            </w:r>
            <w:r>
              <w:rPr>
                <w:rFonts w:hint="cs"/>
                <w:b/>
                <w:bCs/>
                <w:rtl/>
                <w:lang w:bidi="ar-SY"/>
              </w:rPr>
              <w:t xml:space="preserve"> أبريل </w:t>
            </w:r>
            <w:r>
              <w:rPr>
                <w:b/>
                <w:bCs/>
                <w:lang w:bidi="ar-SY"/>
              </w:rPr>
              <w:t>2012</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327EB6" w:rsidRPr="00327EB6" w:rsidRDefault="00327EB6" w:rsidP="003B1F1E">
      <w:pPr>
        <w:rPr>
          <w:rtl/>
          <w:lang w:bidi="ar-SY"/>
        </w:rPr>
      </w:pPr>
      <w:r w:rsidRPr="00327EB6">
        <w:rPr>
          <w:rFonts w:hint="cs"/>
          <w:rtl/>
        </w:rPr>
        <w:t xml:space="preserve">يسعدني أن أدعوكم إلى حضور </w:t>
      </w:r>
      <w:r w:rsidR="003B1F1E">
        <w:rPr>
          <w:rFonts w:hint="cs"/>
          <w:rtl/>
        </w:rPr>
        <w:t>الاجتماع الثاني للتعاون</w:t>
      </w:r>
      <w:r w:rsidRPr="00327EB6">
        <w:rPr>
          <w:rFonts w:hint="cs"/>
          <w:rtl/>
        </w:rPr>
        <w:t xml:space="preserve"> بشأن معايير الاتصالات المتعلقة بأنظمة النقل الذكية</w:t>
      </w:r>
      <w:r w:rsidRPr="00327EB6">
        <w:rPr>
          <w:rFonts w:hint="eastAsia"/>
          <w:rtl/>
        </w:rPr>
        <w:t> </w:t>
      </w:r>
      <w:r w:rsidRPr="00327EB6">
        <w:rPr>
          <w:lang w:bidi="ar-EG"/>
        </w:rPr>
        <w:t>(ITS)</w:t>
      </w:r>
      <w:r w:rsidRPr="00327EB6">
        <w:rPr>
          <w:rFonts w:hint="cs"/>
          <w:rtl/>
        </w:rPr>
        <w:t xml:space="preserve"> المزمع عقده يوم</w:t>
      </w:r>
      <w:r w:rsidRPr="00327EB6">
        <w:rPr>
          <w:rFonts w:hint="eastAsia"/>
          <w:rtl/>
        </w:rPr>
        <w:t> </w:t>
      </w:r>
      <w:r w:rsidR="00456D50">
        <w:rPr>
          <w:rFonts w:hint="cs"/>
          <w:rtl/>
        </w:rPr>
        <w:t xml:space="preserve">الثلاثاء </w:t>
      </w:r>
      <w:r w:rsidR="00456D50">
        <w:t>3</w:t>
      </w:r>
      <w:r w:rsidR="00456D50">
        <w:rPr>
          <w:rFonts w:hint="cs"/>
          <w:rtl/>
          <w:lang w:bidi="ar-SY"/>
        </w:rPr>
        <w:t xml:space="preserve"> أبريل </w:t>
      </w:r>
      <w:r w:rsidR="00456D50">
        <w:rPr>
          <w:lang w:bidi="ar-SY"/>
        </w:rPr>
        <w:t>2012</w:t>
      </w:r>
      <w:r w:rsidR="00456D50">
        <w:rPr>
          <w:rFonts w:hint="cs"/>
          <w:rtl/>
          <w:lang w:bidi="ar-SY"/>
        </w:rPr>
        <w:t xml:space="preserve"> بمقر جمعية مهندسي السيارات </w:t>
      </w:r>
      <w:r w:rsidR="00456D50">
        <w:rPr>
          <w:lang w:bidi="ar-SY"/>
        </w:rPr>
        <w:t>(SAE)</w:t>
      </w:r>
      <w:r w:rsidRPr="00327EB6">
        <w:rPr>
          <w:rFonts w:hint="cs"/>
          <w:rtl/>
        </w:rPr>
        <w:t>.</w:t>
      </w:r>
      <w:r w:rsidR="00456D50">
        <w:rPr>
          <w:rFonts w:hint="cs"/>
          <w:rtl/>
        </w:rPr>
        <w:t xml:space="preserve"> في مدينة تروى بولاية ميتشغان بالولايات المتحدة الأمريكية بدعوة كريمة من جمعية </w:t>
      </w:r>
      <w:r w:rsidR="00456D50">
        <w:t>SAE</w:t>
      </w:r>
      <w:r w:rsidR="00456D50">
        <w:rPr>
          <w:rFonts w:hint="cs"/>
          <w:rtl/>
          <w:lang w:bidi="ar-SY"/>
        </w:rPr>
        <w:t xml:space="preserve"> الدولية. وسيعقد في نفس المكان الاجتماع الرابع لفريق التركيز المعني بشرود قائدي السيارات (</w:t>
      </w:r>
      <w:r w:rsidR="00456D50">
        <w:rPr>
          <w:lang w:bidi="ar-SY"/>
        </w:rPr>
        <w:t>5</w:t>
      </w:r>
      <w:r w:rsidR="00456D50">
        <w:rPr>
          <w:lang w:bidi="ar-SY"/>
        </w:rPr>
        <w:noBreakHyphen/>
        <w:t>4</w:t>
      </w:r>
      <w:r w:rsidR="00456D50">
        <w:rPr>
          <w:rFonts w:hint="cs"/>
          <w:rtl/>
          <w:lang w:bidi="ar-SY"/>
        </w:rPr>
        <w:t xml:space="preserve"> أبريل </w:t>
      </w:r>
      <w:r w:rsidR="00456D50">
        <w:rPr>
          <w:lang w:bidi="ar-SY"/>
        </w:rPr>
        <w:t>2012</w:t>
      </w:r>
      <w:r w:rsidR="00456D50">
        <w:rPr>
          <w:rFonts w:hint="cs"/>
          <w:rtl/>
          <w:lang w:bidi="ar-SY"/>
        </w:rPr>
        <w:t>).</w:t>
      </w:r>
    </w:p>
    <w:p w:rsidR="00327EB6" w:rsidRPr="00327EB6" w:rsidRDefault="00327EB6" w:rsidP="00456D50">
      <w:pPr>
        <w:rPr>
          <w:rtl/>
          <w:lang w:bidi="ar-EG"/>
        </w:rPr>
      </w:pPr>
      <w:r w:rsidRPr="00327EB6">
        <w:rPr>
          <w:rFonts w:hint="cs"/>
          <w:rtl/>
        </w:rPr>
        <w:t xml:space="preserve">ويهدف هذا اللقاء إلى توفير محفل </w:t>
      </w:r>
      <w:r w:rsidRPr="00327EB6">
        <w:rPr>
          <w:rtl/>
        </w:rPr>
        <w:t xml:space="preserve">معترف به عالمياً </w:t>
      </w:r>
      <w:r w:rsidRPr="00327EB6">
        <w:rPr>
          <w:rFonts w:hint="cs"/>
          <w:rtl/>
        </w:rPr>
        <w:t>لوضع</w:t>
      </w:r>
      <w:r w:rsidRPr="00327EB6">
        <w:rPr>
          <w:rtl/>
        </w:rPr>
        <w:t xml:space="preserve"> مجموعة مقبولة دوليا</w:t>
      </w:r>
      <w:r w:rsidRPr="00327EB6">
        <w:rPr>
          <w:rFonts w:hint="cs"/>
          <w:rtl/>
        </w:rPr>
        <w:t>ً ومنسقة عالمياً</w:t>
      </w:r>
      <w:r w:rsidRPr="00327EB6">
        <w:rPr>
          <w:rtl/>
        </w:rPr>
        <w:t xml:space="preserve"> </w:t>
      </w:r>
      <w:r w:rsidRPr="00327EB6">
        <w:rPr>
          <w:rFonts w:hint="cs"/>
          <w:rtl/>
        </w:rPr>
        <w:t>من معايير الاتصالات لأنظمة النقل الذكية</w:t>
      </w:r>
      <w:r w:rsidRPr="00327EB6">
        <w:rPr>
          <w:rtl/>
        </w:rPr>
        <w:t xml:space="preserve"> </w:t>
      </w:r>
      <w:r w:rsidRPr="00327EB6">
        <w:rPr>
          <w:rFonts w:hint="cs"/>
          <w:rtl/>
        </w:rPr>
        <w:t>ذات مستويات عالية من الجودة وذلك ب</w:t>
      </w:r>
      <w:r w:rsidRPr="00327EB6">
        <w:rPr>
          <w:rtl/>
        </w:rPr>
        <w:t>أسرع وقت ممكن</w:t>
      </w:r>
      <w:r w:rsidR="00456D50">
        <w:rPr>
          <w:rFonts w:hint="cs"/>
          <w:rtl/>
        </w:rPr>
        <w:t xml:space="preserve"> للتمكين من سرعة نشر منتجات وخدمات اتصالات لأنظمة النقل الذكية في الأسواق العالمية تتسم بالقدرة الكاملة عن التشغيل البيني.</w:t>
      </w:r>
    </w:p>
    <w:p w:rsidR="00327EB6" w:rsidRPr="00327EB6" w:rsidRDefault="00456D50" w:rsidP="00327EB6">
      <w:pPr>
        <w:rPr>
          <w:rtl/>
        </w:rPr>
      </w:pPr>
      <w:r>
        <w:rPr>
          <w:rFonts w:hint="cs"/>
          <w:rtl/>
        </w:rPr>
        <w:t>و</w:t>
      </w:r>
      <w:r w:rsidR="00327EB6" w:rsidRPr="00327EB6">
        <w:rPr>
          <w:rFonts w:hint="cs"/>
          <w:rtl/>
        </w:rPr>
        <w:t>باب المشاركة في الاجتماع مفتوح أمام:</w:t>
      </w:r>
    </w:p>
    <w:p w:rsidR="00327EB6" w:rsidRPr="00327EB6" w:rsidRDefault="00327EB6" w:rsidP="00781429">
      <w:pPr>
        <w:ind w:left="794" w:hanging="794"/>
        <w:rPr>
          <w:rtl/>
        </w:rPr>
      </w:pPr>
      <w:r w:rsidRPr="00327EB6">
        <w:rPr>
          <w:rFonts w:hint="cs"/>
          <w:rtl/>
        </w:rPr>
        <w:t>-</w:t>
      </w:r>
      <w:r w:rsidRPr="00327EB6">
        <w:rPr>
          <w:rFonts w:hint="cs"/>
          <w:rtl/>
        </w:rPr>
        <w:tab/>
        <w:t xml:space="preserve">ممثلي الدول الأعضاء في الاتحاد وأعضاء القطاعات </w:t>
      </w:r>
      <w:r w:rsidRPr="00327EB6">
        <w:rPr>
          <w:rtl/>
        </w:rPr>
        <w:t>والمنتسبين والهيئات الأكاديمية وأمام أي شخص من أي بلد عضو في الاتحاد يرغب في المساهمة في العمل</w:t>
      </w:r>
      <w:r w:rsidRPr="00327EB6">
        <w:rPr>
          <w:rFonts w:hint="cs"/>
          <w:rtl/>
        </w:rPr>
        <w:t>،</w:t>
      </w:r>
    </w:p>
    <w:p w:rsidR="00327EB6" w:rsidRPr="00327EB6" w:rsidRDefault="00327EB6" w:rsidP="00781429">
      <w:pPr>
        <w:ind w:left="794" w:hanging="794"/>
        <w:rPr>
          <w:rtl/>
        </w:rPr>
      </w:pPr>
      <w:r w:rsidRPr="00327EB6">
        <w:rPr>
          <w:rFonts w:hint="cs"/>
          <w:rtl/>
        </w:rPr>
        <w:t>-</w:t>
      </w:r>
      <w:r w:rsidRPr="00327EB6">
        <w:rPr>
          <w:lang w:bidi="ar-EG"/>
        </w:rPr>
        <w:tab/>
      </w:r>
      <w:r w:rsidRPr="00327EB6">
        <w:rPr>
          <w:rFonts w:hint="cs"/>
          <w:rtl/>
        </w:rPr>
        <w:t>أي فرد من</w:t>
      </w:r>
      <w:r w:rsidRPr="00327EB6">
        <w:rPr>
          <w:rtl/>
        </w:rPr>
        <w:t xml:space="preserve"> </w:t>
      </w:r>
      <w:r w:rsidRPr="00327EB6">
        <w:rPr>
          <w:rFonts w:hint="cs"/>
          <w:rtl/>
        </w:rPr>
        <w:t>منظمة</w:t>
      </w:r>
      <w:r w:rsidRPr="00327EB6">
        <w:rPr>
          <w:rtl/>
        </w:rPr>
        <w:t xml:space="preserve"> </w:t>
      </w:r>
      <w:r w:rsidRPr="00327EB6">
        <w:rPr>
          <w:rFonts w:hint="cs"/>
          <w:rtl/>
        </w:rPr>
        <w:t>وطنية أو إقليمية أو دولية معنية بوضع المعايير يرغب في المساهمة في العمل.</w:t>
      </w:r>
    </w:p>
    <w:p w:rsidR="00327EB6" w:rsidRPr="00327EB6" w:rsidRDefault="00327EB6" w:rsidP="00913837">
      <w:pPr>
        <w:rPr>
          <w:rtl/>
        </w:rPr>
      </w:pPr>
      <w:r w:rsidRPr="00327EB6">
        <w:rPr>
          <w:rFonts w:hint="cs"/>
          <w:rtl/>
        </w:rPr>
        <w:lastRenderedPageBreak/>
        <w:t xml:space="preserve">وبوجه خاص، تُدعى أي منظمة </w:t>
      </w:r>
      <w:r w:rsidR="00913837">
        <w:rPr>
          <w:rFonts w:hint="cs"/>
          <w:rtl/>
        </w:rPr>
        <w:t xml:space="preserve">وطنية وإقليمية ودولية </w:t>
      </w:r>
      <w:r w:rsidRPr="00327EB6">
        <w:rPr>
          <w:rFonts w:hint="cs"/>
          <w:rtl/>
        </w:rPr>
        <w:t>معنية بوضع المعايير إلى الانضمام لعضوية لجنة إدارة</w:t>
      </w:r>
      <w:r w:rsidRPr="00327EB6">
        <w:rPr>
          <w:rFonts w:hint="eastAsia"/>
          <w:rtl/>
        </w:rPr>
        <w:t> </w:t>
      </w:r>
      <w:r w:rsidRPr="00327EB6">
        <w:rPr>
          <w:rFonts w:hint="cs"/>
          <w:rtl/>
        </w:rPr>
        <w:t>التعاون.</w:t>
      </w:r>
    </w:p>
    <w:p w:rsidR="00327EB6" w:rsidRPr="00327EB6" w:rsidRDefault="00B41FA2" w:rsidP="009A676E">
      <w:pPr>
        <w:rPr>
          <w:rtl/>
          <w:lang w:bidi="ar-SY"/>
        </w:rPr>
      </w:pPr>
      <w:r>
        <w:rPr>
          <w:rFonts w:hint="cs"/>
          <w:rtl/>
        </w:rPr>
        <w:t>و</w:t>
      </w:r>
      <w:r w:rsidR="00913837">
        <w:rPr>
          <w:rFonts w:hint="cs"/>
          <w:rtl/>
        </w:rPr>
        <w:t xml:space="preserve">ترد اختصاصات التعاون على الموقع: </w:t>
      </w:r>
      <w:hyperlink r:id="rId11" w:history="1">
        <w:r w:rsidR="00913837" w:rsidRPr="00913837">
          <w:rPr>
            <w:rStyle w:val="Hyperlink"/>
            <w:lang w:val="en-GB"/>
          </w:rPr>
          <w:t>http://itu.int/en/ITU-T/extcoop/cits/</w:t>
        </w:r>
      </w:hyperlink>
      <w:r w:rsidR="00913837">
        <w:rPr>
          <w:rFonts w:hint="cs"/>
          <w:rtl/>
        </w:rPr>
        <w:t>. وسيتناول الاجتماع بنود العمل الواردة في</w:t>
      </w:r>
      <w:r w:rsidR="00913837">
        <w:rPr>
          <w:rFonts w:hint="eastAsia"/>
          <w:rtl/>
        </w:rPr>
        <w:t> </w:t>
      </w:r>
      <w:r w:rsidR="00913837" w:rsidRPr="00B41FA2">
        <w:rPr>
          <w:rFonts w:hint="cs"/>
          <w:b/>
          <w:bCs/>
          <w:rtl/>
        </w:rPr>
        <w:t>الملحق</w:t>
      </w:r>
      <w:r w:rsidR="009A676E">
        <w:rPr>
          <w:rFonts w:hint="eastAsia"/>
          <w:b/>
          <w:bCs/>
          <w:rtl/>
        </w:rPr>
        <w:t> </w:t>
      </w:r>
      <w:r w:rsidR="00913837" w:rsidRPr="00B41FA2">
        <w:rPr>
          <w:b/>
          <w:bCs/>
        </w:rPr>
        <w:t>1</w:t>
      </w:r>
      <w:r>
        <w:rPr>
          <w:rFonts w:hint="cs"/>
          <w:b/>
          <w:bCs/>
          <w:rtl/>
        </w:rPr>
        <w:t>.</w:t>
      </w:r>
    </w:p>
    <w:p w:rsidR="00327EB6" w:rsidRPr="00327EB6" w:rsidRDefault="00327EB6" w:rsidP="00913837">
      <w:pPr>
        <w:rPr>
          <w:rtl/>
        </w:rPr>
      </w:pPr>
      <w:r w:rsidRPr="00327EB6">
        <w:rPr>
          <w:rtl/>
        </w:rPr>
        <w:t>وس</w:t>
      </w:r>
      <w:r w:rsidRPr="00327EB6">
        <w:rPr>
          <w:rFonts w:hint="cs"/>
          <w:rtl/>
        </w:rPr>
        <w:t>ي</w:t>
      </w:r>
      <w:r w:rsidRPr="00327EB6">
        <w:rPr>
          <w:rtl/>
        </w:rPr>
        <w:t xml:space="preserve">فتتح </w:t>
      </w:r>
      <w:r w:rsidRPr="00327EB6">
        <w:rPr>
          <w:rFonts w:hint="cs"/>
          <w:rtl/>
        </w:rPr>
        <w:t>اجتماع التعاون</w:t>
      </w:r>
      <w:r w:rsidRPr="00327EB6">
        <w:rPr>
          <w:rtl/>
        </w:rPr>
        <w:t xml:space="preserve"> في الساعة </w:t>
      </w:r>
      <w:r w:rsidR="00913837">
        <w:rPr>
          <w:lang w:bidi="ar-EG"/>
        </w:rPr>
        <w:t>0900</w:t>
      </w:r>
      <w:r w:rsidRPr="00327EB6">
        <w:rPr>
          <w:rFonts w:hint="cs"/>
          <w:rtl/>
        </w:rPr>
        <w:t xml:space="preserve"> يوم </w:t>
      </w:r>
      <w:r w:rsidR="00913837">
        <w:rPr>
          <w:lang w:bidi="ar-EG"/>
        </w:rPr>
        <w:t>13</w:t>
      </w:r>
      <w:r w:rsidRPr="00327EB6">
        <w:rPr>
          <w:rFonts w:hint="cs"/>
          <w:rtl/>
        </w:rPr>
        <w:t xml:space="preserve"> </w:t>
      </w:r>
      <w:r w:rsidR="00913837">
        <w:rPr>
          <w:rFonts w:hint="cs"/>
          <w:rtl/>
        </w:rPr>
        <w:t xml:space="preserve">أبريل </w:t>
      </w:r>
      <w:r w:rsidR="00913837">
        <w:t>2012</w:t>
      </w:r>
      <w:r w:rsidRPr="00327EB6">
        <w:rPr>
          <w:rtl/>
        </w:rPr>
        <w:t>.</w:t>
      </w:r>
      <w:r w:rsidR="00075ADE">
        <w:rPr>
          <w:rFonts w:hint="cs"/>
          <w:rtl/>
        </w:rPr>
        <w:t xml:space="preserve"> والتسجيل للمشاركة في هذا الاجتماع بالمجان.</w:t>
      </w:r>
    </w:p>
    <w:p w:rsidR="00327EB6" w:rsidRPr="00327EB6" w:rsidRDefault="00327EB6" w:rsidP="00327EB6">
      <w:pPr>
        <w:rPr>
          <w:rtl/>
          <w:lang w:bidi="ar-EG"/>
        </w:rPr>
      </w:pPr>
      <w:r w:rsidRPr="00327EB6">
        <w:rPr>
          <w:rFonts w:hint="cs"/>
          <w:rtl/>
        </w:rPr>
        <w:t>و</w:t>
      </w:r>
      <w:r w:rsidRPr="00327EB6">
        <w:rPr>
          <w:rtl/>
        </w:rPr>
        <w:t>ستجرى المناقشات باللغة الإنكليزية فقط.</w:t>
      </w:r>
    </w:p>
    <w:p w:rsidR="00327EB6" w:rsidRDefault="00327EB6" w:rsidP="00913837">
      <w:pPr>
        <w:rPr>
          <w:rtl/>
        </w:rPr>
      </w:pPr>
      <w:r w:rsidRPr="00327EB6">
        <w:rPr>
          <w:rFonts w:hint="cs"/>
          <w:b/>
          <w:bCs/>
          <w:rtl/>
        </w:rPr>
        <w:t>التسجيل:</w:t>
      </w:r>
      <w:r w:rsidRPr="00327EB6">
        <w:rPr>
          <w:rFonts w:hint="cs"/>
          <w:rtl/>
        </w:rPr>
        <w:t xml:space="preserve"> لتمكين مكتب تقييس الاتصالات من اتخاذ الترتيبات اللازمة المتعلقة بتنظيم الاجتماع، يرجى التسجيل في</w:t>
      </w:r>
      <w:r w:rsidRPr="00327EB6">
        <w:rPr>
          <w:rFonts w:hint="eastAsia"/>
          <w:rtl/>
        </w:rPr>
        <w:t> </w:t>
      </w:r>
      <w:r w:rsidRPr="00327EB6">
        <w:rPr>
          <w:rFonts w:hint="cs"/>
          <w:b/>
          <w:bCs/>
          <w:rtl/>
        </w:rPr>
        <w:t>اجتماع</w:t>
      </w:r>
      <w:r w:rsidRPr="00327EB6">
        <w:rPr>
          <w:rFonts w:hint="eastAsia"/>
          <w:b/>
          <w:bCs/>
          <w:rtl/>
        </w:rPr>
        <w:t> </w:t>
      </w:r>
      <w:r w:rsidRPr="00327EB6">
        <w:rPr>
          <w:rFonts w:hint="cs"/>
          <w:b/>
          <w:bCs/>
          <w:rtl/>
        </w:rPr>
        <w:t>التعاون بشأن معايير اتصالات أنظمة النقل الذكية (</w:t>
      </w:r>
      <w:r w:rsidR="00913837">
        <w:rPr>
          <w:b/>
          <w:bCs/>
          <w:lang w:bidi="ar-EG"/>
        </w:rPr>
        <w:t>13</w:t>
      </w:r>
      <w:r w:rsidRPr="00327EB6">
        <w:rPr>
          <w:rFonts w:hint="cs"/>
          <w:b/>
          <w:bCs/>
          <w:rtl/>
        </w:rPr>
        <w:t xml:space="preserve"> </w:t>
      </w:r>
      <w:r w:rsidR="00913837">
        <w:rPr>
          <w:rFonts w:hint="cs"/>
          <w:b/>
          <w:bCs/>
          <w:rtl/>
        </w:rPr>
        <w:t xml:space="preserve">أبريل </w:t>
      </w:r>
      <w:r w:rsidR="00913837">
        <w:rPr>
          <w:b/>
          <w:bCs/>
        </w:rPr>
        <w:t>2012</w:t>
      </w:r>
      <w:r w:rsidRPr="00327EB6">
        <w:rPr>
          <w:rFonts w:hint="cs"/>
          <w:b/>
          <w:bCs/>
          <w:rtl/>
        </w:rPr>
        <w:t>)</w:t>
      </w:r>
      <w:r w:rsidRPr="00327EB6">
        <w:rPr>
          <w:rFonts w:hint="cs"/>
          <w:rtl/>
        </w:rPr>
        <w:t xml:space="preserve"> عبر الاستمارة المتاحة على الخط في</w:t>
      </w:r>
      <w:r w:rsidRPr="00327EB6">
        <w:rPr>
          <w:rFonts w:hint="eastAsia"/>
          <w:rtl/>
        </w:rPr>
        <w:t> </w:t>
      </w:r>
      <w:r w:rsidRPr="00327EB6">
        <w:rPr>
          <w:rFonts w:hint="cs"/>
          <w:rtl/>
        </w:rPr>
        <w:t>العنوان</w:t>
      </w:r>
      <w:r w:rsidRPr="00327EB6">
        <w:rPr>
          <w:rFonts w:hint="eastAsia"/>
          <w:rtl/>
        </w:rPr>
        <w:t> </w:t>
      </w:r>
      <w:r w:rsidRPr="00327EB6">
        <w:rPr>
          <w:rFonts w:hint="cs"/>
          <w:rtl/>
        </w:rPr>
        <w:t>التالي:</w:t>
      </w:r>
      <w:r w:rsidR="00913837">
        <w:rPr>
          <w:rFonts w:hint="cs"/>
          <w:rtl/>
        </w:rPr>
        <w:t xml:space="preserve"> </w:t>
      </w:r>
      <w:hyperlink r:id="rId12" w:history="1">
        <w:r w:rsidR="00913837" w:rsidRPr="00913837">
          <w:rPr>
            <w:rStyle w:val="Hyperlink"/>
            <w:lang w:val="en-GB"/>
          </w:rPr>
          <w:t>http://www.itu.int/reg/tmisc/3000355</w:t>
        </w:r>
      </w:hyperlink>
      <w:r w:rsidRPr="00327EB6">
        <w:rPr>
          <w:rFonts w:hint="cs"/>
          <w:rtl/>
        </w:rPr>
        <w:t>.</w:t>
      </w:r>
    </w:p>
    <w:p w:rsidR="00913837" w:rsidRPr="00913837" w:rsidRDefault="00913837" w:rsidP="00913837">
      <w:pPr>
        <w:rPr>
          <w:rtl/>
          <w:lang w:bidi="ar-SY"/>
        </w:rPr>
      </w:pPr>
      <w:proofErr w:type="gramStart"/>
      <w:r w:rsidRPr="00913837">
        <w:rPr>
          <w:rFonts w:hint="cs"/>
          <w:b/>
          <w:bCs/>
          <w:rtl/>
        </w:rPr>
        <w:t>وثائق</w:t>
      </w:r>
      <w:proofErr w:type="gramEnd"/>
      <w:r w:rsidRPr="00913837">
        <w:rPr>
          <w:rFonts w:hint="cs"/>
          <w:b/>
          <w:bCs/>
          <w:rtl/>
        </w:rPr>
        <w:t xml:space="preserve"> الاجتماع:</w:t>
      </w:r>
      <w:r w:rsidRPr="00913837">
        <w:rPr>
          <w:rFonts w:hint="cs"/>
          <w:rtl/>
        </w:rPr>
        <w:t xml:space="preserve"> </w:t>
      </w:r>
      <w:r>
        <w:rPr>
          <w:rFonts w:hint="cs"/>
          <w:rtl/>
        </w:rPr>
        <w:t xml:space="preserve">ينبغي للمشاركين الذين يعتزمون تقديم وثائق للمناقشة في الاجتماع إرسال هذه الوثائق باستعمال النموذج المتاح على: </w:t>
      </w:r>
      <w:hyperlink r:id="rId13" w:history="1">
        <w:r w:rsidRPr="00913837">
          <w:rPr>
            <w:rStyle w:val="Hyperlink"/>
            <w:lang w:val="en-GB"/>
          </w:rPr>
          <w:t>http://itu.int/en/ITU-T/extcoop/cits/</w:t>
        </w:r>
      </w:hyperlink>
      <w:r>
        <w:rPr>
          <w:rFonts w:hint="cs"/>
          <w:rtl/>
        </w:rPr>
        <w:t xml:space="preserve"> إلى العنوان: </w:t>
      </w:r>
      <w:hyperlink r:id="rId14" w:history="1">
        <w:r w:rsidRPr="00913837">
          <w:rPr>
            <w:rStyle w:val="Hyperlink"/>
          </w:rPr>
          <w:t>tsbcits@itu.int</w:t>
        </w:r>
      </w:hyperlink>
      <w:r>
        <w:rPr>
          <w:rFonts w:hint="cs"/>
          <w:rtl/>
        </w:rPr>
        <w:t xml:space="preserve"> </w:t>
      </w:r>
      <w:r w:rsidRPr="00913837">
        <w:rPr>
          <w:rFonts w:hint="cs"/>
          <w:b/>
          <w:bCs/>
          <w:rtl/>
        </w:rPr>
        <w:t xml:space="preserve">قبل </w:t>
      </w:r>
      <w:r w:rsidRPr="00913837">
        <w:rPr>
          <w:b/>
          <w:bCs/>
        </w:rPr>
        <w:t>27</w:t>
      </w:r>
      <w:r w:rsidRPr="00913837">
        <w:rPr>
          <w:rFonts w:hint="cs"/>
          <w:b/>
          <w:bCs/>
          <w:rtl/>
          <w:lang w:bidi="ar-SY"/>
        </w:rPr>
        <w:t xml:space="preserve"> مارس </w:t>
      </w:r>
      <w:r w:rsidRPr="00913837">
        <w:rPr>
          <w:b/>
          <w:bCs/>
          <w:lang w:bidi="ar-SY"/>
        </w:rPr>
        <w:t>2012</w:t>
      </w:r>
      <w:r>
        <w:rPr>
          <w:rFonts w:hint="cs"/>
          <w:rtl/>
          <w:lang w:bidi="ar-SY"/>
        </w:rPr>
        <w:t>. ولن يتم قبول الوثائق "المتأخرة أو غير المعلن عنها" إلا بتوافق آراء المشاركين في الاجتماع، وخلاف ذلك، تؤجل إلى الاجتماع التالي.</w:t>
      </w:r>
    </w:p>
    <w:p w:rsidR="00913837" w:rsidRPr="00327EB6" w:rsidRDefault="00913837" w:rsidP="00913837">
      <w:pPr>
        <w:rPr>
          <w:rtl/>
        </w:rPr>
      </w:pPr>
      <w:r w:rsidRPr="00327EB6">
        <w:rPr>
          <w:rFonts w:hint="cs"/>
          <w:b/>
          <w:bCs/>
          <w:rtl/>
        </w:rPr>
        <w:t>المشاركة عن بُعد:</w:t>
      </w:r>
      <w:r w:rsidRPr="00327EB6">
        <w:rPr>
          <w:rFonts w:hint="cs"/>
          <w:rtl/>
        </w:rPr>
        <w:t xml:space="preserve"> يمكنكم المشاركة عن بعد في اجتماع التعاون بشأن معايير اتصالات أنظمة النقل الذكية. وسيكون بإمكانكم، كمندوبين مشاركين عن بُعد، الاستماع إلى المناقشات والاطلاع على الوثائق والعروض والتفاعل مع مضيف الاجتماع عن بُعد. وإذا كنتم ترغبون </w:t>
      </w:r>
      <w:proofErr w:type="gramStart"/>
      <w:r w:rsidRPr="00327EB6">
        <w:rPr>
          <w:rFonts w:hint="cs"/>
          <w:rtl/>
        </w:rPr>
        <w:t>في</w:t>
      </w:r>
      <w:proofErr w:type="gramEnd"/>
      <w:r w:rsidRPr="00327EB6">
        <w:rPr>
          <w:rFonts w:hint="cs"/>
          <w:rtl/>
        </w:rPr>
        <w:t xml:space="preserve"> المشاركة بصفة مندوب عن بعد، يتعين عليكم التسجيل </w:t>
      </w:r>
      <w:r>
        <w:rPr>
          <w:rFonts w:hint="cs"/>
          <w:rtl/>
        </w:rPr>
        <w:t xml:space="preserve">مسبقاً على الموقع: </w:t>
      </w:r>
      <w:hyperlink r:id="rId15" w:history="1">
        <w:r w:rsidRPr="00913837">
          <w:rPr>
            <w:rStyle w:val="Hyperlink"/>
            <w:lang w:val="en-GB"/>
          </w:rPr>
          <w:t>http://itu.int/en/ITU-T/extcoop/cits/</w:t>
        </w:r>
      </w:hyperlink>
      <w:r>
        <w:rPr>
          <w:rFonts w:hint="cs"/>
          <w:rtl/>
        </w:rPr>
        <w:t>. وسترد الإرشادات المتعلقة بالمشاركة عن بعد على نفس الموقع الإلكتروني.</w:t>
      </w:r>
    </w:p>
    <w:p w:rsidR="00327EB6" w:rsidRPr="00327EB6" w:rsidRDefault="00327EB6" w:rsidP="00E80E4D">
      <w:pPr>
        <w:rPr>
          <w:rtl/>
        </w:rPr>
      </w:pPr>
      <w:r w:rsidRPr="00327EB6">
        <w:rPr>
          <w:rtl/>
        </w:rPr>
        <w:t xml:space="preserve">وتسهيلاً لكم، ترد في </w:t>
      </w:r>
      <w:r w:rsidRPr="00327EB6">
        <w:rPr>
          <w:b/>
          <w:bCs/>
          <w:rtl/>
        </w:rPr>
        <w:t xml:space="preserve">الملحق </w:t>
      </w:r>
      <w:r w:rsidRPr="00327EB6">
        <w:rPr>
          <w:b/>
          <w:bCs/>
          <w:lang w:bidi="ar-EG"/>
        </w:rPr>
        <w:t>2</w:t>
      </w:r>
      <w:r w:rsidRPr="00327EB6">
        <w:rPr>
          <w:rtl/>
        </w:rPr>
        <w:t xml:space="preserve"> </w:t>
      </w:r>
      <w:r w:rsidR="00E80E4D">
        <w:rPr>
          <w:rFonts w:hint="cs"/>
          <w:rtl/>
        </w:rPr>
        <w:t>معلومات عملية عن مكان الاجتماع وكيفية الوصول إليه.</w:t>
      </w:r>
    </w:p>
    <w:p w:rsidR="00327EB6" w:rsidRPr="00327EB6" w:rsidRDefault="00A57455" w:rsidP="00CF1FB2">
      <w:pPr>
        <w:rPr>
          <w:rtl/>
          <w:lang w:bidi="ar-EG"/>
        </w:rPr>
      </w:pPr>
      <w:r w:rsidRPr="00A57455">
        <w:rPr>
          <w:rFonts w:hint="cs"/>
          <w:b/>
          <w:bCs/>
          <w:rtl/>
        </w:rPr>
        <w:t>التأشيرة</w:t>
      </w:r>
      <w:r>
        <w:rPr>
          <w:rFonts w:hint="cs"/>
          <w:rtl/>
        </w:rPr>
        <w:t xml:space="preserve">: </w:t>
      </w:r>
      <w:r w:rsidR="00327EB6" w:rsidRPr="00327EB6">
        <w:rPr>
          <w:rtl/>
        </w:rPr>
        <w:t xml:space="preserve">ونود أن نذكركم بأن على مواطني بعض البلدان الحصول على تأشيرة للدخول إلى </w:t>
      </w:r>
      <w:r w:rsidR="00E80E4D">
        <w:rPr>
          <w:rFonts w:hint="cs"/>
          <w:rtl/>
        </w:rPr>
        <w:t xml:space="preserve">الولايات المتحدة الأمريكية </w:t>
      </w:r>
      <w:r w:rsidR="00327EB6" w:rsidRPr="00327EB6">
        <w:rPr>
          <w:rtl/>
        </w:rPr>
        <w:t>وقضاء بعض الوقت فيها.</w:t>
      </w:r>
      <w:r w:rsidR="00327EB6" w:rsidRPr="00E80E4D">
        <w:rPr>
          <w:rtl/>
        </w:rPr>
        <w:t xml:space="preserve"> </w:t>
      </w:r>
      <w:r w:rsidR="00E80E4D" w:rsidRPr="00E80E4D">
        <w:rPr>
          <w:rFonts w:hint="cs"/>
          <w:rtl/>
        </w:rPr>
        <w:t>ويجب طلب التأشيرة</w:t>
      </w:r>
      <w:r w:rsidR="00327EB6" w:rsidRPr="00327EB6">
        <w:rPr>
          <w:rtl/>
        </w:rPr>
        <w:t xml:space="preserve"> من المكتب (السفارة أو</w:t>
      </w:r>
      <w:r w:rsidR="00327EB6" w:rsidRPr="00327EB6">
        <w:rPr>
          <w:rFonts w:hint="cs"/>
          <w:rtl/>
        </w:rPr>
        <w:t> </w:t>
      </w:r>
      <w:r w:rsidR="00327EB6" w:rsidRPr="00327EB6">
        <w:rPr>
          <w:rtl/>
        </w:rPr>
        <w:t xml:space="preserve">القنصلية) الذي يمثل </w:t>
      </w:r>
      <w:r w:rsidR="00E80E4D">
        <w:rPr>
          <w:rFonts w:hint="cs"/>
          <w:rtl/>
        </w:rPr>
        <w:t>الولايات المتحدة</w:t>
      </w:r>
      <w:r>
        <w:rPr>
          <w:rFonts w:hint="cs"/>
          <w:rtl/>
        </w:rPr>
        <w:t xml:space="preserve"> الأمريكية</w:t>
      </w:r>
      <w:r w:rsidR="00E80E4D">
        <w:rPr>
          <w:rFonts w:hint="cs"/>
          <w:rtl/>
        </w:rPr>
        <w:t xml:space="preserve"> </w:t>
      </w:r>
      <w:r w:rsidR="00327EB6" w:rsidRPr="00327EB6">
        <w:rPr>
          <w:rtl/>
        </w:rPr>
        <w:t>في</w:t>
      </w:r>
      <w:r w:rsidR="00CF1FB2">
        <w:rPr>
          <w:rFonts w:hint="cs"/>
          <w:rtl/>
        </w:rPr>
        <w:t> </w:t>
      </w:r>
      <w:r w:rsidR="00327EB6" w:rsidRPr="00327EB6">
        <w:rPr>
          <w:rtl/>
        </w:rPr>
        <w:t>بلدكم، أو من أقرب مكتب من بلد المغادرة في حالة عدم وجود مثل هذا المكتب في</w:t>
      </w:r>
      <w:r w:rsidR="00327EB6" w:rsidRPr="00327EB6">
        <w:rPr>
          <w:rFonts w:hint="cs"/>
          <w:rtl/>
        </w:rPr>
        <w:t> </w:t>
      </w:r>
      <w:r w:rsidR="00327EB6" w:rsidRPr="00A57455">
        <w:rPr>
          <w:rtl/>
        </w:rPr>
        <w:t>بلدكم.</w:t>
      </w:r>
      <w:r w:rsidR="00327EB6" w:rsidRPr="00A57455">
        <w:rPr>
          <w:rFonts w:hint="cs"/>
          <w:rtl/>
        </w:rPr>
        <w:t xml:space="preserve"> </w:t>
      </w:r>
      <w:r w:rsidR="00E80E4D" w:rsidRPr="00A57455">
        <w:rPr>
          <w:rFonts w:hint="cs"/>
          <w:rtl/>
        </w:rPr>
        <w:t>ويرجى العلم بأن</w:t>
      </w:r>
      <w:r w:rsidR="00E80E4D">
        <w:rPr>
          <w:rFonts w:hint="cs"/>
          <w:rtl/>
        </w:rPr>
        <w:t xml:space="preserve"> الموافقة على منح التأشيرة قد تستغرق بعض الوقت، لذا يرجى تقديم طلبات الحصول على التأشيرة بأسرع وقت ممكن</w:t>
      </w:r>
      <w:r w:rsidR="00327EB6" w:rsidRPr="00327EB6">
        <w:rPr>
          <w:rtl/>
          <w:lang w:bidi="ar-EG"/>
        </w:rPr>
        <w:t>.</w:t>
      </w:r>
    </w:p>
    <w:p w:rsidR="00327EB6" w:rsidRPr="00327EB6" w:rsidRDefault="00327EB6" w:rsidP="00FC1271">
      <w:pPr>
        <w:spacing w:before="240"/>
        <w:rPr>
          <w:rtl/>
          <w:lang w:bidi="ar-EG"/>
        </w:rPr>
      </w:pPr>
      <w:r w:rsidRPr="00327EB6">
        <w:rPr>
          <w:rFonts w:hint="cs"/>
          <w:rtl/>
          <w:lang w:bidi="ar-EG"/>
        </w:rPr>
        <w:t>وتفضلوا بقبول فائق التقدير والاحترام.</w:t>
      </w:r>
    </w:p>
    <w:p w:rsidR="00327EB6" w:rsidRPr="00327EB6" w:rsidRDefault="00327EB6" w:rsidP="00E80E4D">
      <w:pPr>
        <w:spacing w:before="1440"/>
        <w:jc w:val="left"/>
        <w:rPr>
          <w:rtl/>
          <w:lang w:bidi="ar-EG"/>
        </w:rPr>
      </w:pPr>
      <w:r w:rsidRPr="00327EB6">
        <w:rPr>
          <w:rtl/>
        </w:rPr>
        <w:t>مالكو</w:t>
      </w:r>
      <w:r w:rsidRPr="00327EB6">
        <w:rPr>
          <w:rtl/>
          <w:lang w:bidi="ar-EG"/>
        </w:rPr>
        <w:t>ل</w:t>
      </w:r>
      <w:r w:rsidRPr="00327EB6">
        <w:rPr>
          <w:rtl/>
        </w:rPr>
        <w:t>م جونسون</w:t>
      </w:r>
      <w:r w:rsidRPr="00327EB6">
        <w:rPr>
          <w:rtl/>
          <w:lang w:bidi="ar-EG"/>
        </w:rPr>
        <w:br/>
        <w:t>مدير مكتب تقييس الاتصالات</w:t>
      </w:r>
    </w:p>
    <w:p w:rsidR="0069799A" w:rsidRDefault="0069799A" w:rsidP="00327EB6">
      <w:pPr>
        <w:rPr>
          <w:b/>
          <w:bCs/>
          <w:rtl/>
        </w:rPr>
      </w:pPr>
    </w:p>
    <w:p w:rsidR="0069799A" w:rsidRDefault="0069799A" w:rsidP="00327EB6">
      <w:pPr>
        <w:rPr>
          <w:b/>
          <w:bCs/>
          <w:rtl/>
        </w:rPr>
      </w:pPr>
    </w:p>
    <w:p w:rsidR="0069799A" w:rsidRDefault="0069799A" w:rsidP="00327EB6">
      <w:pPr>
        <w:rPr>
          <w:b/>
          <w:bCs/>
          <w:rtl/>
        </w:rPr>
      </w:pPr>
    </w:p>
    <w:p w:rsidR="00327EB6" w:rsidRPr="00327EB6" w:rsidRDefault="00327EB6" w:rsidP="00327EB6">
      <w:pPr>
        <w:rPr>
          <w:b/>
          <w:bCs/>
          <w:rtl/>
        </w:rPr>
      </w:pPr>
      <w:r w:rsidRPr="00327EB6">
        <w:rPr>
          <w:b/>
          <w:bCs/>
          <w:rtl/>
        </w:rPr>
        <w:t>الملحقات:</w:t>
      </w:r>
      <w:r w:rsidRPr="00327EB6">
        <w:rPr>
          <w:rFonts w:hint="cs"/>
          <w:b/>
          <w:bCs/>
          <w:rtl/>
        </w:rPr>
        <w:t> </w:t>
      </w:r>
      <w:r w:rsidRPr="00327EB6">
        <w:rPr>
          <w:b/>
          <w:bCs/>
          <w:lang w:bidi="ar-EG"/>
        </w:rPr>
        <w:t>2</w:t>
      </w:r>
    </w:p>
    <w:p w:rsidR="00327EB6" w:rsidRDefault="00327EB6" w:rsidP="00327EB6">
      <w:pPr>
        <w:rPr>
          <w:rtl/>
          <w:lang w:bidi="ar-EG"/>
        </w:rPr>
      </w:pPr>
    </w:p>
    <w:p w:rsidR="00EA5B6B" w:rsidRDefault="00EA5B6B" w:rsidP="00DA07ED">
      <w:pPr>
        <w:rPr>
          <w:spacing w:val="-4"/>
          <w:rtl/>
          <w:lang w:bidi="ar-EG"/>
        </w:rPr>
        <w:sectPr w:rsidR="00EA5B6B" w:rsidSect="00B276F4">
          <w:headerReference w:type="even" r:id="rId16"/>
          <w:headerReference w:type="default" r:id="rId17"/>
          <w:footerReference w:type="even" r:id="rId18"/>
          <w:footerReference w:type="default" r:id="rId19"/>
          <w:headerReference w:type="first" r:id="rId20"/>
          <w:footerReference w:type="first" r:id="rId21"/>
          <w:pgSz w:w="11901" w:h="16840" w:code="9"/>
          <w:pgMar w:top="1418" w:right="1134" w:bottom="1134" w:left="1134" w:header="567" w:footer="567" w:gutter="0"/>
          <w:paperSrc w:first="15" w:other="15"/>
          <w:pgNumType w:start="1"/>
          <w:cols w:space="720"/>
          <w:titlePg/>
          <w:bidi/>
          <w:docGrid w:linePitch="360"/>
        </w:sectPr>
      </w:pPr>
    </w:p>
    <w:p w:rsidR="00E80E4D" w:rsidRPr="00E80E4D" w:rsidRDefault="00E80E4D" w:rsidP="00E80E4D">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cs="Times New Roman"/>
          <w:bCs/>
          <w:sz w:val="24"/>
          <w:szCs w:val="24"/>
          <w:lang w:val="en-GB"/>
        </w:rPr>
      </w:pPr>
      <w:r w:rsidRPr="00E80E4D">
        <w:rPr>
          <w:rFonts w:cs="Times New Roman"/>
          <w:bCs/>
          <w:sz w:val="24"/>
          <w:szCs w:val="24"/>
          <w:lang w:val="en-GB"/>
        </w:rPr>
        <w:lastRenderedPageBreak/>
        <w:t>ANNEX 1</w:t>
      </w:r>
      <w:r w:rsidRPr="00E80E4D">
        <w:rPr>
          <w:rFonts w:cs="Times New Roman"/>
          <w:bCs/>
          <w:sz w:val="24"/>
          <w:szCs w:val="24"/>
          <w:lang w:val="en-GB"/>
        </w:rPr>
        <w:br/>
        <w:t>(to TSB Circular 255)</w:t>
      </w:r>
    </w:p>
    <w:p w:rsidR="00E80E4D" w:rsidRPr="00E80E4D" w:rsidRDefault="00E80E4D" w:rsidP="00E80E4D">
      <w:pPr>
        <w:keepNext/>
        <w:tabs>
          <w:tab w:val="left" w:pos="794"/>
          <w:tab w:val="left" w:pos="1191"/>
          <w:tab w:val="left" w:pos="1588"/>
          <w:tab w:val="left" w:pos="1985"/>
        </w:tabs>
        <w:bidi w:val="0"/>
        <w:spacing w:line="240" w:lineRule="atLeast"/>
        <w:jc w:val="center"/>
        <w:rPr>
          <w:rFonts w:cs="Times New Roman"/>
          <w:b/>
          <w:bCs/>
          <w:sz w:val="24"/>
          <w:szCs w:val="24"/>
          <w:lang w:val="en-GB"/>
        </w:rPr>
      </w:pPr>
    </w:p>
    <w:p w:rsidR="00E80E4D" w:rsidRPr="00E80E4D" w:rsidRDefault="00E80E4D" w:rsidP="00E80E4D">
      <w:pPr>
        <w:keepNext/>
        <w:tabs>
          <w:tab w:val="left" w:pos="794"/>
          <w:tab w:val="left" w:pos="1191"/>
          <w:tab w:val="left" w:pos="1588"/>
          <w:tab w:val="left" w:pos="1985"/>
        </w:tabs>
        <w:bidi w:val="0"/>
        <w:spacing w:line="240" w:lineRule="atLeast"/>
        <w:jc w:val="center"/>
        <w:rPr>
          <w:rFonts w:cs="Times New Roman"/>
          <w:b/>
          <w:bCs/>
          <w:sz w:val="24"/>
          <w:szCs w:val="24"/>
          <w:lang w:val="en-GB"/>
        </w:rPr>
      </w:pPr>
      <w:r w:rsidRPr="00E80E4D">
        <w:rPr>
          <w:rFonts w:cs="Times New Roman"/>
          <w:b/>
          <w:bCs/>
          <w:sz w:val="24"/>
          <w:szCs w:val="24"/>
          <w:lang w:val="en-GB"/>
        </w:rPr>
        <w:t>Annex 1: Suggested List of Initial Work Items for the Collaboration on ITS Communication Standards</w:t>
      </w:r>
    </w:p>
    <w:p w:rsidR="00E80E4D" w:rsidRPr="00E80E4D" w:rsidRDefault="00E80E4D" w:rsidP="00E80E4D">
      <w:pPr>
        <w:tabs>
          <w:tab w:val="left" w:pos="794"/>
          <w:tab w:val="left" w:pos="1191"/>
          <w:tab w:val="left" w:pos="1588"/>
          <w:tab w:val="left" w:pos="1985"/>
        </w:tabs>
        <w:bidi w:val="0"/>
        <w:spacing w:line="240" w:lineRule="auto"/>
        <w:jc w:val="left"/>
        <w:rPr>
          <w:rFonts w:cs="Times New Roman"/>
          <w:sz w:val="24"/>
          <w:szCs w:val="24"/>
          <w:lang w:val="en-GB"/>
        </w:rPr>
      </w:pPr>
    </w:p>
    <w:p w:rsidR="00E80E4D" w:rsidRPr="00E80E4D" w:rsidRDefault="00E80E4D" w:rsidP="00E80E4D">
      <w:pPr>
        <w:tabs>
          <w:tab w:val="left" w:pos="794"/>
          <w:tab w:val="left" w:pos="1191"/>
          <w:tab w:val="left" w:pos="1588"/>
          <w:tab w:val="left" w:pos="1985"/>
        </w:tabs>
        <w:bidi w:val="0"/>
        <w:spacing w:line="240" w:lineRule="auto"/>
        <w:rPr>
          <w:rFonts w:cs="Times New Roman"/>
          <w:sz w:val="24"/>
          <w:szCs w:val="24"/>
          <w:lang w:val="en-GB"/>
        </w:rPr>
      </w:pPr>
      <w:r w:rsidRPr="00E80E4D">
        <w:rPr>
          <w:rFonts w:cs="Times New Roman"/>
          <w:sz w:val="24"/>
          <w:szCs w:val="24"/>
          <w:lang w:val="en-GB"/>
        </w:rPr>
        <w:t>Possible initial Work Items include:</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bookmarkStart w:id="1" w:name="_Ref311725868"/>
      <w:r w:rsidRPr="00E80E4D">
        <w:rPr>
          <w:rFonts w:cs="Times New Roman"/>
          <w:sz w:val="24"/>
          <w:szCs w:val="24"/>
          <w:lang w:val="en-GB"/>
        </w:rPr>
        <w:t>Perform a study of identified ITS application requirements so that needed communication capabilities and performance can be properly defined.  This study should identify and use existing sets of ITS application requirements from various global regions and supplement them to reflect recent application developments and direction.  Requirements of individual applications or sets of applications should be combined to create communications capability needs and performance boundaries as required to support the full set of expected applications.  All defined applications should be considered in the study, with particular attention being given to high priority applications such as:</w:t>
      </w:r>
      <w:bookmarkEnd w:id="1"/>
    </w:p>
    <w:p w:rsidR="00E80E4D" w:rsidRPr="00E80E4D" w:rsidRDefault="00E80E4D" w:rsidP="00E80E4D">
      <w:pPr>
        <w:numPr>
          <w:ilvl w:val="1"/>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Road safety applications</w:t>
      </w:r>
    </w:p>
    <w:p w:rsidR="00E80E4D" w:rsidRPr="00E80E4D" w:rsidRDefault="00E80E4D" w:rsidP="00E80E4D">
      <w:pPr>
        <w:numPr>
          <w:ilvl w:val="1"/>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Traffic management/mobility applications</w:t>
      </w:r>
    </w:p>
    <w:p w:rsidR="00E80E4D" w:rsidRPr="00E80E4D" w:rsidRDefault="00E80E4D" w:rsidP="00E80E4D">
      <w:pPr>
        <w:numPr>
          <w:ilvl w:val="1"/>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The Internet of Things</w:t>
      </w:r>
    </w:p>
    <w:p w:rsidR="00E80E4D" w:rsidRPr="00E80E4D" w:rsidRDefault="00E80E4D" w:rsidP="00E80E4D">
      <w:pPr>
        <w:numPr>
          <w:ilvl w:val="1"/>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Applications affecting environmental needs, including those servicing electric/hybrid vehicles</w:t>
      </w:r>
    </w:p>
    <w:p w:rsidR="00E80E4D" w:rsidRPr="00E80E4D" w:rsidRDefault="00E80E4D" w:rsidP="00E80E4D">
      <w:pPr>
        <w:tabs>
          <w:tab w:val="left" w:pos="794"/>
          <w:tab w:val="left" w:pos="1191"/>
          <w:tab w:val="left" w:pos="1588"/>
          <w:tab w:val="left" w:pos="1985"/>
        </w:tabs>
        <w:bidi w:val="0"/>
        <w:spacing w:before="240" w:line="240" w:lineRule="auto"/>
        <w:ind w:left="357"/>
        <w:rPr>
          <w:rFonts w:cs="Times New Roman"/>
          <w:sz w:val="24"/>
          <w:szCs w:val="24"/>
          <w:lang w:val="en-GB"/>
        </w:rPr>
      </w:pPr>
      <w:r w:rsidRPr="00E80E4D">
        <w:rPr>
          <w:rFonts w:cs="Times New Roman"/>
          <w:sz w:val="24"/>
          <w:szCs w:val="24"/>
          <w:lang w:val="en-GB"/>
        </w:rPr>
        <w:t>Special attention needs to be given to the requirements of</w:t>
      </w:r>
    </w:p>
    <w:p w:rsidR="00E80E4D" w:rsidRPr="00E80E4D" w:rsidRDefault="00E80E4D" w:rsidP="00E80E4D">
      <w:pPr>
        <w:tabs>
          <w:tab w:val="left" w:pos="794"/>
          <w:tab w:val="left" w:pos="1191"/>
          <w:tab w:val="left" w:pos="1588"/>
          <w:tab w:val="left" w:pos="1985"/>
        </w:tabs>
        <w:bidi w:val="0"/>
        <w:spacing w:line="240" w:lineRule="auto"/>
        <w:ind w:left="360"/>
        <w:rPr>
          <w:rFonts w:cs="Times New Roman"/>
          <w:sz w:val="24"/>
          <w:szCs w:val="24"/>
          <w:lang w:val="en-GB"/>
        </w:rPr>
      </w:pPr>
      <w:proofErr w:type="gramStart"/>
      <w:r w:rsidRPr="00E80E4D">
        <w:rPr>
          <w:rFonts w:cs="Times New Roman"/>
          <w:sz w:val="24"/>
          <w:szCs w:val="24"/>
          <w:lang w:val="en-GB"/>
        </w:rPr>
        <w:t>a</w:t>
      </w:r>
      <w:proofErr w:type="gramEnd"/>
      <w:r w:rsidRPr="00E80E4D">
        <w:rPr>
          <w:rFonts w:cs="Times New Roman"/>
          <w:sz w:val="24"/>
          <w:szCs w:val="24"/>
          <w:lang w:val="en-GB"/>
        </w:rPr>
        <w:tab/>
        <w:t>Developing Countries</w:t>
      </w:r>
    </w:p>
    <w:p w:rsidR="00E80E4D" w:rsidRPr="00E80E4D" w:rsidRDefault="00E80E4D" w:rsidP="00E80E4D">
      <w:pPr>
        <w:tabs>
          <w:tab w:val="left" w:pos="794"/>
          <w:tab w:val="left" w:pos="1191"/>
          <w:tab w:val="left" w:pos="1588"/>
          <w:tab w:val="left" w:pos="1985"/>
        </w:tabs>
        <w:bidi w:val="0"/>
        <w:spacing w:line="240" w:lineRule="auto"/>
        <w:ind w:left="360"/>
        <w:rPr>
          <w:rFonts w:cs="Times New Roman"/>
          <w:sz w:val="24"/>
          <w:szCs w:val="24"/>
          <w:lang w:val="en-GB"/>
        </w:rPr>
      </w:pPr>
      <w:proofErr w:type="gramStart"/>
      <w:r w:rsidRPr="00E80E4D">
        <w:rPr>
          <w:rFonts w:cs="Times New Roman"/>
          <w:sz w:val="24"/>
          <w:szCs w:val="24"/>
          <w:lang w:val="en-GB"/>
        </w:rPr>
        <w:t>b</w:t>
      </w:r>
      <w:proofErr w:type="gramEnd"/>
      <w:r w:rsidRPr="00E80E4D">
        <w:rPr>
          <w:rFonts w:cs="Times New Roman"/>
          <w:sz w:val="24"/>
          <w:szCs w:val="24"/>
          <w:lang w:val="en-GB"/>
        </w:rPr>
        <w:tab/>
        <w:t>Megacities</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Perform a gap analysis and quality assessment of current ITS communications standards and create an action plan to address identified needs.  Gap analysis should compare the ITS communication standards that already exist or are in work with the standards that would be required with a ‘best practices’ communications standards scenario.  If overlaps are found, the best elements of duplicative standards should be used in the study and the overlap should be clearly noted in the outcome of the study.  The quality assessment should examine each existing standard to determine if it is clear, complete, incorporates all the necessary ingredients and is harmonized with its complementary standards to create a complete communications solution based on the requirements of Item </w:t>
      </w:r>
      <w:r w:rsidRPr="00E80E4D">
        <w:rPr>
          <w:rFonts w:cs="Times New Roman"/>
          <w:sz w:val="24"/>
          <w:szCs w:val="24"/>
          <w:lang w:val="en-GB"/>
        </w:rPr>
        <w:fldChar w:fldCharType="begin"/>
      </w:r>
      <w:r w:rsidRPr="00E80E4D">
        <w:rPr>
          <w:rFonts w:cs="Times New Roman"/>
          <w:sz w:val="24"/>
          <w:szCs w:val="24"/>
          <w:lang w:val="en-GB"/>
        </w:rPr>
        <w:instrText xml:space="preserve"> REF _Ref311725868 \r \h  \* MERGEFORMAT </w:instrText>
      </w:r>
      <w:r w:rsidRPr="00E80E4D">
        <w:rPr>
          <w:rFonts w:cs="Times New Roman"/>
          <w:sz w:val="24"/>
          <w:szCs w:val="24"/>
          <w:lang w:val="en-GB"/>
        </w:rPr>
      </w:r>
      <w:r w:rsidRPr="00E80E4D">
        <w:rPr>
          <w:rFonts w:cs="Times New Roman"/>
          <w:sz w:val="24"/>
          <w:szCs w:val="24"/>
          <w:lang w:val="en-GB"/>
        </w:rPr>
        <w:fldChar w:fldCharType="separate"/>
      </w:r>
      <w:r w:rsidR="009366B3">
        <w:rPr>
          <w:rFonts w:cs="Times New Roman"/>
          <w:sz w:val="24"/>
          <w:szCs w:val="24"/>
          <w:cs/>
          <w:lang w:val="en-GB"/>
        </w:rPr>
        <w:t>‎</w:t>
      </w:r>
      <w:r w:rsidR="009366B3">
        <w:rPr>
          <w:rFonts w:cs="Times New Roman"/>
          <w:sz w:val="24"/>
          <w:szCs w:val="24"/>
          <w:lang w:val="en-GB"/>
        </w:rPr>
        <w:t>1</w:t>
      </w:r>
      <w:r w:rsidRPr="00E80E4D">
        <w:rPr>
          <w:rFonts w:cs="Times New Roman"/>
          <w:sz w:val="24"/>
          <w:szCs w:val="24"/>
          <w:lang w:val="en-GB"/>
        </w:rPr>
        <w:fldChar w:fldCharType="end"/>
      </w:r>
      <w:r w:rsidRPr="00E80E4D">
        <w:rPr>
          <w:rFonts w:cs="Times New Roman"/>
          <w:sz w:val="24"/>
          <w:szCs w:val="24"/>
          <w:lang w:val="en-GB"/>
        </w:rPr>
        <w:t>.  Throughout this study, the use of IPv6 should be assumed in all situations where it is viable.</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Converge, harmonize, and incorporate appropriate published and emerging ITS communication standards (regardless of their SDO source) into proper ITU Recommendations.</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 xml:space="preserve">Create a complete, coherent and effective package of security frameworks and standards for use within ITS communications.  This task should identify all existing and </w:t>
      </w:r>
      <w:proofErr w:type="spellStart"/>
      <w:r w:rsidRPr="00E80E4D">
        <w:rPr>
          <w:rFonts w:cs="Times New Roman"/>
          <w:sz w:val="24"/>
          <w:szCs w:val="24"/>
          <w:lang w:val="en-GB"/>
        </w:rPr>
        <w:t>ongoing</w:t>
      </w:r>
      <w:proofErr w:type="spellEnd"/>
      <w:r w:rsidRPr="00E80E4D">
        <w:rPr>
          <w:rFonts w:cs="Times New Roman"/>
          <w:sz w:val="24"/>
          <w:szCs w:val="24"/>
          <w:lang w:val="en-GB"/>
        </w:rPr>
        <w:t xml:space="preserve"> work in this area, leverage it to the greatest possible degree, and assure that modern communication security practices are embedded in the final product.</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Develop standards to govern the interaction of drivers with communication devices brought into vehicles (such as smart phones).  The standards should require carry</w:t>
      </w:r>
      <w:r w:rsidRPr="00E80E4D">
        <w:rPr>
          <w:rFonts w:cs="Times New Roman"/>
          <w:sz w:val="24"/>
          <w:szCs w:val="24"/>
          <w:lang w:val="en-GB"/>
        </w:rPr>
        <w:noBreakHyphen/>
        <w:t>in devices to determine if they are in a vehicle.  If the carry</w:t>
      </w:r>
      <w:r w:rsidRPr="00E80E4D">
        <w:rPr>
          <w:rFonts w:cs="Times New Roman"/>
          <w:sz w:val="24"/>
          <w:szCs w:val="24"/>
          <w:lang w:val="en-GB"/>
        </w:rPr>
        <w:noBreakHyphen/>
        <w:t>in device interacts with equipment in the vehicle, the standards should require the carry</w:t>
      </w:r>
      <w:r w:rsidRPr="00E80E4D">
        <w:rPr>
          <w:rFonts w:cs="Times New Roman"/>
          <w:sz w:val="24"/>
          <w:szCs w:val="24"/>
          <w:lang w:val="en-GB"/>
        </w:rPr>
        <w:noBreakHyphen/>
        <w:t>in device to follow vehicle driver distraction rules.  If the carry</w:t>
      </w:r>
      <w:r w:rsidRPr="00E80E4D">
        <w:rPr>
          <w:rFonts w:cs="Times New Roman"/>
          <w:sz w:val="24"/>
          <w:szCs w:val="24"/>
          <w:lang w:val="en-GB"/>
        </w:rPr>
        <w:noBreakHyphen/>
        <w:t>in does not interact with equipment in the vehicle, the standards should require the carry</w:t>
      </w:r>
      <w:r w:rsidRPr="00E80E4D">
        <w:rPr>
          <w:rFonts w:cs="Times New Roman"/>
          <w:sz w:val="24"/>
          <w:szCs w:val="24"/>
          <w:lang w:val="en-GB"/>
        </w:rPr>
        <w:noBreakHyphen/>
        <w:t>in device to not allow use of the carry</w:t>
      </w:r>
      <w:r w:rsidRPr="00E80E4D">
        <w:rPr>
          <w:rFonts w:cs="Times New Roman"/>
          <w:sz w:val="24"/>
          <w:szCs w:val="24"/>
          <w:lang w:val="en-GB"/>
        </w:rPr>
        <w:noBreakHyphen/>
        <w:t>in device by the driver while the vehicle is moving.</w:t>
      </w:r>
    </w:p>
    <w:p w:rsidR="00E80E4D" w:rsidRPr="00E80E4D" w:rsidRDefault="00E80E4D" w:rsidP="00E80E4D">
      <w:pPr>
        <w:numPr>
          <w:ilvl w:val="0"/>
          <w:numId w:val="5"/>
        </w:numPr>
        <w:tabs>
          <w:tab w:val="left" w:pos="794"/>
          <w:tab w:val="left" w:pos="1191"/>
          <w:tab w:val="left" w:pos="1588"/>
          <w:tab w:val="left" w:pos="1985"/>
        </w:tabs>
        <w:bidi w:val="0"/>
        <w:spacing w:line="240" w:lineRule="auto"/>
        <w:jc w:val="left"/>
        <w:rPr>
          <w:rFonts w:eastAsia="MS Mincho" w:cs="Times New Roman"/>
          <w:sz w:val="24"/>
          <w:szCs w:val="24"/>
        </w:rPr>
      </w:pPr>
      <w:r w:rsidRPr="00E80E4D">
        <w:rPr>
          <w:rFonts w:eastAsia="MS Mincho" w:cs="Times New Roman"/>
          <w:sz w:val="24"/>
          <w:szCs w:val="24"/>
        </w:rPr>
        <w:lastRenderedPageBreak/>
        <w:t>Investigate regulatory actions necessary to facilitate the deployment of ITS communication products and services based on the ITS communication standards being developed</w:t>
      </w:r>
    </w:p>
    <w:p w:rsidR="00E80E4D" w:rsidRPr="00E80E4D" w:rsidRDefault="00E80E4D" w:rsidP="00E80E4D">
      <w:pPr>
        <w:numPr>
          <w:ilvl w:val="0"/>
          <w:numId w:val="5"/>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E80E4D">
        <w:rPr>
          <w:rFonts w:cs="Times New Roman"/>
          <w:sz w:val="24"/>
          <w:szCs w:val="24"/>
          <w:lang w:val="en-GB"/>
        </w:rPr>
        <w:t>Review mobility network services and ITS communications for their application as a ‘last resort’ supplement to other communication systems for emergency and disaster handling.</w:t>
      </w:r>
    </w:p>
    <w:p w:rsidR="00E80E4D" w:rsidRPr="00E80E4D" w:rsidRDefault="00E80E4D" w:rsidP="00E80E4D">
      <w:pPr>
        <w:bidi w:val="0"/>
        <w:spacing w:before="0" w:line="240" w:lineRule="auto"/>
        <w:jc w:val="left"/>
        <w:rPr>
          <w:rFonts w:cs="Times New Roman"/>
          <w:b/>
          <w:sz w:val="24"/>
          <w:szCs w:val="24"/>
          <w:lang w:val="en-GB"/>
        </w:rPr>
      </w:pPr>
      <w:r w:rsidRPr="00E80E4D">
        <w:rPr>
          <w:rFonts w:cs="Times New Roman"/>
          <w:sz w:val="24"/>
          <w:szCs w:val="24"/>
          <w:lang w:val="en-GB"/>
        </w:rPr>
        <w:br w:type="page"/>
      </w:r>
    </w:p>
    <w:p w:rsidR="00E80E4D" w:rsidRPr="00E80E4D" w:rsidRDefault="00E80E4D" w:rsidP="00E80E4D">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cs="Times New Roman"/>
          <w:bCs/>
          <w:sz w:val="24"/>
          <w:szCs w:val="24"/>
          <w:lang w:val="en-GB"/>
        </w:rPr>
      </w:pPr>
      <w:r w:rsidRPr="00E80E4D">
        <w:rPr>
          <w:rFonts w:cs="Times New Roman"/>
          <w:bCs/>
          <w:sz w:val="24"/>
          <w:szCs w:val="24"/>
          <w:lang w:val="en-GB"/>
        </w:rPr>
        <w:lastRenderedPageBreak/>
        <w:t>ANNEX 2</w:t>
      </w:r>
      <w:r w:rsidRPr="00E80E4D">
        <w:rPr>
          <w:rFonts w:cs="Times New Roman"/>
          <w:bCs/>
          <w:sz w:val="24"/>
          <w:szCs w:val="24"/>
          <w:lang w:val="en-GB"/>
        </w:rPr>
        <w:br/>
        <w:t>(to TSB Circular 255)</w:t>
      </w:r>
    </w:p>
    <w:p w:rsidR="00E80E4D" w:rsidRPr="00E80E4D" w:rsidRDefault="00E80E4D" w:rsidP="00E80E4D">
      <w:pPr>
        <w:tabs>
          <w:tab w:val="left" w:pos="794"/>
          <w:tab w:val="left" w:pos="1191"/>
          <w:tab w:val="left" w:pos="1588"/>
          <w:tab w:val="left" w:pos="1985"/>
        </w:tabs>
        <w:bidi w:val="0"/>
        <w:spacing w:line="240" w:lineRule="auto"/>
        <w:jc w:val="left"/>
        <w:rPr>
          <w:rFonts w:cs="Times New Roman"/>
          <w:b/>
          <w:bCs/>
          <w:sz w:val="28"/>
          <w:szCs w:val="21"/>
          <w:lang w:val="en-GB" w:eastAsia="ja-JP"/>
        </w:rPr>
      </w:pPr>
    </w:p>
    <w:p w:rsidR="00E80E4D" w:rsidRPr="00E80E4D" w:rsidRDefault="00E80E4D" w:rsidP="00E80E4D">
      <w:pPr>
        <w:tabs>
          <w:tab w:val="left" w:pos="794"/>
          <w:tab w:val="left" w:pos="1191"/>
          <w:tab w:val="left" w:pos="1588"/>
          <w:tab w:val="left" w:pos="1985"/>
        </w:tabs>
        <w:bidi w:val="0"/>
        <w:spacing w:line="240" w:lineRule="auto"/>
        <w:ind w:left="1560" w:hanging="1560"/>
        <w:jc w:val="center"/>
        <w:rPr>
          <w:rFonts w:cs="Times New Roman"/>
          <w:b/>
          <w:bCs/>
          <w:sz w:val="28"/>
          <w:szCs w:val="21"/>
          <w:lang w:val="en-GB" w:eastAsia="ja-JP"/>
        </w:rPr>
      </w:pPr>
      <w:r w:rsidRPr="00E80E4D">
        <w:rPr>
          <w:rFonts w:cs="Times New Roman" w:hint="eastAsia"/>
          <w:b/>
          <w:bCs/>
          <w:sz w:val="28"/>
          <w:szCs w:val="21"/>
          <w:lang w:val="en-GB" w:eastAsia="ja-JP"/>
        </w:rPr>
        <w:t>Practical Information</w:t>
      </w:r>
    </w:p>
    <w:p w:rsidR="00E80E4D" w:rsidRPr="00E80E4D" w:rsidRDefault="00E80E4D" w:rsidP="00E80E4D">
      <w:pPr>
        <w:tabs>
          <w:tab w:val="left" w:pos="794"/>
          <w:tab w:val="left" w:pos="1191"/>
          <w:tab w:val="left" w:pos="1588"/>
          <w:tab w:val="left" w:pos="1985"/>
        </w:tabs>
        <w:bidi w:val="0"/>
        <w:spacing w:line="240" w:lineRule="auto"/>
        <w:ind w:left="1560" w:hanging="1560"/>
        <w:jc w:val="center"/>
        <w:rPr>
          <w:rFonts w:cs="Times New Roman"/>
          <w:b/>
          <w:bCs/>
          <w:sz w:val="28"/>
          <w:szCs w:val="21"/>
          <w:lang w:val="en-GB" w:eastAsia="ja-JP"/>
        </w:rPr>
      </w:pPr>
    </w:p>
    <w:p w:rsidR="00E80E4D" w:rsidRPr="00E80E4D" w:rsidRDefault="00E80E4D" w:rsidP="00E80E4D">
      <w:pPr>
        <w:numPr>
          <w:ilvl w:val="0"/>
          <w:numId w:val="6"/>
        </w:numPr>
        <w:tabs>
          <w:tab w:val="left" w:pos="0"/>
          <w:tab w:val="left" w:pos="794"/>
          <w:tab w:val="left" w:pos="851"/>
          <w:tab w:val="left" w:pos="1191"/>
          <w:tab w:val="left" w:pos="1588"/>
          <w:tab w:val="left" w:pos="1985"/>
        </w:tabs>
        <w:overflowPunct w:val="0"/>
        <w:autoSpaceDE w:val="0"/>
        <w:autoSpaceDN w:val="0"/>
        <w:bidi w:val="0"/>
        <w:adjustRightInd w:val="0"/>
        <w:spacing w:after="225" w:line="240" w:lineRule="auto"/>
        <w:jc w:val="left"/>
        <w:textAlignment w:val="top"/>
        <w:outlineLvl w:val="0"/>
        <w:rPr>
          <w:rFonts w:cs="Times New Roman"/>
          <w:b/>
          <w:bCs/>
          <w:kern w:val="36"/>
          <w:sz w:val="24"/>
          <w:szCs w:val="24"/>
          <w:lang w:val="en-GB"/>
        </w:rPr>
      </w:pPr>
      <w:r w:rsidRPr="00E80E4D">
        <w:rPr>
          <w:rFonts w:cs="Times New Roman"/>
          <w:b/>
          <w:bCs/>
          <w:kern w:val="36"/>
          <w:sz w:val="24"/>
          <w:szCs w:val="24"/>
          <w:lang w:val="en-GB"/>
        </w:rPr>
        <w:t>Contact person at SAE Automotive</w:t>
      </w:r>
    </w:p>
    <w:p w:rsidR="00E80E4D" w:rsidRPr="00E80E4D" w:rsidRDefault="00E80E4D" w:rsidP="00E80E4D">
      <w:pPr>
        <w:tabs>
          <w:tab w:val="left" w:pos="0"/>
          <w:tab w:val="left" w:pos="851"/>
          <w:tab w:val="left" w:pos="1588"/>
          <w:tab w:val="left" w:pos="1985"/>
        </w:tabs>
        <w:overflowPunct w:val="0"/>
        <w:autoSpaceDE w:val="0"/>
        <w:autoSpaceDN w:val="0"/>
        <w:bidi w:val="0"/>
        <w:adjustRightInd w:val="0"/>
        <w:spacing w:after="225" w:line="240" w:lineRule="auto"/>
        <w:jc w:val="left"/>
        <w:textAlignment w:val="top"/>
        <w:outlineLvl w:val="0"/>
        <w:rPr>
          <w:rFonts w:cs="Times New Roman"/>
          <w:kern w:val="36"/>
          <w:sz w:val="24"/>
          <w:szCs w:val="24"/>
          <w:lang w:val="en-GB"/>
        </w:rPr>
      </w:pPr>
      <w:r w:rsidRPr="00E80E4D">
        <w:rPr>
          <w:rFonts w:cs="Times New Roman"/>
          <w:kern w:val="36"/>
          <w:sz w:val="24"/>
          <w:szCs w:val="24"/>
          <w:lang w:val="en-GB"/>
        </w:rPr>
        <w:t>Name:</w:t>
      </w:r>
      <w:r w:rsidRPr="00E80E4D">
        <w:rPr>
          <w:rFonts w:cs="Times New Roman"/>
          <w:kern w:val="36"/>
          <w:sz w:val="24"/>
          <w:szCs w:val="24"/>
          <w:lang w:val="en-GB"/>
        </w:rPr>
        <w:tab/>
        <w:t xml:space="preserve">Ms </w:t>
      </w:r>
      <w:proofErr w:type="spellStart"/>
      <w:r w:rsidRPr="00E80E4D">
        <w:rPr>
          <w:rFonts w:cs="Times New Roman"/>
          <w:kern w:val="36"/>
          <w:sz w:val="24"/>
          <w:szCs w:val="24"/>
          <w:lang w:val="en-GB"/>
        </w:rPr>
        <w:t>Micheline</w:t>
      </w:r>
      <w:proofErr w:type="spellEnd"/>
      <w:r w:rsidRPr="00E80E4D">
        <w:rPr>
          <w:rFonts w:cs="Times New Roman"/>
          <w:kern w:val="36"/>
          <w:sz w:val="24"/>
          <w:szCs w:val="24"/>
          <w:lang w:val="en-GB"/>
        </w:rPr>
        <w:t xml:space="preserve"> </w:t>
      </w:r>
      <w:proofErr w:type="spellStart"/>
      <w:r w:rsidRPr="00E80E4D">
        <w:rPr>
          <w:rFonts w:cs="Times New Roman"/>
          <w:kern w:val="36"/>
          <w:sz w:val="24"/>
          <w:szCs w:val="24"/>
          <w:lang w:val="en-GB"/>
        </w:rPr>
        <w:t>Brussow</w:t>
      </w:r>
      <w:proofErr w:type="spellEnd"/>
      <w:r w:rsidRPr="00E80E4D">
        <w:rPr>
          <w:rFonts w:cs="Times New Roman"/>
          <w:kern w:val="36"/>
          <w:sz w:val="24"/>
          <w:szCs w:val="24"/>
          <w:lang w:val="en-GB"/>
        </w:rPr>
        <w:t>, SAE International</w:t>
      </w:r>
      <w:r w:rsidRPr="00E80E4D">
        <w:rPr>
          <w:rFonts w:cs="Times New Roman"/>
          <w:kern w:val="36"/>
          <w:sz w:val="24"/>
          <w:szCs w:val="24"/>
          <w:lang w:val="en-GB"/>
        </w:rPr>
        <w:br/>
        <w:t xml:space="preserve">E-Mail: </w:t>
      </w:r>
      <w:r w:rsidRPr="00E80E4D">
        <w:rPr>
          <w:rFonts w:cs="Times New Roman"/>
          <w:kern w:val="36"/>
          <w:sz w:val="24"/>
          <w:szCs w:val="24"/>
          <w:lang w:val="en-GB"/>
        </w:rPr>
        <w:tab/>
      </w:r>
      <w:hyperlink r:id="rId22" w:history="1">
        <w:r w:rsidRPr="00E80E4D">
          <w:rPr>
            <w:rFonts w:cs="Times New Roman"/>
            <w:color w:val="0000FF"/>
            <w:kern w:val="36"/>
            <w:sz w:val="24"/>
            <w:szCs w:val="24"/>
            <w:u w:val="single"/>
            <w:lang w:val="en-GB"/>
          </w:rPr>
          <w:t>mbrussow@sae.org</w:t>
        </w:r>
      </w:hyperlink>
      <w:r w:rsidRPr="00E80E4D">
        <w:rPr>
          <w:rFonts w:cs="Times New Roman"/>
          <w:kern w:val="36"/>
          <w:sz w:val="24"/>
          <w:szCs w:val="24"/>
          <w:lang w:val="en-GB"/>
        </w:rPr>
        <w:t xml:space="preserve"> </w:t>
      </w:r>
      <w:r w:rsidRPr="00E80E4D">
        <w:rPr>
          <w:rFonts w:cs="Times New Roman"/>
          <w:kern w:val="36"/>
          <w:sz w:val="24"/>
          <w:szCs w:val="24"/>
          <w:lang w:val="en-GB"/>
        </w:rPr>
        <w:br/>
        <w:t xml:space="preserve">Tel: </w:t>
      </w:r>
      <w:r w:rsidRPr="00E80E4D">
        <w:rPr>
          <w:rFonts w:cs="Times New Roman"/>
          <w:kern w:val="36"/>
          <w:sz w:val="24"/>
          <w:szCs w:val="24"/>
          <w:lang w:val="en-GB"/>
        </w:rPr>
        <w:tab/>
        <w:t>+1 248 273 2459</w:t>
      </w:r>
      <w:r w:rsidRPr="00E80E4D">
        <w:rPr>
          <w:rFonts w:cs="Times New Roman"/>
          <w:kern w:val="36"/>
          <w:sz w:val="24"/>
          <w:szCs w:val="24"/>
          <w:lang w:val="en-GB"/>
        </w:rPr>
        <w:br/>
        <w:t xml:space="preserve">Fax: </w:t>
      </w:r>
      <w:r w:rsidRPr="00E80E4D">
        <w:rPr>
          <w:rFonts w:cs="Times New Roman"/>
          <w:kern w:val="36"/>
          <w:sz w:val="24"/>
          <w:szCs w:val="24"/>
          <w:lang w:val="en-GB"/>
        </w:rPr>
        <w:tab/>
        <w:t>+1 248 273 2494</w:t>
      </w:r>
    </w:p>
    <w:p w:rsidR="00E80E4D" w:rsidRPr="00E80E4D" w:rsidRDefault="00E80E4D" w:rsidP="00E80E4D">
      <w:pPr>
        <w:numPr>
          <w:ilvl w:val="0"/>
          <w:numId w:val="6"/>
        </w:numPr>
        <w:tabs>
          <w:tab w:val="left" w:pos="0"/>
          <w:tab w:val="left" w:pos="794"/>
          <w:tab w:val="left" w:pos="851"/>
          <w:tab w:val="left" w:pos="1191"/>
          <w:tab w:val="left" w:pos="1588"/>
          <w:tab w:val="left" w:pos="1985"/>
        </w:tabs>
        <w:overflowPunct w:val="0"/>
        <w:autoSpaceDE w:val="0"/>
        <w:autoSpaceDN w:val="0"/>
        <w:bidi w:val="0"/>
        <w:adjustRightInd w:val="0"/>
        <w:spacing w:after="225" w:line="240" w:lineRule="auto"/>
        <w:jc w:val="left"/>
        <w:textAlignment w:val="top"/>
        <w:outlineLvl w:val="0"/>
        <w:rPr>
          <w:rFonts w:cs="Times New Roman"/>
          <w:b/>
          <w:bCs/>
          <w:kern w:val="36"/>
          <w:sz w:val="24"/>
          <w:szCs w:val="24"/>
          <w:lang w:val="en-GB"/>
        </w:rPr>
      </w:pPr>
      <w:r w:rsidRPr="00E80E4D">
        <w:rPr>
          <w:rFonts w:cs="Times New Roman"/>
          <w:b/>
          <w:bCs/>
          <w:kern w:val="36"/>
          <w:sz w:val="24"/>
          <w:szCs w:val="24"/>
          <w:lang w:val="en-GB"/>
        </w:rPr>
        <w:t xml:space="preserve">Directions to SAE Automotive Headquarters </w:t>
      </w:r>
    </w:p>
    <w:p w:rsidR="00E80E4D" w:rsidRPr="00E80E4D" w:rsidRDefault="00E80E4D"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r w:rsidRPr="00E80E4D">
        <w:rPr>
          <w:rFonts w:cs="Times New Roman"/>
          <w:sz w:val="24"/>
          <w:szCs w:val="24"/>
          <w:lang w:val="en-GB"/>
        </w:rPr>
        <w:t xml:space="preserve">755 W. Big Beaver, Suite 1600, </w:t>
      </w:r>
      <w:proofErr w:type="gramStart"/>
      <w:r w:rsidRPr="00E80E4D">
        <w:rPr>
          <w:rFonts w:cs="Times New Roman"/>
          <w:sz w:val="24"/>
          <w:szCs w:val="24"/>
          <w:lang w:val="en-GB"/>
        </w:rPr>
        <w:t>Troy MI 48084</w:t>
      </w:r>
      <w:r w:rsidRPr="00E80E4D">
        <w:rPr>
          <w:rFonts w:cs="Times New Roman"/>
          <w:sz w:val="24"/>
          <w:szCs w:val="24"/>
          <w:lang w:val="en-GB"/>
        </w:rPr>
        <w:br/>
        <w:t>Telephone</w:t>
      </w:r>
      <w:proofErr w:type="gramEnd"/>
      <w:r w:rsidRPr="00E80E4D">
        <w:rPr>
          <w:rFonts w:cs="Times New Roman"/>
          <w:sz w:val="24"/>
          <w:szCs w:val="24"/>
          <w:lang w:val="en-GB"/>
        </w:rPr>
        <w:t xml:space="preserve"> number: 248/273-2455</w:t>
      </w:r>
      <w:r w:rsidRPr="00E80E4D">
        <w:rPr>
          <w:rFonts w:cs="Times New Roman"/>
          <w:sz w:val="24"/>
          <w:szCs w:val="24"/>
          <w:lang w:val="en-GB"/>
        </w:rPr>
        <w:br/>
        <w:t>Fax number: 248/273-2494.</w:t>
      </w:r>
    </w:p>
    <w:p w:rsidR="00E80E4D" w:rsidRPr="00E80E4D" w:rsidRDefault="0037234E"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hyperlink r:id="rId23" w:history="1">
        <w:r w:rsidR="00E80E4D" w:rsidRPr="00E80E4D">
          <w:rPr>
            <w:rFonts w:cs="Times New Roman"/>
            <w:color w:val="0000FF"/>
            <w:sz w:val="24"/>
            <w:szCs w:val="20"/>
            <w:u w:val="single"/>
            <w:lang w:val="en-GB"/>
          </w:rPr>
          <w:t>Map of Troy, Michigan</w:t>
        </w:r>
      </w:hyperlink>
    </w:p>
    <w:p w:rsidR="00E80E4D" w:rsidRPr="00E80E4D" w:rsidRDefault="00E80E4D"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r w:rsidRPr="00E80E4D">
        <w:rPr>
          <w:rFonts w:cs="Times New Roman"/>
          <w:b/>
          <w:bCs/>
          <w:sz w:val="24"/>
          <w:szCs w:val="24"/>
          <w:lang w:val="en-GB"/>
        </w:rPr>
        <w:t>From North</w:t>
      </w:r>
      <w:r w:rsidRPr="00E80E4D">
        <w:rPr>
          <w:rFonts w:cs="Times New Roman"/>
          <w:sz w:val="24"/>
          <w:szCs w:val="24"/>
          <w:lang w:val="en-GB"/>
        </w:rPr>
        <w:br/>
        <w:t xml:space="preserve">Take I-75 South to Exit 69, Big Beaver West. As you exit I-75 onto Big Beaver, stay in the left lane. Make a U-turn at the first possible/legal turn around island. Move to the right lane immediately. Turn right onto Troy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Drive and make the first left turn into the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parking lot. Parking is free.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is the tallest building in the area. It is located on the southwest corner of the I-75/Big Beaver intersection.</w:t>
      </w:r>
    </w:p>
    <w:p w:rsidR="00E80E4D" w:rsidRPr="00E80E4D" w:rsidRDefault="00E80E4D"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r w:rsidRPr="00E80E4D">
        <w:rPr>
          <w:rFonts w:cs="Times New Roman"/>
          <w:b/>
          <w:bCs/>
          <w:sz w:val="24"/>
          <w:szCs w:val="24"/>
          <w:lang w:val="en-GB"/>
        </w:rPr>
        <w:t>From the Detroit Metro Airport</w:t>
      </w:r>
      <w:r w:rsidRPr="00E80E4D">
        <w:rPr>
          <w:rFonts w:cs="Times New Roman"/>
          <w:sz w:val="24"/>
          <w:szCs w:val="24"/>
          <w:lang w:val="en-GB"/>
        </w:rPr>
        <w:br/>
        <w:t xml:space="preserve">From the Detroit Metro Airport, take I-94 East to I-75 North to Exit 69, Big Beaver West. As you exit I-75 onto Big Beaver, stay in the left lane. Make a U-turn at the first possible/legal turn around island. Move to the right lane immediately. Turn right onto Troy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Drive and make the first left turn into the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parking lot. Parking is free.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is the tallest building in the area. It is located on the southwest corner of the I-75/Big Beaver intersection.</w:t>
      </w:r>
    </w:p>
    <w:p w:rsidR="00E80E4D" w:rsidRPr="00E80E4D" w:rsidRDefault="00E80E4D"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r w:rsidRPr="00E80E4D">
        <w:rPr>
          <w:rFonts w:cs="Times New Roman"/>
          <w:b/>
          <w:bCs/>
          <w:sz w:val="24"/>
          <w:szCs w:val="24"/>
          <w:lang w:val="en-GB"/>
        </w:rPr>
        <w:t>From East</w:t>
      </w:r>
      <w:r w:rsidRPr="00E80E4D">
        <w:rPr>
          <w:rFonts w:cs="Times New Roman"/>
          <w:sz w:val="24"/>
          <w:szCs w:val="24"/>
          <w:lang w:val="en-GB"/>
        </w:rPr>
        <w:br/>
        <w:t xml:space="preserve">Take I-696 West to I-75 North to Exit 69, Big Beaver West. As you exit I-75 onto Big Beaver, stay in the left lane. Make a U-turn at the first possible/legal turn around island. Move to the right lane immediately. Turn right onto Troy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Drive and make the first left turn into the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parking lot. Parking is free.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is the tallest building in the area. It is located on the southwest corner of the I-75/Big Beaver intersection.</w:t>
      </w:r>
    </w:p>
    <w:p w:rsidR="00E80E4D" w:rsidRPr="00E80E4D" w:rsidRDefault="00E80E4D" w:rsidP="00E80E4D">
      <w:pPr>
        <w:tabs>
          <w:tab w:val="left" w:pos="794"/>
          <w:tab w:val="left" w:pos="1191"/>
          <w:tab w:val="left" w:pos="1588"/>
          <w:tab w:val="left" w:pos="1985"/>
        </w:tabs>
        <w:bidi w:val="0"/>
        <w:spacing w:before="180" w:after="180" w:line="240" w:lineRule="auto"/>
        <w:jc w:val="left"/>
        <w:textAlignment w:val="top"/>
        <w:rPr>
          <w:rFonts w:cs="Times New Roman"/>
          <w:sz w:val="24"/>
          <w:szCs w:val="24"/>
          <w:lang w:val="en-GB"/>
        </w:rPr>
      </w:pPr>
      <w:r w:rsidRPr="00E80E4D">
        <w:rPr>
          <w:rFonts w:cs="Times New Roman"/>
          <w:b/>
          <w:bCs/>
          <w:sz w:val="24"/>
          <w:szCs w:val="24"/>
          <w:lang w:val="en-GB"/>
        </w:rPr>
        <w:t>From West</w:t>
      </w:r>
      <w:r w:rsidRPr="00E80E4D">
        <w:rPr>
          <w:rFonts w:cs="Times New Roman"/>
          <w:sz w:val="24"/>
          <w:szCs w:val="24"/>
          <w:lang w:val="en-GB"/>
        </w:rPr>
        <w:br/>
        <w:t xml:space="preserve">Take I-696 East to I-75 North to Exit 69, Big Beaver West. As you exit I-75 onto Big Beaver, stay in the left lane. Make a U-turn at the first possible/legal turn around island. Move to the right lane immediately. Turn right onto Troy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Drive and make the first left turn into the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parking lot. Parking is free. PNC </w:t>
      </w:r>
      <w:proofErr w:type="spellStart"/>
      <w:r w:rsidRPr="00E80E4D">
        <w:rPr>
          <w:rFonts w:cs="Times New Roman"/>
          <w:sz w:val="24"/>
          <w:szCs w:val="24"/>
          <w:lang w:val="en-GB"/>
        </w:rPr>
        <w:t>Center</w:t>
      </w:r>
      <w:proofErr w:type="spellEnd"/>
      <w:r w:rsidRPr="00E80E4D">
        <w:rPr>
          <w:rFonts w:cs="Times New Roman"/>
          <w:sz w:val="24"/>
          <w:szCs w:val="24"/>
          <w:lang w:val="en-GB"/>
        </w:rPr>
        <w:t xml:space="preserve"> is the tallest building in the area. It is located on the southwest corner of the I-75/Big Beaver intersection.</w:t>
      </w:r>
    </w:p>
    <w:p w:rsidR="00E80E4D" w:rsidRPr="00E80E4D" w:rsidRDefault="00E80E4D" w:rsidP="00E80E4D">
      <w:pPr>
        <w:tabs>
          <w:tab w:val="left" w:pos="794"/>
          <w:tab w:val="left" w:pos="1191"/>
          <w:tab w:val="left" w:pos="1588"/>
          <w:tab w:val="left" w:pos="1985"/>
        </w:tabs>
        <w:bidi w:val="0"/>
        <w:spacing w:line="240" w:lineRule="auto"/>
        <w:jc w:val="left"/>
        <w:rPr>
          <w:rFonts w:cs="Times New Roman"/>
          <w:b/>
          <w:sz w:val="24"/>
          <w:szCs w:val="24"/>
          <w:lang w:val="en-GB"/>
        </w:rPr>
      </w:pPr>
      <w:r w:rsidRPr="00E80E4D">
        <w:rPr>
          <w:rFonts w:cs="Times New Roman"/>
          <w:b/>
          <w:sz w:val="24"/>
          <w:szCs w:val="24"/>
          <w:lang w:val="en-GB"/>
        </w:rPr>
        <w:t>Transportation to and from airport</w:t>
      </w:r>
    </w:p>
    <w:p w:rsidR="00E80E4D" w:rsidRPr="00E80E4D" w:rsidRDefault="00E80E4D" w:rsidP="00E80E4D">
      <w:pPr>
        <w:tabs>
          <w:tab w:val="left" w:pos="794"/>
          <w:tab w:val="left" w:pos="1191"/>
          <w:tab w:val="left" w:pos="1588"/>
          <w:tab w:val="left" w:pos="1985"/>
        </w:tabs>
        <w:bidi w:val="0"/>
        <w:spacing w:line="240" w:lineRule="auto"/>
        <w:jc w:val="left"/>
        <w:rPr>
          <w:rFonts w:cs="Times New Roman"/>
          <w:sz w:val="24"/>
          <w:szCs w:val="24"/>
          <w:lang w:val="en-GB"/>
        </w:rPr>
      </w:pPr>
      <w:r w:rsidRPr="00E80E4D">
        <w:rPr>
          <w:rFonts w:cs="Times New Roman"/>
          <w:sz w:val="24"/>
          <w:szCs w:val="24"/>
          <w:lang w:val="en-GB"/>
        </w:rPr>
        <w:t xml:space="preserve">Click on the link below and then click on "ground transportation" for car rental, metro car service, and metro cab service: </w:t>
      </w:r>
      <w:hyperlink r:id="rId24" w:history="1">
        <w:r w:rsidRPr="00E80E4D">
          <w:rPr>
            <w:rFonts w:cs="Times New Roman"/>
            <w:color w:val="0000FF"/>
            <w:sz w:val="24"/>
            <w:szCs w:val="20"/>
            <w:u w:val="single"/>
            <w:lang w:val="en-GB"/>
          </w:rPr>
          <w:t>http://www.metroairport.com/</w:t>
        </w:r>
      </w:hyperlink>
    </w:p>
    <w:p w:rsidR="00E80E4D" w:rsidRPr="00E80E4D" w:rsidRDefault="00E80E4D" w:rsidP="00E80E4D">
      <w:pPr>
        <w:tabs>
          <w:tab w:val="left" w:pos="794"/>
          <w:tab w:val="left" w:pos="1191"/>
          <w:tab w:val="left" w:pos="1588"/>
          <w:tab w:val="left" w:pos="1985"/>
        </w:tabs>
        <w:bidi w:val="0"/>
        <w:spacing w:line="240" w:lineRule="auto"/>
        <w:jc w:val="left"/>
        <w:rPr>
          <w:rFonts w:cs="Times New Roman"/>
          <w:b/>
          <w:sz w:val="24"/>
          <w:szCs w:val="24"/>
          <w:lang w:val="en-GB"/>
        </w:rPr>
      </w:pPr>
      <w:r w:rsidRPr="00E80E4D">
        <w:rPr>
          <w:rFonts w:cs="Times New Roman"/>
          <w:sz w:val="24"/>
          <w:szCs w:val="20"/>
          <w:lang w:val="en-GB"/>
        </w:rPr>
        <w:br w:type="page"/>
      </w:r>
      <w:r w:rsidRPr="00E80E4D">
        <w:rPr>
          <w:rFonts w:cs="Times New Roman"/>
          <w:b/>
          <w:bCs/>
          <w:sz w:val="24"/>
          <w:szCs w:val="20"/>
          <w:lang w:val="en-GB"/>
        </w:rPr>
        <w:lastRenderedPageBreak/>
        <w:t>3</w:t>
      </w:r>
      <w:r w:rsidRPr="00E80E4D">
        <w:rPr>
          <w:rFonts w:cs="Times New Roman"/>
          <w:b/>
          <w:sz w:val="24"/>
          <w:szCs w:val="24"/>
          <w:lang w:val="en-GB"/>
        </w:rPr>
        <w:t xml:space="preserve">. </w:t>
      </w:r>
      <w:r w:rsidRPr="00E80E4D">
        <w:rPr>
          <w:rFonts w:cs="Times New Roman"/>
          <w:b/>
          <w:sz w:val="24"/>
          <w:szCs w:val="24"/>
          <w:lang w:val="en-GB"/>
        </w:rPr>
        <w:tab/>
        <w:t>SAE International Corporate Rates (rev 1/10/11)</w:t>
      </w:r>
    </w:p>
    <w:p w:rsidR="00E80E4D" w:rsidRPr="00E80E4D" w:rsidRDefault="00E80E4D" w:rsidP="00E80E4D">
      <w:pPr>
        <w:tabs>
          <w:tab w:val="left" w:pos="794"/>
          <w:tab w:val="left" w:pos="1191"/>
          <w:tab w:val="left" w:pos="1588"/>
          <w:tab w:val="left" w:pos="1985"/>
        </w:tabs>
        <w:bidi w:val="0"/>
        <w:spacing w:line="240" w:lineRule="auto"/>
        <w:jc w:val="left"/>
        <w:rPr>
          <w:rFonts w:cs="Times New Roman"/>
          <w:sz w:val="24"/>
          <w:szCs w:val="24"/>
          <w:lang w:val="en-GB"/>
        </w:rPr>
      </w:pPr>
    </w:p>
    <w:tbl>
      <w:tblPr>
        <w:tblStyle w:val="TableGrid1"/>
        <w:tblW w:w="5000" w:type="pct"/>
        <w:tblLayout w:type="fixed"/>
        <w:tblLook w:val="0000" w:firstRow="0" w:lastRow="0" w:firstColumn="0" w:lastColumn="0" w:noHBand="0" w:noVBand="0"/>
      </w:tblPr>
      <w:tblGrid>
        <w:gridCol w:w="1669"/>
        <w:gridCol w:w="2124"/>
        <w:gridCol w:w="1559"/>
        <w:gridCol w:w="4593"/>
      </w:tblGrid>
      <w:tr w:rsidR="00E80E4D" w:rsidRPr="00E80E4D" w:rsidTr="008B72B3">
        <w:trPr>
          <w:trHeight w:val="403"/>
        </w:trPr>
        <w:tc>
          <w:tcPr>
            <w:tcW w:w="839" w:type="pct"/>
          </w:tcPr>
          <w:p w:rsidR="00E80E4D" w:rsidRPr="00E80E4D" w:rsidRDefault="00E80E4D" w:rsidP="00E80E4D">
            <w:pPr>
              <w:bidi w:val="0"/>
              <w:spacing w:line="240" w:lineRule="auto"/>
              <w:jc w:val="center"/>
              <w:rPr>
                <w:rFonts w:cs="Times New Roman"/>
                <w:b/>
                <w:bCs/>
                <w:sz w:val="24"/>
                <w:szCs w:val="20"/>
                <w:lang w:val="en-GB"/>
              </w:rPr>
            </w:pPr>
          </w:p>
          <w:p w:rsidR="00E80E4D" w:rsidRPr="00E80E4D" w:rsidRDefault="00E80E4D" w:rsidP="00E80E4D">
            <w:pPr>
              <w:bidi w:val="0"/>
              <w:spacing w:line="240" w:lineRule="auto"/>
              <w:jc w:val="center"/>
              <w:rPr>
                <w:rFonts w:cs="Times New Roman"/>
                <w:b/>
                <w:bCs/>
                <w:sz w:val="24"/>
                <w:szCs w:val="20"/>
                <w:lang w:val="en-GB"/>
              </w:rPr>
            </w:pPr>
            <w:r w:rsidRPr="00E80E4D">
              <w:rPr>
                <w:rFonts w:cs="Times New Roman"/>
                <w:b/>
                <w:bCs/>
                <w:sz w:val="24"/>
                <w:szCs w:val="20"/>
                <w:lang w:val="en-GB"/>
              </w:rPr>
              <w:t>HOTEL</w:t>
            </w:r>
          </w:p>
        </w:tc>
        <w:tc>
          <w:tcPr>
            <w:tcW w:w="1068" w:type="pct"/>
          </w:tcPr>
          <w:p w:rsidR="00E80E4D" w:rsidRPr="00E80E4D" w:rsidRDefault="00E80E4D" w:rsidP="00E80E4D">
            <w:pPr>
              <w:bidi w:val="0"/>
              <w:spacing w:line="240" w:lineRule="auto"/>
              <w:jc w:val="center"/>
              <w:rPr>
                <w:rFonts w:cs="Times New Roman"/>
                <w:b/>
                <w:bCs/>
                <w:sz w:val="24"/>
                <w:szCs w:val="20"/>
                <w:lang w:val="en-GB"/>
              </w:rPr>
            </w:pPr>
          </w:p>
          <w:p w:rsidR="00E80E4D" w:rsidRPr="00E80E4D" w:rsidRDefault="00E80E4D" w:rsidP="00E80E4D">
            <w:pPr>
              <w:bidi w:val="0"/>
              <w:spacing w:line="240" w:lineRule="auto"/>
              <w:jc w:val="center"/>
              <w:rPr>
                <w:rFonts w:cs="Times New Roman"/>
                <w:b/>
                <w:bCs/>
                <w:sz w:val="24"/>
                <w:szCs w:val="20"/>
                <w:lang w:val="en-GB"/>
              </w:rPr>
            </w:pPr>
            <w:r w:rsidRPr="00E80E4D">
              <w:rPr>
                <w:rFonts w:cs="Times New Roman"/>
                <w:b/>
                <w:bCs/>
                <w:sz w:val="24"/>
                <w:szCs w:val="20"/>
                <w:lang w:val="en-GB"/>
              </w:rPr>
              <w:t>LOCATION</w:t>
            </w:r>
          </w:p>
        </w:tc>
        <w:tc>
          <w:tcPr>
            <w:tcW w:w="784" w:type="pct"/>
          </w:tcPr>
          <w:p w:rsidR="00E80E4D" w:rsidRPr="00E80E4D" w:rsidRDefault="00E80E4D" w:rsidP="00E80E4D">
            <w:pPr>
              <w:bidi w:val="0"/>
              <w:spacing w:line="240" w:lineRule="auto"/>
              <w:jc w:val="center"/>
              <w:rPr>
                <w:rFonts w:cs="Times New Roman"/>
                <w:b/>
                <w:bCs/>
                <w:sz w:val="24"/>
                <w:szCs w:val="20"/>
                <w:lang w:val="en-GB"/>
              </w:rPr>
            </w:pPr>
          </w:p>
          <w:p w:rsidR="00E80E4D" w:rsidRPr="00E80E4D" w:rsidRDefault="00E80E4D" w:rsidP="00E80E4D">
            <w:pPr>
              <w:bidi w:val="0"/>
              <w:spacing w:line="240" w:lineRule="auto"/>
              <w:jc w:val="center"/>
              <w:rPr>
                <w:rFonts w:cs="Times New Roman"/>
                <w:b/>
                <w:bCs/>
                <w:sz w:val="24"/>
                <w:szCs w:val="20"/>
                <w:lang w:val="en-GB"/>
              </w:rPr>
            </w:pPr>
            <w:r w:rsidRPr="00E80E4D">
              <w:rPr>
                <w:rFonts w:cs="Times New Roman"/>
                <w:b/>
                <w:bCs/>
                <w:sz w:val="24"/>
                <w:szCs w:val="20"/>
                <w:lang w:val="en-GB"/>
              </w:rPr>
              <w:t>PHONE #</w:t>
            </w:r>
          </w:p>
        </w:tc>
        <w:tc>
          <w:tcPr>
            <w:tcW w:w="2309" w:type="pct"/>
          </w:tcPr>
          <w:p w:rsidR="00E80E4D" w:rsidRPr="00E80E4D" w:rsidRDefault="00E80E4D" w:rsidP="00E80E4D">
            <w:pPr>
              <w:bidi w:val="0"/>
              <w:spacing w:line="240" w:lineRule="auto"/>
              <w:jc w:val="center"/>
              <w:rPr>
                <w:rFonts w:cs="Times New Roman"/>
                <w:b/>
                <w:bCs/>
                <w:sz w:val="24"/>
                <w:szCs w:val="20"/>
                <w:lang w:val="en-GB"/>
              </w:rPr>
            </w:pPr>
          </w:p>
        </w:tc>
      </w:tr>
      <w:tr w:rsidR="00E80E4D" w:rsidRPr="00E80E4D" w:rsidTr="008B72B3">
        <w:trPr>
          <w:trHeight w:val="363"/>
        </w:trPr>
        <w:tc>
          <w:tcPr>
            <w:tcW w:w="839" w:type="pct"/>
          </w:tcPr>
          <w:p w:rsidR="00E80E4D" w:rsidRPr="00E80E4D" w:rsidRDefault="00E80E4D" w:rsidP="00E80E4D">
            <w:pPr>
              <w:tabs>
                <w:tab w:val="left" w:pos="737"/>
                <w:tab w:val="left" w:pos="1134"/>
              </w:tabs>
              <w:bidi w:val="0"/>
              <w:spacing w:before="100" w:beforeAutospacing="1" w:after="100" w:afterAutospacing="1" w:line="240" w:lineRule="auto"/>
              <w:ind w:right="480"/>
              <w:jc w:val="left"/>
              <w:rPr>
                <w:rFonts w:cs="Times New Roman"/>
                <w:b/>
                <w:bCs/>
                <w:sz w:val="24"/>
                <w:szCs w:val="24"/>
                <w:lang w:val="en-GB"/>
              </w:rPr>
            </w:pPr>
            <w:r w:rsidRPr="00E80E4D">
              <w:rPr>
                <w:rFonts w:cs="Times New Roman"/>
                <w:b/>
                <w:bCs/>
                <w:sz w:val="24"/>
                <w:szCs w:val="24"/>
                <w:lang w:val="en-GB"/>
              </w:rPr>
              <w:t>Drury Inn</w:t>
            </w:r>
          </w:p>
        </w:tc>
        <w:tc>
          <w:tcPr>
            <w:tcW w:w="1068" w:type="pct"/>
          </w:tcPr>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575 W. Big Beaver</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Troy, MI 48084</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(approximately ¼ mile from SAE)</w:t>
            </w:r>
          </w:p>
        </w:tc>
        <w:tc>
          <w:tcPr>
            <w:tcW w:w="784" w:type="pct"/>
          </w:tcPr>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1-248/528-3330</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Fax: 1-248/528-3330</w:t>
            </w:r>
          </w:p>
        </w:tc>
        <w:tc>
          <w:tcPr>
            <w:tcW w:w="2309" w:type="pct"/>
          </w:tcPr>
          <w:p w:rsidR="00E80E4D" w:rsidRPr="00E80E4D" w:rsidRDefault="00E80E4D" w:rsidP="00E80E4D">
            <w:pPr>
              <w:tabs>
                <w:tab w:val="left" w:pos="0"/>
                <w:tab w:val="left" w:pos="737"/>
                <w:tab w:val="left" w:pos="1134"/>
              </w:tabs>
              <w:suppressAutoHyphens/>
              <w:bidi w:val="0"/>
              <w:spacing w:line="260" w:lineRule="exact"/>
              <w:jc w:val="left"/>
              <w:rPr>
                <w:rFonts w:cs="Times New Roman"/>
                <w:sz w:val="24"/>
                <w:szCs w:val="24"/>
                <w:lang w:val="en-GB"/>
              </w:rPr>
            </w:pPr>
            <w:r w:rsidRPr="00E80E4D">
              <w:rPr>
                <w:rFonts w:cs="Times New Roman"/>
                <w:b/>
                <w:sz w:val="24"/>
                <w:szCs w:val="24"/>
                <w:lang w:val="en-GB"/>
              </w:rPr>
              <w:t>SAE Corporate Rate  2011</w:t>
            </w:r>
            <w:r w:rsidRPr="00E80E4D">
              <w:rPr>
                <w:rFonts w:cs="Times New Roman"/>
                <w:sz w:val="24"/>
                <w:szCs w:val="24"/>
                <w:lang w:val="en-GB"/>
              </w:rPr>
              <w:t xml:space="preserve"> </w:t>
            </w:r>
          </w:p>
          <w:p w:rsidR="00E80E4D" w:rsidRPr="00E80E4D" w:rsidRDefault="00E80E4D" w:rsidP="00E80E4D">
            <w:pPr>
              <w:tabs>
                <w:tab w:val="left" w:pos="0"/>
              </w:tabs>
              <w:suppressAutoHyphens/>
              <w:bidi w:val="0"/>
              <w:spacing w:line="260" w:lineRule="exact"/>
              <w:jc w:val="left"/>
              <w:rPr>
                <w:rFonts w:cs="Times New Roman"/>
                <w:sz w:val="24"/>
                <w:szCs w:val="24"/>
                <w:lang w:val="en-GB"/>
              </w:rPr>
            </w:pPr>
            <w:r w:rsidRPr="00E80E4D">
              <w:rPr>
                <w:rFonts w:cs="Times New Roman"/>
                <w:sz w:val="24"/>
                <w:szCs w:val="24"/>
                <w:lang w:val="en-GB"/>
              </w:rPr>
              <w:t>$88.99 Double</w:t>
            </w:r>
          </w:p>
          <w:p w:rsidR="00E80E4D" w:rsidRPr="00E80E4D" w:rsidRDefault="00E80E4D" w:rsidP="00E80E4D">
            <w:pPr>
              <w:tabs>
                <w:tab w:val="left" w:pos="0"/>
              </w:tabs>
              <w:suppressAutoHyphens/>
              <w:bidi w:val="0"/>
              <w:spacing w:line="260" w:lineRule="exact"/>
              <w:jc w:val="left"/>
              <w:rPr>
                <w:rFonts w:cs="Times New Roman"/>
                <w:sz w:val="24"/>
                <w:szCs w:val="24"/>
                <w:lang w:val="en-GB"/>
              </w:rPr>
            </w:pPr>
            <w:r w:rsidRPr="00E80E4D">
              <w:rPr>
                <w:rFonts w:cs="Times New Roman"/>
                <w:sz w:val="24"/>
                <w:szCs w:val="24"/>
                <w:lang w:val="en-GB"/>
              </w:rPr>
              <w:t xml:space="preserve">$98.99 King </w:t>
            </w:r>
          </w:p>
          <w:p w:rsidR="00E80E4D" w:rsidRPr="00E80E4D" w:rsidRDefault="00E80E4D" w:rsidP="00E80E4D">
            <w:pPr>
              <w:bidi w:val="0"/>
              <w:spacing w:line="240" w:lineRule="auto"/>
              <w:jc w:val="left"/>
              <w:rPr>
                <w:rFonts w:cs="Times New Roman"/>
                <w:sz w:val="24"/>
                <w:szCs w:val="24"/>
                <w:lang w:val="en-GB"/>
              </w:rPr>
            </w:pPr>
          </w:p>
          <w:p w:rsidR="00E80E4D" w:rsidRPr="00E80E4D" w:rsidRDefault="00E80E4D" w:rsidP="00E80E4D">
            <w:pPr>
              <w:bidi w:val="0"/>
              <w:spacing w:line="240" w:lineRule="auto"/>
              <w:jc w:val="left"/>
              <w:rPr>
                <w:rFonts w:cs="Times New Roman"/>
                <w:sz w:val="24"/>
                <w:szCs w:val="24"/>
                <w:lang w:val="en-GB"/>
              </w:rPr>
            </w:pPr>
            <w:r w:rsidRPr="00E80E4D">
              <w:rPr>
                <w:rFonts w:cs="Times New Roman"/>
                <w:sz w:val="24"/>
                <w:szCs w:val="24"/>
                <w:lang w:val="en-GB"/>
              </w:rPr>
              <w:t>Complimentary hot breakfast daily</w:t>
            </w:r>
          </w:p>
          <w:p w:rsidR="00E80E4D" w:rsidRPr="00E80E4D" w:rsidRDefault="00E80E4D" w:rsidP="00E80E4D">
            <w:pPr>
              <w:bidi w:val="0"/>
              <w:spacing w:line="240" w:lineRule="auto"/>
              <w:jc w:val="left"/>
              <w:rPr>
                <w:rFonts w:cs="Times New Roman"/>
                <w:sz w:val="24"/>
                <w:szCs w:val="24"/>
                <w:lang w:val="en-GB"/>
              </w:rPr>
            </w:pPr>
            <w:r w:rsidRPr="00E80E4D">
              <w:rPr>
                <w:rFonts w:cs="Times New Roman"/>
                <w:sz w:val="24"/>
                <w:szCs w:val="24"/>
                <w:lang w:val="en-GB"/>
              </w:rPr>
              <w:t>Complimentary appetizers and three free cocktails each evening</w:t>
            </w:r>
          </w:p>
          <w:p w:rsidR="00E80E4D" w:rsidRPr="00E80E4D" w:rsidRDefault="00E80E4D" w:rsidP="00E80E4D">
            <w:pPr>
              <w:bidi w:val="0"/>
              <w:spacing w:line="240" w:lineRule="auto"/>
              <w:jc w:val="left"/>
              <w:rPr>
                <w:rFonts w:cs="Times New Roman"/>
                <w:sz w:val="24"/>
                <w:szCs w:val="24"/>
                <w:lang w:val="en-GB"/>
              </w:rPr>
            </w:pPr>
            <w:r w:rsidRPr="00E80E4D">
              <w:rPr>
                <w:rFonts w:cs="Times New Roman"/>
                <w:sz w:val="24"/>
                <w:szCs w:val="24"/>
                <w:lang w:val="en-GB"/>
              </w:rPr>
              <w:t>Free internet</w:t>
            </w:r>
          </w:p>
          <w:p w:rsidR="00E80E4D" w:rsidRPr="00E80E4D" w:rsidRDefault="00E80E4D" w:rsidP="00E80E4D">
            <w:pPr>
              <w:bidi w:val="0"/>
              <w:spacing w:line="240" w:lineRule="auto"/>
              <w:jc w:val="left"/>
              <w:rPr>
                <w:rFonts w:cs="Times New Roman"/>
                <w:sz w:val="24"/>
                <w:szCs w:val="24"/>
                <w:lang w:val="en-GB"/>
              </w:rPr>
            </w:pPr>
            <w:r w:rsidRPr="00E80E4D">
              <w:rPr>
                <w:rFonts w:cs="Times New Roman"/>
                <w:sz w:val="24"/>
                <w:szCs w:val="24"/>
                <w:lang w:val="en-GB"/>
              </w:rPr>
              <w:t>Free shuttle service (5 mile radius)</w:t>
            </w:r>
          </w:p>
          <w:p w:rsidR="00E80E4D" w:rsidRPr="00E80E4D" w:rsidRDefault="00E80E4D" w:rsidP="00E80E4D">
            <w:pPr>
              <w:bidi w:val="0"/>
              <w:spacing w:line="240" w:lineRule="auto"/>
              <w:jc w:val="left"/>
              <w:rPr>
                <w:rFonts w:cs="Times New Roman"/>
                <w:sz w:val="24"/>
                <w:szCs w:val="24"/>
                <w:lang w:val="en-GB"/>
              </w:rPr>
            </w:pPr>
          </w:p>
          <w:p w:rsidR="00E80E4D" w:rsidRPr="00E80E4D" w:rsidRDefault="00E80E4D" w:rsidP="00E80E4D">
            <w:pPr>
              <w:bidi w:val="0"/>
              <w:spacing w:line="240" w:lineRule="auto"/>
              <w:jc w:val="left"/>
              <w:rPr>
                <w:rFonts w:cs="Times New Roman"/>
                <w:sz w:val="24"/>
                <w:szCs w:val="24"/>
                <w:lang w:val="en-GB"/>
              </w:rPr>
            </w:pPr>
            <w:r w:rsidRPr="00E80E4D">
              <w:rPr>
                <w:rFonts w:cs="Times New Roman"/>
                <w:sz w:val="24"/>
                <w:szCs w:val="24"/>
                <w:lang w:val="en-GB"/>
              </w:rPr>
              <w:t xml:space="preserve">NOTE: </w:t>
            </w:r>
            <w:r w:rsidRPr="00E80E4D">
              <w:rPr>
                <w:rFonts w:cs="Times New Roman"/>
                <w:b/>
                <w:sz w:val="24"/>
                <w:szCs w:val="24"/>
                <w:lang w:val="en-GB"/>
              </w:rPr>
              <w:t>Must use</w:t>
            </w:r>
            <w:r w:rsidRPr="00E80E4D">
              <w:rPr>
                <w:rFonts w:cs="Times New Roman"/>
                <w:sz w:val="24"/>
                <w:szCs w:val="24"/>
                <w:lang w:val="en-GB"/>
              </w:rPr>
              <w:t xml:space="preserve"> 1-800-DRURYINN (378-7946) and request the SAE International Corporate ID #305431 rate.  </w:t>
            </w:r>
          </w:p>
        </w:tc>
      </w:tr>
      <w:tr w:rsidR="00E80E4D" w:rsidRPr="00E80E4D" w:rsidTr="008B72B3">
        <w:trPr>
          <w:trHeight w:val="778"/>
        </w:trPr>
        <w:tc>
          <w:tcPr>
            <w:tcW w:w="839" w:type="pct"/>
          </w:tcPr>
          <w:p w:rsidR="00E80E4D" w:rsidRPr="00E80E4D" w:rsidRDefault="00E80E4D" w:rsidP="00E80E4D">
            <w:pPr>
              <w:tabs>
                <w:tab w:val="left" w:pos="0"/>
                <w:tab w:val="left" w:pos="737"/>
                <w:tab w:val="left" w:pos="1134"/>
              </w:tabs>
              <w:suppressAutoHyphens/>
              <w:bidi w:val="0"/>
              <w:spacing w:line="260" w:lineRule="exact"/>
              <w:ind w:right="480"/>
              <w:jc w:val="left"/>
              <w:rPr>
                <w:rFonts w:cs="Times New Roman"/>
                <w:b/>
                <w:sz w:val="24"/>
                <w:szCs w:val="24"/>
                <w:lang w:val="en-GB"/>
              </w:rPr>
            </w:pPr>
            <w:r w:rsidRPr="00E80E4D">
              <w:rPr>
                <w:rFonts w:cs="Times New Roman"/>
                <w:b/>
                <w:sz w:val="24"/>
                <w:szCs w:val="24"/>
                <w:lang w:val="en-GB"/>
              </w:rPr>
              <w:t>Embassy Suites</w:t>
            </w:r>
          </w:p>
        </w:tc>
        <w:tc>
          <w:tcPr>
            <w:tcW w:w="1068" w:type="pct"/>
          </w:tcPr>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850 Tower Drive</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Troy, MI 48098</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(approximately 3.4 miles from SAE)</w:t>
            </w:r>
          </w:p>
        </w:tc>
        <w:tc>
          <w:tcPr>
            <w:tcW w:w="784" w:type="pct"/>
          </w:tcPr>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1-248-879-7500</w:t>
            </w:r>
          </w:p>
        </w:tc>
        <w:tc>
          <w:tcPr>
            <w:tcW w:w="2309" w:type="pct"/>
          </w:tcPr>
          <w:p w:rsidR="00E80E4D" w:rsidRPr="00E80E4D" w:rsidRDefault="00E80E4D" w:rsidP="00E80E4D">
            <w:pPr>
              <w:bidi w:val="0"/>
              <w:spacing w:line="240" w:lineRule="auto"/>
              <w:jc w:val="left"/>
              <w:rPr>
                <w:rFonts w:cs="Times New Roman"/>
                <w:b/>
                <w:bCs/>
                <w:sz w:val="24"/>
                <w:szCs w:val="20"/>
                <w:lang w:val="en-GB"/>
              </w:rPr>
            </w:pPr>
            <w:r w:rsidRPr="00E80E4D">
              <w:rPr>
                <w:rFonts w:cs="Times New Roman"/>
                <w:b/>
                <w:bCs/>
                <w:sz w:val="24"/>
                <w:szCs w:val="20"/>
                <w:lang w:val="en-GB"/>
              </w:rPr>
              <w:t>SAE Corporate Rate 2011</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 xml:space="preserve">$119 king suite </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Free internet</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Complimentary cooked to order breakfast</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Complimentary manager’s reception 5:30 to 7:30 pm</w:t>
            </w: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Complimentary local shuttle</w:t>
            </w:r>
          </w:p>
          <w:p w:rsidR="00E80E4D" w:rsidRPr="00E80E4D" w:rsidRDefault="00E80E4D" w:rsidP="00E80E4D">
            <w:pPr>
              <w:bidi w:val="0"/>
              <w:spacing w:line="240" w:lineRule="auto"/>
              <w:jc w:val="left"/>
              <w:rPr>
                <w:rFonts w:cs="Times New Roman"/>
                <w:sz w:val="24"/>
                <w:szCs w:val="20"/>
                <w:lang w:val="en-GB"/>
              </w:rPr>
            </w:pPr>
          </w:p>
          <w:p w:rsidR="00E80E4D" w:rsidRPr="00E80E4D" w:rsidRDefault="00E80E4D" w:rsidP="00E80E4D">
            <w:pPr>
              <w:bidi w:val="0"/>
              <w:spacing w:line="240" w:lineRule="auto"/>
              <w:jc w:val="left"/>
              <w:rPr>
                <w:rFonts w:cs="Times New Roman"/>
                <w:sz w:val="24"/>
                <w:szCs w:val="20"/>
                <w:lang w:val="en-GB"/>
              </w:rPr>
            </w:pPr>
            <w:r w:rsidRPr="00E80E4D">
              <w:rPr>
                <w:rFonts w:cs="Times New Roman"/>
                <w:sz w:val="24"/>
                <w:szCs w:val="20"/>
                <w:lang w:val="en-GB"/>
              </w:rPr>
              <w:t xml:space="preserve">Online reservations:  </w:t>
            </w:r>
            <w:hyperlink r:id="rId25" w:history="1">
              <w:r w:rsidRPr="00E80E4D">
                <w:rPr>
                  <w:rFonts w:cs="Times New Roman"/>
                  <w:color w:val="0000FF"/>
                  <w:sz w:val="24"/>
                  <w:szCs w:val="20"/>
                  <w:u w:val="single"/>
                  <w:lang w:val="en-GB"/>
                </w:rPr>
                <w:t>www.detroittroy.embassysuites.com</w:t>
              </w:r>
            </w:hyperlink>
            <w:r w:rsidRPr="00E80E4D">
              <w:rPr>
                <w:rFonts w:cs="Times New Roman"/>
                <w:sz w:val="24"/>
                <w:szCs w:val="20"/>
                <w:lang w:val="en-GB"/>
              </w:rPr>
              <w:t xml:space="preserve"> and enter corporate ID #0560029381</w:t>
            </w:r>
          </w:p>
        </w:tc>
      </w:tr>
    </w:tbl>
    <w:p w:rsidR="00E80E4D" w:rsidRPr="00E80E4D" w:rsidRDefault="00E80E4D" w:rsidP="00E80E4D">
      <w:pPr>
        <w:tabs>
          <w:tab w:val="left" w:pos="794"/>
          <w:tab w:val="left" w:pos="1191"/>
          <w:tab w:val="left" w:pos="1588"/>
          <w:tab w:val="left" w:pos="1985"/>
        </w:tabs>
        <w:bidi w:val="0"/>
        <w:spacing w:line="240" w:lineRule="auto"/>
        <w:jc w:val="left"/>
        <w:rPr>
          <w:rFonts w:cs="Times New Roman"/>
          <w:sz w:val="24"/>
          <w:szCs w:val="24"/>
          <w:lang w:val="en-GB"/>
        </w:rPr>
      </w:pPr>
    </w:p>
    <w:p w:rsidR="00E80E4D" w:rsidRPr="00E80E4D" w:rsidRDefault="00E80E4D" w:rsidP="00E80E4D">
      <w:pPr>
        <w:tabs>
          <w:tab w:val="left" w:pos="794"/>
          <w:tab w:val="left" w:pos="1191"/>
          <w:tab w:val="left" w:pos="1588"/>
          <w:tab w:val="left" w:pos="1985"/>
        </w:tabs>
        <w:bidi w:val="0"/>
        <w:spacing w:line="240" w:lineRule="auto"/>
        <w:jc w:val="left"/>
        <w:rPr>
          <w:rFonts w:cs="Times New Roman"/>
          <w:sz w:val="24"/>
          <w:szCs w:val="20"/>
          <w:lang w:val="en-GB"/>
        </w:rPr>
      </w:pPr>
    </w:p>
    <w:p w:rsidR="00E80E4D" w:rsidRPr="00E80E4D" w:rsidRDefault="00E80E4D" w:rsidP="00E80E4D">
      <w:pPr>
        <w:autoSpaceDE w:val="0"/>
        <w:autoSpaceDN w:val="0"/>
        <w:bidi w:val="0"/>
        <w:adjustRightInd w:val="0"/>
        <w:spacing w:before="0" w:line="240" w:lineRule="auto"/>
        <w:jc w:val="center"/>
        <w:rPr>
          <w:rFonts w:ascii="Arial" w:eastAsia="MS Mincho" w:hAnsi="Arial" w:cs="Arial"/>
          <w:color w:val="000000"/>
          <w:sz w:val="24"/>
          <w:szCs w:val="24"/>
          <w:lang w:eastAsia="zh-CN"/>
        </w:rPr>
      </w:pPr>
      <w:r w:rsidRPr="00E80E4D">
        <w:rPr>
          <w:rFonts w:eastAsia="MS Mincho" w:cs="Times New Roman"/>
          <w:b/>
          <w:bCs/>
          <w:color w:val="000000"/>
          <w:sz w:val="24"/>
          <w:szCs w:val="24"/>
          <w:lang w:eastAsia="zh-CN"/>
        </w:rPr>
        <w:t>____________</w:t>
      </w:r>
    </w:p>
    <w:sectPr w:rsidR="00E80E4D" w:rsidRPr="00E80E4D" w:rsidSect="00D021B7">
      <w:headerReference w:type="default" r:id="rId26"/>
      <w:footerReference w:type="default" r:id="rId27"/>
      <w:headerReference w:type="first" r:id="rId28"/>
      <w:footerReference w:type="first" r:id="rId29"/>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B6" w:rsidRDefault="00327EB6">
      <w:r>
        <w:separator/>
      </w:r>
    </w:p>
  </w:endnote>
  <w:endnote w:type="continuationSeparator" w:id="0">
    <w:p w:rsidR="00327EB6" w:rsidRDefault="0032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57" w:rsidRDefault="00E44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9366B3" w:rsidRDefault="009366B3" w:rsidP="009366B3">
    <w:pPr>
      <w:pStyle w:val="Footer"/>
      <w:rPr>
        <w:sz w:val="16"/>
        <w:szCs w:val="16"/>
        <w:lang w:val="fr-CH"/>
      </w:rPr>
    </w:pPr>
    <w:r w:rsidRPr="00E44B57">
      <w:rPr>
        <w:sz w:val="16"/>
        <w:szCs w:val="16"/>
        <w:lang w:val="fr-CH"/>
      </w:rPr>
      <w:t>ITU-T\BUREAU\CIRC\255</w:t>
    </w:r>
    <w:r>
      <w:rPr>
        <w:sz w:val="16"/>
        <w:szCs w:val="16"/>
        <w:lang w:val="fr-CH"/>
      </w:rPr>
      <w:t>A</w:t>
    </w:r>
    <w:r w:rsidRPr="00E44B57">
      <w:rPr>
        <w:sz w:val="16"/>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t>
          </w:r>
          <w:r w:rsidR="002332C8">
            <w:t>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E72848" w:rsidRDefault="00CF1B69" w:rsidP="004331B3">
    <w:pPr>
      <w:pStyle w:val="Footer"/>
      <w:bidi w:val="0"/>
      <w:spacing w:before="0"/>
      <w:rPr>
        <w:szCs w:val="18"/>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Pr="00E44B57" w:rsidRDefault="00E44B57" w:rsidP="009366B3">
    <w:pPr>
      <w:pStyle w:val="Footer"/>
      <w:rPr>
        <w:sz w:val="16"/>
        <w:szCs w:val="16"/>
        <w:lang w:val="fr-CH"/>
      </w:rPr>
    </w:pPr>
    <w:r w:rsidRPr="00E44B57">
      <w:rPr>
        <w:sz w:val="16"/>
        <w:szCs w:val="16"/>
        <w:lang w:val="fr-CH"/>
      </w:rPr>
      <w:t>ITU-T\BUREAU\CIRC\255</w:t>
    </w:r>
    <w:r w:rsidR="009366B3">
      <w:rPr>
        <w:sz w:val="16"/>
        <w:szCs w:val="16"/>
        <w:lang w:val="fr-CH"/>
      </w:rPr>
      <w:t>A</w:t>
    </w:r>
    <w:r w:rsidRPr="00E44B57">
      <w:rPr>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Pr="00E44B57" w:rsidRDefault="00E44B57" w:rsidP="009366B3">
    <w:pPr>
      <w:pStyle w:val="Footer"/>
      <w:rPr>
        <w:sz w:val="16"/>
        <w:szCs w:val="16"/>
        <w:rtl/>
        <w:lang w:val="fr-CH"/>
      </w:rPr>
    </w:pPr>
    <w:r w:rsidRPr="00E44B57">
      <w:rPr>
        <w:sz w:val="16"/>
        <w:szCs w:val="16"/>
        <w:lang w:val="fr-CH"/>
      </w:rPr>
      <w:t>ITU-T\BUREAU\CIRC\255</w:t>
    </w:r>
    <w:r w:rsidR="009366B3">
      <w:rPr>
        <w:sz w:val="16"/>
        <w:szCs w:val="16"/>
        <w:lang w:val="fr-CH"/>
      </w:rPr>
      <w:t>A</w:t>
    </w:r>
    <w:r w:rsidRPr="00E44B57">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B6" w:rsidRDefault="00327EB6">
      <w:r>
        <w:separator/>
      </w:r>
    </w:p>
  </w:footnote>
  <w:footnote w:type="continuationSeparator" w:id="0">
    <w:p w:rsidR="00327EB6" w:rsidRDefault="0032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57" w:rsidRDefault="00E44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D9784F" w:rsidRDefault="00CF1B69" w:rsidP="00D9784F">
    <w:pPr>
      <w:pStyle w:val="Header"/>
      <w:bidi w:val="0"/>
      <w:spacing w:before="0"/>
      <w:jc w:val="center"/>
      <w:rPr>
        <w:rFonts w:cs="Times New Roman"/>
        <w:szCs w:val="18"/>
        <w:rtl/>
      </w:rPr>
    </w:pPr>
    <w:r w:rsidRPr="00D9784F">
      <w:rPr>
        <w:rFonts w:cs="Times New Roman"/>
        <w:szCs w:val="14"/>
      </w:rPr>
      <w:t xml:space="preserve">- </w:t>
    </w:r>
    <w:r w:rsidRPr="00D9784F">
      <w:rPr>
        <w:rStyle w:val="PageNumber"/>
        <w:szCs w:val="26"/>
      </w:rPr>
      <w:fldChar w:fldCharType="begin"/>
    </w:r>
    <w:r w:rsidRPr="00D9784F">
      <w:rPr>
        <w:rStyle w:val="PageNumber"/>
        <w:szCs w:val="26"/>
      </w:rPr>
      <w:instrText xml:space="preserve"> PAGE </w:instrText>
    </w:r>
    <w:r w:rsidRPr="00D9784F">
      <w:rPr>
        <w:rStyle w:val="PageNumber"/>
        <w:szCs w:val="26"/>
      </w:rPr>
      <w:fldChar w:fldCharType="separate"/>
    </w:r>
    <w:r w:rsidR="0037234E">
      <w:rPr>
        <w:rStyle w:val="PageNumber"/>
        <w:noProof/>
        <w:szCs w:val="26"/>
      </w:rPr>
      <w:t>2</w:t>
    </w:r>
    <w:r w:rsidRPr="00D9784F">
      <w:rPr>
        <w:rStyle w:val="PageNumber"/>
        <w:szCs w:val="26"/>
      </w:rPr>
      <w:fldChar w:fldCharType="end"/>
    </w:r>
    <w:r w:rsidRPr="00D9784F">
      <w:rPr>
        <w:rStyle w:val="PageNumber"/>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57" w:rsidRDefault="00E44B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Pr="00D9784F" w:rsidRDefault="00E80E4D" w:rsidP="00D9784F">
    <w:pPr>
      <w:pStyle w:val="Header"/>
      <w:bidi w:val="0"/>
      <w:spacing w:before="0" w:after="240"/>
      <w:jc w:val="center"/>
      <w:rPr>
        <w:rFonts w:cs="Times New Roman"/>
        <w:szCs w:val="22"/>
      </w:rPr>
    </w:pPr>
    <w:r w:rsidRPr="00D9784F">
      <w:rPr>
        <w:rFonts w:cs="Times New Roman"/>
        <w:szCs w:val="22"/>
      </w:rPr>
      <w:t xml:space="preserve">- </w:t>
    </w:r>
    <w:r w:rsidRPr="00D9784F">
      <w:rPr>
        <w:rStyle w:val="PageNumber"/>
        <w:szCs w:val="22"/>
      </w:rPr>
      <w:fldChar w:fldCharType="begin"/>
    </w:r>
    <w:r w:rsidRPr="00D9784F">
      <w:rPr>
        <w:rStyle w:val="PageNumber"/>
        <w:szCs w:val="22"/>
      </w:rPr>
      <w:instrText xml:space="preserve"> PAGE </w:instrText>
    </w:r>
    <w:r w:rsidRPr="00D9784F">
      <w:rPr>
        <w:rStyle w:val="PageNumber"/>
        <w:szCs w:val="22"/>
      </w:rPr>
      <w:fldChar w:fldCharType="separate"/>
    </w:r>
    <w:r w:rsidR="0037234E">
      <w:rPr>
        <w:rStyle w:val="PageNumber"/>
        <w:noProof/>
        <w:szCs w:val="22"/>
      </w:rPr>
      <w:t>6</w:t>
    </w:r>
    <w:r w:rsidRPr="00D9784F">
      <w:rPr>
        <w:rStyle w:val="PageNumber"/>
        <w:szCs w:val="22"/>
      </w:rPr>
      <w:fldChar w:fldCharType="end"/>
    </w:r>
    <w:r w:rsidRPr="00D9784F">
      <w:rPr>
        <w:rStyle w:val="PageNumber"/>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D" w:rsidRPr="00D9784F" w:rsidRDefault="00E80E4D" w:rsidP="00D9784F">
    <w:pPr>
      <w:pStyle w:val="Header"/>
      <w:bidi w:val="0"/>
      <w:spacing w:before="0" w:after="240"/>
      <w:jc w:val="center"/>
      <w:rPr>
        <w:rFonts w:cs="Times New Roman"/>
        <w:szCs w:val="22"/>
        <w:rtl/>
      </w:rPr>
    </w:pPr>
    <w:r w:rsidRPr="00D9784F">
      <w:rPr>
        <w:rFonts w:cs="Times New Roman"/>
        <w:szCs w:val="22"/>
      </w:rPr>
      <w:t xml:space="preserve">- </w:t>
    </w:r>
    <w:r w:rsidRPr="00D9784F">
      <w:rPr>
        <w:rStyle w:val="PageNumber"/>
        <w:szCs w:val="22"/>
      </w:rPr>
      <w:fldChar w:fldCharType="begin"/>
    </w:r>
    <w:r w:rsidRPr="00D9784F">
      <w:rPr>
        <w:rStyle w:val="PageNumber"/>
        <w:szCs w:val="22"/>
      </w:rPr>
      <w:instrText xml:space="preserve"> PAGE </w:instrText>
    </w:r>
    <w:r w:rsidRPr="00D9784F">
      <w:rPr>
        <w:rStyle w:val="PageNumber"/>
        <w:szCs w:val="22"/>
      </w:rPr>
      <w:fldChar w:fldCharType="separate"/>
    </w:r>
    <w:r w:rsidR="0037234E">
      <w:rPr>
        <w:rStyle w:val="PageNumber"/>
        <w:noProof/>
        <w:szCs w:val="22"/>
      </w:rPr>
      <w:t>3</w:t>
    </w:r>
    <w:r w:rsidRPr="00D9784F">
      <w:rPr>
        <w:rStyle w:val="PageNumber"/>
        <w:szCs w:val="22"/>
      </w:rPr>
      <w:fldChar w:fldCharType="end"/>
    </w:r>
    <w:r w:rsidRPr="00D9784F">
      <w:rPr>
        <w:rStyle w:val="PageNumbe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406D5674"/>
    <w:multiLevelType w:val="multilevel"/>
    <w:tmpl w:val="858AA8FC"/>
    <w:numStyleLink w:val="Style1"/>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7569"/>
    <w:rsid w:val="00012BDE"/>
    <w:rsid w:val="000132B7"/>
    <w:rsid w:val="00020DB7"/>
    <w:rsid w:val="000260D5"/>
    <w:rsid w:val="000302D3"/>
    <w:rsid w:val="000440C4"/>
    <w:rsid w:val="000525E5"/>
    <w:rsid w:val="000637D6"/>
    <w:rsid w:val="0006455A"/>
    <w:rsid w:val="00064EC5"/>
    <w:rsid w:val="00073E7E"/>
    <w:rsid w:val="00075ADE"/>
    <w:rsid w:val="00075D90"/>
    <w:rsid w:val="00076A45"/>
    <w:rsid w:val="00081D8A"/>
    <w:rsid w:val="000A3EFF"/>
    <w:rsid w:val="000A7621"/>
    <w:rsid w:val="000B66BC"/>
    <w:rsid w:val="000C2FB2"/>
    <w:rsid w:val="000D3455"/>
    <w:rsid w:val="000D3F69"/>
    <w:rsid w:val="000D6000"/>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32C8"/>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27EB6"/>
    <w:rsid w:val="003310D2"/>
    <w:rsid w:val="00331263"/>
    <w:rsid w:val="00335239"/>
    <w:rsid w:val="00343BDE"/>
    <w:rsid w:val="00350939"/>
    <w:rsid w:val="00363805"/>
    <w:rsid w:val="00363E8E"/>
    <w:rsid w:val="0037234E"/>
    <w:rsid w:val="00393E7C"/>
    <w:rsid w:val="003B1F1E"/>
    <w:rsid w:val="003B2C5F"/>
    <w:rsid w:val="003B459A"/>
    <w:rsid w:val="003C2AC9"/>
    <w:rsid w:val="003D56B1"/>
    <w:rsid w:val="003E051B"/>
    <w:rsid w:val="003E32A8"/>
    <w:rsid w:val="003E6B7D"/>
    <w:rsid w:val="003E74FC"/>
    <w:rsid w:val="004067A6"/>
    <w:rsid w:val="00417512"/>
    <w:rsid w:val="00422171"/>
    <w:rsid w:val="004221D4"/>
    <w:rsid w:val="00425397"/>
    <w:rsid w:val="00431A19"/>
    <w:rsid w:val="004331B3"/>
    <w:rsid w:val="0045475A"/>
    <w:rsid w:val="004558BF"/>
    <w:rsid w:val="00456D50"/>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D591E"/>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9799A"/>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81429"/>
    <w:rsid w:val="00795FF6"/>
    <w:rsid w:val="007A63EC"/>
    <w:rsid w:val="007A66C2"/>
    <w:rsid w:val="007A6984"/>
    <w:rsid w:val="007A7E70"/>
    <w:rsid w:val="007B1AED"/>
    <w:rsid w:val="007B5E75"/>
    <w:rsid w:val="007C1AEA"/>
    <w:rsid w:val="007F0AC6"/>
    <w:rsid w:val="0080133D"/>
    <w:rsid w:val="008041A7"/>
    <w:rsid w:val="00810E4D"/>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E3CBB"/>
    <w:rsid w:val="008F4C50"/>
    <w:rsid w:val="008F55E3"/>
    <w:rsid w:val="008F7B1F"/>
    <w:rsid w:val="009015FD"/>
    <w:rsid w:val="009041F1"/>
    <w:rsid w:val="009048A4"/>
    <w:rsid w:val="00904BF4"/>
    <w:rsid w:val="00911629"/>
    <w:rsid w:val="00913837"/>
    <w:rsid w:val="00914455"/>
    <w:rsid w:val="00920A44"/>
    <w:rsid w:val="009257DF"/>
    <w:rsid w:val="009366B3"/>
    <w:rsid w:val="0093679C"/>
    <w:rsid w:val="00965582"/>
    <w:rsid w:val="00973D3C"/>
    <w:rsid w:val="0097559C"/>
    <w:rsid w:val="0097651D"/>
    <w:rsid w:val="0098075F"/>
    <w:rsid w:val="00980D9A"/>
    <w:rsid w:val="009824F8"/>
    <w:rsid w:val="00986865"/>
    <w:rsid w:val="009938A9"/>
    <w:rsid w:val="009961EB"/>
    <w:rsid w:val="009A398E"/>
    <w:rsid w:val="009A61F8"/>
    <w:rsid w:val="009A676E"/>
    <w:rsid w:val="009B0414"/>
    <w:rsid w:val="009B5009"/>
    <w:rsid w:val="009C1CA8"/>
    <w:rsid w:val="009C4ADE"/>
    <w:rsid w:val="009D2DD2"/>
    <w:rsid w:val="009E21AD"/>
    <w:rsid w:val="009F4B09"/>
    <w:rsid w:val="00A14ADB"/>
    <w:rsid w:val="00A22222"/>
    <w:rsid w:val="00A26EA0"/>
    <w:rsid w:val="00A55013"/>
    <w:rsid w:val="00A57455"/>
    <w:rsid w:val="00A6296D"/>
    <w:rsid w:val="00A655AC"/>
    <w:rsid w:val="00A7234D"/>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276F4"/>
    <w:rsid w:val="00B40910"/>
    <w:rsid w:val="00B41FA2"/>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38D6"/>
    <w:rsid w:val="00CD49DF"/>
    <w:rsid w:val="00CE2555"/>
    <w:rsid w:val="00CE7C57"/>
    <w:rsid w:val="00CF1B69"/>
    <w:rsid w:val="00CF1FB2"/>
    <w:rsid w:val="00CF2045"/>
    <w:rsid w:val="00CF4610"/>
    <w:rsid w:val="00CF7EA1"/>
    <w:rsid w:val="00D07074"/>
    <w:rsid w:val="00D119B1"/>
    <w:rsid w:val="00D16C82"/>
    <w:rsid w:val="00D177A6"/>
    <w:rsid w:val="00D20AE5"/>
    <w:rsid w:val="00D32283"/>
    <w:rsid w:val="00D34A31"/>
    <w:rsid w:val="00D36DE5"/>
    <w:rsid w:val="00D418A5"/>
    <w:rsid w:val="00D45212"/>
    <w:rsid w:val="00D57797"/>
    <w:rsid w:val="00D61F3A"/>
    <w:rsid w:val="00D668E2"/>
    <w:rsid w:val="00D807A7"/>
    <w:rsid w:val="00D82615"/>
    <w:rsid w:val="00D84854"/>
    <w:rsid w:val="00D86402"/>
    <w:rsid w:val="00D87242"/>
    <w:rsid w:val="00D90360"/>
    <w:rsid w:val="00D9784F"/>
    <w:rsid w:val="00DA07ED"/>
    <w:rsid w:val="00DA1155"/>
    <w:rsid w:val="00DB0549"/>
    <w:rsid w:val="00DC2200"/>
    <w:rsid w:val="00DC4DC2"/>
    <w:rsid w:val="00DC5505"/>
    <w:rsid w:val="00DE3A97"/>
    <w:rsid w:val="00DE3DC9"/>
    <w:rsid w:val="00DE4D41"/>
    <w:rsid w:val="00DE76C6"/>
    <w:rsid w:val="00DE7845"/>
    <w:rsid w:val="00DF0B2F"/>
    <w:rsid w:val="00E11642"/>
    <w:rsid w:val="00E14185"/>
    <w:rsid w:val="00E24356"/>
    <w:rsid w:val="00E25C6C"/>
    <w:rsid w:val="00E27501"/>
    <w:rsid w:val="00E32073"/>
    <w:rsid w:val="00E36E54"/>
    <w:rsid w:val="00E4218D"/>
    <w:rsid w:val="00E448CA"/>
    <w:rsid w:val="00E44B57"/>
    <w:rsid w:val="00E507D1"/>
    <w:rsid w:val="00E529E7"/>
    <w:rsid w:val="00E61E5B"/>
    <w:rsid w:val="00E65A50"/>
    <w:rsid w:val="00E76382"/>
    <w:rsid w:val="00E7666B"/>
    <w:rsid w:val="00E80E4D"/>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4AD2"/>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271"/>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E80E4D"/>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E80E4D"/>
    <w:pPr>
      <w:numPr>
        <w:numId w:val="4"/>
      </w:numPr>
    </w:pPr>
  </w:style>
  <w:style w:type="character" w:styleId="FollowedHyperlink">
    <w:name w:val="FollowedHyperlink"/>
    <w:basedOn w:val="DefaultParagraphFont"/>
    <w:rsid w:val="00E44B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E80E4D"/>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E80E4D"/>
    <w:pPr>
      <w:numPr>
        <w:numId w:val="4"/>
      </w:numPr>
    </w:pPr>
  </w:style>
  <w:style w:type="character" w:styleId="FollowedHyperlink">
    <w:name w:val="FollowedHyperlink"/>
    <w:basedOn w:val="DefaultParagraphFont"/>
    <w:rsid w:val="00E44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extcoop/ci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reg/tmisc/3000355" TargetMode="External"/><Relationship Id="rId17" Type="http://schemas.openxmlformats.org/officeDocument/2006/relationships/header" Target="header2.xml"/><Relationship Id="rId25" Type="http://schemas.openxmlformats.org/officeDocument/2006/relationships/hyperlink" Target="http://www.detroittroy.embassysuites.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extcoop/cits/" TargetMode="External"/><Relationship Id="rId24" Type="http://schemas.openxmlformats.org/officeDocument/2006/relationships/hyperlink" Target="http://www.metroairport.com/" TargetMode="External"/><Relationship Id="rId5" Type="http://schemas.openxmlformats.org/officeDocument/2006/relationships/settings" Target="settings.xml"/><Relationship Id="rId15" Type="http://schemas.openxmlformats.org/officeDocument/2006/relationships/hyperlink" Target="http://itu.int/en/ITU-T/extcoop/cits/" TargetMode="External"/><Relationship Id="rId23" Type="http://schemas.openxmlformats.org/officeDocument/2006/relationships/hyperlink" Target="http://www.sae.org/about/contact/map1.htm" TargetMode="External"/><Relationship Id="rId28" Type="http://schemas.openxmlformats.org/officeDocument/2006/relationships/header" Target="header5.xml"/><Relationship Id="rId10" Type="http://schemas.openxmlformats.org/officeDocument/2006/relationships/hyperlink" Target="mailto:tsbdir@itu.int" TargetMode="External"/><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cits@itu.int" TargetMode="External"/><Relationship Id="rId22" Type="http://schemas.openxmlformats.org/officeDocument/2006/relationships/hyperlink" Target="mailto:mbrussow@sae.org"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433B-CA19-47B9-A742-55112ACB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6</Pages>
  <Words>1638</Words>
  <Characters>9339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10956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2012-02-09T10:12:00Z</cp:lastPrinted>
  <dcterms:created xsi:type="dcterms:W3CDTF">2012-02-10T07:31:00Z</dcterms:created>
  <dcterms:modified xsi:type="dcterms:W3CDTF">2012-02-10T07:31:00Z</dcterms:modified>
</cp:coreProperties>
</file>