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B00500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 w:rsidP="00D854F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D854FF">
        <w:t>23</w:t>
      </w:r>
      <w:r w:rsidR="005C1398">
        <w:t xml:space="preserve"> de </w:t>
      </w:r>
      <w:r w:rsidR="00D854FF">
        <w:t>septiembre</w:t>
      </w:r>
      <w:r w:rsidR="005C1398">
        <w:t xml:space="preserve"> de 20</w:t>
      </w:r>
      <w:r w:rsidR="00D854FF">
        <w:t>11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401C20"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</w:tcPr>
          <w:p w:rsidR="00401C20" w:rsidRDefault="00401C20" w:rsidP="00D854F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D854FF">
              <w:rPr>
                <w:b/>
              </w:rPr>
              <w:t>23</w:t>
            </w:r>
            <w:r w:rsidR="005C1398">
              <w:rPr>
                <w:b/>
              </w:rPr>
              <w:t>0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401C20" w:rsidRDefault="00401C20" w:rsidP="00FF0E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  <w:r w:rsidR="009707D0">
              <w:t>;</w:t>
            </w:r>
          </w:p>
          <w:p w:rsidR="005C1398" w:rsidRDefault="005C1398" w:rsidP="005C1398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5C1398" w:rsidRDefault="005C1398" w:rsidP="005C1398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5C1398" w:rsidRDefault="005C1398" w:rsidP="00564F5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564F52">
              <w:t xml:space="preserve"> los</w:t>
            </w:r>
            <w:r>
              <w:t xml:space="preserve"> Presidente</w:t>
            </w:r>
            <w:r w:rsidR="00564F52">
              <w:t>s</w:t>
            </w:r>
            <w:r>
              <w:t xml:space="preserve"> y Vicepresidentes de las</w:t>
            </w:r>
            <w:r>
              <w:br/>
              <w:t xml:space="preserve">Comisiones de Estudio </w:t>
            </w:r>
            <w:r w:rsidR="002E34C2">
              <w:t>del UIT-T</w:t>
            </w:r>
          </w:p>
          <w:p w:rsidR="005C1398" w:rsidRDefault="005C1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401C20">
        <w:trPr>
          <w:cantSplit/>
        </w:trPr>
        <w:tc>
          <w:tcPr>
            <w:tcW w:w="993" w:type="dxa"/>
          </w:tcPr>
          <w:p w:rsidR="00401C20" w:rsidRDefault="002E34C2" w:rsidP="009707D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  <w:r>
              <w:rPr>
                <w:sz w:val="22"/>
              </w:rPr>
              <w:br/>
            </w:r>
            <w:r w:rsidR="00401C20">
              <w:rPr>
                <w:sz w:val="22"/>
              </w:rPr>
              <w:t>Correo-e:</w:t>
            </w:r>
            <w:r>
              <w:rPr>
                <w:sz w:val="22"/>
              </w:rPr>
              <w:br/>
            </w:r>
            <w:r w:rsidRPr="00A71ADC">
              <w:rPr>
                <w:lang w:val="pt-BR"/>
              </w:rPr>
              <w:t>URL:</w:t>
            </w:r>
          </w:p>
        </w:tc>
        <w:tc>
          <w:tcPr>
            <w:tcW w:w="3884" w:type="dxa"/>
          </w:tcPr>
          <w:p w:rsidR="00401C20" w:rsidRDefault="002E34C2" w:rsidP="00D854FF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D854FF">
              <w:t>5875</w:t>
            </w:r>
            <w:r>
              <w:br/>
              <w:t>+41 22 730 5853</w:t>
            </w:r>
            <w:r>
              <w:br/>
            </w:r>
            <w:hyperlink r:id="rId8" w:history="1">
              <w:r w:rsidR="009707D0" w:rsidRPr="00096A84">
                <w:rPr>
                  <w:rStyle w:val="Hyperlink"/>
                </w:rPr>
                <w:t>tsbmail@itu.int</w:t>
              </w:r>
            </w:hyperlink>
            <w:r w:rsidR="00B95F0A">
              <w:t xml:space="preserve"> </w:t>
            </w:r>
            <w:r>
              <w:br/>
            </w:r>
            <w:hyperlink r:id="rId9" w:history="1">
              <w:r w:rsidRPr="00A71ADC">
                <w:rPr>
                  <w:rStyle w:val="Hyperlink"/>
                  <w:lang w:val="pt-BR"/>
                </w:rPr>
                <w:t>http://www.i</w:t>
              </w:r>
              <w:bookmarkStart w:id="2" w:name="_GoBack"/>
              <w:bookmarkEnd w:id="2"/>
              <w:r w:rsidRPr="00A71ADC">
                <w:rPr>
                  <w:rStyle w:val="Hyperlink"/>
                  <w:lang w:val="pt-BR"/>
                </w:rPr>
                <w:t>tu.int/ITU-T</w:t>
              </w:r>
            </w:hyperlink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01C20" w:rsidRDefault="00401C20"/>
    <w:p w:rsidR="008E28D2" w:rsidRDefault="008E28D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401C20">
        <w:trPr>
          <w:cantSplit/>
        </w:trPr>
        <w:tc>
          <w:tcPr>
            <w:tcW w:w="822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401C20" w:rsidRDefault="002E34C2" w:rsidP="00D854F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Calendario de reuniones del UIT</w:t>
            </w:r>
            <w:r>
              <w:rPr>
                <w:b/>
              </w:rPr>
              <w:noBreakHyphen/>
              <w:t>T para 2011</w:t>
            </w:r>
            <w:r w:rsidR="00D854FF">
              <w:rPr>
                <w:b/>
              </w:rPr>
              <w:t>, 2012, 2013</w:t>
            </w:r>
            <w:r>
              <w:rPr>
                <w:b/>
              </w:rPr>
              <w:t xml:space="preserve"> y 201</w:t>
            </w:r>
            <w:r w:rsidR="00D854FF">
              <w:rPr>
                <w:b/>
              </w:rPr>
              <w:t>4</w:t>
            </w:r>
          </w:p>
        </w:tc>
      </w:tr>
    </w:tbl>
    <w:p w:rsidR="00401C20" w:rsidRDefault="00401C20">
      <w:bookmarkStart w:id="3" w:name="StartTyping_S"/>
      <w:bookmarkStart w:id="4" w:name="suitetext"/>
      <w:bookmarkStart w:id="5" w:name="text"/>
      <w:bookmarkEnd w:id="3"/>
      <w:bookmarkEnd w:id="4"/>
      <w:bookmarkEnd w:id="5"/>
    </w:p>
    <w:p w:rsidR="00401C20" w:rsidRDefault="00B95F0A">
      <w:r>
        <w:t>Muy Señora mía/Muy S</w:t>
      </w:r>
      <w:r w:rsidR="00401C20">
        <w:t>eñor mío:</w:t>
      </w:r>
    </w:p>
    <w:p w:rsidR="002E34C2" w:rsidRDefault="002E34C2" w:rsidP="00D854FF">
      <w:pPr>
        <w:pStyle w:val="Normalaftertitle0"/>
        <w:spacing w:before="240"/>
      </w:pPr>
      <w:r>
        <w:t>1</w:t>
      </w:r>
      <w:r>
        <w:tab/>
        <w:t xml:space="preserve">Con el fin de ayudar a los Estados Miembros de la Unión, los Miembros del Sector UIT-T y los Asociados del UIT-T a planificar su participación en las actividades del Sector, tengo el honor de hacerle llegar, adjunto a la presente, el calendario de reuniones de las Comisiones de Estudio del UIT-T para los años </w:t>
      </w:r>
      <w:r w:rsidR="00D854FF" w:rsidRPr="00D854FF">
        <w:t>2011, 2012, 2013 y 2014</w:t>
      </w:r>
      <w:r>
        <w:t>.</w:t>
      </w:r>
    </w:p>
    <w:p w:rsidR="002E34C2" w:rsidRDefault="002E34C2" w:rsidP="00D24A35">
      <w:r>
        <w:t>2</w:t>
      </w:r>
      <w:r>
        <w:tab/>
        <w:t>Sobre la base de las decisiones de la</w:t>
      </w:r>
      <w:r w:rsidRPr="00BB09CB">
        <w:t xml:space="preserve"> </w:t>
      </w:r>
      <w:r>
        <w:t xml:space="preserve">Asamblea Mundial de Normalización de las Telecomunicaciones (Johannesburgo, 2008) que ha aprobado la estructura de las Comisiones de Estudio del UIT-T y un nuevo conjunto de métodos de trabajo, tras consultar a los Presidentes de las Comisiones de Estudio, se ha establecido el calendario de reuniones del UIT-T para </w:t>
      </w:r>
      <w:r w:rsidR="00D854FF" w:rsidRPr="00D854FF">
        <w:t>2011, 2012, 2013 y 2014</w:t>
      </w:r>
      <w:r>
        <w:t xml:space="preserve"> (véanse los </w:t>
      </w:r>
      <w:r w:rsidR="009707D0">
        <w:rPr>
          <w:b/>
          <w:bCs/>
        </w:rPr>
        <w:t>a</w:t>
      </w:r>
      <w:r w:rsidRPr="00B55E32">
        <w:rPr>
          <w:b/>
          <w:bCs/>
        </w:rPr>
        <w:t>nexos</w:t>
      </w:r>
      <w:r>
        <w:rPr>
          <w:b/>
          <w:bCs/>
        </w:rPr>
        <w:t xml:space="preserve"> 1 </w:t>
      </w:r>
      <w:r w:rsidRPr="00FF0E00">
        <w:rPr>
          <w:b/>
          <w:bCs/>
        </w:rPr>
        <w:t xml:space="preserve">a </w:t>
      </w:r>
      <w:r w:rsidR="00D854FF">
        <w:rPr>
          <w:b/>
          <w:bCs/>
        </w:rPr>
        <w:t>4</w:t>
      </w:r>
      <w:r>
        <w:t>)</w:t>
      </w:r>
      <w:r w:rsidR="00D854FF">
        <w:t>. Se da por supuesto que las reuniones se celebrarán en Ginebra</w:t>
      </w:r>
      <w:r w:rsidR="00D24A35">
        <w:t>, salvo que</w:t>
      </w:r>
      <w:r w:rsidR="00D854FF">
        <w:t xml:space="preserve"> el Director de la TSB recib</w:t>
      </w:r>
      <w:r w:rsidR="00D24A35">
        <w:t>a</w:t>
      </w:r>
      <w:r w:rsidR="00D854FF">
        <w:t xml:space="preserve"> una invitación para acoger la reunión.</w:t>
      </w:r>
      <w:r>
        <w:t xml:space="preserve"> No obstante, existe la posibilidad de que un país exprese el deseo de acoger una reunión del UIT-T, en cuyo caso deber</w:t>
      </w:r>
      <w:r w:rsidR="00D854FF">
        <w:t>á</w:t>
      </w:r>
      <w:r>
        <w:t xml:space="preserve"> comunicarse con el Director de la TSB.</w:t>
      </w:r>
    </w:p>
    <w:p w:rsidR="002E34C2" w:rsidRDefault="002E34C2" w:rsidP="00D24A35">
      <w:r>
        <w:t>Como en ocasiones anteriores, se enviará una carta colectiva con información sobre la organización y el orden del día de cada reunión, de conformidad con las decisiones de la AMNT-08.</w:t>
      </w:r>
    </w:p>
    <w:p w:rsidR="002E34C2" w:rsidRDefault="002E34C2" w:rsidP="00653D77">
      <w:r>
        <w:t xml:space="preserve">Toda la información actualizada relativa a los eventos del UIT-T puede hallarse en la </w:t>
      </w:r>
      <w:r>
        <w:rPr>
          <w:b/>
          <w:bCs/>
        </w:rPr>
        <w:t xml:space="preserve">dirección web del UIT-T </w:t>
      </w:r>
      <w:r>
        <w:t>(</w:t>
      </w:r>
      <w:hyperlink r:id="rId10" w:history="1">
        <w:r w:rsidRPr="001144B2">
          <w:rPr>
            <w:rStyle w:val="Hyperlink"/>
          </w:rPr>
          <w:t>http://www.itu.int/ITU-T</w:t>
        </w:r>
      </w:hyperlink>
      <w:r>
        <w:t>).</w:t>
      </w:r>
    </w:p>
    <w:p w:rsidR="008E28D2" w:rsidRDefault="008E28D2" w:rsidP="00D24A35"/>
    <w:p w:rsidR="008E28D2" w:rsidRDefault="008E28D2" w:rsidP="00D24A35"/>
    <w:p w:rsidR="008E28D2" w:rsidRDefault="008E28D2" w:rsidP="00D24A35"/>
    <w:p w:rsidR="008E28D2" w:rsidRDefault="008E28D2" w:rsidP="00D24A35"/>
    <w:p w:rsidR="00D24A35" w:rsidRDefault="00D854FF" w:rsidP="00D24A35">
      <w:r>
        <w:lastRenderedPageBreak/>
        <w:t xml:space="preserve">Se confía en que </w:t>
      </w:r>
      <w:r w:rsidR="00D24A35">
        <w:t>el presente</w:t>
      </w:r>
      <w:r>
        <w:t xml:space="preserve"> calendario de reuniones facilite su participación en los trabajos del Sector de Normalización de las Telecomunicaciones de la UIT. También deseo aprovechar esta oportunidad para recordarle </w:t>
      </w:r>
      <w:r w:rsidR="00D24A35">
        <w:t xml:space="preserve">que la participación a distancia será posible para muchas de estas reuniones, y que se dispondrán becas con arreglo a las normas al respecto. </w:t>
      </w:r>
    </w:p>
    <w:p w:rsidR="002E34C2" w:rsidRDefault="002E34C2" w:rsidP="00653D77">
      <w:pPr>
        <w:ind w:right="92"/>
      </w:pPr>
      <w:r>
        <w:t>Le saluda muy atentamente,</w:t>
      </w:r>
    </w:p>
    <w:p w:rsidR="002E34C2" w:rsidRDefault="002E34C2" w:rsidP="00653D77">
      <w:pPr>
        <w:ind w:right="92"/>
      </w:pPr>
    </w:p>
    <w:p w:rsidR="002E34C2" w:rsidRDefault="002E34C2" w:rsidP="00653D77">
      <w:pPr>
        <w:ind w:right="92"/>
      </w:pPr>
    </w:p>
    <w:p w:rsidR="002E34C2" w:rsidRDefault="002E34C2" w:rsidP="00653D77">
      <w:pPr>
        <w:ind w:right="92"/>
      </w:pPr>
    </w:p>
    <w:p w:rsidR="002E34C2" w:rsidRDefault="002E34C2" w:rsidP="00653D77">
      <w:pPr>
        <w:ind w:right="92"/>
      </w:pPr>
      <w:r>
        <w:t>Malcolm Johnson</w:t>
      </w:r>
      <w:r>
        <w:br/>
        <w:t>Director de la Oficina de</w:t>
      </w:r>
      <w:r>
        <w:br/>
        <w:t>Normalización de las Telecomunicaciones</w:t>
      </w:r>
    </w:p>
    <w:p w:rsidR="002E34C2" w:rsidRDefault="002E34C2" w:rsidP="00653D77">
      <w:pPr>
        <w:spacing w:before="400"/>
        <w:ind w:right="91"/>
      </w:pPr>
    </w:p>
    <w:p w:rsidR="002E34C2" w:rsidRDefault="002E34C2" w:rsidP="00653D77">
      <w:pPr>
        <w:spacing w:before="400"/>
        <w:ind w:right="91"/>
      </w:pPr>
    </w:p>
    <w:p w:rsidR="002E34C2" w:rsidRDefault="002E34C2" w:rsidP="00653D77">
      <w:pPr>
        <w:spacing w:before="400"/>
        <w:ind w:right="91"/>
      </w:pPr>
    </w:p>
    <w:p w:rsidR="002E34C2" w:rsidRDefault="002E34C2" w:rsidP="00653D77">
      <w:pPr>
        <w:spacing w:before="400"/>
        <w:ind w:right="91"/>
      </w:pPr>
    </w:p>
    <w:p w:rsidR="002E34C2" w:rsidRDefault="002E34C2" w:rsidP="00D24A35">
      <w:pPr>
        <w:rPr>
          <w:b/>
          <w:lang w:val="en-US"/>
        </w:rPr>
      </w:pPr>
      <w:r w:rsidRPr="002B626F">
        <w:rPr>
          <w:b/>
          <w:lang w:val="en-US"/>
        </w:rPr>
        <w:t>Anexo</w:t>
      </w:r>
      <w:r>
        <w:rPr>
          <w:b/>
          <w:lang w:val="en-US"/>
        </w:rPr>
        <w:t>s</w:t>
      </w:r>
      <w:r w:rsidRPr="002B626F">
        <w:rPr>
          <w:b/>
          <w:lang w:val="en-US"/>
        </w:rPr>
        <w:t>:</w:t>
      </w:r>
      <w:r w:rsidRPr="002B626F">
        <w:rPr>
          <w:bCs/>
          <w:lang w:val="en-US"/>
        </w:rPr>
        <w:t xml:space="preserve"> </w:t>
      </w:r>
      <w:r w:rsidR="00D24A35">
        <w:rPr>
          <w:b/>
          <w:lang w:val="en-US"/>
        </w:rPr>
        <w:t>4</w:t>
      </w:r>
    </w:p>
    <w:p w:rsidR="00515D27" w:rsidRDefault="00515D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</w:pPr>
      <w:r>
        <w:rPr>
          <w:bCs/>
          <w:lang w:val="en-US"/>
        </w:rPr>
        <w:br w:type="page"/>
      </w:r>
    </w:p>
    <w:p w:rsidR="00515D27" w:rsidRPr="00F105A9" w:rsidRDefault="00515D27" w:rsidP="00515D27">
      <w:pPr>
        <w:pStyle w:val="AnnexRef"/>
        <w:keepNext w:val="0"/>
        <w:keepLines w:val="0"/>
        <w:rPr>
          <w:sz w:val="22"/>
          <w:szCs w:val="22"/>
          <w:lang w:val="en-US"/>
        </w:rPr>
      </w:pPr>
      <w:r>
        <w:rPr>
          <w:b/>
          <w:bCs/>
          <w:lang w:val="en-US"/>
        </w:rPr>
        <w:lastRenderedPageBreak/>
        <w:t>ANNEX 1</w:t>
      </w:r>
      <w:r>
        <w:rPr>
          <w:lang w:val="en-US"/>
        </w:rPr>
        <w:br/>
        <w:t>(to TSB Circular 230)</w:t>
      </w:r>
    </w:p>
    <w:p w:rsidR="00515D27" w:rsidRPr="00F105A9" w:rsidRDefault="00515D27" w:rsidP="00515D27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2011 (including CWG-WCIT)</w:t>
      </w:r>
    </w:p>
    <w:p w:rsidR="00515D27" w:rsidRPr="00F105A9" w:rsidRDefault="00515D27" w:rsidP="00515D27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515D27" w:rsidRPr="00187BF3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Pr="00515D27" w:rsidRDefault="00515D27" w:rsidP="00515D27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515D27">
              <w:rPr>
                <w:b/>
                <w:bCs/>
                <w:sz w:val="20"/>
                <w:lang w:val="en-US"/>
              </w:rPr>
              <w:t>Deadline for submission</w:t>
            </w:r>
          </w:p>
          <w:p w:rsidR="00515D27" w:rsidRPr="00515D27" w:rsidRDefault="00515D27" w:rsidP="00515D27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515D27">
              <w:rPr>
                <w:b/>
                <w:bCs/>
                <w:sz w:val="20"/>
                <w:lang w:val="en-US"/>
              </w:rPr>
              <w:t>of contributions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20 – 28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Seoul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9 September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CWG-CWIT-12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27 – 30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27 August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10 – 21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10 – 21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27 September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17 – 21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4 October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jc w:val="left"/>
              <w:rPr>
                <w:sz w:val="20"/>
              </w:rPr>
            </w:pPr>
            <w:r w:rsidRPr="004E61BC">
              <w:rPr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31 Oct. – 9 Nov.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18 October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– 25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 November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>I</w:t>
            </w:r>
            <w:r w:rsidRPr="004E61BC">
              <w:rPr>
                <w:color w:val="000000"/>
                <w:sz w:val="20"/>
                <w:lang w:eastAsia="ja-JP"/>
              </w:rPr>
              <w:t>oT</w:t>
            </w:r>
            <w:r w:rsidRPr="004E61BC">
              <w:rPr>
                <w:rFonts w:hint="eastAsia"/>
                <w:color w:val="000000"/>
                <w:sz w:val="20"/>
                <w:lang w:eastAsia="ja-JP"/>
              </w:rPr>
              <w:t>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– 25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 November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– 25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 November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Nov. – 2 Dec.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 November</w:t>
            </w:r>
          </w:p>
        </w:tc>
      </w:tr>
      <w:tr w:rsidR="00515D27" w:rsidRPr="00F32B5A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5 – 16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22 November</w:t>
            </w:r>
          </w:p>
        </w:tc>
      </w:tr>
    </w:tbl>
    <w:p w:rsidR="00515D27" w:rsidRDefault="00515D27" w:rsidP="00515D27">
      <w:pPr>
        <w:tabs>
          <w:tab w:val="left" w:pos="426"/>
        </w:tabs>
        <w:jc w:val="center"/>
        <w:rPr>
          <w:lang w:val="en-US"/>
        </w:rPr>
      </w:pPr>
      <w:r>
        <w:rPr>
          <w:szCs w:val="24"/>
        </w:rPr>
        <w:br w:type="page"/>
      </w:r>
      <w:r>
        <w:rPr>
          <w:b/>
          <w:bCs/>
          <w:lang w:val="en-US"/>
        </w:rPr>
        <w:lastRenderedPageBreak/>
        <w:t>ANNEX 2</w:t>
      </w:r>
      <w:r>
        <w:rPr>
          <w:lang w:val="en-US"/>
        </w:rPr>
        <w:br/>
        <w:t>(to TSB Circular 230)</w:t>
      </w:r>
    </w:p>
    <w:p w:rsidR="00515D27" w:rsidRDefault="00515D27" w:rsidP="00515D27">
      <w:pPr>
        <w:pStyle w:val="TableTitle"/>
        <w:keepLines w:val="0"/>
        <w:spacing w:before="120" w:after="0"/>
        <w:rPr>
          <w:bCs/>
          <w:lang w:val="en-US"/>
        </w:rPr>
      </w:pPr>
    </w:p>
    <w:p w:rsidR="00515D27" w:rsidRPr="00F105A9" w:rsidRDefault="00515D27" w:rsidP="00515D27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2012 (including CWG-WCIT)</w:t>
      </w:r>
    </w:p>
    <w:p w:rsidR="00515D27" w:rsidRPr="00F105A9" w:rsidRDefault="00515D27" w:rsidP="00515D27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515D27" w:rsidRPr="00187BF3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Pr="00515D27" w:rsidRDefault="00515D27" w:rsidP="00515D27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515D27">
              <w:rPr>
                <w:b/>
                <w:bCs/>
                <w:sz w:val="20"/>
                <w:lang w:val="en-US"/>
              </w:rPr>
              <w:t>Deadline for submission</w:t>
            </w:r>
          </w:p>
          <w:p w:rsidR="00515D27" w:rsidRPr="00515D27" w:rsidRDefault="00515D27" w:rsidP="00515D27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515D27">
              <w:rPr>
                <w:b/>
                <w:bCs/>
                <w:sz w:val="20"/>
                <w:lang w:val="en-US"/>
              </w:rPr>
              <w:t>of contributions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ITU-T Chairmen’s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9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10 – 13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16 December*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16 – 20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January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IoT-GSI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6 – 13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24 January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6 – 17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13 – 17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31 January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20 February – 2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7 February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 xml:space="preserve">27 </w:t>
            </w:r>
            <w:r w:rsidRPr="004E61BC">
              <w:rPr>
                <w:color w:val="000000"/>
                <w:sz w:val="20"/>
              </w:rPr>
              <w:t>–</w:t>
            </w:r>
            <w:r w:rsidRPr="004E61BC">
              <w:rPr>
                <w:sz w:val="20"/>
              </w:rPr>
              <w:t xml:space="preserve"> 29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27 January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21 – 29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8 March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11 – 19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29 March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23 – 25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23 March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30 April – 4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17 April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jc w:val="left"/>
              <w:rPr>
                <w:sz w:val="20"/>
              </w:rPr>
            </w:pPr>
            <w:r w:rsidRPr="004E61BC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30 April – 4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17 April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jc w:val="left"/>
              <w:rPr>
                <w:sz w:val="20"/>
              </w:rPr>
            </w:pPr>
            <w:r w:rsidRPr="004E61BC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30 April – 11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17 April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IoT-GSI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9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20 April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29 May – 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16 May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4 – 15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4 – 15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22 May</w:t>
            </w:r>
          </w:p>
        </w:tc>
      </w:tr>
      <w:tr w:rsidR="00515D27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11 – 15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29 May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4E61BC">
              <w:rPr>
                <w:sz w:val="20"/>
              </w:rPr>
              <w:t xml:space="preserve"> – </w:t>
            </w:r>
            <w:r>
              <w:rPr>
                <w:sz w:val="20"/>
              </w:rPr>
              <w:t>22</w:t>
            </w:r>
            <w:r w:rsidRPr="004E61BC">
              <w:rPr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4E61BC">
              <w:rPr>
                <w:sz w:val="20"/>
              </w:rPr>
              <w:t xml:space="preserve"> Ma</w:t>
            </w:r>
            <w:r>
              <w:rPr>
                <w:sz w:val="20"/>
              </w:rPr>
              <w:t>y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 – 4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color w:val="000000"/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19 June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7 September*</w:t>
            </w:r>
            <w:r>
              <w:rPr>
                <w:sz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Moscow**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color w:val="000000"/>
                <w:sz w:val="20"/>
              </w:rPr>
              <w:t>21 August</w:t>
            </w:r>
            <w:r w:rsidRPr="004E61BC">
              <w:rPr>
                <w:sz w:val="20"/>
              </w:rPr>
              <w:t xml:space="preserve"> *</w:t>
            </w:r>
            <w:r>
              <w:rPr>
                <w:sz w:val="20"/>
              </w:rPr>
              <w:t>*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7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August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IoT-GSI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7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21 August</w:t>
            </w:r>
          </w:p>
        </w:tc>
      </w:tr>
      <w:tr w:rsidR="00515D27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10 – 21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28 August</w:t>
            </w:r>
          </w:p>
        </w:tc>
      </w:tr>
      <w:tr w:rsidR="00515D27" w:rsidRPr="006653BB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6653BB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6653BB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25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6653BB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6653BB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6653BB">
              <w:rPr>
                <w:color w:val="000000"/>
                <w:sz w:val="20"/>
              </w:rPr>
              <w:t>12 September</w:t>
            </w: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GSS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November</w:t>
            </w:r>
            <w:r w:rsidRPr="004E61BC">
              <w:rPr>
                <w:color w:val="000000"/>
                <w:sz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WTSA-12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November</w:t>
            </w:r>
            <w:r w:rsidRPr="004E61BC">
              <w:rPr>
                <w:color w:val="000000"/>
                <w:sz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November</w:t>
            </w:r>
            <w:r w:rsidRPr="004E61BC">
              <w:rPr>
                <w:color w:val="000000"/>
                <w:sz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4E61BC">
              <w:rPr>
                <w:color w:val="000000"/>
                <w:sz w:val="20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515D27" w:rsidRPr="004E61B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rPr>
                <w:sz w:val="20"/>
              </w:rPr>
            </w:pPr>
            <w:r w:rsidRPr="004E61B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3 – 14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515D27" w:rsidRPr="00F95251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pStyle w:val="Header"/>
              <w:spacing w:before="40" w:after="40"/>
              <w:jc w:val="left"/>
              <w:rPr>
                <w:color w:val="000000"/>
                <w:sz w:val="20"/>
              </w:rPr>
            </w:pPr>
            <w:r w:rsidRPr="004E61B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10 – 14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E61B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4E61B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4E61BC">
              <w:rPr>
                <w:sz w:val="20"/>
              </w:rPr>
              <w:t>27 November</w:t>
            </w:r>
          </w:p>
        </w:tc>
      </w:tr>
    </w:tbl>
    <w:p w:rsidR="00515D27" w:rsidRDefault="00515D27" w:rsidP="00515D27">
      <w:pPr>
        <w:rPr>
          <w:color w:val="000000"/>
        </w:rPr>
      </w:pPr>
    </w:p>
    <w:p w:rsidR="00515D27" w:rsidRPr="00515D27" w:rsidRDefault="00515D27" w:rsidP="00515D27">
      <w:pPr>
        <w:tabs>
          <w:tab w:val="clear" w:pos="794"/>
          <w:tab w:val="left" w:pos="567"/>
        </w:tabs>
        <w:rPr>
          <w:color w:val="000000"/>
          <w:lang w:val="en-US"/>
        </w:rPr>
      </w:pPr>
      <w:r w:rsidRPr="00515D27">
        <w:rPr>
          <w:lang w:val="en-US"/>
        </w:rPr>
        <w:t>(*)</w:t>
      </w:r>
      <w:r w:rsidRPr="00515D27">
        <w:rPr>
          <w:lang w:val="en-US"/>
        </w:rPr>
        <w:tab/>
        <w:t>Early deadline because ITU is closed during the holiday season (until 2 January 2012 inclusive)</w:t>
      </w:r>
    </w:p>
    <w:p w:rsidR="00515D27" w:rsidRPr="00515D27" w:rsidRDefault="00515D27" w:rsidP="00515D27">
      <w:pPr>
        <w:tabs>
          <w:tab w:val="clear" w:pos="794"/>
          <w:tab w:val="left" w:pos="567"/>
        </w:tabs>
        <w:rPr>
          <w:color w:val="000000"/>
          <w:lang w:val="en-US"/>
        </w:rPr>
      </w:pPr>
      <w:r w:rsidRPr="00515D27">
        <w:rPr>
          <w:color w:val="000000"/>
          <w:lang w:val="en-US"/>
        </w:rPr>
        <w:t>(**)</w:t>
      </w:r>
      <w:r w:rsidRPr="00515D27">
        <w:rPr>
          <w:color w:val="000000"/>
          <w:lang w:val="en-US"/>
        </w:rPr>
        <w:tab/>
        <w:t>To be confirmed</w:t>
      </w:r>
    </w:p>
    <w:p w:rsidR="00515D27" w:rsidRPr="00F105A9" w:rsidRDefault="00515D27" w:rsidP="00515D27">
      <w:pPr>
        <w:pStyle w:val="AnnexRef"/>
        <w:keepNext w:val="0"/>
        <w:keepLines w:val="0"/>
        <w:rPr>
          <w:sz w:val="22"/>
          <w:szCs w:val="22"/>
          <w:lang w:val="en-US"/>
        </w:rPr>
      </w:pPr>
      <w:r w:rsidRPr="00515D27">
        <w:rPr>
          <w:b/>
          <w:sz w:val="20"/>
          <w:lang w:val="en-US"/>
        </w:rPr>
        <w:br w:type="page"/>
      </w:r>
      <w:r>
        <w:rPr>
          <w:b/>
          <w:bCs/>
          <w:lang w:val="en-US"/>
        </w:rPr>
        <w:lastRenderedPageBreak/>
        <w:t>ANNEX 3</w:t>
      </w:r>
      <w:r>
        <w:rPr>
          <w:lang w:val="en-US"/>
        </w:rPr>
        <w:br/>
        <w:t>(to TSB Circular 230)</w:t>
      </w:r>
    </w:p>
    <w:p w:rsidR="00515D27" w:rsidRDefault="00515D27" w:rsidP="00515D27">
      <w:pPr>
        <w:pStyle w:val="TableTitle"/>
        <w:keepLines w:val="0"/>
        <w:spacing w:before="120" w:after="0"/>
        <w:rPr>
          <w:bCs/>
          <w:lang w:val="en-US"/>
        </w:rPr>
      </w:pPr>
    </w:p>
    <w:p w:rsidR="00515D27" w:rsidRPr="00F105A9" w:rsidRDefault="00515D27" w:rsidP="00515D27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2013</w:t>
      </w:r>
    </w:p>
    <w:p w:rsidR="00515D27" w:rsidRPr="00F105A9" w:rsidRDefault="00515D27" w:rsidP="00515D27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515D27" w:rsidRPr="00187BF3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Pr="00515D27" w:rsidRDefault="00515D27" w:rsidP="00515D27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515D27">
              <w:rPr>
                <w:b/>
                <w:bCs/>
                <w:sz w:val="20"/>
                <w:lang w:val="en-US"/>
              </w:rPr>
              <w:t>Deadline for submission</w:t>
            </w:r>
          </w:p>
          <w:p w:rsidR="00515D27" w:rsidRPr="00515D27" w:rsidRDefault="00515D27" w:rsidP="00515D27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515D27">
              <w:rPr>
                <w:b/>
                <w:bCs/>
                <w:sz w:val="20"/>
                <w:lang w:val="en-US"/>
              </w:rPr>
              <w:t>of contributions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14 – 18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3 January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14 – 18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3 January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14 – 25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3 January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22 – 31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9 January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29 January – 7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16 January</w:t>
            </w:r>
          </w:p>
        </w:tc>
      </w:tr>
      <w:tr w:rsidR="00515D27" w:rsidRPr="00CF4A92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18 February.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15D27" w:rsidRPr="00CF4A92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18 February.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5 February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25 February.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12 February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19 – 28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6 March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17 – 26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4 April</w:t>
            </w:r>
          </w:p>
        </w:tc>
      </w:tr>
      <w:tr w:rsidR="00515D27" w:rsidRPr="00A56714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27 – 31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14 May</w:t>
            </w:r>
          </w:p>
        </w:tc>
      </w:tr>
      <w:tr w:rsidR="00515D27" w:rsidRPr="007824ED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7824ED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ITU-T Chairmen’s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7824ED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3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7824ED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7824ED" w:rsidRDefault="00515D27" w:rsidP="00515D27">
            <w:pPr>
              <w:spacing w:before="40" w:after="40"/>
              <w:rPr>
                <w:color w:val="000000"/>
                <w:sz w:val="20"/>
              </w:rPr>
            </w:pP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4 – 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22 May</w:t>
            </w:r>
          </w:p>
        </w:tc>
      </w:tr>
      <w:tr w:rsidR="00515D27" w:rsidRPr="00A56714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17 – 28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24 – 28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11 June</w:t>
            </w:r>
          </w:p>
        </w:tc>
      </w:tr>
      <w:tr w:rsidR="00515D27" w:rsidRPr="00AD35E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AD35E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AD35E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1 – 12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AD35E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AD35E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AD35EC">
              <w:rPr>
                <w:color w:val="000000"/>
                <w:sz w:val="20"/>
              </w:rPr>
              <w:t>18 June</w:t>
            </w:r>
          </w:p>
        </w:tc>
      </w:tr>
      <w:tr w:rsidR="00515D27" w:rsidRPr="00D543C8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3 – 12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color w:val="000000"/>
                <w:sz w:val="20"/>
              </w:rPr>
              <w:t>21 August</w:t>
            </w:r>
          </w:p>
        </w:tc>
      </w:tr>
      <w:tr w:rsidR="00515D27" w:rsidRPr="00D543C8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17 – 26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4 September</w:t>
            </w:r>
          </w:p>
        </w:tc>
      </w:tr>
      <w:tr w:rsidR="00515D27" w:rsidRPr="00D543C8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sz w:val="20"/>
              </w:rPr>
            </w:pPr>
            <w:r w:rsidRPr="00D543C8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</w:t>
            </w:r>
            <w:r>
              <w:rPr>
                <w:sz w:val="20"/>
              </w:rPr>
              <w:t>8 October</w:t>
            </w:r>
            <w:r w:rsidRPr="00D543C8">
              <w:rPr>
                <w:sz w:val="20"/>
              </w:rPr>
              <w:t xml:space="preserve"> – </w:t>
            </w:r>
            <w:r>
              <w:rPr>
                <w:sz w:val="20"/>
              </w:rPr>
              <w:t>1 Novem</w:t>
            </w:r>
            <w:r w:rsidRPr="00D543C8">
              <w:rPr>
                <w:sz w:val="20"/>
              </w:rPr>
              <w:t>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D543C8">
              <w:rPr>
                <w:sz w:val="20"/>
              </w:rPr>
              <w:t xml:space="preserve"> October</w:t>
            </w:r>
          </w:p>
        </w:tc>
      </w:tr>
      <w:tr w:rsidR="00515D27" w:rsidRPr="00D543C8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sz w:val="20"/>
              </w:rPr>
              <w:t>2</w:t>
            </w:r>
            <w:r>
              <w:rPr>
                <w:sz w:val="20"/>
              </w:rPr>
              <w:t>8 October</w:t>
            </w:r>
            <w:r w:rsidRPr="00D543C8">
              <w:rPr>
                <w:sz w:val="20"/>
              </w:rPr>
              <w:t xml:space="preserve"> – </w:t>
            </w:r>
            <w:r>
              <w:rPr>
                <w:sz w:val="20"/>
              </w:rPr>
              <w:t>1 Novem</w:t>
            </w:r>
            <w:r w:rsidRPr="00D543C8">
              <w:rPr>
                <w:sz w:val="20"/>
              </w:rPr>
              <w:t>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15</w:t>
            </w:r>
            <w:r w:rsidRPr="00D543C8">
              <w:rPr>
                <w:sz w:val="20"/>
              </w:rPr>
              <w:t xml:space="preserve"> October</w:t>
            </w:r>
          </w:p>
        </w:tc>
      </w:tr>
      <w:tr w:rsidR="00515D27" w:rsidRPr="00D543C8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 w:rsidRPr="00D543C8">
              <w:rPr>
                <w:sz w:val="20"/>
              </w:rPr>
              <w:t xml:space="preserve"> October – </w:t>
            </w:r>
            <w:r>
              <w:rPr>
                <w:sz w:val="20"/>
              </w:rPr>
              <w:t>8</w:t>
            </w:r>
            <w:r w:rsidRPr="00D543C8">
              <w:rPr>
                <w:sz w:val="20"/>
              </w:rPr>
              <w:t xml:space="preserve">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D543C8">
              <w:rPr>
                <w:sz w:val="20"/>
              </w:rPr>
              <w:t xml:space="preserve"> October</w:t>
            </w:r>
          </w:p>
        </w:tc>
      </w:tr>
      <w:tr w:rsidR="00515D27" w:rsidRPr="00D543C8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4 – 15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515D27" w:rsidRPr="00D543C8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4 – 15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22 October</w:t>
            </w:r>
          </w:p>
        </w:tc>
      </w:tr>
      <w:tr w:rsidR="00515D27" w:rsidRPr="00D543C8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rPr>
                <w:sz w:val="20"/>
              </w:rPr>
            </w:pPr>
            <w:r w:rsidRPr="00D543C8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11 – 15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43C8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D543C8">
              <w:rPr>
                <w:sz w:val="20"/>
              </w:rPr>
              <w:t>29 October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7" w:rsidRPr="00D543C8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3 – 12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7" w:rsidRPr="00D543C8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D543C8">
              <w:rPr>
                <w:color w:val="000000"/>
                <w:sz w:val="20"/>
              </w:rPr>
              <w:t>20 November</w:t>
            </w:r>
          </w:p>
        </w:tc>
      </w:tr>
    </w:tbl>
    <w:p w:rsidR="00515D27" w:rsidRDefault="00515D27" w:rsidP="00515D27">
      <w:pPr>
        <w:rPr>
          <w:color w:val="000000"/>
        </w:rPr>
      </w:pPr>
    </w:p>
    <w:p w:rsidR="00515D27" w:rsidRPr="00F105A9" w:rsidRDefault="00515D27" w:rsidP="00515D27">
      <w:pPr>
        <w:pStyle w:val="AnnexRef"/>
        <w:keepNext w:val="0"/>
        <w:keepLines w:val="0"/>
        <w:rPr>
          <w:sz w:val="22"/>
          <w:szCs w:val="22"/>
          <w:lang w:val="en-US"/>
        </w:rPr>
      </w:pPr>
      <w:r>
        <w:rPr>
          <w:b/>
          <w:sz w:val="20"/>
        </w:rPr>
        <w:br w:type="page"/>
      </w:r>
      <w:r>
        <w:rPr>
          <w:b/>
          <w:bCs/>
          <w:lang w:val="en-US"/>
        </w:rPr>
        <w:lastRenderedPageBreak/>
        <w:t>ANNEX 4</w:t>
      </w:r>
      <w:r>
        <w:rPr>
          <w:lang w:val="en-US"/>
        </w:rPr>
        <w:br/>
        <w:t>(to TSB Circular 230)</w:t>
      </w:r>
    </w:p>
    <w:p w:rsidR="00515D27" w:rsidRDefault="00515D27" w:rsidP="00515D27">
      <w:pPr>
        <w:pStyle w:val="TableTitle"/>
        <w:keepLines w:val="0"/>
        <w:spacing w:before="120" w:after="0"/>
        <w:rPr>
          <w:bCs/>
          <w:lang w:val="en-US"/>
        </w:rPr>
      </w:pPr>
    </w:p>
    <w:p w:rsidR="00515D27" w:rsidRPr="00F105A9" w:rsidRDefault="00515D27" w:rsidP="00515D27">
      <w:pPr>
        <w:pStyle w:val="TableTitle"/>
        <w:keepLines w:val="0"/>
        <w:spacing w:before="120" w:after="0"/>
        <w:rPr>
          <w:bCs/>
          <w:sz w:val="22"/>
          <w:szCs w:val="22"/>
          <w:lang w:val="en-US"/>
        </w:rPr>
      </w:pPr>
      <w:r>
        <w:rPr>
          <w:bCs/>
          <w:lang w:val="en-US"/>
        </w:rPr>
        <w:t>Schedule of ITU-T meetings for 2014</w:t>
      </w:r>
    </w:p>
    <w:p w:rsidR="00515D27" w:rsidRPr="00F105A9" w:rsidRDefault="00515D27" w:rsidP="00515D27">
      <w:pPr>
        <w:spacing w:before="0"/>
        <w:jc w:val="center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515D27" w:rsidRPr="00187BF3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Default="00515D27" w:rsidP="00515D27"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5D27" w:rsidRPr="00515D27" w:rsidRDefault="00515D27" w:rsidP="00515D27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515D27">
              <w:rPr>
                <w:b/>
                <w:bCs/>
                <w:sz w:val="20"/>
                <w:lang w:val="en-US"/>
              </w:rPr>
              <w:t>Deadline for submission</w:t>
            </w:r>
          </w:p>
          <w:p w:rsidR="00515D27" w:rsidRPr="00515D27" w:rsidRDefault="00515D27" w:rsidP="00515D27">
            <w:pPr>
              <w:spacing w:before="0"/>
              <w:jc w:val="center"/>
              <w:rPr>
                <w:b/>
                <w:bCs/>
                <w:sz w:val="20"/>
                <w:lang w:val="en-US"/>
              </w:rPr>
            </w:pPr>
            <w:r w:rsidRPr="00515D27">
              <w:rPr>
                <w:b/>
                <w:bCs/>
                <w:sz w:val="20"/>
                <w:lang w:val="en-US"/>
              </w:rPr>
              <w:t>of contributions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15 – 24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 January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10 – 21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17 – 21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4 February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17 – 28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4 March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31 March – 4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18 March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8 – 17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26 March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3 – 12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21 May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16 – 20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3 June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16 – 20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3 June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16 – 27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3 June</w:t>
            </w:r>
          </w:p>
        </w:tc>
      </w:tr>
      <w:tr w:rsidR="00515D27" w:rsidRPr="007824ED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7824ED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ITU-T Chairmen’s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7824ED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27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7824ED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824ED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7824ED" w:rsidRDefault="00515D27" w:rsidP="00515D27">
            <w:pPr>
              <w:spacing w:before="40" w:after="40"/>
              <w:rPr>
                <w:color w:val="000000"/>
                <w:sz w:val="20"/>
              </w:rPr>
            </w:pPr>
          </w:p>
        </w:tc>
      </w:tr>
      <w:tr w:rsidR="00515D27" w:rsidRPr="00E907E5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30 June – 3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17 June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7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7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24 June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14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1 July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 – 11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20 August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sz w:val="20"/>
              </w:rPr>
            </w:pPr>
            <w:r w:rsidRPr="003E078C">
              <w:rPr>
                <w:sz w:val="20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>17 – 26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4 September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10 – 21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sz w:val="20"/>
              </w:rPr>
            </w:pPr>
            <w:r w:rsidRPr="003E078C">
              <w:rPr>
                <w:rFonts w:hint="eastAsia"/>
                <w:color w:val="000000"/>
                <w:sz w:val="20"/>
                <w:lang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color w:val="000000"/>
                <w:sz w:val="20"/>
              </w:rPr>
              <w:t>17 – 21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>4 November</w:t>
            </w:r>
          </w:p>
        </w:tc>
      </w:tr>
      <w:tr w:rsidR="00515D27" w:rsidRPr="003E078C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sz w:val="20"/>
              </w:rPr>
            </w:pPr>
            <w:r w:rsidRPr="003E078C">
              <w:rPr>
                <w:sz w:val="20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>24 Nov. – 5 Dec.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sz w:val="20"/>
              </w:rPr>
            </w:pPr>
            <w:r w:rsidRPr="003E078C">
              <w:rPr>
                <w:sz w:val="20"/>
              </w:rPr>
              <w:t>11 November</w:t>
            </w:r>
          </w:p>
        </w:tc>
      </w:tr>
      <w:tr w:rsidR="00515D27" w:rsidRPr="00FD4DEF" w:rsidTr="00515D27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sz w:val="20"/>
              </w:rPr>
              <w:t>9 – 18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Pr="003E078C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E078C">
                  <w:rPr>
                    <w:sz w:val="20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27" w:rsidRDefault="00515D27" w:rsidP="00515D27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3E078C">
              <w:rPr>
                <w:color w:val="000000"/>
                <w:sz w:val="20"/>
              </w:rPr>
              <w:t>26 November</w:t>
            </w:r>
          </w:p>
        </w:tc>
      </w:tr>
    </w:tbl>
    <w:p w:rsidR="00515D27" w:rsidRPr="00515D27" w:rsidRDefault="00515D27" w:rsidP="00515D27">
      <w:pPr>
        <w:rPr>
          <w:color w:val="000000"/>
          <w:lang w:val="en-US"/>
        </w:rPr>
      </w:pPr>
      <w:r w:rsidRPr="00515D27">
        <w:rPr>
          <w:color w:val="000000"/>
          <w:lang w:val="en-US"/>
        </w:rPr>
        <w:t>Please note that these dates for 2014 have to be confirmed as soon as room allocation in the ITU premises is done.</w:t>
      </w:r>
    </w:p>
    <w:p w:rsidR="00515D27" w:rsidRPr="00515D27" w:rsidRDefault="00515D27" w:rsidP="00515D27">
      <w:pPr>
        <w:pStyle w:val="Header"/>
        <w:spacing w:before="120"/>
        <w:rPr>
          <w:b/>
          <w:sz w:val="20"/>
          <w:lang w:val="en-US"/>
        </w:rPr>
      </w:pPr>
    </w:p>
    <w:p w:rsidR="00515D27" w:rsidRPr="00715FCB" w:rsidRDefault="00515D27" w:rsidP="00515D27">
      <w:pPr>
        <w:pStyle w:val="Header"/>
        <w:spacing w:before="120"/>
        <w:rPr>
          <w:b/>
        </w:rPr>
      </w:pPr>
      <w:r>
        <w:rPr>
          <w:b/>
          <w:sz w:val="20"/>
        </w:rPr>
        <w:t>__________</w:t>
      </w:r>
    </w:p>
    <w:p w:rsidR="00515D27" w:rsidRDefault="00515D27" w:rsidP="00D24A35">
      <w:pPr>
        <w:rPr>
          <w:bCs/>
          <w:lang w:val="en-US"/>
        </w:rPr>
      </w:pPr>
    </w:p>
    <w:p w:rsidR="00515D27" w:rsidRDefault="00515D27" w:rsidP="00D24A35">
      <w:pPr>
        <w:rPr>
          <w:bCs/>
          <w:lang w:val="en-US"/>
        </w:rPr>
      </w:pPr>
    </w:p>
    <w:p w:rsidR="00515D27" w:rsidRPr="002B626F" w:rsidRDefault="00515D27" w:rsidP="00D24A35">
      <w:pPr>
        <w:rPr>
          <w:bCs/>
          <w:lang w:val="en-US"/>
        </w:rPr>
      </w:pPr>
    </w:p>
    <w:sectPr w:rsidR="00515D27" w:rsidRPr="002B626F" w:rsidSect="004A12E1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BE" w:rsidRDefault="008636BE">
      <w:r>
        <w:separator/>
      </w:r>
    </w:p>
  </w:endnote>
  <w:endnote w:type="continuationSeparator" w:id="0">
    <w:p w:rsidR="008636BE" w:rsidRDefault="008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FD" w:rsidRPr="008E28D2" w:rsidRDefault="008E28D2" w:rsidP="008E28D2">
    <w:pPr>
      <w:pStyle w:val="Footer"/>
      <w:tabs>
        <w:tab w:val="center" w:pos="5670"/>
      </w:tabs>
      <w:rPr>
        <w:sz w:val="16"/>
        <w:szCs w:val="16"/>
        <w:lang w:val="fr-FR"/>
      </w:rPr>
    </w:pPr>
    <w:r w:rsidRPr="00917A0E">
      <w:rPr>
        <w:sz w:val="16"/>
        <w:szCs w:val="16"/>
        <w:lang w:val="fr-CH"/>
      </w:rPr>
      <w:t>ITU-T\BUREAU\CIRC\230</w:t>
    </w:r>
    <w:r>
      <w:rPr>
        <w:sz w:val="16"/>
        <w:szCs w:val="16"/>
        <w:lang w:val="fr-CH"/>
      </w:rPr>
      <w:t>S</w:t>
    </w:r>
    <w:r w:rsidRPr="00917A0E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DF0BFD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F0BFD" w:rsidRDefault="00DF0BF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F0BFD" w:rsidRDefault="00DF0BF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F0BFD" w:rsidRDefault="00DF0BF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F0BFD" w:rsidRDefault="00DF0BFD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DF0BFD">
      <w:tc>
        <w:tcPr>
          <w:tcW w:w="1985" w:type="dxa"/>
        </w:tcPr>
        <w:p w:rsidR="00DF0BFD" w:rsidRDefault="00DF0BF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DF0BFD" w:rsidRDefault="00DF0BF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DF0BFD" w:rsidRDefault="00DF0BF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DF0BFD" w:rsidRDefault="00DF0BFD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DF0BFD">
      <w:tc>
        <w:tcPr>
          <w:tcW w:w="1985" w:type="dxa"/>
        </w:tcPr>
        <w:p w:rsidR="00DF0BFD" w:rsidRDefault="00DF0BF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DF0BFD" w:rsidRDefault="00DF0BF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DF0BFD" w:rsidRDefault="00DF0BFD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DF0BFD" w:rsidRDefault="00DF0BFD">
          <w:pPr>
            <w:pStyle w:val="FirstFooter"/>
            <w:rPr>
              <w:rFonts w:ascii="Futura Lt BT" w:hAnsi="Futura Lt BT"/>
            </w:rPr>
          </w:pPr>
        </w:p>
      </w:tc>
    </w:tr>
  </w:tbl>
  <w:p w:rsidR="00DF0BFD" w:rsidRDefault="00DF0BFD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BE" w:rsidRDefault="008636BE">
      <w:r>
        <w:t>____________________</w:t>
      </w:r>
    </w:p>
  </w:footnote>
  <w:footnote w:type="continuationSeparator" w:id="0">
    <w:p w:rsidR="008636BE" w:rsidRDefault="008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FD" w:rsidRDefault="00DF0BFD">
    <w:pPr>
      <w:pStyle w:val="Header"/>
    </w:pPr>
    <w:r>
      <w:t xml:space="preserve">- </w:t>
    </w:r>
    <w:r w:rsidR="004A12E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A12E1">
      <w:rPr>
        <w:rStyle w:val="PageNumber"/>
      </w:rPr>
      <w:fldChar w:fldCharType="separate"/>
    </w:r>
    <w:r w:rsidR="00187BF3">
      <w:rPr>
        <w:rStyle w:val="PageNumber"/>
        <w:noProof/>
      </w:rPr>
      <w:t>6</w:t>
    </w:r>
    <w:r w:rsidR="004A12E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98"/>
    <w:rsid w:val="00002529"/>
    <w:rsid w:val="00063C95"/>
    <w:rsid w:val="000C382F"/>
    <w:rsid w:val="00187BF3"/>
    <w:rsid w:val="001944F7"/>
    <w:rsid w:val="001A54CC"/>
    <w:rsid w:val="00257FB4"/>
    <w:rsid w:val="002E34C2"/>
    <w:rsid w:val="00335367"/>
    <w:rsid w:val="003D1E8D"/>
    <w:rsid w:val="003D673B"/>
    <w:rsid w:val="00401C20"/>
    <w:rsid w:val="004A12E1"/>
    <w:rsid w:val="004B0D0B"/>
    <w:rsid w:val="004C4144"/>
    <w:rsid w:val="00515D27"/>
    <w:rsid w:val="00564F52"/>
    <w:rsid w:val="005C1398"/>
    <w:rsid w:val="00653D77"/>
    <w:rsid w:val="006C5AC0"/>
    <w:rsid w:val="00797E34"/>
    <w:rsid w:val="008258C2"/>
    <w:rsid w:val="008505BD"/>
    <w:rsid w:val="00850C78"/>
    <w:rsid w:val="008636BE"/>
    <w:rsid w:val="008C17AD"/>
    <w:rsid w:val="008D02CD"/>
    <w:rsid w:val="008E28D2"/>
    <w:rsid w:val="008F60D8"/>
    <w:rsid w:val="0095172A"/>
    <w:rsid w:val="009707D0"/>
    <w:rsid w:val="00A1322F"/>
    <w:rsid w:val="00A54E47"/>
    <w:rsid w:val="00AE7093"/>
    <w:rsid w:val="00B00500"/>
    <w:rsid w:val="00B422BC"/>
    <w:rsid w:val="00B43F77"/>
    <w:rsid w:val="00B95F0A"/>
    <w:rsid w:val="00B96180"/>
    <w:rsid w:val="00D24A35"/>
    <w:rsid w:val="00D854FF"/>
    <w:rsid w:val="00DD77C9"/>
    <w:rsid w:val="00DF0BFD"/>
    <w:rsid w:val="00E92C09"/>
    <w:rsid w:val="00F6461F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rsid w:val="00B43F77"/>
    <w:rPr>
      <w:color w:val="0000FF"/>
      <w:u w:val="single"/>
    </w:rPr>
  </w:style>
  <w:style w:type="character" w:styleId="FollowedHyperlink">
    <w:name w:val="FollowedHyperlink"/>
    <w:rsid w:val="00B43F77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2E34C2"/>
    <w:pPr>
      <w:keepNext/>
      <w:spacing w:before="160"/>
    </w:pPr>
    <w:rPr>
      <w:b/>
    </w:rPr>
  </w:style>
  <w:style w:type="paragraph" w:customStyle="1" w:styleId="Normalaftertitle0">
    <w:name w:val="Normal_after_title"/>
    <w:basedOn w:val="Normal"/>
    <w:next w:val="Normal"/>
    <w:rsid w:val="002E34C2"/>
    <w:pPr>
      <w:spacing w:before="360"/>
    </w:pPr>
  </w:style>
  <w:style w:type="character" w:customStyle="1" w:styleId="HeaderChar">
    <w:name w:val="Header Char"/>
    <w:basedOn w:val="DefaultParagraphFont"/>
    <w:link w:val="Header"/>
    <w:rsid w:val="00515D27"/>
    <w:rPr>
      <w:rFonts w:ascii="Times New Roman" w:hAnsi="Times New Roman"/>
      <w:sz w:val="22"/>
      <w:lang w:val="es-ES_tradnl" w:eastAsia="en-US"/>
    </w:rPr>
  </w:style>
  <w:style w:type="paragraph" w:styleId="BalloonText">
    <w:name w:val="Balloon Text"/>
    <w:basedOn w:val="Normal"/>
    <w:link w:val="BalloonTextChar"/>
    <w:rsid w:val="008E28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28D2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link w:val="Footer"/>
    <w:uiPriority w:val="99"/>
    <w:rsid w:val="008E28D2"/>
    <w:rPr>
      <w:rFonts w:ascii="Times New Roman" w:hAnsi="Times New Roman"/>
      <w:caps/>
      <w:sz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rsid w:val="00B43F77"/>
    <w:rPr>
      <w:color w:val="0000FF"/>
      <w:u w:val="single"/>
    </w:rPr>
  </w:style>
  <w:style w:type="character" w:styleId="FollowedHyperlink">
    <w:name w:val="FollowedHyperlink"/>
    <w:rsid w:val="00B43F77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2E34C2"/>
    <w:pPr>
      <w:keepNext/>
      <w:spacing w:before="160"/>
    </w:pPr>
    <w:rPr>
      <w:b/>
    </w:rPr>
  </w:style>
  <w:style w:type="paragraph" w:customStyle="1" w:styleId="Normalaftertitle0">
    <w:name w:val="Normal_after_title"/>
    <w:basedOn w:val="Normal"/>
    <w:next w:val="Normal"/>
    <w:rsid w:val="002E34C2"/>
    <w:pPr>
      <w:spacing w:before="360"/>
    </w:pPr>
  </w:style>
  <w:style w:type="character" w:customStyle="1" w:styleId="HeaderChar">
    <w:name w:val="Header Char"/>
    <w:basedOn w:val="DefaultParagraphFont"/>
    <w:link w:val="Header"/>
    <w:rsid w:val="00515D27"/>
    <w:rPr>
      <w:rFonts w:ascii="Times New Roman" w:hAnsi="Times New Roman"/>
      <w:sz w:val="22"/>
      <w:lang w:val="es-ES_tradnl" w:eastAsia="en-US"/>
    </w:rPr>
  </w:style>
  <w:style w:type="paragraph" w:styleId="BalloonText">
    <w:name w:val="Balloon Text"/>
    <w:basedOn w:val="Normal"/>
    <w:link w:val="BalloonTextChar"/>
    <w:rsid w:val="008E28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28D2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link w:val="Footer"/>
    <w:uiPriority w:val="99"/>
    <w:rsid w:val="008E28D2"/>
    <w:rPr>
      <w:rFonts w:ascii="Times New Roman" w:hAnsi="Times New Roman"/>
      <w:caps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</Template>
  <TotalTime>0</TotalTime>
  <Pages>6</Pages>
  <Words>1080</Words>
  <Characters>6158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7224</CharactersWithSpaces>
  <SharedDoc>false</SharedDoc>
  <HLinks>
    <vt:vector size="18" baseType="variant">
      <vt:variant>
        <vt:i4>4325394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</vt:lpwstr>
      </vt:variant>
      <vt:variant>
        <vt:lpwstr/>
      </vt:variant>
      <vt:variant>
        <vt:i4>4325394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POOL</dc:creator>
  <cp:lastModifiedBy>Bettini, Nadine</cp:lastModifiedBy>
  <cp:revision>2</cp:revision>
  <cp:lastPrinted>2011-10-06T12:14:00Z</cp:lastPrinted>
  <dcterms:created xsi:type="dcterms:W3CDTF">2011-10-06T13:25:00Z</dcterms:created>
  <dcterms:modified xsi:type="dcterms:W3CDTF">2011-10-06T13:25:00Z</dcterms:modified>
</cp:coreProperties>
</file>