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3"/>
        <w:gridCol w:w="3120"/>
      </w:tblGrid>
      <w:tr w:rsidR="002435E1" w:rsidRPr="00C56944" w:rsidTr="000F62D1">
        <w:trPr>
          <w:cantSplit/>
        </w:trPr>
        <w:tc>
          <w:tcPr>
            <w:tcW w:w="6803" w:type="dxa"/>
            <w:vAlign w:val="center"/>
          </w:tcPr>
          <w:p w:rsidR="002435E1" w:rsidRPr="00617BE4" w:rsidRDefault="002435E1" w:rsidP="002435E1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bookmarkStart w:id="0" w:name="_GoBack"/>
            <w:bookmarkEnd w:id="0"/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2435E1" w:rsidRPr="00C56944" w:rsidRDefault="002435E1" w:rsidP="00B83596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1781175" cy="714375"/>
                  <wp:effectExtent l="0" t="0" r="9525" b="9525"/>
                  <wp:docPr id="1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5E1" w:rsidRPr="00617BE4" w:rsidTr="000F62D1">
        <w:trPr>
          <w:cantSplit/>
        </w:trPr>
        <w:tc>
          <w:tcPr>
            <w:tcW w:w="6803" w:type="dxa"/>
          </w:tcPr>
          <w:p w:rsidR="002435E1" w:rsidRPr="00617BE4" w:rsidRDefault="002435E1" w:rsidP="002435E1">
            <w:pPr>
              <w:spacing w:before="0" w:after="48" w:line="240" w:lineRule="atLeast"/>
              <w:rPr>
                <w:b/>
                <w:smallCaps/>
                <w:noProof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2435E1" w:rsidRPr="00617BE4" w:rsidRDefault="002435E1" w:rsidP="002435E1">
            <w:pPr>
              <w:spacing w:before="0" w:line="240" w:lineRule="atLeast"/>
              <w:rPr>
                <w:rFonts w:ascii="Verdana" w:hAnsi="Verdana"/>
                <w:noProof/>
                <w:szCs w:val="24"/>
                <w:lang w:bidi="ar-EG"/>
              </w:rPr>
            </w:pPr>
          </w:p>
        </w:tc>
      </w:tr>
    </w:tbl>
    <w:p w:rsidR="002435E1" w:rsidRDefault="002435E1" w:rsidP="002435E1">
      <w:pPr>
        <w:spacing w:before="0"/>
        <w:rPr>
          <w:rtl/>
        </w:rPr>
      </w:pPr>
    </w:p>
    <w:p w:rsidR="00381E2B" w:rsidRDefault="00381E2B" w:rsidP="002435E1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2435E1" w:rsidRPr="00007569" w:rsidTr="000F62D1">
        <w:trPr>
          <w:cantSplit/>
          <w:trHeight w:val="340"/>
        </w:trPr>
        <w:tc>
          <w:tcPr>
            <w:tcW w:w="1533" w:type="dxa"/>
          </w:tcPr>
          <w:p w:rsidR="002435E1" w:rsidRPr="00007569" w:rsidRDefault="002435E1" w:rsidP="002435E1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2435E1" w:rsidRPr="00007569" w:rsidRDefault="002435E1" w:rsidP="002435E1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2435E1" w:rsidRPr="00007569" w:rsidRDefault="002435E1" w:rsidP="002435E1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r w:rsidRPr="00007569">
              <w:rPr>
                <w:rtl/>
              </w:rPr>
              <w:t>جنيف،</w:t>
            </w:r>
            <w:r w:rsidRPr="00007569"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23</w:t>
            </w:r>
            <w:r>
              <w:rPr>
                <w:rtl/>
                <w:lang w:bidi="ar-EG"/>
              </w:rPr>
              <w:t xml:space="preserve"> </w:t>
            </w:r>
            <w:proofErr w:type="gramStart"/>
            <w:r>
              <w:rPr>
                <w:rFonts w:hint="cs"/>
                <w:rtl/>
                <w:lang w:bidi="ar-EG"/>
              </w:rPr>
              <w:t>سبتمبر</w:t>
            </w:r>
            <w:proofErr w:type="gramEnd"/>
            <w:r>
              <w:rPr>
                <w:rtl/>
                <w:lang w:bidi="ar-EG"/>
              </w:rPr>
              <w:t xml:space="preserve"> </w:t>
            </w:r>
            <w:r>
              <w:rPr>
                <w:lang w:bidi="ar-EG"/>
              </w:rPr>
              <w:t>2011</w:t>
            </w:r>
          </w:p>
          <w:p w:rsidR="002435E1" w:rsidRPr="00007569" w:rsidRDefault="002435E1" w:rsidP="00D928B1">
            <w:pPr>
              <w:tabs>
                <w:tab w:val="left" w:pos="4111"/>
              </w:tabs>
              <w:spacing w:before="0" w:after="120" w:line="300" w:lineRule="exact"/>
              <w:ind w:left="57"/>
            </w:pPr>
          </w:p>
        </w:tc>
      </w:tr>
      <w:tr w:rsidR="002435E1" w:rsidRPr="00007569" w:rsidTr="000F62D1">
        <w:trPr>
          <w:cantSplit/>
          <w:trHeight w:val="340"/>
        </w:trPr>
        <w:tc>
          <w:tcPr>
            <w:tcW w:w="1533" w:type="dxa"/>
          </w:tcPr>
          <w:p w:rsidR="002435E1" w:rsidRPr="00007569" w:rsidRDefault="002435E1" w:rsidP="00381E2B">
            <w:pPr>
              <w:tabs>
                <w:tab w:val="left" w:pos="4111"/>
              </w:tabs>
              <w:spacing w:before="40" w:after="40" w:line="300" w:lineRule="exact"/>
              <w:ind w:left="57"/>
              <w:rPr>
                <w:rtl/>
                <w:lang w:bidi="ar-EG"/>
              </w:rPr>
            </w:pPr>
            <w:r w:rsidRPr="00007569">
              <w:rPr>
                <w:rtl/>
              </w:rPr>
              <w:t>المرجع:</w:t>
            </w:r>
          </w:p>
        </w:tc>
        <w:tc>
          <w:tcPr>
            <w:tcW w:w="3340" w:type="dxa"/>
          </w:tcPr>
          <w:p w:rsidR="002435E1" w:rsidRPr="002814FA" w:rsidRDefault="002435E1" w:rsidP="00381E2B">
            <w:pPr>
              <w:tabs>
                <w:tab w:val="left" w:pos="4111"/>
              </w:tabs>
              <w:spacing w:before="40" w:after="40" w:line="300" w:lineRule="exact"/>
              <w:ind w:left="57"/>
              <w:jc w:val="left"/>
              <w:rPr>
                <w:b/>
                <w:rtl/>
                <w:lang w:bidi="ar-EG"/>
              </w:rPr>
            </w:pPr>
            <w:r>
              <w:rPr>
                <w:b/>
              </w:rPr>
              <w:t>TSB Circular 230</w:t>
            </w:r>
          </w:p>
        </w:tc>
        <w:tc>
          <w:tcPr>
            <w:tcW w:w="4760" w:type="dxa"/>
          </w:tcPr>
          <w:p w:rsidR="002435E1" w:rsidRPr="00007569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 xml:space="preserve">إلى إدارات الدول </w:t>
            </w:r>
            <w:proofErr w:type="gramStart"/>
            <w:r w:rsidRPr="00007569">
              <w:rPr>
                <w:rtl/>
              </w:rPr>
              <w:t>الأعضاء</w:t>
            </w:r>
            <w:proofErr w:type="gramEnd"/>
            <w:r w:rsidRPr="00007569">
              <w:rPr>
                <w:rtl/>
              </w:rPr>
              <w:t xml:space="preserve"> في الاتحاد</w:t>
            </w:r>
            <w:r w:rsidRPr="00007569">
              <w:rPr>
                <w:rtl/>
                <w:lang w:bidi="ar-EG"/>
              </w:rPr>
              <w:t>؛</w:t>
            </w:r>
          </w:p>
          <w:p w:rsidR="002435E1" w:rsidRPr="00007569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إلى أعضاء قطاع تقييس الاتصالات؛</w:t>
            </w:r>
          </w:p>
          <w:p w:rsidR="002435E1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إلى المنتسبين إلى قطاع تقييس الاتصالات</w:t>
            </w:r>
            <w:r>
              <w:rPr>
                <w:rtl/>
              </w:rPr>
              <w:t>؛</w:t>
            </w:r>
          </w:p>
          <w:p w:rsidR="002435E1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jc w:val="left"/>
              <w:rPr>
                <w:rtl/>
                <w:lang w:bidi="ar-EG"/>
              </w:rPr>
            </w:pPr>
            <w:r w:rsidRPr="0060203A">
              <w:rPr>
                <w:rtl/>
              </w:rPr>
              <w:t>-</w:t>
            </w:r>
            <w:r w:rsidRPr="0060203A">
              <w:rPr>
                <w:rtl/>
              </w:rPr>
              <w:tab/>
              <w:t xml:space="preserve">إلى </w:t>
            </w:r>
            <w:r>
              <w:rPr>
                <w:rFonts w:hint="cs"/>
                <w:rtl/>
              </w:rPr>
              <w:t xml:space="preserve">رؤساء لجان الدراسات التابعة لقطاع تقييس الاتصالات </w:t>
            </w:r>
            <w:r w:rsidR="001E1E66">
              <w:rPr>
                <w:rFonts w:hint="cs"/>
                <w:rtl/>
              </w:rPr>
              <w:t>ونوابهم</w:t>
            </w:r>
          </w:p>
          <w:p w:rsidR="00381E2B" w:rsidRPr="00007569" w:rsidRDefault="00381E2B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jc w:val="left"/>
              <w:rPr>
                <w:lang w:bidi="ar-EG"/>
              </w:rPr>
            </w:pPr>
          </w:p>
        </w:tc>
      </w:tr>
      <w:tr w:rsidR="002435E1" w:rsidRPr="00007569" w:rsidTr="000F62D1">
        <w:trPr>
          <w:cantSplit/>
        </w:trPr>
        <w:tc>
          <w:tcPr>
            <w:tcW w:w="1533" w:type="dxa"/>
          </w:tcPr>
          <w:p w:rsidR="002435E1" w:rsidRPr="00007569" w:rsidRDefault="002435E1" w:rsidP="00381E2B">
            <w:pPr>
              <w:spacing w:before="40" w:after="40" w:line="300" w:lineRule="exact"/>
              <w:ind w:left="57"/>
              <w:jc w:val="left"/>
              <w:rPr>
                <w:rtl/>
                <w:lang w:bidi="ar-EG"/>
              </w:rPr>
            </w:pPr>
            <w:r w:rsidRPr="00007569">
              <w:rPr>
                <w:rtl/>
                <w:lang w:bidi="ar-SY"/>
              </w:rPr>
              <w:t>الهاتف</w:t>
            </w:r>
            <w:r w:rsidRPr="00007569">
              <w:rPr>
                <w:rtl/>
              </w:rPr>
              <w:t>:</w:t>
            </w:r>
            <w:r>
              <w:rPr>
                <w:rtl/>
              </w:rPr>
              <w:br/>
            </w:r>
            <w:proofErr w:type="gramStart"/>
            <w:r w:rsidRPr="00007569">
              <w:rPr>
                <w:rtl/>
              </w:rPr>
              <w:t>الفاكس</w:t>
            </w:r>
            <w:proofErr w:type="gramEnd"/>
            <w:r w:rsidRPr="00007569">
              <w:rPr>
                <w:rtl/>
              </w:rPr>
              <w:t>:</w:t>
            </w:r>
            <w:r w:rsidR="0012766E">
              <w:br/>
            </w:r>
            <w:r w:rsidRPr="00007569">
              <w:rPr>
                <w:rtl/>
              </w:rPr>
              <w:t xml:space="preserve">البريد </w:t>
            </w:r>
            <w:r w:rsidR="00270DE0">
              <w:rPr>
                <w:rFonts w:hint="cs"/>
                <w:rtl/>
              </w:rPr>
              <w:t>الإلكتروني</w:t>
            </w:r>
            <w:r w:rsidRPr="00007569">
              <w:rPr>
                <w:rtl/>
              </w:rPr>
              <w:t>:</w:t>
            </w:r>
            <w:r w:rsidR="0012766E">
              <w:rPr>
                <w:rtl/>
              </w:rPr>
              <w:br/>
            </w:r>
            <w:r w:rsidR="0012766E">
              <w:rPr>
                <w:rFonts w:hint="cs"/>
                <w:rtl/>
              </w:rPr>
              <w:t>الموقع الإلكتروني:</w:t>
            </w:r>
          </w:p>
        </w:tc>
        <w:tc>
          <w:tcPr>
            <w:tcW w:w="3340" w:type="dxa"/>
          </w:tcPr>
          <w:p w:rsidR="002435E1" w:rsidRPr="00007569" w:rsidRDefault="0012766E" w:rsidP="00381E2B">
            <w:pPr>
              <w:tabs>
                <w:tab w:val="right" w:pos="1432"/>
                <w:tab w:val="left" w:pos="4111"/>
              </w:tabs>
              <w:spacing w:before="40" w:after="40" w:line="300" w:lineRule="exact"/>
              <w:ind w:left="57"/>
              <w:jc w:val="left"/>
              <w:rPr>
                <w:rtl/>
              </w:rPr>
            </w:pPr>
            <w:r w:rsidRPr="0012766E">
              <w:rPr>
                <w:lang w:val="en-GB"/>
              </w:rPr>
              <w:t>+41</w:t>
            </w:r>
            <w:r w:rsidR="006A3403">
              <w:t> </w:t>
            </w:r>
            <w:r w:rsidRPr="0012766E">
              <w:rPr>
                <w:lang w:val="en-GB"/>
              </w:rPr>
              <w:t>22</w:t>
            </w:r>
            <w:r w:rsidR="006A3403">
              <w:rPr>
                <w:lang w:val="en-GB"/>
              </w:rPr>
              <w:t> </w:t>
            </w:r>
            <w:r w:rsidRPr="0012766E">
              <w:rPr>
                <w:lang w:val="en-GB"/>
              </w:rPr>
              <w:t>730</w:t>
            </w:r>
            <w:r w:rsidR="006A3403">
              <w:rPr>
                <w:lang w:val="en-GB"/>
              </w:rPr>
              <w:t> </w:t>
            </w:r>
            <w:r w:rsidRPr="0012766E">
              <w:rPr>
                <w:lang w:val="en-GB"/>
              </w:rPr>
              <w:t>5875</w:t>
            </w:r>
            <w:r w:rsidR="002435E1">
              <w:rPr>
                <w:rtl/>
                <w:lang w:bidi="ar-EG"/>
              </w:rPr>
              <w:br/>
            </w:r>
            <w:r w:rsidRPr="0012766E">
              <w:rPr>
                <w:lang w:val="en-GB"/>
              </w:rPr>
              <w:t>+41</w:t>
            </w:r>
            <w:r w:rsidR="006A3403">
              <w:rPr>
                <w:lang w:val="en-GB"/>
              </w:rPr>
              <w:t> </w:t>
            </w:r>
            <w:r w:rsidRPr="0012766E">
              <w:rPr>
                <w:lang w:val="en-GB"/>
              </w:rPr>
              <w:t>22</w:t>
            </w:r>
            <w:r w:rsidR="006A3403">
              <w:rPr>
                <w:lang w:val="en-GB"/>
              </w:rPr>
              <w:t> </w:t>
            </w:r>
            <w:r w:rsidRPr="0012766E">
              <w:rPr>
                <w:lang w:val="en-GB"/>
              </w:rPr>
              <w:t>730</w:t>
            </w:r>
            <w:r w:rsidR="006A3403">
              <w:rPr>
                <w:lang w:val="en-GB"/>
              </w:rPr>
              <w:t> </w:t>
            </w:r>
            <w:r w:rsidRPr="0012766E">
              <w:rPr>
                <w:lang w:val="en-GB"/>
              </w:rPr>
              <w:t>5853</w:t>
            </w:r>
            <w:r w:rsidR="006A3403">
              <w:rPr>
                <w:rFonts w:hint="cs"/>
                <w:rtl/>
              </w:rPr>
              <w:br/>
            </w:r>
            <w:hyperlink r:id="rId9" w:history="1">
              <w:r w:rsidRPr="0012766E">
                <w:rPr>
                  <w:rStyle w:val="Hyperlink"/>
                  <w:lang w:val="en-GB"/>
                </w:rPr>
                <w:t>tsbmail@itu.int</w:t>
              </w:r>
            </w:hyperlink>
            <w:r>
              <w:rPr>
                <w:rFonts w:hint="cs"/>
                <w:rtl/>
                <w:lang w:bidi="ar-EG"/>
              </w:rPr>
              <w:br/>
            </w:r>
            <w:hyperlink r:id="rId10" w:history="1">
              <w:r w:rsidRPr="0012766E">
                <w:rPr>
                  <w:rStyle w:val="Hyperlink"/>
                  <w:lang w:val="en-GB"/>
                </w:rPr>
                <w:t>http://www.itu.int/ITU-T</w:t>
              </w:r>
            </w:hyperlink>
          </w:p>
        </w:tc>
        <w:tc>
          <w:tcPr>
            <w:tcW w:w="4760" w:type="dxa"/>
          </w:tcPr>
          <w:p w:rsidR="002435E1" w:rsidRPr="00007569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b/>
                <w:bCs/>
                <w:rtl/>
              </w:rPr>
              <w:t>نسخة</w:t>
            </w:r>
            <w:proofErr w:type="gramEnd"/>
            <w:r w:rsidRPr="00007569">
              <w:rPr>
                <w:b/>
                <w:bCs/>
                <w:rtl/>
              </w:rPr>
              <w:t xml:space="preserve"> إلى:</w:t>
            </w:r>
          </w:p>
          <w:p w:rsidR="002435E1" w:rsidRPr="00007569" w:rsidRDefault="002435E1" w:rsidP="00381E2B">
            <w:pPr>
              <w:tabs>
                <w:tab w:val="left" w:pos="284"/>
                <w:tab w:val="left" w:pos="4111"/>
              </w:tabs>
              <w:spacing w:before="40" w:after="40" w:line="300" w:lineRule="exact"/>
              <w:ind w:left="57"/>
              <w:rPr>
                <w:rtl/>
              </w:rPr>
            </w:pP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</w:r>
            <w:r w:rsidR="00166A05">
              <w:rPr>
                <w:rFonts w:hint="cs"/>
                <w:spacing w:val="-4"/>
                <w:rtl/>
              </w:rPr>
              <w:t>مدير مكتب تنمية الاتصالات</w:t>
            </w:r>
            <w:r w:rsidRPr="00E14185">
              <w:rPr>
                <w:spacing w:val="-4"/>
                <w:rtl/>
              </w:rPr>
              <w:t>؛</w:t>
            </w:r>
            <w:r w:rsidR="006A3403">
              <w:rPr>
                <w:rFonts w:hint="cs"/>
                <w:spacing w:val="-4"/>
                <w:rtl/>
              </w:rPr>
              <w:tab/>
            </w:r>
            <w:r w:rsidR="006A3403">
              <w:rPr>
                <w:spacing w:val="-4"/>
                <w:rtl/>
                <w:lang w:bidi="ar-EG"/>
              </w:rPr>
              <w:br/>
            </w:r>
            <w:r w:rsidRPr="00007569">
              <w:rPr>
                <w:rtl/>
              </w:rPr>
              <w:t>-</w:t>
            </w:r>
            <w:r w:rsidRPr="00007569">
              <w:rPr>
                <w:rtl/>
              </w:rPr>
              <w:tab/>
              <w:t>مدير مكتب الاتصالات الراديوية</w:t>
            </w:r>
          </w:p>
        </w:tc>
      </w:tr>
      <w:tr w:rsidR="002435E1" w:rsidRPr="00007569" w:rsidTr="000F62D1">
        <w:trPr>
          <w:cantSplit/>
        </w:trPr>
        <w:tc>
          <w:tcPr>
            <w:tcW w:w="1533" w:type="dxa"/>
          </w:tcPr>
          <w:p w:rsidR="002435E1" w:rsidRPr="00007569" w:rsidRDefault="002435E1" w:rsidP="00381E2B">
            <w:pPr>
              <w:spacing w:after="120"/>
              <w:ind w:left="57"/>
              <w:rPr>
                <w:rtl/>
                <w:lang w:bidi="ar-SY"/>
              </w:rPr>
            </w:pPr>
          </w:p>
        </w:tc>
        <w:tc>
          <w:tcPr>
            <w:tcW w:w="3340" w:type="dxa"/>
          </w:tcPr>
          <w:p w:rsidR="002435E1" w:rsidRPr="00007569" w:rsidRDefault="002435E1" w:rsidP="00381E2B">
            <w:pPr>
              <w:tabs>
                <w:tab w:val="right" w:pos="1432"/>
                <w:tab w:val="left" w:pos="4111"/>
              </w:tabs>
              <w:spacing w:after="120"/>
              <w:ind w:left="57"/>
              <w:jc w:val="left"/>
              <w:rPr>
                <w:rtl/>
                <w:lang w:bidi="ar-EG"/>
              </w:rPr>
            </w:pPr>
          </w:p>
        </w:tc>
        <w:tc>
          <w:tcPr>
            <w:tcW w:w="4760" w:type="dxa"/>
          </w:tcPr>
          <w:p w:rsidR="002435E1" w:rsidRPr="00007569" w:rsidRDefault="002435E1" w:rsidP="00381E2B">
            <w:pPr>
              <w:tabs>
                <w:tab w:val="left" w:pos="284"/>
                <w:tab w:val="left" w:pos="4111"/>
              </w:tabs>
              <w:spacing w:after="120"/>
              <w:ind w:left="284" w:hanging="227"/>
              <w:rPr>
                <w:b/>
                <w:bCs/>
                <w:rtl/>
              </w:rPr>
            </w:pPr>
          </w:p>
        </w:tc>
      </w:tr>
      <w:tr w:rsidR="002435E1" w:rsidRPr="00007569" w:rsidTr="000F62D1">
        <w:trPr>
          <w:cantSplit/>
        </w:trPr>
        <w:tc>
          <w:tcPr>
            <w:tcW w:w="1533" w:type="dxa"/>
          </w:tcPr>
          <w:p w:rsidR="002435E1" w:rsidRPr="00007569" w:rsidRDefault="002435E1" w:rsidP="002435E1">
            <w:pPr>
              <w:spacing w:after="120"/>
              <w:ind w:left="57"/>
              <w:rPr>
                <w:rtl/>
                <w:lang w:bidi="ar-SY"/>
              </w:rPr>
            </w:pPr>
            <w:r w:rsidRPr="000302D3">
              <w:rPr>
                <w:rtl/>
              </w:rPr>
              <w:t>الموضوع:</w:t>
            </w:r>
          </w:p>
        </w:tc>
        <w:tc>
          <w:tcPr>
            <w:tcW w:w="8100" w:type="dxa"/>
            <w:gridSpan w:val="2"/>
          </w:tcPr>
          <w:p w:rsidR="002435E1" w:rsidRPr="0078272D" w:rsidRDefault="00166A05" w:rsidP="002435E1">
            <w:pPr>
              <w:tabs>
                <w:tab w:val="left" w:pos="284"/>
                <w:tab w:val="left" w:pos="4111"/>
              </w:tabs>
              <w:spacing w:after="120"/>
              <w:ind w:left="57"/>
              <w:jc w:val="left"/>
              <w:rPr>
                <w:b/>
                <w:bCs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 xml:space="preserve">الجدول الزمني لاجتماعات قطاع تقييس الاتصالات للأعوام </w:t>
            </w:r>
            <w:r>
              <w:rPr>
                <w:b/>
                <w:bCs/>
              </w:rPr>
              <w:t>2011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2012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2013</w:t>
            </w:r>
            <w:r>
              <w:rPr>
                <w:rFonts w:hint="cs"/>
                <w:b/>
                <w:bCs/>
                <w:rtl/>
              </w:rPr>
              <w:t xml:space="preserve"> و</w:t>
            </w:r>
            <w:r>
              <w:rPr>
                <w:b/>
                <w:bCs/>
              </w:rPr>
              <w:t>2014</w:t>
            </w:r>
          </w:p>
        </w:tc>
      </w:tr>
    </w:tbl>
    <w:p w:rsidR="002E5C77" w:rsidRPr="002E3F3D" w:rsidRDefault="002E5C77" w:rsidP="00381E2B">
      <w:pPr>
        <w:spacing w:before="600"/>
        <w:rPr>
          <w:rtl/>
          <w:lang w:bidi="ar-EG"/>
        </w:rPr>
      </w:pPr>
      <w:r w:rsidRPr="002E3F3D">
        <w:rPr>
          <w:rFonts w:hint="cs"/>
          <w:rtl/>
          <w:lang w:bidi="ar-EG"/>
        </w:rPr>
        <w:t>حضرات السادة والسيدات،</w:t>
      </w:r>
    </w:p>
    <w:p w:rsidR="002E5C77" w:rsidRPr="002E3F3D" w:rsidRDefault="008B394D" w:rsidP="00EF5F4E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تحية طيبة </w:t>
      </w:r>
      <w:proofErr w:type="gramStart"/>
      <w:r>
        <w:rPr>
          <w:rFonts w:hint="cs"/>
          <w:rtl/>
          <w:lang w:bidi="ar-EG"/>
        </w:rPr>
        <w:t>وبعد</w:t>
      </w:r>
      <w:proofErr w:type="gramEnd"/>
      <w:r>
        <w:rPr>
          <w:rFonts w:hint="cs"/>
          <w:rtl/>
          <w:lang w:bidi="ar-EG"/>
        </w:rPr>
        <w:t>،</w:t>
      </w:r>
    </w:p>
    <w:p w:rsidR="002E5C77" w:rsidRPr="008F3EB7" w:rsidRDefault="002E5C77" w:rsidP="00EF5F4E">
      <w:pPr>
        <w:rPr>
          <w:rtl/>
        </w:rPr>
      </w:pPr>
      <w:proofErr w:type="gramStart"/>
      <w:r w:rsidRPr="00886C91">
        <w:rPr>
          <w:spacing w:val="-4"/>
          <w:lang w:bidi="ar-EG"/>
        </w:rPr>
        <w:t>1</w:t>
      </w:r>
      <w:r w:rsidRPr="00886C91">
        <w:rPr>
          <w:spacing w:val="-4"/>
          <w:lang w:bidi="ar-EG"/>
        </w:rPr>
        <w:tab/>
      </w:r>
      <w:r w:rsidRPr="008F3EB7">
        <w:rPr>
          <w:rFonts w:hint="cs"/>
          <w:rtl/>
          <w:lang w:bidi="ar-EG"/>
        </w:rPr>
        <w:t>حرصاً على مساعدة الدول الأعضاء وأعضاء قطاع تقييس الاتصالات والمنتسبين إلى القطاع في تخطيط مشاركة ممثليهم في أنشطة القطاع يسرني أن أعلن لكم الجدول الزمني</w:t>
      </w:r>
      <w:r w:rsidR="00504101" w:rsidRPr="008F3EB7">
        <w:rPr>
          <w:rFonts w:hint="cs"/>
          <w:rtl/>
          <w:lang w:bidi="ar-EG"/>
        </w:rPr>
        <w:t xml:space="preserve"> المقترح</w:t>
      </w:r>
      <w:r w:rsidRPr="008F3EB7">
        <w:rPr>
          <w:rFonts w:hint="cs"/>
          <w:rtl/>
          <w:lang w:bidi="ar-EG"/>
        </w:rPr>
        <w:t xml:space="preserve"> لاجتماعات لجان الدراسات في القطاع</w:t>
      </w:r>
      <w:r w:rsidR="00886C91" w:rsidRPr="008F3EB7">
        <w:rPr>
          <w:rFonts w:hint="cs"/>
          <w:rtl/>
          <w:lang w:bidi="ar-EG"/>
        </w:rPr>
        <w:t xml:space="preserve"> للأعوام</w:t>
      </w:r>
      <w:r w:rsidR="00504101" w:rsidRPr="008F3EB7">
        <w:rPr>
          <w:rFonts w:hint="eastAsia"/>
          <w:rtl/>
        </w:rPr>
        <w:t> </w:t>
      </w:r>
      <w:r w:rsidR="00886C91" w:rsidRPr="008F3EB7">
        <w:rPr>
          <w:lang w:bidi="ar-EG"/>
        </w:rPr>
        <w:t>2011</w:t>
      </w:r>
      <w:r w:rsidR="00886C91" w:rsidRPr="008F3EB7">
        <w:rPr>
          <w:rFonts w:hint="cs"/>
          <w:rtl/>
          <w:lang w:bidi="ar-EG"/>
        </w:rPr>
        <w:t xml:space="preserve"> و</w:t>
      </w:r>
      <w:r w:rsidR="00886C91" w:rsidRPr="008F3EB7">
        <w:rPr>
          <w:lang w:bidi="ar-EG"/>
        </w:rPr>
        <w:t>2012</w:t>
      </w:r>
      <w:r w:rsidR="00504101" w:rsidRPr="008F3EB7">
        <w:rPr>
          <w:rFonts w:hint="cs"/>
          <w:rtl/>
          <w:lang w:bidi="ar-EG"/>
        </w:rPr>
        <w:t xml:space="preserve"> و</w:t>
      </w:r>
      <w:r w:rsidR="00504101" w:rsidRPr="008F3EB7">
        <w:rPr>
          <w:lang w:bidi="ar-EG"/>
        </w:rPr>
        <w:t>2013</w:t>
      </w:r>
      <w:r w:rsidR="00504101" w:rsidRPr="008F3EB7">
        <w:rPr>
          <w:rFonts w:hint="eastAsia"/>
          <w:rtl/>
        </w:rPr>
        <w:t> </w:t>
      </w:r>
      <w:r w:rsidR="00504101" w:rsidRPr="008F3EB7">
        <w:rPr>
          <w:rFonts w:hint="cs"/>
          <w:rtl/>
        </w:rPr>
        <w:t>و</w:t>
      </w:r>
      <w:r w:rsidR="00504101" w:rsidRPr="008F3EB7">
        <w:t>2014</w:t>
      </w:r>
      <w:r w:rsidRPr="008F3EB7">
        <w:rPr>
          <w:rFonts w:hint="cs"/>
          <w:rtl/>
          <w:lang w:bidi="ar-EG"/>
        </w:rPr>
        <w:t>.</w:t>
      </w:r>
      <w:proofErr w:type="gramEnd"/>
    </w:p>
    <w:p w:rsidR="002E5C77" w:rsidRPr="002E3F3D" w:rsidRDefault="002E5C77" w:rsidP="00EF5F4E">
      <w:pPr>
        <w:rPr>
          <w:rtl/>
          <w:lang w:bidi="ar-EG"/>
        </w:rPr>
      </w:pPr>
      <w:proofErr w:type="gramStart"/>
      <w:r w:rsidRPr="002E3F3D">
        <w:rPr>
          <w:lang w:bidi="ar-EG"/>
        </w:rPr>
        <w:t>2</w:t>
      </w:r>
      <w:r w:rsidRPr="002E3F3D">
        <w:rPr>
          <w:lang w:bidi="ar-EG"/>
        </w:rPr>
        <w:tab/>
      </w:r>
      <w:r w:rsidR="00C101A4">
        <w:rPr>
          <w:rFonts w:hint="cs"/>
          <w:rtl/>
          <w:lang w:bidi="ar-EG"/>
        </w:rPr>
        <w:t>واستناداً إلى نتائج</w:t>
      </w:r>
      <w:r w:rsidRPr="002E3F3D">
        <w:rPr>
          <w:rFonts w:hint="cs"/>
          <w:rtl/>
          <w:lang w:bidi="ar-EG"/>
        </w:rPr>
        <w:t xml:space="preserve"> الجمعية العالمية لتقييس الاتصالات </w:t>
      </w:r>
      <w:r w:rsidR="00C101A4">
        <w:rPr>
          <w:rFonts w:hint="cs"/>
          <w:rtl/>
          <w:lang w:bidi="ar-EG"/>
        </w:rPr>
        <w:t xml:space="preserve">(جوهانسبرغ، </w:t>
      </w:r>
      <w:r w:rsidR="00C101A4">
        <w:rPr>
          <w:lang w:bidi="ar-EG"/>
        </w:rPr>
        <w:t>2008</w:t>
      </w:r>
      <w:r w:rsidR="00C101A4">
        <w:rPr>
          <w:rFonts w:hint="cs"/>
          <w:rtl/>
          <w:lang w:bidi="ar-EG"/>
        </w:rPr>
        <w:t>) التي اعتمدت هيكل لجان الدراسات لقطاع تقييس الاتصالات كما اعتمدت مجموعة جديدة من أساليب العمل،</w:t>
      </w:r>
      <w:r w:rsidRPr="002E3F3D">
        <w:rPr>
          <w:rFonts w:hint="cs"/>
          <w:rtl/>
          <w:lang w:bidi="ar-EG"/>
        </w:rPr>
        <w:t xml:space="preserve"> وبعد</w:t>
      </w:r>
      <w:r w:rsidR="009D0290">
        <w:rPr>
          <w:rFonts w:hint="cs"/>
          <w:rtl/>
          <w:lang w:bidi="ar-EG"/>
        </w:rPr>
        <w:t xml:space="preserve"> التشاور مع رؤساء لجان الدراسات</w:t>
      </w:r>
      <w:r w:rsidRPr="002E3F3D">
        <w:rPr>
          <w:rFonts w:hint="cs"/>
          <w:rtl/>
          <w:lang w:bidi="ar-EG"/>
        </w:rPr>
        <w:t xml:space="preserve">، وُضع جدول زمني لاجتماعات القطاع </w:t>
      </w:r>
      <w:r w:rsidR="00504101" w:rsidRPr="00886C91">
        <w:rPr>
          <w:rFonts w:hint="cs"/>
          <w:spacing w:val="-4"/>
          <w:rtl/>
          <w:lang w:bidi="ar-EG"/>
        </w:rPr>
        <w:t>للأعوام</w:t>
      </w:r>
      <w:r w:rsidR="00504101">
        <w:rPr>
          <w:rFonts w:hint="eastAsia"/>
          <w:spacing w:val="-4"/>
          <w:rtl/>
        </w:rPr>
        <w:t> </w:t>
      </w:r>
      <w:r w:rsidR="00504101" w:rsidRPr="00886C91">
        <w:rPr>
          <w:spacing w:val="-4"/>
          <w:lang w:bidi="ar-EG"/>
        </w:rPr>
        <w:t>2011</w:t>
      </w:r>
      <w:r w:rsidR="00504101" w:rsidRPr="00886C91">
        <w:rPr>
          <w:rFonts w:hint="cs"/>
          <w:spacing w:val="-4"/>
          <w:rtl/>
          <w:lang w:bidi="ar-EG"/>
        </w:rPr>
        <w:t xml:space="preserve"> و</w:t>
      </w:r>
      <w:r w:rsidR="00504101" w:rsidRPr="00886C91">
        <w:rPr>
          <w:spacing w:val="-4"/>
          <w:lang w:bidi="ar-EG"/>
        </w:rPr>
        <w:t>2012</w:t>
      </w:r>
      <w:r w:rsidR="00504101">
        <w:rPr>
          <w:rFonts w:hint="cs"/>
          <w:spacing w:val="-4"/>
          <w:rtl/>
          <w:lang w:bidi="ar-EG"/>
        </w:rPr>
        <w:t xml:space="preserve"> و</w:t>
      </w:r>
      <w:r w:rsidR="00504101">
        <w:rPr>
          <w:spacing w:val="-4"/>
          <w:lang w:bidi="ar-EG"/>
        </w:rPr>
        <w:t>2013</w:t>
      </w:r>
      <w:r w:rsidR="00504101">
        <w:rPr>
          <w:rFonts w:hint="eastAsia"/>
          <w:spacing w:val="-4"/>
          <w:rtl/>
        </w:rPr>
        <w:t> </w:t>
      </w:r>
      <w:r w:rsidR="00504101">
        <w:rPr>
          <w:rFonts w:hint="cs"/>
          <w:spacing w:val="-4"/>
          <w:rtl/>
        </w:rPr>
        <w:t>و</w:t>
      </w:r>
      <w:r w:rsidR="00504101">
        <w:rPr>
          <w:spacing w:val="-4"/>
        </w:rPr>
        <w:t>2014</w:t>
      </w:r>
      <w:r w:rsidR="00504101" w:rsidRPr="002E3F3D">
        <w:rPr>
          <w:rFonts w:hint="cs"/>
          <w:rtl/>
          <w:lang w:bidi="ar-EG"/>
        </w:rPr>
        <w:t xml:space="preserve"> </w:t>
      </w:r>
      <w:r w:rsidRPr="002E3F3D">
        <w:rPr>
          <w:rFonts w:hint="cs"/>
          <w:rtl/>
          <w:lang w:bidi="ar-EG"/>
        </w:rPr>
        <w:t xml:space="preserve">(انظر </w:t>
      </w:r>
      <w:r w:rsidRPr="00643039">
        <w:rPr>
          <w:rFonts w:hint="cs"/>
          <w:b/>
          <w:bCs/>
          <w:rtl/>
          <w:lang w:bidi="ar-EG"/>
        </w:rPr>
        <w:t>الملحق</w:t>
      </w:r>
      <w:r w:rsidR="00852524" w:rsidRPr="00643039">
        <w:rPr>
          <w:rFonts w:hint="cs"/>
          <w:b/>
          <w:bCs/>
          <w:rtl/>
          <w:lang w:bidi="ar-EG"/>
        </w:rPr>
        <w:t>ات</w:t>
      </w:r>
      <w:r w:rsidR="00504101">
        <w:rPr>
          <w:rFonts w:hint="cs"/>
          <w:b/>
          <w:bCs/>
          <w:rtl/>
          <w:lang w:bidi="ar-EG"/>
        </w:rPr>
        <w:t xml:space="preserve"> من </w:t>
      </w:r>
      <w:r w:rsidR="00852524" w:rsidRPr="00643039">
        <w:rPr>
          <w:b/>
          <w:bCs/>
          <w:lang w:bidi="ar-EG"/>
        </w:rPr>
        <w:t>1</w:t>
      </w:r>
      <w:r w:rsidR="00852524" w:rsidRPr="00643039">
        <w:rPr>
          <w:rFonts w:hint="cs"/>
          <w:b/>
          <w:bCs/>
          <w:rtl/>
          <w:lang w:bidi="ar-EG"/>
        </w:rPr>
        <w:t xml:space="preserve"> إلى </w:t>
      </w:r>
      <w:r w:rsidR="00504101">
        <w:rPr>
          <w:b/>
          <w:bCs/>
          <w:lang w:bidi="ar-EG"/>
        </w:rPr>
        <w:t>4</w:t>
      </w:r>
      <w:r w:rsidRPr="002E3F3D">
        <w:rPr>
          <w:rFonts w:hint="cs"/>
          <w:rtl/>
          <w:lang w:bidi="ar-EG"/>
        </w:rPr>
        <w:t>).</w:t>
      </w:r>
      <w:proofErr w:type="gramEnd"/>
      <w:r w:rsidRPr="002E3F3D">
        <w:rPr>
          <w:rFonts w:hint="cs"/>
          <w:rtl/>
          <w:lang w:bidi="ar-EG"/>
        </w:rPr>
        <w:t xml:space="preserve"> والافتراض الأساسي هو </w:t>
      </w:r>
      <w:r w:rsidR="00BB7298">
        <w:rPr>
          <w:rFonts w:hint="cs"/>
          <w:rtl/>
          <w:lang w:bidi="ar-EG"/>
        </w:rPr>
        <w:t>عقد</w:t>
      </w:r>
      <w:r w:rsidRPr="002E3F3D">
        <w:rPr>
          <w:rFonts w:hint="cs"/>
          <w:rtl/>
          <w:lang w:bidi="ar-EG"/>
        </w:rPr>
        <w:t xml:space="preserve"> هذه الاجتماعات في جنيف</w:t>
      </w:r>
      <w:r w:rsidR="00504101">
        <w:rPr>
          <w:rFonts w:hint="cs"/>
          <w:rtl/>
        </w:rPr>
        <w:t xml:space="preserve"> إذا لم يتلق مدير المكتب دعوة لاستضافة أي اجتماع</w:t>
      </w:r>
      <w:r w:rsidRPr="002E3F3D">
        <w:rPr>
          <w:rFonts w:hint="cs"/>
          <w:rtl/>
          <w:lang w:bidi="ar-EG"/>
        </w:rPr>
        <w:t>، ولكن من الممكن جداً أن يرغب أحد البلدان في استضافة أي من هذه الاجتماعات وعندئذ ينبغي له أن يتصل بمدير مكتب تقييس الاتصالات.</w:t>
      </w:r>
    </w:p>
    <w:p w:rsidR="002E5C77" w:rsidRPr="002E3F3D" w:rsidRDefault="002E5C77" w:rsidP="00EF5F4E">
      <w:pPr>
        <w:rPr>
          <w:rtl/>
          <w:lang w:bidi="ar-EG"/>
        </w:rPr>
      </w:pPr>
      <w:r w:rsidRPr="002E3F3D">
        <w:rPr>
          <w:rFonts w:hint="cs"/>
          <w:rtl/>
          <w:lang w:bidi="ar-EG"/>
        </w:rPr>
        <w:t>وكما جرت العادة سوف ترسل رسالة جماعية بشأن كل اجتماع تتناول تفاصيل التنظيم وجدول الأعمال</w:t>
      </w:r>
      <w:r w:rsidR="00060A89">
        <w:rPr>
          <w:rFonts w:hint="cs"/>
          <w:rtl/>
          <w:lang w:bidi="ar-EG"/>
        </w:rPr>
        <w:t>،</w:t>
      </w:r>
      <w:r w:rsidRPr="002E3F3D">
        <w:rPr>
          <w:rFonts w:hint="cs"/>
          <w:rtl/>
          <w:lang w:bidi="ar-EG"/>
        </w:rPr>
        <w:t xml:space="preserve"> وذلك عملاً بمقررات الجمعية العالمية لتقييس الاتصالات </w:t>
      </w:r>
      <w:r w:rsidR="00946353">
        <w:rPr>
          <w:rFonts w:hint="cs"/>
          <w:rtl/>
          <w:lang w:bidi="ar-EG"/>
        </w:rPr>
        <w:t>لعام</w:t>
      </w:r>
      <w:r w:rsidRPr="002E3F3D">
        <w:rPr>
          <w:rFonts w:hint="cs"/>
          <w:rtl/>
          <w:lang w:bidi="ar-EG"/>
        </w:rPr>
        <w:t xml:space="preserve"> </w:t>
      </w:r>
      <w:r w:rsidR="00946353">
        <w:rPr>
          <w:lang w:bidi="ar-EG"/>
        </w:rPr>
        <w:t>2008</w:t>
      </w:r>
      <w:r w:rsidRPr="002E3F3D">
        <w:rPr>
          <w:rFonts w:hint="cs"/>
          <w:rtl/>
          <w:lang w:bidi="ar-EG"/>
        </w:rPr>
        <w:t>.</w:t>
      </w:r>
    </w:p>
    <w:p w:rsidR="002E5C77" w:rsidRPr="00060A89" w:rsidRDefault="002E5C77" w:rsidP="0080432E">
      <w:pPr>
        <w:rPr>
          <w:rtl/>
        </w:rPr>
      </w:pPr>
      <w:r w:rsidRPr="002E3F3D">
        <w:rPr>
          <w:rFonts w:hint="cs"/>
          <w:rtl/>
          <w:lang w:bidi="ar-EG"/>
        </w:rPr>
        <w:t xml:space="preserve">وتنشر جميع المعلومات المتعلقة بالاجتماعات </w:t>
      </w:r>
      <w:r w:rsidR="00060A89">
        <w:rPr>
          <w:rFonts w:hint="cs"/>
          <w:rtl/>
          <w:lang w:bidi="ar-EG"/>
        </w:rPr>
        <w:t>ويجري تحديثها</w:t>
      </w:r>
      <w:r w:rsidRPr="002E3F3D">
        <w:rPr>
          <w:rFonts w:hint="cs"/>
          <w:rtl/>
          <w:lang w:bidi="ar-EG"/>
        </w:rPr>
        <w:t xml:space="preserve"> أولاً بأول على </w:t>
      </w:r>
      <w:r w:rsidRPr="004506A7">
        <w:rPr>
          <w:rFonts w:hint="cs"/>
          <w:b/>
          <w:bCs/>
          <w:rtl/>
          <w:lang w:bidi="ar-EG"/>
        </w:rPr>
        <w:t>موقع القطاع</w:t>
      </w:r>
      <w:r w:rsidR="004506A7">
        <w:rPr>
          <w:rFonts w:hint="cs"/>
          <w:rtl/>
          <w:lang w:bidi="ar-EG"/>
        </w:rPr>
        <w:t xml:space="preserve"> </w:t>
      </w:r>
      <w:r w:rsidR="00060A89">
        <w:rPr>
          <w:lang w:bidi="ar-EG"/>
        </w:rPr>
        <w:t>(</w:t>
      </w:r>
      <w:hyperlink r:id="rId11" w:history="1">
        <w:r w:rsidR="00060A89" w:rsidRPr="00060A89">
          <w:rPr>
            <w:rStyle w:val="Hyperlink"/>
            <w:lang w:val="en-GB" w:bidi="ar-EG"/>
          </w:rPr>
          <w:t>http://www.itu.int/ITU-T</w:t>
        </w:r>
      </w:hyperlink>
      <w:r w:rsidR="00060A89">
        <w:rPr>
          <w:lang w:bidi="ar-EG"/>
        </w:rPr>
        <w:t>)</w:t>
      </w:r>
      <w:r w:rsidR="00060A89">
        <w:rPr>
          <w:rFonts w:hint="cs"/>
          <w:rtl/>
        </w:rPr>
        <w:t>.</w:t>
      </w:r>
    </w:p>
    <w:p w:rsidR="002E5C77" w:rsidRPr="008F3EB7" w:rsidRDefault="00636033" w:rsidP="00381E2B">
      <w:pPr>
        <w:keepNext/>
        <w:keepLines/>
        <w:rPr>
          <w:spacing w:val="-2"/>
          <w:rtl/>
          <w:lang w:bidi="ar-EG"/>
        </w:rPr>
      </w:pPr>
      <w:r w:rsidRPr="008F3EB7">
        <w:rPr>
          <w:rFonts w:hint="cs"/>
          <w:spacing w:val="-2"/>
          <w:rtl/>
          <w:lang w:bidi="ar-EG"/>
        </w:rPr>
        <w:lastRenderedPageBreak/>
        <w:t xml:space="preserve">ونأمل أن يؤدي هذا الجدول الزمني للاجتماعات إلى تيسير مشاركتكم في أعمال قطاع تقييس الاتصالات في الاتحاد. </w:t>
      </w:r>
      <w:proofErr w:type="gramStart"/>
      <w:r w:rsidRPr="008F3EB7">
        <w:rPr>
          <w:rFonts w:hint="cs"/>
          <w:spacing w:val="-2"/>
          <w:rtl/>
          <w:lang w:bidi="ar-EG"/>
        </w:rPr>
        <w:t>كما</w:t>
      </w:r>
      <w:proofErr w:type="gramEnd"/>
      <w:r w:rsidRPr="008F3EB7">
        <w:rPr>
          <w:rFonts w:hint="cs"/>
          <w:spacing w:val="-2"/>
          <w:rtl/>
          <w:lang w:bidi="ar-EG"/>
        </w:rPr>
        <w:t> أود أن أذكركم بأن المشاركة عن بُعد ستكون متاحة في العديد من هذه الاجتماعات مع توفير المنح وفقاً للقواعد المعمول بها.</w:t>
      </w:r>
    </w:p>
    <w:p w:rsidR="002E5C77" w:rsidRPr="002E3F3D" w:rsidRDefault="002E5C77" w:rsidP="00381E2B">
      <w:pPr>
        <w:keepNext/>
        <w:keepLines/>
        <w:spacing w:before="240"/>
        <w:rPr>
          <w:rtl/>
          <w:lang w:bidi="ar-EG"/>
        </w:rPr>
      </w:pPr>
      <w:r w:rsidRPr="002E3F3D">
        <w:rPr>
          <w:rFonts w:hint="cs"/>
          <w:rtl/>
          <w:lang w:bidi="ar-EG"/>
        </w:rPr>
        <w:t xml:space="preserve">وتفضلوا بقبول فائق التقدير </w:t>
      </w:r>
      <w:proofErr w:type="gramStart"/>
      <w:r w:rsidRPr="002E3F3D">
        <w:rPr>
          <w:rFonts w:hint="cs"/>
          <w:rtl/>
          <w:lang w:bidi="ar-EG"/>
        </w:rPr>
        <w:t>والاحترام</w:t>
      </w:r>
      <w:proofErr w:type="gramEnd"/>
      <w:r w:rsidRPr="002E3F3D">
        <w:rPr>
          <w:rFonts w:hint="cs"/>
          <w:rtl/>
          <w:lang w:bidi="ar-EG"/>
        </w:rPr>
        <w:t>.</w:t>
      </w:r>
    </w:p>
    <w:p w:rsidR="00F74196" w:rsidRDefault="002E5C77" w:rsidP="00381E2B">
      <w:pPr>
        <w:spacing w:before="1440"/>
        <w:rPr>
          <w:rtl/>
        </w:rPr>
      </w:pPr>
      <w:proofErr w:type="spellStart"/>
      <w:r>
        <w:rPr>
          <w:rFonts w:hint="cs"/>
          <w:rtl/>
          <w:lang w:bidi="ar-EG"/>
        </w:rPr>
        <w:t>مالكولم</w:t>
      </w:r>
      <w:proofErr w:type="spellEnd"/>
      <w:r>
        <w:rPr>
          <w:rFonts w:hint="cs"/>
          <w:rtl/>
          <w:lang w:bidi="ar-EG"/>
        </w:rPr>
        <w:t xml:space="preserve"> جونسون</w:t>
      </w:r>
      <w:r w:rsidR="000F62D1">
        <w:rPr>
          <w:rtl/>
          <w:lang w:bidi="ar-EG"/>
        </w:rPr>
        <w:tab/>
      </w:r>
      <w:r w:rsidR="000F62D1">
        <w:rPr>
          <w:rFonts w:hint="cs"/>
          <w:rtl/>
          <w:lang w:bidi="ar-EG"/>
        </w:rPr>
        <w:br/>
      </w:r>
      <w:r w:rsidRPr="002E3F3D">
        <w:rPr>
          <w:rFonts w:hint="cs"/>
          <w:rtl/>
          <w:lang w:bidi="ar-EG"/>
        </w:rPr>
        <w:t>مدير مكتب تقييس الاتصالات</w:t>
      </w:r>
      <w:r w:rsidR="00F74196">
        <w:rPr>
          <w:rtl/>
        </w:rPr>
        <w:br w:type="page"/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Cs w:val="22"/>
        </w:rPr>
      </w:pPr>
      <w:r w:rsidRPr="00D242B0">
        <w:rPr>
          <w:rFonts w:cs="Times New Roman"/>
          <w:b/>
          <w:bCs/>
          <w:sz w:val="24"/>
          <w:szCs w:val="20"/>
        </w:rPr>
        <w:lastRenderedPageBreak/>
        <w:t>ANNEX 1</w:t>
      </w:r>
      <w:r w:rsidRPr="00D242B0">
        <w:rPr>
          <w:rFonts w:cs="Times New Roman"/>
          <w:sz w:val="24"/>
          <w:szCs w:val="20"/>
        </w:rPr>
        <w:br/>
        <w:t>(to TSB Circular 230)</w:t>
      </w: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Cs w:val="22"/>
        </w:rPr>
      </w:pPr>
      <w:r w:rsidRPr="00D242B0">
        <w:rPr>
          <w:rFonts w:cs="Times New Roman"/>
          <w:b/>
          <w:bCs/>
          <w:sz w:val="24"/>
          <w:szCs w:val="20"/>
        </w:rPr>
        <w:t>Schedule of ITU-T meetings for 2011 (including CWG-WCIT)</w:t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Deadline for submission</w:t>
            </w:r>
          </w:p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 contributions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20 – 28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Seoul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9 September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CWG-CWIT-12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27 – 30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27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10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27 September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21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4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31 Oct. – 9 Nov.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18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color w:val="000000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8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proofErr w:type="spellStart"/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 w:eastAsia="ja-JP"/>
              </w:rPr>
              <w:t>oT</w:t>
            </w:r>
            <w:proofErr w:type="spellEnd"/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color w:val="000000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8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center" w:pos="129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 9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– 25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8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Nov. – 2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8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5 – 16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22 November</w:t>
            </w:r>
          </w:p>
        </w:tc>
      </w:tr>
    </w:tbl>
    <w:p w:rsidR="00D242B0" w:rsidRPr="00D242B0" w:rsidRDefault="00D242B0" w:rsidP="00D242B0">
      <w:pPr>
        <w:tabs>
          <w:tab w:val="left" w:pos="426"/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 w:val="24"/>
          <w:szCs w:val="20"/>
        </w:rPr>
      </w:pPr>
      <w:r w:rsidRPr="00D242B0">
        <w:rPr>
          <w:rFonts w:cs="Times New Roman"/>
          <w:sz w:val="24"/>
          <w:szCs w:val="24"/>
          <w:lang w:val="en-GB"/>
        </w:rPr>
        <w:br w:type="page"/>
      </w:r>
      <w:r w:rsidRPr="00D242B0">
        <w:rPr>
          <w:rFonts w:cs="Times New Roman"/>
          <w:b/>
          <w:bCs/>
          <w:sz w:val="24"/>
          <w:szCs w:val="20"/>
        </w:rPr>
        <w:lastRenderedPageBreak/>
        <w:t>ANNEX 2</w:t>
      </w:r>
      <w:r w:rsidRPr="00D242B0">
        <w:rPr>
          <w:rFonts w:cs="Times New Roman"/>
          <w:sz w:val="24"/>
          <w:szCs w:val="20"/>
        </w:rPr>
        <w:br/>
        <w:t>(to TSB Circular 230)</w:t>
      </w: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 w:val="24"/>
          <w:szCs w:val="20"/>
        </w:rPr>
      </w:pP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Cs w:val="22"/>
        </w:rPr>
      </w:pPr>
      <w:r w:rsidRPr="00D242B0">
        <w:rPr>
          <w:rFonts w:cs="Times New Roman"/>
          <w:b/>
          <w:bCs/>
          <w:sz w:val="24"/>
          <w:szCs w:val="20"/>
        </w:rPr>
        <w:t>Schedule of ITU-T meetings for 2012 (including CWG-WCIT)</w:t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Deadline for submission</w:t>
            </w:r>
          </w:p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 contributions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9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color w:val="000000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10 – 13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color w:val="000000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16 December*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16 – 20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D242B0">
              <w:rPr>
                <w:rFonts w:cs="Times New Roman"/>
                <w:sz w:val="20"/>
                <w:szCs w:val="20"/>
                <w:lang w:val="en-GB"/>
              </w:rPr>
              <w:t>IoT</w:t>
            </w:r>
            <w:proofErr w:type="spellEnd"/>
            <w:r w:rsidRPr="00D242B0">
              <w:rPr>
                <w:rFonts w:cs="Times New Roman"/>
                <w:sz w:val="20"/>
                <w:szCs w:val="20"/>
                <w:lang w:val="en-GB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6 – 13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24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6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13 – 17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31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20 February – 2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7 February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27 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–</w:t>
            </w: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29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27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21 – 29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8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11 – 19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29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23 – 25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23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April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30 April – 4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April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30 April – 11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April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D242B0">
              <w:rPr>
                <w:rFonts w:cs="Times New Roman"/>
                <w:sz w:val="20"/>
                <w:szCs w:val="20"/>
                <w:lang w:val="en-GB"/>
              </w:rPr>
              <w:t>IoT</w:t>
            </w:r>
            <w:proofErr w:type="spellEnd"/>
            <w:r w:rsidRPr="00D242B0">
              <w:rPr>
                <w:rFonts w:cs="Times New Roman"/>
                <w:sz w:val="20"/>
                <w:szCs w:val="20"/>
                <w:lang w:val="en-GB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9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20 April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29 May – 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16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22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11 – 15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29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CWG-WCIT-12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20 – 22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20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 – 4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color w:val="000000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19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7 September**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Moscow**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August</w:t>
            </w: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**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proofErr w:type="spellStart"/>
            <w:r w:rsidRPr="00D242B0">
              <w:rPr>
                <w:rFonts w:cs="Times New Roman"/>
                <w:sz w:val="20"/>
                <w:szCs w:val="20"/>
                <w:lang w:val="en-GB"/>
              </w:rPr>
              <w:t>IoT</w:t>
            </w:r>
            <w:proofErr w:type="spellEnd"/>
            <w:r w:rsidRPr="00D242B0">
              <w:rPr>
                <w:rFonts w:cs="Times New Roman"/>
                <w:sz w:val="20"/>
                <w:szCs w:val="20"/>
                <w:lang w:val="en-GB"/>
              </w:rPr>
              <w:t>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7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10 – 21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28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25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12 September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GSS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November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WTSA-12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November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WCIT-12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November</w:t>
            </w: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Geneva**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10 – 14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27 November</w:t>
            </w:r>
          </w:p>
        </w:tc>
      </w:tr>
    </w:tbl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0"/>
          <w:lang w:val="en-GB"/>
        </w:rPr>
      </w:pPr>
    </w:p>
    <w:p w:rsidR="00D242B0" w:rsidRPr="00D242B0" w:rsidRDefault="00D242B0" w:rsidP="00D242B0">
      <w:pPr>
        <w:tabs>
          <w:tab w:val="left" w:pos="567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0"/>
          <w:lang w:val="en-GB"/>
        </w:rPr>
      </w:pPr>
      <w:r w:rsidRPr="00D242B0">
        <w:rPr>
          <w:rFonts w:cs="Times New Roman"/>
          <w:sz w:val="24"/>
          <w:szCs w:val="20"/>
          <w:lang w:val="en-GB"/>
        </w:rPr>
        <w:t>(*)</w:t>
      </w:r>
      <w:r w:rsidRPr="00D242B0">
        <w:rPr>
          <w:rFonts w:cs="Times New Roman"/>
          <w:sz w:val="24"/>
          <w:szCs w:val="20"/>
          <w:lang w:val="en-GB"/>
        </w:rPr>
        <w:tab/>
        <w:t>Early deadline because ITU is closed during the holiday season (until 2 January 2012 inclusive)</w:t>
      </w:r>
    </w:p>
    <w:p w:rsidR="00D242B0" w:rsidRPr="00D242B0" w:rsidRDefault="00D242B0" w:rsidP="00D242B0">
      <w:pPr>
        <w:tabs>
          <w:tab w:val="left" w:pos="567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0"/>
          <w:lang w:val="en-GB"/>
        </w:rPr>
      </w:pPr>
      <w:r w:rsidRPr="00D242B0">
        <w:rPr>
          <w:rFonts w:cs="Times New Roman"/>
          <w:color w:val="000000"/>
          <w:sz w:val="24"/>
          <w:szCs w:val="20"/>
          <w:lang w:val="en-GB"/>
        </w:rPr>
        <w:t>(**)</w:t>
      </w:r>
      <w:r w:rsidRPr="00D242B0">
        <w:rPr>
          <w:rFonts w:cs="Times New Roman"/>
          <w:color w:val="000000"/>
          <w:sz w:val="24"/>
          <w:szCs w:val="20"/>
          <w:lang w:val="en-GB"/>
        </w:rPr>
        <w:tab/>
        <w:t>To be confirmed</w:t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Cs w:val="22"/>
        </w:rPr>
      </w:pPr>
      <w:r w:rsidRPr="00D242B0">
        <w:rPr>
          <w:rFonts w:cs="Times New Roman"/>
          <w:b/>
          <w:sz w:val="20"/>
          <w:szCs w:val="20"/>
          <w:lang w:val="en-GB"/>
        </w:rPr>
        <w:br w:type="page"/>
      </w:r>
      <w:r w:rsidRPr="00D242B0">
        <w:rPr>
          <w:rFonts w:cs="Times New Roman"/>
          <w:b/>
          <w:bCs/>
          <w:sz w:val="24"/>
          <w:szCs w:val="20"/>
        </w:rPr>
        <w:lastRenderedPageBreak/>
        <w:t>ANNEX 3</w:t>
      </w:r>
      <w:r w:rsidRPr="00D242B0">
        <w:rPr>
          <w:rFonts w:cs="Times New Roman"/>
          <w:sz w:val="24"/>
          <w:szCs w:val="20"/>
        </w:rPr>
        <w:br/>
        <w:t>(to TSB Circular 230)</w:t>
      </w: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 w:val="24"/>
          <w:szCs w:val="20"/>
        </w:rPr>
      </w:pP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Cs w:val="22"/>
        </w:rPr>
      </w:pPr>
      <w:r w:rsidRPr="00D242B0">
        <w:rPr>
          <w:rFonts w:cs="Times New Roman"/>
          <w:b/>
          <w:bCs/>
          <w:sz w:val="24"/>
          <w:szCs w:val="20"/>
        </w:rPr>
        <w:t>Schedule of ITU-T meetings for 2013</w:t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Deadline for submission</w:t>
            </w:r>
          </w:p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 contributions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14 – 18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14 – 25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22 – 31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9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29 January – 7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16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18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5 February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25 February. – 1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12 February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19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6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26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4 April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27 – 31 May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14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3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4 – 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22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24 – 28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11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 – 12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18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12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21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September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28 October – 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15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28 October – 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15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28 October – 8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15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22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11 – 15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29 October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3 – 12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20 November</w:t>
            </w:r>
          </w:p>
        </w:tc>
      </w:tr>
    </w:tbl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0"/>
          <w:lang w:val="en-GB"/>
        </w:rPr>
      </w:pP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szCs w:val="22"/>
        </w:rPr>
      </w:pPr>
      <w:r w:rsidRPr="00D242B0">
        <w:rPr>
          <w:rFonts w:cs="Times New Roman"/>
          <w:b/>
          <w:sz w:val="20"/>
          <w:szCs w:val="20"/>
          <w:lang w:val="en-GB"/>
        </w:rPr>
        <w:br w:type="page"/>
      </w:r>
      <w:r w:rsidRPr="00D242B0">
        <w:rPr>
          <w:rFonts w:cs="Times New Roman"/>
          <w:b/>
          <w:bCs/>
          <w:sz w:val="24"/>
          <w:szCs w:val="20"/>
        </w:rPr>
        <w:lastRenderedPageBreak/>
        <w:t>ANNEX 4</w:t>
      </w:r>
      <w:r w:rsidRPr="00D242B0">
        <w:rPr>
          <w:rFonts w:cs="Times New Roman"/>
          <w:sz w:val="24"/>
          <w:szCs w:val="20"/>
        </w:rPr>
        <w:br/>
        <w:t>(to TSB Circular 230)</w:t>
      </w: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 w:val="24"/>
          <w:szCs w:val="20"/>
        </w:rPr>
      </w:pPr>
    </w:p>
    <w:p w:rsidR="00D242B0" w:rsidRPr="00D242B0" w:rsidRDefault="00D242B0" w:rsidP="00D242B0">
      <w:pPr>
        <w:keepNext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center"/>
        <w:textAlignment w:val="baseline"/>
        <w:rPr>
          <w:rFonts w:cs="Times New Roman"/>
          <w:b/>
          <w:bCs/>
          <w:szCs w:val="22"/>
        </w:rPr>
      </w:pPr>
      <w:r w:rsidRPr="00D242B0">
        <w:rPr>
          <w:rFonts w:cs="Times New Roman"/>
          <w:b/>
          <w:bCs/>
          <w:sz w:val="24"/>
          <w:szCs w:val="20"/>
        </w:rPr>
        <w:t>Schedule of ITU-T meetings for 2014</w:t>
      </w:r>
    </w:p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before="0" w:line="240" w:lineRule="auto"/>
        <w:jc w:val="center"/>
        <w:textAlignment w:val="baseline"/>
        <w:rPr>
          <w:rFonts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551"/>
        <w:gridCol w:w="1701"/>
        <w:gridCol w:w="2762"/>
      </w:tblGrid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SG/WP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Place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Deadline for submission</w:t>
            </w:r>
          </w:p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0" w:line="240" w:lineRule="auto"/>
              <w:jc w:val="center"/>
              <w:textAlignment w:val="baseline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b/>
                <w:bCs/>
                <w:sz w:val="20"/>
                <w:szCs w:val="20"/>
                <w:lang w:val="en-GB"/>
              </w:rPr>
              <w:t>of contributions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15 – 24 January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 January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10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17 – 21 February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February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28 March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31 March – 4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18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8 – 17 April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26 March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– 12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21 May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16 – 20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16 – 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3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ITU-T Chairmen’s meeting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27 June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TSAG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30 June – 3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17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7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24 June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 xml:space="preserve">     SG/WP 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14 – 18 July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 July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SG/WP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 – 11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20 August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17 – 26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4 September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NGN-GSI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10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Geneva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 w:hint="eastAsia"/>
                <w:color w:val="000000"/>
                <w:sz w:val="20"/>
                <w:szCs w:val="20"/>
                <w:lang w:val="en-GB" w:eastAsia="ja-JP"/>
              </w:rPr>
              <w:t>IPTV-GSI event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17 – 21 November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4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24 Nov. – 5 Dec.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11 November</w:t>
            </w:r>
          </w:p>
        </w:tc>
      </w:tr>
      <w:tr w:rsidR="00D242B0" w:rsidRPr="00D242B0" w:rsidTr="000F62D1">
        <w:trPr>
          <w:cantSplit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left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SG/WP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sz w:val="20"/>
                <w:szCs w:val="20"/>
                <w:lang w:val="en-GB"/>
              </w:rPr>
              <w:t>9 – 18 December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D242B0">
                  <w:rPr>
                    <w:rFonts w:cs="Times New Roman"/>
                    <w:sz w:val="20"/>
                    <w:szCs w:val="20"/>
                    <w:lang w:val="en-GB"/>
                  </w:rPr>
                  <w:t>Geneva</w:t>
                </w:r>
              </w:smartTag>
            </w:smartTag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B0" w:rsidRPr="00D242B0" w:rsidRDefault="00D242B0" w:rsidP="00D242B0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240" w:lineRule="auto"/>
              <w:jc w:val="center"/>
              <w:textAlignment w:val="baseline"/>
              <w:rPr>
                <w:rFonts w:cs="Times New Roman"/>
                <w:color w:val="000000"/>
                <w:sz w:val="20"/>
                <w:szCs w:val="20"/>
                <w:lang w:val="en-GB"/>
              </w:rPr>
            </w:pPr>
            <w:r w:rsidRPr="00D242B0">
              <w:rPr>
                <w:rFonts w:cs="Times New Roman"/>
                <w:color w:val="000000"/>
                <w:sz w:val="20"/>
                <w:szCs w:val="20"/>
                <w:lang w:val="en-GB"/>
              </w:rPr>
              <w:t>26 November</w:t>
            </w:r>
          </w:p>
        </w:tc>
      </w:tr>
    </w:tbl>
    <w:p w:rsidR="00D242B0" w:rsidRPr="00D242B0" w:rsidRDefault="00D242B0" w:rsidP="00D242B0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bidi w:val="0"/>
        <w:adjustRightInd w:val="0"/>
        <w:spacing w:line="240" w:lineRule="auto"/>
        <w:jc w:val="left"/>
        <w:textAlignment w:val="baseline"/>
        <w:rPr>
          <w:rFonts w:cs="Times New Roman"/>
          <w:color w:val="000000"/>
          <w:sz w:val="24"/>
          <w:szCs w:val="20"/>
          <w:lang w:val="en-GB"/>
        </w:rPr>
      </w:pPr>
      <w:r w:rsidRPr="00D242B0">
        <w:rPr>
          <w:rFonts w:cs="Times New Roman"/>
          <w:color w:val="000000"/>
          <w:sz w:val="24"/>
          <w:szCs w:val="20"/>
          <w:lang w:val="en-GB"/>
        </w:rPr>
        <w:t>Please note that these dates for 2014 have to be confirmed as soon as room allocation in the ITU premises is done.</w:t>
      </w:r>
    </w:p>
    <w:p w:rsidR="00C10572" w:rsidRDefault="00E440E6" w:rsidP="00E440E6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</w:t>
      </w:r>
    </w:p>
    <w:sectPr w:rsidR="00C10572" w:rsidSect="00381E2B">
      <w:headerReference w:type="default" r:id="rId12"/>
      <w:footerReference w:type="default" r:id="rId13"/>
      <w:footerReference w:type="first" r:id="rId14"/>
      <w:type w:val="oddPage"/>
      <w:pgSz w:w="11901" w:h="16840" w:code="9"/>
      <w:pgMar w:top="1418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3A" w:rsidRDefault="00FD783A">
      <w:r>
        <w:separator/>
      </w:r>
    </w:p>
  </w:endnote>
  <w:endnote w:type="continuationSeparator" w:id="0">
    <w:p w:rsidR="00FD783A" w:rsidRDefault="00FD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D1" w:rsidRPr="00B11ACC" w:rsidRDefault="00917A0E" w:rsidP="00944E2C">
    <w:pPr>
      <w:pStyle w:val="Footer"/>
      <w:tabs>
        <w:tab w:val="clear" w:pos="4703"/>
        <w:tab w:val="clear" w:pos="9406"/>
        <w:tab w:val="center" w:pos="5670"/>
        <w:tab w:val="right" w:pos="9639"/>
      </w:tabs>
      <w:bidi w:val="0"/>
      <w:rPr>
        <w:sz w:val="16"/>
        <w:szCs w:val="16"/>
        <w:lang w:val="fr-FR"/>
      </w:rPr>
    </w:pPr>
    <w:r w:rsidRPr="00917A0E">
      <w:rPr>
        <w:sz w:val="16"/>
        <w:szCs w:val="16"/>
        <w:lang w:val="fr-CH"/>
      </w:rPr>
      <w:t>ITU-T\BUREAU\CIRC\230A.DOC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1"/>
      <w:gridCol w:w="3118"/>
      <w:gridCol w:w="2411"/>
      <w:gridCol w:w="2227"/>
    </w:tblGrid>
    <w:tr w:rsidR="000F62D1" w:rsidTr="000F62D1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F62D1" w:rsidRDefault="000F62D1" w:rsidP="000F62D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F62D1" w:rsidRDefault="000F62D1" w:rsidP="000F62D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F62D1" w:rsidRDefault="000F62D1" w:rsidP="000F62D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F62D1" w:rsidRDefault="000F62D1" w:rsidP="000F62D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F62D1" w:rsidTr="000F62D1">
      <w:trPr>
        <w:cantSplit/>
      </w:trPr>
      <w:tc>
        <w:tcPr>
          <w:tcW w:w="1062" w:type="pct"/>
        </w:tcPr>
        <w:p w:rsidR="000F62D1" w:rsidRPr="008F5E3A" w:rsidRDefault="000F62D1" w:rsidP="000F62D1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0F62D1" w:rsidRPr="008F5E3A" w:rsidRDefault="000F62D1" w:rsidP="000F62D1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0F62D1" w:rsidRPr="008F5E3A" w:rsidRDefault="000F62D1" w:rsidP="000F62D1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0F62D1" w:rsidRPr="00724ED5" w:rsidRDefault="000F62D1" w:rsidP="000F62D1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0F62D1" w:rsidTr="000F62D1">
      <w:trPr>
        <w:cantSplit/>
      </w:trPr>
      <w:tc>
        <w:tcPr>
          <w:tcW w:w="1062" w:type="pct"/>
        </w:tcPr>
        <w:p w:rsidR="000F62D1" w:rsidRDefault="000F62D1" w:rsidP="000F62D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0F62D1" w:rsidRDefault="000F62D1" w:rsidP="000F62D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F62D1" w:rsidRDefault="000F62D1" w:rsidP="000F62D1">
          <w:pPr>
            <w:pStyle w:val="itu"/>
          </w:pPr>
        </w:p>
      </w:tc>
      <w:tc>
        <w:tcPr>
          <w:tcW w:w="1131" w:type="pct"/>
        </w:tcPr>
        <w:p w:rsidR="000F62D1" w:rsidRDefault="000F62D1" w:rsidP="000F62D1">
          <w:pPr>
            <w:pStyle w:val="itu"/>
          </w:pPr>
        </w:p>
      </w:tc>
    </w:tr>
  </w:tbl>
  <w:p w:rsidR="000F62D1" w:rsidRPr="005D479C" w:rsidRDefault="000F62D1" w:rsidP="00A55815">
    <w:pPr>
      <w:pStyle w:val="Footer"/>
      <w:bidi w:val="0"/>
      <w:spacing w:before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3A" w:rsidRDefault="00FD783A">
      <w:r>
        <w:separator/>
      </w:r>
    </w:p>
  </w:footnote>
  <w:footnote w:type="continuationSeparator" w:id="0">
    <w:p w:rsidR="00FD783A" w:rsidRDefault="00FD7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2D1" w:rsidRPr="007437AC" w:rsidRDefault="000F62D1" w:rsidP="007437AC">
    <w:pPr>
      <w:pStyle w:val="Header"/>
      <w:bidi w:val="0"/>
      <w:jc w:val="center"/>
      <w:rPr>
        <w:sz w:val="20"/>
        <w:szCs w:val="20"/>
      </w:rPr>
    </w:pPr>
    <w:r w:rsidRPr="007437AC">
      <w:rPr>
        <w:sz w:val="20"/>
        <w:szCs w:val="20"/>
      </w:rPr>
      <w:t>- </w:t>
    </w:r>
    <w:r w:rsidR="00602D65" w:rsidRPr="007437AC">
      <w:rPr>
        <w:rStyle w:val="PageNumber"/>
        <w:sz w:val="20"/>
        <w:szCs w:val="20"/>
      </w:rPr>
      <w:fldChar w:fldCharType="begin"/>
    </w:r>
    <w:r w:rsidRPr="007437AC">
      <w:rPr>
        <w:rStyle w:val="PageNumber"/>
        <w:sz w:val="20"/>
        <w:szCs w:val="20"/>
      </w:rPr>
      <w:instrText xml:space="preserve"> PAGE </w:instrText>
    </w:r>
    <w:r w:rsidR="00602D65" w:rsidRPr="007437AC">
      <w:rPr>
        <w:rStyle w:val="PageNumber"/>
        <w:sz w:val="20"/>
        <w:szCs w:val="20"/>
      </w:rPr>
      <w:fldChar w:fldCharType="separate"/>
    </w:r>
    <w:r w:rsidR="00461B6F">
      <w:rPr>
        <w:rStyle w:val="PageNumber"/>
        <w:noProof/>
        <w:sz w:val="20"/>
        <w:szCs w:val="20"/>
      </w:rPr>
      <w:t>6</w:t>
    </w:r>
    <w:r w:rsidR="00602D65" w:rsidRPr="007437AC">
      <w:rPr>
        <w:rStyle w:val="PageNumber"/>
        <w:sz w:val="20"/>
        <w:szCs w:val="20"/>
      </w:rPr>
      <w:fldChar w:fldCharType="end"/>
    </w:r>
    <w:r w:rsidRPr="007437AC">
      <w:rPr>
        <w:sz w:val="20"/>
        <w:szCs w:val="20"/>
      </w:rPr>
      <w:t> 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14121"/>
    <w:multiLevelType w:val="multilevel"/>
    <w:tmpl w:val="58681AD6"/>
    <w:lvl w:ilvl="0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01B"/>
    <w:rsid w:val="00011C08"/>
    <w:rsid w:val="00042544"/>
    <w:rsid w:val="00056515"/>
    <w:rsid w:val="00060A89"/>
    <w:rsid w:val="0007351F"/>
    <w:rsid w:val="000807C8"/>
    <w:rsid w:val="00083020"/>
    <w:rsid w:val="000B4DB6"/>
    <w:rsid w:val="000C1E88"/>
    <w:rsid w:val="000C680B"/>
    <w:rsid w:val="000F62D1"/>
    <w:rsid w:val="00103119"/>
    <w:rsid w:val="00125C5A"/>
    <w:rsid w:val="0012766E"/>
    <w:rsid w:val="00137567"/>
    <w:rsid w:val="00163FE7"/>
    <w:rsid w:val="00166A05"/>
    <w:rsid w:val="001B2523"/>
    <w:rsid w:val="001B4996"/>
    <w:rsid w:val="001C6B66"/>
    <w:rsid w:val="001D3626"/>
    <w:rsid w:val="001E1E66"/>
    <w:rsid w:val="001E20C3"/>
    <w:rsid w:val="00231C16"/>
    <w:rsid w:val="002435E1"/>
    <w:rsid w:val="00244EEC"/>
    <w:rsid w:val="00245E20"/>
    <w:rsid w:val="00270DE0"/>
    <w:rsid w:val="0027101B"/>
    <w:rsid w:val="002814FA"/>
    <w:rsid w:val="002B1317"/>
    <w:rsid w:val="002E156E"/>
    <w:rsid w:val="002E3F3D"/>
    <w:rsid w:val="002E5C77"/>
    <w:rsid w:val="002F79EB"/>
    <w:rsid w:val="00310D57"/>
    <w:rsid w:val="00314CB1"/>
    <w:rsid w:val="00316ADA"/>
    <w:rsid w:val="00330658"/>
    <w:rsid w:val="003324BD"/>
    <w:rsid w:val="00341856"/>
    <w:rsid w:val="0035150F"/>
    <w:rsid w:val="00356F1F"/>
    <w:rsid w:val="00357D8E"/>
    <w:rsid w:val="0036145A"/>
    <w:rsid w:val="003714D1"/>
    <w:rsid w:val="00381E2B"/>
    <w:rsid w:val="00384D7A"/>
    <w:rsid w:val="0038578F"/>
    <w:rsid w:val="00396440"/>
    <w:rsid w:val="003A7B72"/>
    <w:rsid w:val="003F047B"/>
    <w:rsid w:val="00415093"/>
    <w:rsid w:val="00431944"/>
    <w:rsid w:val="004506A7"/>
    <w:rsid w:val="004601C0"/>
    <w:rsid w:val="00461B6F"/>
    <w:rsid w:val="00480B26"/>
    <w:rsid w:val="004821F0"/>
    <w:rsid w:val="004C225F"/>
    <w:rsid w:val="004C78DD"/>
    <w:rsid w:val="004D7868"/>
    <w:rsid w:val="004E63E7"/>
    <w:rsid w:val="00504101"/>
    <w:rsid w:val="005172EE"/>
    <w:rsid w:val="00532EC8"/>
    <w:rsid w:val="00540F7C"/>
    <w:rsid w:val="00571C00"/>
    <w:rsid w:val="005B29C4"/>
    <w:rsid w:val="005C605E"/>
    <w:rsid w:val="005D0DD0"/>
    <w:rsid w:val="005D479C"/>
    <w:rsid w:val="005E5CA0"/>
    <w:rsid w:val="00601BDD"/>
    <w:rsid w:val="00602D65"/>
    <w:rsid w:val="006031F5"/>
    <w:rsid w:val="006202BB"/>
    <w:rsid w:val="00634B5B"/>
    <w:rsid w:val="00636033"/>
    <w:rsid w:val="00640B62"/>
    <w:rsid w:val="00642ACB"/>
    <w:rsid w:val="00643039"/>
    <w:rsid w:val="00645EC0"/>
    <w:rsid w:val="00652908"/>
    <w:rsid w:val="00660A0C"/>
    <w:rsid w:val="006A2A3D"/>
    <w:rsid w:val="006A3403"/>
    <w:rsid w:val="006A58D1"/>
    <w:rsid w:val="006A633F"/>
    <w:rsid w:val="006C177C"/>
    <w:rsid w:val="006D0FF8"/>
    <w:rsid w:val="006D2AE0"/>
    <w:rsid w:val="006F014D"/>
    <w:rsid w:val="00701F0A"/>
    <w:rsid w:val="0070376B"/>
    <w:rsid w:val="00727C66"/>
    <w:rsid w:val="00732418"/>
    <w:rsid w:val="007408ED"/>
    <w:rsid w:val="00741B84"/>
    <w:rsid w:val="007437AC"/>
    <w:rsid w:val="00744905"/>
    <w:rsid w:val="00751367"/>
    <w:rsid w:val="00751B97"/>
    <w:rsid w:val="0080432E"/>
    <w:rsid w:val="00820D9F"/>
    <w:rsid w:val="00821E9C"/>
    <w:rsid w:val="00824A34"/>
    <w:rsid w:val="00831DA9"/>
    <w:rsid w:val="00852524"/>
    <w:rsid w:val="0087103B"/>
    <w:rsid w:val="00886C91"/>
    <w:rsid w:val="00892D59"/>
    <w:rsid w:val="008A073C"/>
    <w:rsid w:val="008A5215"/>
    <w:rsid w:val="008B394D"/>
    <w:rsid w:val="008B480A"/>
    <w:rsid w:val="008D06E0"/>
    <w:rsid w:val="008E503A"/>
    <w:rsid w:val="008F1D56"/>
    <w:rsid w:val="008F36A8"/>
    <w:rsid w:val="008F3EB7"/>
    <w:rsid w:val="00907B62"/>
    <w:rsid w:val="00917A0E"/>
    <w:rsid w:val="009378D4"/>
    <w:rsid w:val="00944E2C"/>
    <w:rsid w:val="00946353"/>
    <w:rsid w:val="009A38C3"/>
    <w:rsid w:val="009D0290"/>
    <w:rsid w:val="009D16F0"/>
    <w:rsid w:val="009F5A51"/>
    <w:rsid w:val="00A301C4"/>
    <w:rsid w:val="00A47000"/>
    <w:rsid w:val="00A55815"/>
    <w:rsid w:val="00A57DA5"/>
    <w:rsid w:val="00A8423C"/>
    <w:rsid w:val="00AA1C98"/>
    <w:rsid w:val="00AD4EA1"/>
    <w:rsid w:val="00AD6134"/>
    <w:rsid w:val="00AE4DBF"/>
    <w:rsid w:val="00B01D96"/>
    <w:rsid w:val="00B11ACC"/>
    <w:rsid w:val="00B15461"/>
    <w:rsid w:val="00B25192"/>
    <w:rsid w:val="00B3354C"/>
    <w:rsid w:val="00B83596"/>
    <w:rsid w:val="00BB7298"/>
    <w:rsid w:val="00BC00E5"/>
    <w:rsid w:val="00BE111A"/>
    <w:rsid w:val="00BF5D17"/>
    <w:rsid w:val="00C003B2"/>
    <w:rsid w:val="00C04A7C"/>
    <w:rsid w:val="00C101A4"/>
    <w:rsid w:val="00C10572"/>
    <w:rsid w:val="00C11A23"/>
    <w:rsid w:val="00C219C2"/>
    <w:rsid w:val="00C335D8"/>
    <w:rsid w:val="00C52806"/>
    <w:rsid w:val="00C64385"/>
    <w:rsid w:val="00C851F2"/>
    <w:rsid w:val="00CA75D6"/>
    <w:rsid w:val="00CE1180"/>
    <w:rsid w:val="00CE523C"/>
    <w:rsid w:val="00CE5850"/>
    <w:rsid w:val="00CF77CA"/>
    <w:rsid w:val="00D16919"/>
    <w:rsid w:val="00D16E33"/>
    <w:rsid w:val="00D20A54"/>
    <w:rsid w:val="00D242B0"/>
    <w:rsid w:val="00D27095"/>
    <w:rsid w:val="00D359EC"/>
    <w:rsid w:val="00D718F9"/>
    <w:rsid w:val="00D819C4"/>
    <w:rsid w:val="00D828E0"/>
    <w:rsid w:val="00D86D12"/>
    <w:rsid w:val="00D87836"/>
    <w:rsid w:val="00D928B1"/>
    <w:rsid w:val="00DA57A5"/>
    <w:rsid w:val="00DB16CF"/>
    <w:rsid w:val="00DE53F2"/>
    <w:rsid w:val="00DF2323"/>
    <w:rsid w:val="00E04467"/>
    <w:rsid w:val="00E338B2"/>
    <w:rsid w:val="00E440E6"/>
    <w:rsid w:val="00E5391A"/>
    <w:rsid w:val="00E55943"/>
    <w:rsid w:val="00E60E45"/>
    <w:rsid w:val="00E73594"/>
    <w:rsid w:val="00E96555"/>
    <w:rsid w:val="00EA0521"/>
    <w:rsid w:val="00EB46DA"/>
    <w:rsid w:val="00ED4368"/>
    <w:rsid w:val="00EE035D"/>
    <w:rsid w:val="00EE2C4A"/>
    <w:rsid w:val="00EE4A38"/>
    <w:rsid w:val="00EF3B9B"/>
    <w:rsid w:val="00EF5F4E"/>
    <w:rsid w:val="00F03AA3"/>
    <w:rsid w:val="00F041E2"/>
    <w:rsid w:val="00F107DD"/>
    <w:rsid w:val="00F247E0"/>
    <w:rsid w:val="00F74196"/>
    <w:rsid w:val="00FB1733"/>
    <w:rsid w:val="00FB1CE4"/>
    <w:rsid w:val="00FD65B7"/>
    <w:rsid w:val="00FD783A"/>
    <w:rsid w:val="00FF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3">
    <w:name w:val="heading 3"/>
    <w:basedOn w:val="Normal"/>
    <w:next w:val="Normal"/>
    <w:qFormat/>
    <w:rsid w:val="008B4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Heading3"/>
    <w:next w:val="Normal"/>
    <w:qFormat/>
    <w:rsid w:val="008B480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794" w:hanging="79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24A34"/>
  </w:style>
  <w:style w:type="character" w:customStyle="1" w:styleId="FooterChar">
    <w:name w:val="Footer Char"/>
    <w:basedOn w:val="DefaultParagraphFont"/>
    <w:link w:val="Footer"/>
    <w:uiPriority w:val="99"/>
    <w:rsid w:val="00B11ACC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8B394D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917A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A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3">
    <w:name w:val="heading 3"/>
    <w:basedOn w:val="Normal"/>
    <w:next w:val="Normal"/>
    <w:qFormat/>
    <w:rsid w:val="008B48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Heading3"/>
    <w:next w:val="Normal"/>
    <w:qFormat/>
    <w:rsid w:val="008B480A"/>
    <w:pPr>
      <w:keepLines/>
      <w:tabs>
        <w:tab w:val="left" w:pos="1191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before="200" w:after="0" w:line="240" w:lineRule="auto"/>
      <w:ind w:left="794" w:hanging="794"/>
      <w:jc w:val="left"/>
      <w:textAlignment w:val="baseline"/>
      <w:outlineLvl w:val="7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TableTitle">
    <w:name w:val="Table_Title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cs="Times New Roman"/>
      <w:b/>
      <w:sz w:val="24"/>
      <w:szCs w:val="20"/>
      <w:lang w:val="en-GB"/>
    </w:rPr>
  </w:style>
  <w:style w:type="paragraph" w:customStyle="1" w:styleId="AnnexRef">
    <w:name w:val="Annex_Ref"/>
    <w:basedOn w:val="Normal"/>
    <w:next w:val="Normal"/>
    <w:rsid w:val="008B480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824A34"/>
  </w:style>
  <w:style w:type="character" w:customStyle="1" w:styleId="FooterChar">
    <w:name w:val="Footer Char"/>
    <w:basedOn w:val="DefaultParagraphFont"/>
    <w:link w:val="Footer"/>
    <w:uiPriority w:val="99"/>
    <w:rsid w:val="00B11ACC"/>
    <w:rPr>
      <w:rFonts w:cs="Traditional Arabic"/>
      <w:sz w:val="22"/>
      <w:szCs w:val="30"/>
      <w:lang w:eastAsia="en-US"/>
    </w:rPr>
  </w:style>
  <w:style w:type="paragraph" w:customStyle="1" w:styleId="itu">
    <w:name w:val="itu"/>
    <w:basedOn w:val="Normal"/>
    <w:rsid w:val="008B394D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917A0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A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ITU-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ITU-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ITU-T.dot</Template>
  <TotalTime>0</TotalTime>
  <Pages>6</Pages>
  <Words>987</Words>
  <Characters>5631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6605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4325394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4325394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wardany</dc:creator>
  <cp:lastModifiedBy>Bettini, Nadine</cp:lastModifiedBy>
  <cp:revision>2</cp:revision>
  <cp:lastPrinted>2011-10-06T11:59:00Z</cp:lastPrinted>
  <dcterms:created xsi:type="dcterms:W3CDTF">2011-10-06T13:26:00Z</dcterms:created>
  <dcterms:modified xsi:type="dcterms:W3CDTF">2011-10-06T13:26:00Z</dcterms:modified>
</cp:coreProperties>
</file>