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Layout w:type="fixed"/>
        <w:tblLook w:val="0000"/>
      </w:tblPr>
      <w:tblGrid>
        <w:gridCol w:w="6803"/>
        <w:gridCol w:w="3120"/>
      </w:tblGrid>
      <w:tr w:rsidR="00DC5505" w:rsidRPr="00C56944" w:rsidTr="001631E7">
        <w:trPr>
          <w:cantSplit/>
        </w:trPr>
        <w:tc>
          <w:tcPr>
            <w:tcW w:w="6803" w:type="dxa"/>
            <w:vAlign w:val="center"/>
          </w:tcPr>
          <w:p w:rsidR="00DC5505" w:rsidRPr="00BB168F" w:rsidRDefault="00DC5505" w:rsidP="00CF1B69">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DC5505" w:rsidP="00CF1B69">
            <w:pPr>
              <w:jc w:val="right"/>
              <w:rPr>
                <w:b/>
                <w:bCs/>
                <w:sz w:val="44"/>
                <w:szCs w:val="44"/>
                <w:rtl/>
              </w:rPr>
            </w:pPr>
            <w:r w:rsidRPr="00A71FE1">
              <w:rPr>
                <w:noProof/>
                <w:rtl/>
                <w:lang w:eastAsia="zh-CN"/>
              </w:rPr>
              <w:drawing>
                <wp:inline distT="0" distB="0" distL="0" distR="0">
                  <wp:extent cx="1818000" cy="716400"/>
                  <wp:effectExtent l="0" t="0" r="0" b="7620"/>
                  <wp:docPr id="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DC5505" w:rsidRPr="00617BE4" w:rsidTr="00CF1B69">
        <w:trPr>
          <w:cantSplit/>
        </w:trPr>
        <w:tc>
          <w:tcPr>
            <w:tcW w:w="6803" w:type="dxa"/>
          </w:tcPr>
          <w:p w:rsidR="00DC5505" w:rsidRPr="00617BE4" w:rsidRDefault="00DC5505" w:rsidP="00CF1B69">
            <w:pPr>
              <w:spacing w:before="0" w:after="48" w:line="240" w:lineRule="atLeast"/>
              <w:rPr>
                <w:b/>
                <w:smallCaps/>
                <w:szCs w:val="24"/>
                <w:lang w:bidi="ar-EG"/>
              </w:rPr>
            </w:pPr>
          </w:p>
        </w:tc>
        <w:tc>
          <w:tcPr>
            <w:tcW w:w="3120" w:type="dxa"/>
          </w:tcPr>
          <w:p w:rsidR="00DC5505" w:rsidRPr="00617BE4" w:rsidRDefault="00DC5505" w:rsidP="00CF1B69">
            <w:pPr>
              <w:spacing w:before="0" w:line="240" w:lineRule="atLeast"/>
              <w:rPr>
                <w:rFonts w:ascii="Verdana" w:hAnsi="Verdana"/>
                <w:szCs w:val="24"/>
              </w:rPr>
            </w:pPr>
          </w:p>
        </w:tc>
      </w:tr>
    </w:tbl>
    <w:p w:rsidR="00287340" w:rsidRDefault="00287340"/>
    <w:tbl>
      <w:tblPr>
        <w:bidiVisual/>
        <w:tblW w:w="9633" w:type="dxa"/>
        <w:jc w:val="center"/>
        <w:tblInd w:w="8" w:type="dxa"/>
        <w:tblLayout w:type="fixed"/>
        <w:tblCellMar>
          <w:left w:w="0" w:type="dxa"/>
          <w:right w:w="0" w:type="dxa"/>
        </w:tblCellMar>
        <w:tblLook w:val="000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9B5009">
            <w:pPr>
              <w:tabs>
                <w:tab w:val="left" w:pos="4111"/>
              </w:tabs>
              <w:spacing w:before="20" w:after="60" w:line="300" w:lineRule="exact"/>
              <w:ind w:left="57"/>
              <w:rPr>
                <w:lang w:bidi="ar-EG"/>
              </w:rPr>
            </w:pPr>
            <w:r w:rsidRPr="00DC5505">
              <w:rPr>
                <w:rFonts w:hint="cs"/>
                <w:rtl/>
              </w:rPr>
              <w:t>جنيف،</w:t>
            </w:r>
            <w:r w:rsidR="003F591C">
              <w:rPr>
                <w:rFonts w:hint="cs"/>
                <w:rtl/>
                <w:lang w:bidi="ar-EG"/>
              </w:rPr>
              <w:t xml:space="preserve"> </w:t>
            </w:r>
            <w:r w:rsidR="003F591C">
              <w:rPr>
                <w:lang w:bidi="ar-EG"/>
              </w:rPr>
              <w:t>28</w:t>
            </w:r>
            <w:r w:rsidR="003F591C">
              <w:rPr>
                <w:rFonts w:hint="cs"/>
                <w:rtl/>
                <w:lang w:bidi="ar-EG"/>
              </w:rPr>
              <w:t xml:space="preserve"> أبريل </w:t>
            </w:r>
            <w:r w:rsidR="003F591C">
              <w:rPr>
                <w:lang w:bidi="ar-EG"/>
              </w:rPr>
              <w:t>2011</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r w:rsidRPr="00DC5505">
              <w:rPr>
                <w:rFonts w:hint="cs"/>
                <w:rtl/>
              </w:rPr>
              <w:t>المرجع:</w:t>
            </w:r>
          </w:p>
        </w:tc>
        <w:tc>
          <w:tcPr>
            <w:tcW w:w="3340" w:type="dxa"/>
          </w:tcPr>
          <w:p w:rsidR="00DC5505" w:rsidRPr="00DC5505" w:rsidRDefault="00CF1B69" w:rsidP="003F591C">
            <w:pPr>
              <w:tabs>
                <w:tab w:val="left" w:pos="4111"/>
              </w:tabs>
              <w:spacing w:before="20" w:line="300" w:lineRule="exact"/>
              <w:ind w:left="57"/>
              <w:rPr>
                <w:b/>
                <w:rtl/>
                <w:lang w:bidi="ar-EG"/>
              </w:rPr>
            </w:pPr>
            <w:r>
              <w:rPr>
                <w:b/>
              </w:rPr>
              <w:t>TSB</w:t>
            </w:r>
            <w:r w:rsidR="004F3D50">
              <w:rPr>
                <w:b/>
              </w:rPr>
              <w:t> </w:t>
            </w:r>
            <w:r>
              <w:rPr>
                <w:b/>
              </w:rPr>
              <w:t>Circular</w:t>
            </w:r>
            <w:r w:rsidR="003F591C">
              <w:rPr>
                <w:b/>
              </w:rPr>
              <w:t> 190</w:t>
            </w:r>
          </w:p>
          <w:p w:rsidR="00DC5505" w:rsidRPr="00DC5505" w:rsidRDefault="00DC5505" w:rsidP="003F591C">
            <w:pPr>
              <w:tabs>
                <w:tab w:val="left" w:pos="4111"/>
              </w:tabs>
              <w:spacing w:before="0" w:after="60" w:line="300" w:lineRule="exact"/>
              <w:ind w:left="57"/>
              <w:rPr>
                <w:bCs/>
              </w:rPr>
            </w:pPr>
            <w:r w:rsidRPr="00DC5505">
              <w:rPr>
                <w:bCs/>
              </w:rPr>
              <w:t>COM</w:t>
            </w:r>
            <w:r w:rsidR="003F591C">
              <w:rPr>
                <w:bCs/>
              </w:rPr>
              <w:t> 17/MEU</w:t>
            </w:r>
          </w:p>
        </w:tc>
        <w:tc>
          <w:tcPr>
            <w:tcW w:w="4760" w:type="dxa"/>
          </w:tcPr>
          <w:p w:rsidR="00DC5505" w:rsidRPr="00DC5505" w:rsidRDefault="00DC5505" w:rsidP="009B5009">
            <w:pPr>
              <w:numPr>
                <w:ilvl w:val="0"/>
                <w:numId w:val="1"/>
              </w:numPr>
              <w:tabs>
                <w:tab w:val="left" w:pos="284"/>
                <w:tab w:val="left" w:pos="4111"/>
              </w:tabs>
              <w:spacing w:before="20" w:line="300" w:lineRule="exact"/>
              <w:ind w:left="57" w:firstLine="0"/>
              <w:rPr>
                <w:rtl/>
                <w:lang w:bidi="ar-EG"/>
              </w:rPr>
            </w:pPr>
            <w:r w:rsidRPr="00DC5505">
              <w:rPr>
                <w:rFonts w:hint="cs"/>
                <w:rtl/>
              </w:rPr>
              <w:t>إلى إدارات الدول الأعضاء في الاتحاد</w:t>
            </w:r>
          </w:p>
          <w:p w:rsidR="00DC5505" w:rsidRPr="00DC5505" w:rsidRDefault="00DC5505" w:rsidP="009B5009">
            <w:pPr>
              <w:tabs>
                <w:tab w:val="left" w:pos="284"/>
                <w:tab w:val="left" w:pos="4111"/>
              </w:tabs>
              <w:spacing w:before="20" w:line="300" w:lineRule="exact"/>
              <w:ind w:left="57"/>
              <w:rPr>
                <w:lang w:bidi="ar-EG"/>
              </w:rPr>
            </w:pPr>
          </w:p>
          <w:p w:rsidR="00DC5505" w:rsidRPr="00DC5505" w:rsidRDefault="00DC5505" w:rsidP="009B5009">
            <w:pPr>
              <w:tabs>
                <w:tab w:val="left" w:pos="284"/>
                <w:tab w:val="left" w:pos="4111"/>
              </w:tabs>
              <w:spacing w:before="20" w:line="300" w:lineRule="exact"/>
              <w:ind w:left="57"/>
              <w:rPr>
                <w:lang w:bidi="ar-EG"/>
              </w:rPr>
            </w:pPr>
          </w:p>
        </w:tc>
      </w:tr>
      <w:tr w:rsidR="00DC5505" w:rsidRPr="00DC5505" w:rsidTr="00CF1B69">
        <w:trPr>
          <w:cantSplit/>
          <w:jc w:val="center"/>
        </w:trPr>
        <w:tc>
          <w:tcPr>
            <w:tcW w:w="1533" w:type="dxa"/>
          </w:tcPr>
          <w:p w:rsidR="00DC5505" w:rsidRPr="00DC5505" w:rsidRDefault="00DC5505" w:rsidP="007437F9">
            <w:pPr>
              <w:spacing w:before="60" w:after="60" w:line="300" w:lineRule="exact"/>
              <w:ind w:left="57"/>
            </w:pPr>
            <w:r w:rsidRPr="00DC5505">
              <w:rPr>
                <w:rFonts w:hint="cs"/>
                <w:rtl/>
                <w:lang w:bidi="ar-SY"/>
              </w:rPr>
              <w:t>الهاتف</w:t>
            </w:r>
            <w:r w:rsidRPr="00DC5505">
              <w:rPr>
                <w:rFonts w:hint="cs"/>
                <w:rtl/>
              </w:rPr>
              <w:t>:</w:t>
            </w:r>
            <w:r w:rsidR="007437F9">
              <w:rPr>
                <w:rtl/>
              </w:rPr>
              <w:br/>
            </w:r>
            <w:r w:rsidRPr="00DC5505">
              <w:rPr>
                <w:rFonts w:hint="cs"/>
                <w:rtl/>
              </w:rPr>
              <w:t>الفاكس:</w:t>
            </w:r>
            <w:r w:rsidR="007437F9">
              <w:rPr>
                <w:rFonts w:hint="cs"/>
                <w:rtl/>
              </w:rPr>
              <w:br/>
            </w:r>
            <w:r w:rsidRPr="00DC5505">
              <w:rPr>
                <w:rFonts w:hint="cs"/>
                <w:rtl/>
              </w:rPr>
              <w:t>البريد الإلكتروني:</w:t>
            </w:r>
          </w:p>
        </w:tc>
        <w:tc>
          <w:tcPr>
            <w:tcW w:w="3340" w:type="dxa"/>
          </w:tcPr>
          <w:p w:rsidR="00DC5505" w:rsidRPr="00DC5505" w:rsidRDefault="007202C3" w:rsidP="003F591C">
            <w:pPr>
              <w:tabs>
                <w:tab w:val="left" w:pos="4111"/>
              </w:tabs>
              <w:spacing w:before="60" w:after="60" w:line="300" w:lineRule="exact"/>
              <w:ind w:left="57"/>
              <w:jc w:val="left"/>
            </w:pPr>
            <w:r>
              <w:t>+41 22</w:t>
            </w:r>
            <w:r w:rsidR="003F591C">
              <w:t> 730 5866</w:t>
            </w:r>
            <w:r w:rsidR="007437F9">
              <w:rPr>
                <w:rtl/>
                <w:lang w:bidi="ar-EG"/>
              </w:rPr>
              <w:br/>
            </w:r>
            <w:r w:rsidR="00DC5505" w:rsidRPr="00DC5505">
              <w:t>+41 22 730 5853</w:t>
            </w:r>
            <w:r w:rsidR="007437F9">
              <w:rPr>
                <w:rtl/>
              </w:rPr>
              <w:br/>
            </w:r>
            <w:hyperlink r:id="rId9" w:history="1">
              <w:r w:rsidR="003F591C" w:rsidRPr="000B6304">
                <w:rPr>
                  <w:rStyle w:val="Hyperlink"/>
                </w:rPr>
                <w:t>tsbsg17@itu.int</w:t>
              </w:r>
            </w:hyperlink>
          </w:p>
        </w:tc>
        <w:tc>
          <w:tcPr>
            <w:tcW w:w="4760" w:type="dxa"/>
          </w:tcPr>
          <w:p w:rsidR="00DC5505" w:rsidRPr="00DC5505" w:rsidRDefault="00DC5505" w:rsidP="009B5009">
            <w:pPr>
              <w:tabs>
                <w:tab w:val="left" w:pos="284"/>
                <w:tab w:val="left" w:pos="4111"/>
              </w:tabs>
              <w:spacing w:before="60" w:after="60" w:line="300" w:lineRule="exact"/>
              <w:ind w:left="57"/>
              <w:rPr>
                <w:b/>
                <w:bCs/>
                <w:rtl/>
              </w:rPr>
            </w:pPr>
            <w:r w:rsidRPr="00DC5505">
              <w:rPr>
                <w:rFonts w:hint="cs"/>
                <w:b/>
                <w:bCs/>
                <w:rtl/>
              </w:rPr>
              <w:t>نسخة إلى:</w:t>
            </w:r>
          </w:p>
          <w:p w:rsidR="00DC5505" w:rsidRP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أعضاء قطاع تقييس الاتصالات؛</w:t>
            </w:r>
          </w:p>
          <w:p w:rsid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المنتسبين إلى قطاع تقييس الاتصالات؛</w:t>
            </w:r>
          </w:p>
          <w:p w:rsidR="00876CC0" w:rsidRPr="00E448CA" w:rsidRDefault="00876CC0" w:rsidP="009B5009">
            <w:pPr>
              <w:tabs>
                <w:tab w:val="left" w:pos="284"/>
                <w:tab w:val="left" w:pos="4111"/>
              </w:tabs>
              <w:spacing w:before="0" w:line="300" w:lineRule="exact"/>
              <w:ind w:left="57"/>
              <w:rPr>
                <w:rtl/>
                <w:lang w:bidi="ar-EG"/>
              </w:rPr>
            </w:pPr>
            <w:r w:rsidRPr="00C67A47">
              <w:rPr>
                <w:rFonts w:hint="cs"/>
                <w:rtl/>
              </w:rPr>
              <w:t>-</w:t>
            </w:r>
            <w:r w:rsidRPr="00C67A47">
              <w:rPr>
                <w:rtl/>
                <w:lang w:bidi="ar-EG"/>
              </w:rPr>
              <w:tab/>
            </w:r>
            <w:r w:rsidRPr="00C67A47">
              <w:rPr>
                <w:rFonts w:hint="cs"/>
                <w:rtl/>
                <w:lang w:bidi="ar-EG"/>
              </w:rPr>
              <w:t>الهيئات الأكاديمية المنضمة إلى قطاع تقييس الاتصالات؛</w:t>
            </w:r>
          </w:p>
          <w:p w:rsidR="00DC5505" w:rsidRPr="00DC5505" w:rsidRDefault="00DC5505" w:rsidP="003F591C">
            <w:pPr>
              <w:tabs>
                <w:tab w:val="left" w:pos="284"/>
                <w:tab w:val="left" w:pos="4111"/>
              </w:tabs>
              <w:spacing w:before="0" w:line="300" w:lineRule="exact"/>
              <w:ind w:left="57"/>
              <w:rPr>
                <w:rtl/>
                <w:lang w:bidi="ar-EG"/>
              </w:rPr>
            </w:pPr>
            <w:r w:rsidRPr="00DC5505">
              <w:rPr>
                <w:rFonts w:hint="cs"/>
                <w:rtl/>
              </w:rPr>
              <w:t>-</w:t>
            </w:r>
            <w:r w:rsidRPr="00DC5505">
              <w:rPr>
                <w:rtl/>
              </w:rPr>
              <w:tab/>
            </w:r>
            <w:r w:rsidRPr="00DC5505">
              <w:rPr>
                <w:rFonts w:hint="cs"/>
                <w:rtl/>
              </w:rPr>
              <w:t xml:space="preserve">رئيس لجنة الدراسات </w:t>
            </w:r>
            <w:r w:rsidR="003F591C">
              <w:t>17</w:t>
            </w:r>
            <w:r w:rsidRPr="00DC5505">
              <w:rPr>
                <w:rFonts w:hint="cs"/>
                <w:rtl/>
                <w:lang w:bidi="ar-EG"/>
              </w:rPr>
              <w:t xml:space="preserve"> ونوابه؛</w:t>
            </w:r>
          </w:p>
          <w:p w:rsidR="00DC5505" w:rsidRP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t>مدير مكتب تنمية الاتصالات</w:t>
            </w:r>
            <w:r w:rsidRPr="00DC5505">
              <w:rPr>
                <w:rFonts w:hint="cs"/>
                <w:rtl/>
              </w:rPr>
              <w:t>؛</w:t>
            </w:r>
          </w:p>
          <w:p w:rsidR="00DC5505" w:rsidRPr="00DC5505" w:rsidRDefault="00DC5505" w:rsidP="009B5009">
            <w:pPr>
              <w:tabs>
                <w:tab w:val="left" w:pos="284"/>
                <w:tab w:val="left" w:pos="4111"/>
              </w:tabs>
              <w:spacing w:before="0" w:after="120" w:line="300" w:lineRule="exact"/>
              <w:ind w:left="57"/>
              <w:rPr>
                <w:rtl/>
              </w:rPr>
            </w:pPr>
            <w:r w:rsidRPr="00DC5505">
              <w:rPr>
                <w:rFonts w:hint="cs"/>
                <w:rtl/>
              </w:rPr>
              <w:t>-</w:t>
            </w:r>
            <w:r w:rsidRPr="00DC5505">
              <w:rPr>
                <w:rtl/>
              </w:rPr>
              <w:tab/>
              <w:t>مدير مكتب الاتصالات الراديوية</w:t>
            </w:r>
          </w:p>
        </w:tc>
      </w:tr>
      <w:tr w:rsidR="000C2FB2" w:rsidRPr="00DC5505" w:rsidTr="00CF1B69">
        <w:trPr>
          <w:cantSplit/>
          <w:jc w:val="center"/>
        </w:trPr>
        <w:tc>
          <w:tcPr>
            <w:tcW w:w="1533" w:type="dxa"/>
          </w:tcPr>
          <w:p w:rsidR="000C2FB2" w:rsidRPr="00DC5505" w:rsidRDefault="000C2FB2" w:rsidP="004B49B9">
            <w:pPr>
              <w:spacing w:after="120" w:line="300" w:lineRule="exact"/>
              <w:ind w:left="57"/>
              <w:rPr>
                <w:rtl/>
                <w:lang w:bidi="ar-SY"/>
              </w:rPr>
            </w:pPr>
          </w:p>
        </w:tc>
        <w:tc>
          <w:tcPr>
            <w:tcW w:w="3340" w:type="dxa"/>
          </w:tcPr>
          <w:p w:rsidR="000C2FB2" w:rsidRPr="00DC5505" w:rsidRDefault="000C2FB2" w:rsidP="004B49B9">
            <w:pPr>
              <w:tabs>
                <w:tab w:val="left" w:pos="4111"/>
              </w:tabs>
              <w:spacing w:after="120" w:line="300" w:lineRule="exact"/>
              <w:ind w:left="57"/>
              <w:jc w:val="left"/>
            </w:pPr>
          </w:p>
        </w:tc>
        <w:tc>
          <w:tcPr>
            <w:tcW w:w="4760" w:type="dxa"/>
          </w:tcPr>
          <w:p w:rsidR="000C2FB2" w:rsidRPr="00DC5505" w:rsidRDefault="000C2FB2" w:rsidP="004B49B9">
            <w:pPr>
              <w:tabs>
                <w:tab w:val="left" w:pos="284"/>
                <w:tab w:val="left" w:pos="4111"/>
              </w:tabs>
              <w:spacing w:after="120" w:line="300" w:lineRule="exact"/>
              <w:ind w:left="284" w:hanging="227"/>
              <w:rPr>
                <w:b/>
                <w:bCs/>
                <w:rtl/>
              </w:rPr>
            </w:pPr>
          </w:p>
        </w:tc>
      </w:tr>
      <w:tr w:rsidR="000C2FB2" w:rsidRPr="00DC5505" w:rsidTr="00CF1B69">
        <w:trPr>
          <w:cantSplit/>
          <w:jc w:val="center"/>
        </w:trPr>
        <w:tc>
          <w:tcPr>
            <w:tcW w:w="1533" w:type="dxa"/>
          </w:tcPr>
          <w:p w:rsidR="000C2FB2" w:rsidRPr="00DC5505" w:rsidRDefault="000C2FB2" w:rsidP="00471EC0">
            <w:pPr>
              <w:spacing w:after="120"/>
              <w:ind w:left="57"/>
              <w:rPr>
                <w:rtl/>
                <w:lang w:bidi="ar-SY"/>
              </w:rPr>
            </w:pPr>
            <w:r w:rsidRPr="005F33FD">
              <w:rPr>
                <w:rFonts w:hint="cs"/>
                <w:rtl/>
              </w:rPr>
              <w:t>الموضوع:</w:t>
            </w:r>
          </w:p>
        </w:tc>
        <w:tc>
          <w:tcPr>
            <w:tcW w:w="8100" w:type="dxa"/>
            <w:gridSpan w:val="2"/>
          </w:tcPr>
          <w:p w:rsidR="000C2FB2" w:rsidRPr="00DC5505" w:rsidRDefault="000C2FB2" w:rsidP="003F591C">
            <w:pPr>
              <w:tabs>
                <w:tab w:val="left" w:pos="284"/>
                <w:tab w:val="left" w:pos="4111"/>
              </w:tabs>
              <w:spacing w:after="120"/>
              <w:ind w:left="57"/>
              <w:rPr>
                <w:b/>
                <w:bCs/>
                <w:lang w:bidi="ar-EG"/>
              </w:rPr>
            </w:pPr>
            <w:r>
              <w:rPr>
                <w:rFonts w:hint="cs"/>
                <w:b/>
                <w:bCs/>
                <w:rtl/>
              </w:rPr>
              <w:t>اجتماع لجنة الدراسات</w:t>
            </w:r>
            <w:r>
              <w:rPr>
                <w:rFonts w:hint="cs"/>
                <w:b/>
                <w:bCs/>
                <w:rtl/>
                <w:lang w:bidi="ar-EG"/>
              </w:rPr>
              <w:t xml:space="preserve"> </w:t>
            </w:r>
            <w:r w:rsidR="003F591C">
              <w:rPr>
                <w:b/>
                <w:bCs/>
                <w:lang w:bidi="ar-EG"/>
              </w:rPr>
              <w:t>17</w:t>
            </w:r>
            <w:r>
              <w:rPr>
                <w:rFonts w:hint="cs"/>
                <w:b/>
                <w:bCs/>
                <w:rtl/>
                <w:lang w:bidi="ar-EG"/>
              </w:rPr>
              <w:t xml:space="preserve"> بهدف الموافقة على </w:t>
            </w:r>
            <w:r w:rsidRPr="006D49AD">
              <w:rPr>
                <w:rFonts w:hint="cs"/>
                <w:b/>
                <w:bCs/>
                <w:rtl/>
                <w:lang w:bidi="ar-EG"/>
              </w:rPr>
              <w:t>مشاريع</w:t>
            </w:r>
            <w:r>
              <w:rPr>
                <w:rFonts w:hint="cs"/>
                <w:b/>
                <w:bCs/>
                <w:rtl/>
                <w:lang w:bidi="ar-EG"/>
              </w:rPr>
              <w:t xml:space="preserve"> ال</w:t>
            </w:r>
            <w:r w:rsidRPr="006D49AD">
              <w:rPr>
                <w:rFonts w:hint="cs"/>
                <w:b/>
                <w:bCs/>
                <w:rtl/>
                <w:lang w:bidi="ar-EG"/>
              </w:rPr>
              <w:t>توصيات</w:t>
            </w:r>
            <w:r w:rsidR="003F591C">
              <w:rPr>
                <w:rFonts w:hint="cs"/>
                <w:b/>
                <w:bCs/>
                <w:rtl/>
                <w:lang w:bidi="ar-EG"/>
              </w:rPr>
              <w:t xml:space="preserve"> الجديدة </w:t>
            </w:r>
            <w:r w:rsidR="003F591C">
              <w:rPr>
                <w:b/>
                <w:bCs/>
                <w:lang w:bidi="ar-EG"/>
              </w:rPr>
              <w:t>X.1211</w:t>
            </w:r>
            <w:r w:rsidR="003F591C">
              <w:rPr>
                <w:rFonts w:hint="cs"/>
                <w:b/>
                <w:bCs/>
                <w:rtl/>
                <w:lang w:bidi="ar-EG"/>
              </w:rPr>
              <w:t xml:space="preserve"> و</w:t>
            </w:r>
            <w:r w:rsidR="003F591C">
              <w:rPr>
                <w:b/>
                <w:bCs/>
                <w:lang w:bidi="ar-EG"/>
              </w:rPr>
              <w:t>X.1246</w:t>
            </w:r>
            <w:r w:rsidR="003F591C">
              <w:rPr>
                <w:rFonts w:hint="cs"/>
                <w:b/>
                <w:bCs/>
                <w:rtl/>
                <w:lang w:bidi="ar-EG"/>
              </w:rPr>
              <w:t xml:space="preserve"> و</w:t>
            </w:r>
            <w:r w:rsidR="003F591C">
              <w:rPr>
                <w:b/>
                <w:bCs/>
                <w:lang w:bidi="ar-EG"/>
              </w:rPr>
              <w:t>X.1253</w:t>
            </w:r>
            <w:r w:rsidR="003F591C">
              <w:rPr>
                <w:rFonts w:hint="cs"/>
                <w:b/>
                <w:bCs/>
                <w:rtl/>
                <w:lang w:bidi="ar-EG"/>
              </w:rPr>
              <w:t xml:space="preserve"> و</w:t>
            </w:r>
            <w:r w:rsidR="003F591C">
              <w:rPr>
                <w:b/>
                <w:bCs/>
                <w:lang w:bidi="ar-EG"/>
              </w:rPr>
              <w:t>X.1570</w:t>
            </w:r>
            <w:r w:rsidR="003F591C">
              <w:rPr>
                <w:rFonts w:hint="cs"/>
                <w:b/>
                <w:bCs/>
                <w:rtl/>
                <w:lang w:bidi="ar-EG"/>
              </w:rPr>
              <w:t xml:space="preserve"> لقطاع تقييس الاتصالات</w:t>
            </w:r>
            <w:r w:rsidRPr="00EB28A5">
              <w:rPr>
                <w:rFonts w:hint="cs"/>
                <w:b/>
                <w:bCs/>
                <w:rtl/>
                <w:lang w:bidi="ar-EG"/>
              </w:rPr>
              <w:t>،</w:t>
            </w:r>
            <w:r>
              <w:rPr>
                <w:rFonts w:hint="cs"/>
                <w:b/>
                <w:bCs/>
                <w:rtl/>
                <w:lang w:bidi="ar-EG"/>
              </w:rPr>
              <w:t xml:space="preserve"> عملاً بأحكام القسم </w:t>
            </w:r>
            <w:r>
              <w:rPr>
                <w:b/>
                <w:bCs/>
                <w:lang w:bidi="ar-EG"/>
              </w:rPr>
              <w:t>9</w:t>
            </w:r>
            <w:r>
              <w:rPr>
                <w:rFonts w:hint="cs"/>
                <w:b/>
                <w:bCs/>
                <w:rtl/>
                <w:lang w:bidi="ar-EG"/>
              </w:rPr>
              <w:t xml:space="preserve"> من القرار </w:t>
            </w:r>
            <w:r>
              <w:rPr>
                <w:b/>
                <w:bCs/>
                <w:lang w:bidi="ar-EG"/>
              </w:rPr>
              <w:t>1</w:t>
            </w:r>
            <w:r>
              <w:rPr>
                <w:rFonts w:hint="cs"/>
                <w:b/>
                <w:bCs/>
                <w:rtl/>
                <w:lang w:bidi="ar-EG"/>
              </w:rPr>
              <w:t xml:space="preserve"> الصادر عن الجمعية العالمية لتقييس الاتصالات (جوهانسبرغ، </w:t>
            </w:r>
            <w:r>
              <w:rPr>
                <w:b/>
                <w:bCs/>
                <w:lang w:bidi="ar-EG"/>
              </w:rPr>
              <w:t>2008</w:t>
            </w:r>
            <w:r>
              <w:rPr>
                <w:rFonts w:hint="cs"/>
                <w:b/>
                <w:bCs/>
                <w:rtl/>
                <w:lang w:bidi="ar-EG"/>
              </w:rPr>
              <w:t>)</w:t>
            </w:r>
            <w:r w:rsidR="00471EC0">
              <w:rPr>
                <w:b/>
                <w:bCs/>
                <w:rtl/>
                <w:lang w:bidi="ar-EG"/>
              </w:rPr>
              <w:tab/>
            </w:r>
            <w:r w:rsidR="00471EC0">
              <w:rPr>
                <w:b/>
                <w:bCs/>
                <w:rtl/>
                <w:lang w:bidi="ar-EG"/>
              </w:rPr>
              <w:br/>
            </w:r>
            <w:r>
              <w:rPr>
                <w:rFonts w:hint="cs"/>
                <w:b/>
                <w:bCs/>
                <w:rtl/>
                <w:lang w:bidi="ar-EG"/>
              </w:rPr>
              <w:t xml:space="preserve">جنيف، </w:t>
            </w:r>
            <w:r w:rsidR="003F591C">
              <w:rPr>
                <w:b/>
                <w:bCs/>
                <w:lang w:bidi="ar-EG"/>
              </w:rPr>
              <w:t>2</w:t>
            </w:r>
            <w:r w:rsidR="003F591C">
              <w:rPr>
                <w:rFonts w:hint="cs"/>
                <w:b/>
                <w:bCs/>
                <w:rtl/>
                <w:lang w:bidi="ar-EG"/>
              </w:rPr>
              <w:t xml:space="preserve"> سبتمبر </w:t>
            </w:r>
            <w:r w:rsidR="003F591C">
              <w:rPr>
                <w:b/>
                <w:bCs/>
                <w:lang w:bidi="ar-EG"/>
              </w:rPr>
              <w:t>2011</w:t>
            </w:r>
          </w:p>
        </w:tc>
      </w:tr>
    </w:tbl>
    <w:p w:rsidR="00DC5505" w:rsidRPr="005F33FD" w:rsidRDefault="00DC5505" w:rsidP="00DC5505">
      <w:pPr>
        <w:spacing w:before="48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DC5505" w:rsidRPr="005F33FD" w:rsidRDefault="00431A19" w:rsidP="00C5355E">
      <w:pPr>
        <w:tabs>
          <w:tab w:val="left" w:pos="2238"/>
        </w:tabs>
        <w:rPr>
          <w:rtl/>
        </w:rPr>
      </w:pPr>
      <w:r>
        <w:rPr>
          <w:rFonts w:hint="cs"/>
          <w:rtl/>
        </w:rPr>
        <w:t>تحية طيبة وبعد،</w:t>
      </w:r>
    </w:p>
    <w:p w:rsidR="00DC5505" w:rsidRDefault="00DC5505" w:rsidP="00864823">
      <w:pPr>
        <w:rPr>
          <w:rtl/>
          <w:lang w:bidi="ar-EG"/>
        </w:rPr>
      </w:pPr>
      <w:r w:rsidRPr="005F33FD">
        <w:t>1</w:t>
      </w:r>
      <w:r w:rsidRPr="005F33FD">
        <w:tab/>
      </w:r>
      <w:r w:rsidR="00864823">
        <w:rPr>
          <w:rFonts w:hint="cs"/>
          <w:rtl/>
        </w:rPr>
        <w:t>بناءً على طلب رئيس لجنة الدراسات</w:t>
      </w:r>
      <w:r w:rsidR="00864823">
        <w:rPr>
          <w:rFonts w:hint="eastAsia"/>
          <w:b/>
          <w:bCs/>
          <w:rtl/>
          <w:lang w:bidi="ar-EG"/>
        </w:rPr>
        <w:t> </w:t>
      </w:r>
      <w:r w:rsidR="00864823">
        <w:t>17</w:t>
      </w:r>
      <w:r w:rsidR="00864823">
        <w:rPr>
          <w:rFonts w:hint="cs"/>
          <w:rtl/>
          <w:lang w:bidi="ar-EG"/>
        </w:rPr>
        <w:t xml:space="preserve"> المعنية </w:t>
      </w:r>
      <w:r w:rsidR="00864823" w:rsidRPr="00105B0B">
        <w:rPr>
          <w:rFonts w:hint="cs"/>
          <w:i/>
          <w:iCs/>
          <w:rtl/>
        </w:rPr>
        <w:t>بالأمن</w:t>
      </w:r>
      <w:r w:rsidR="00864823">
        <w:rPr>
          <w:rFonts w:hint="cs"/>
          <w:rtl/>
          <w:lang w:bidi="ar-EG"/>
        </w:rPr>
        <w:t>، أتشرف بأن أعلمكم أن لجنة الدراسات هذه، التي ستجتمع من</w:t>
      </w:r>
      <w:r w:rsidR="00864823">
        <w:rPr>
          <w:rFonts w:hint="eastAsia"/>
          <w:b/>
          <w:bCs/>
          <w:rtl/>
          <w:lang w:bidi="ar-EG"/>
        </w:rPr>
        <w:t> </w:t>
      </w:r>
      <w:r w:rsidR="00864823">
        <w:rPr>
          <w:lang w:bidi="ar-EG"/>
        </w:rPr>
        <w:t>24</w:t>
      </w:r>
      <w:r w:rsidR="00864823">
        <w:rPr>
          <w:rFonts w:hint="cs"/>
          <w:rtl/>
          <w:lang w:bidi="ar-EG"/>
        </w:rPr>
        <w:t xml:space="preserve"> أغسطس إلى</w:t>
      </w:r>
      <w:r w:rsidR="00864823">
        <w:rPr>
          <w:rFonts w:hint="eastAsia"/>
          <w:b/>
          <w:bCs/>
          <w:rtl/>
          <w:lang w:bidi="ar-EG"/>
        </w:rPr>
        <w:t> </w:t>
      </w:r>
      <w:r w:rsidR="00864823">
        <w:rPr>
          <w:lang w:bidi="ar-EG"/>
        </w:rPr>
        <w:t>2</w:t>
      </w:r>
      <w:r w:rsidR="00864823">
        <w:rPr>
          <w:rFonts w:hint="cs"/>
          <w:rtl/>
          <w:lang w:bidi="ar-EG"/>
        </w:rPr>
        <w:t xml:space="preserve"> سبتمبر</w:t>
      </w:r>
      <w:r w:rsidR="00864823">
        <w:rPr>
          <w:rFonts w:hint="eastAsia"/>
          <w:b/>
          <w:bCs/>
          <w:rtl/>
          <w:lang w:bidi="ar-EG"/>
        </w:rPr>
        <w:t> </w:t>
      </w:r>
      <w:r w:rsidR="00864823">
        <w:rPr>
          <w:lang w:bidi="ar-EG"/>
        </w:rPr>
        <w:t>2011</w:t>
      </w:r>
      <w:r w:rsidR="00864823">
        <w:rPr>
          <w:rFonts w:hint="cs"/>
          <w:rtl/>
          <w:lang w:bidi="ar-EG"/>
        </w:rPr>
        <w:t>، تنوي تطبيق الإجراءات الموصوفة في القسم</w:t>
      </w:r>
      <w:r w:rsidR="00864823">
        <w:rPr>
          <w:rFonts w:hint="eastAsia"/>
          <w:b/>
          <w:bCs/>
          <w:rtl/>
          <w:lang w:bidi="ar-EG"/>
        </w:rPr>
        <w:t> </w:t>
      </w:r>
      <w:r w:rsidR="00864823">
        <w:rPr>
          <w:lang w:bidi="ar-EG"/>
        </w:rPr>
        <w:t>9</w:t>
      </w:r>
      <w:r w:rsidR="00864823">
        <w:rPr>
          <w:rFonts w:hint="cs"/>
          <w:rtl/>
          <w:lang w:bidi="ar-EG"/>
        </w:rPr>
        <w:t xml:space="preserve"> من القرار</w:t>
      </w:r>
      <w:r w:rsidR="00864823">
        <w:rPr>
          <w:rFonts w:hint="eastAsia"/>
          <w:b/>
          <w:bCs/>
          <w:rtl/>
          <w:lang w:bidi="ar-EG"/>
        </w:rPr>
        <w:t> </w:t>
      </w:r>
      <w:r w:rsidR="00864823">
        <w:rPr>
          <w:lang w:bidi="ar-EG"/>
        </w:rPr>
        <w:t>1</w:t>
      </w:r>
      <w:r w:rsidR="00864823">
        <w:rPr>
          <w:rFonts w:hint="cs"/>
          <w:rtl/>
          <w:lang w:bidi="ar-EG"/>
        </w:rPr>
        <w:t xml:space="preserve"> الصادر عن الجمعية العالمية لتقييس الاتصالات (جوهانسبرغ،</w:t>
      </w:r>
      <w:r w:rsidR="00864823">
        <w:rPr>
          <w:rFonts w:hint="eastAsia"/>
          <w:b/>
          <w:bCs/>
          <w:rtl/>
          <w:lang w:bidi="ar-EG"/>
        </w:rPr>
        <w:t> </w:t>
      </w:r>
      <w:r w:rsidR="00864823">
        <w:rPr>
          <w:lang w:bidi="ar-EG"/>
        </w:rPr>
        <w:t>2008</w:t>
      </w:r>
      <w:r w:rsidR="00864823">
        <w:rPr>
          <w:rFonts w:hint="cs"/>
          <w:rtl/>
          <w:lang w:bidi="ar-EG"/>
        </w:rPr>
        <w:t xml:space="preserve">) وذلك من أجل الموافقة على مشاريع التوصيات </w:t>
      </w:r>
      <w:r w:rsidR="00864823" w:rsidRPr="00B84E5D">
        <w:rPr>
          <w:rFonts w:hint="cs"/>
          <w:rtl/>
          <w:lang w:bidi="ar-EG"/>
        </w:rPr>
        <w:t>الجديدة</w:t>
      </w:r>
      <w:r w:rsidR="00864823">
        <w:rPr>
          <w:rFonts w:hint="cs"/>
          <w:rtl/>
          <w:lang w:bidi="ar-EG"/>
        </w:rPr>
        <w:t xml:space="preserve"> المذكورة</w:t>
      </w:r>
      <w:r w:rsidR="00864823">
        <w:rPr>
          <w:rFonts w:hint="eastAsia"/>
          <w:rtl/>
          <w:lang w:bidi="ar-EG"/>
        </w:rPr>
        <w:t> </w:t>
      </w:r>
      <w:r w:rsidR="00864823">
        <w:rPr>
          <w:rFonts w:hint="cs"/>
          <w:rtl/>
          <w:lang w:bidi="ar-EG"/>
        </w:rPr>
        <w:t>أعلاه.</w:t>
      </w:r>
    </w:p>
    <w:p w:rsidR="00DC5505" w:rsidRDefault="00DC5505" w:rsidP="00864823">
      <w:pPr>
        <w:rPr>
          <w:rtl/>
          <w:lang w:bidi="ar-EG"/>
        </w:rPr>
      </w:pPr>
      <w:r>
        <w:rPr>
          <w:lang w:bidi="ar-EG"/>
        </w:rPr>
        <w:t>2</w:t>
      </w:r>
      <w:r>
        <w:rPr>
          <w:rFonts w:hint="cs"/>
          <w:rtl/>
          <w:lang w:bidi="ar-EG"/>
        </w:rPr>
        <w:tab/>
      </w:r>
      <w:r w:rsidR="00864823">
        <w:rPr>
          <w:rFonts w:hint="cs"/>
          <w:rtl/>
          <w:lang w:bidi="ar-EG"/>
        </w:rPr>
        <w:t xml:space="preserve">ويشتمل </w:t>
      </w:r>
      <w:r w:rsidR="00864823">
        <w:rPr>
          <w:rFonts w:hint="cs"/>
          <w:b/>
          <w:bCs/>
          <w:rtl/>
          <w:lang w:bidi="ar-EG"/>
        </w:rPr>
        <w:t>الملحق</w:t>
      </w:r>
      <w:r w:rsidR="00864823">
        <w:rPr>
          <w:rFonts w:hint="eastAsia"/>
          <w:b/>
          <w:bCs/>
          <w:rtl/>
          <w:lang w:bidi="ar-EG"/>
        </w:rPr>
        <w:t> </w:t>
      </w:r>
      <w:r w:rsidR="00864823">
        <w:rPr>
          <w:b/>
          <w:bCs/>
          <w:lang w:bidi="ar-EG"/>
        </w:rPr>
        <w:t>1</w:t>
      </w:r>
      <w:r w:rsidR="00864823">
        <w:rPr>
          <w:rFonts w:hint="cs"/>
          <w:rtl/>
          <w:lang w:bidi="ar-EG"/>
        </w:rPr>
        <w:t xml:space="preserve"> بهذه الرسالة على عناوين وملخصات مشاريع توصيات قطاع تقييس الاتصالات الجديدة المقترح الموافقة عليها والوثائق التي ترد</w:t>
      </w:r>
      <w:r w:rsidR="00864823">
        <w:rPr>
          <w:rFonts w:hint="eastAsia"/>
          <w:b/>
          <w:bCs/>
          <w:rtl/>
          <w:lang w:bidi="ar-EG"/>
        </w:rPr>
        <w:t> </w:t>
      </w:r>
      <w:r w:rsidR="00864823">
        <w:rPr>
          <w:rFonts w:hint="cs"/>
          <w:rtl/>
          <w:lang w:bidi="ar-EG"/>
        </w:rPr>
        <w:t>فيها.</w:t>
      </w:r>
    </w:p>
    <w:p w:rsidR="00DC5505" w:rsidRPr="00DE1E88" w:rsidRDefault="00DC5505" w:rsidP="00A91B80">
      <w:pPr>
        <w:rPr>
          <w:spacing w:val="-2"/>
          <w:lang w:bidi="ar-EG"/>
        </w:rPr>
      </w:pPr>
      <w:r>
        <w:rPr>
          <w:lang w:bidi="ar-EG"/>
        </w:rPr>
        <w:t>3</w:t>
      </w:r>
      <w:r>
        <w:rPr>
          <w:rFonts w:hint="cs"/>
          <w:rtl/>
          <w:lang w:bidi="ar-EG"/>
        </w:rPr>
        <w:tab/>
      </w:r>
      <w:r w:rsidR="00E15DA3" w:rsidRPr="00DE1E88">
        <w:rPr>
          <w:rFonts w:hint="cs"/>
          <w:spacing w:val="-2"/>
          <w:rtl/>
          <w:lang w:bidi="ar-EG"/>
        </w:rPr>
        <w:t xml:space="preserve">يرجى من أي دولة عضو في الاتحاد أو عضو في القطاع أو منتسب إليه </w:t>
      </w:r>
      <w:r w:rsidR="007414CF" w:rsidRPr="00DE1E88">
        <w:rPr>
          <w:rFonts w:hint="cs"/>
          <w:spacing w:val="-2"/>
          <w:rtl/>
          <w:lang w:bidi="ar-EG"/>
        </w:rPr>
        <w:t>أو هيئة أكاديمية، تعلم</w:t>
      </w:r>
      <w:r w:rsidR="00E15DA3" w:rsidRPr="00DE1E88">
        <w:rPr>
          <w:rFonts w:hint="cs"/>
          <w:spacing w:val="-2"/>
          <w:rtl/>
          <w:lang w:bidi="ar-EG"/>
        </w:rPr>
        <w:t xml:space="preserve"> بوجود براءة اختراع في حيازته</w:t>
      </w:r>
      <w:r w:rsidR="007414CF" w:rsidRPr="00DE1E88">
        <w:rPr>
          <w:rFonts w:hint="cs"/>
          <w:spacing w:val="-2"/>
          <w:rtl/>
          <w:lang w:bidi="ar-EG"/>
        </w:rPr>
        <w:t>ا</w:t>
      </w:r>
      <w:r w:rsidR="00E15DA3" w:rsidRPr="00DE1E88">
        <w:rPr>
          <w:rFonts w:hint="cs"/>
          <w:spacing w:val="-2"/>
          <w:rtl/>
          <w:lang w:bidi="ar-EG"/>
        </w:rPr>
        <w:t xml:space="preserve"> أو</w:t>
      </w:r>
      <w:r w:rsidR="00E15DA3" w:rsidRPr="00DE1E88">
        <w:rPr>
          <w:rFonts w:hint="eastAsia"/>
          <w:spacing w:val="-2"/>
          <w:rtl/>
          <w:lang w:bidi="ar-EG"/>
        </w:rPr>
        <w:t> </w:t>
      </w:r>
      <w:r w:rsidR="00E15DA3" w:rsidRPr="00DE1E88">
        <w:rPr>
          <w:rFonts w:hint="cs"/>
          <w:spacing w:val="-2"/>
          <w:rtl/>
          <w:lang w:bidi="ar-EG"/>
        </w:rPr>
        <w:t>في</w:t>
      </w:r>
      <w:r w:rsidR="00E15DA3" w:rsidRPr="00DE1E88">
        <w:rPr>
          <w:rFonts w:hint="eastAsia"/>
          <w:spacing w:val="-2"/>
          <w:rtl/>
          <w:lang w:bidi="ar-EG"/>
        </w:rPr>
        <w:t> </w:t>
      </w:r>
      <w:r w:rsidR="00E15DA3" w:rsidRPr="00DE1E88">
        <w:rPr>
          <w:rFonts w:hint="cs"/>
          <w:spacing w:val="-2"/>
          <w:rtl/>
          <w:lang w:bidi="ar-EG"/>
        </w:rPr>
        <w:t xml:space="preserve">حيازة الغير من شأنها أن تشمل كلياً أو جزئياً عناصر من مشاريع التوصيات المقترح الموافقة عليها أن </w:t>
      </w:r>
      <w:r w:rsidR="00A91B80" w:rsidRPr="00DE1E88">
        <w:rPr>
          <w:rFonts w:hint="cs"/>
          <w:spacing w:val="-2"/>
          <w:rtl/>
          <w:lang w:bidi="ar-EG"/>
        </w:rPr>
        <w:t>ت</w:t>
      </w:r>
      <w:r w:rsidR="00E15DA3" w:rsidRPr="00DE1E88">
        <w:rPr>
          <w:rFonts w:hint="cs"/>
          <w:spacing w:val="-2"/>
          <w:rtl/>
          <w:lang w:bidi="ar-EG"/>
        </w:rPr>
        <w:t xml:space="preserve">كشف عن مثل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w:t>
      </w:r>
      <w:proofErr w:type="spellStart"/>
      <w:r w:rsidR="00E15DA3" w:rsidRPr="00DE1E88">
        <w:rPr>
          <w:rFonts w:hint="cs"/>
          <w:spacing w:val="-2"/>
          <w:rtl/>
          <w:lang w:bidi="ar-EG"/>
        </w:rPr>
        <w:t>الكهرتقنية</w:t>
      </w:r>
      <w:proofErr w:type="spellEnd"/>
      <w:r w:rsidR="00E15DA3" w:rsidRPr="00DE1E88">
        <w:rPr>
          <w:rFonts w:hint="cs"/>
          <w:spacing w:val="-2"/>
          <w:rtl/>
          <w:lang w:bidi="ar-EG"/>
        </w:rPr>
        <w:t xml:space="preserve"> الدولية </w:t>
      </w:r>
      <w:r w:rsidR="00E15DA3" w:rsidRPr="00DE1E88">
        <w:rPr>
          <w:spacing w:val="-2"/>
          <w:lang w:bidi="ar-EG"/>
        </w:rPr>
        <w:t>(ITU</w:t>
      </w:r>
      <w:r w:rsidR="00E15DA3" w:rsidRPr="00DE1E88">
        <w:rPr>
          <w:spacing w:val="-2"/>
          <w:lang w:bidi="ar-EG"/>
        </w:rPr>
        <w:noBreakHyphen/>
        <w:t>T/ITU</w:t>
      </w:r>
      <w:r w:rsidR="00E15DA3" w:rsidRPr="00DE1E88">
        <w:rPr>
          <w:spacing w:val="-2"/>
          <w:lang w:bidi="ar-EG"/>
        </w:rPr>
        <w:noBreakHyphen/>
        <w:t>R/ISO/IEC)</w:t>
      </w:r>
      <w:r w:rsidR="00E15DA3" w:rsidRPr="00DE1E88">
        <w:rPr>
          <w:rFonts w:hint="cs"/>
          <w:spacing w:val="-2"/>
          <w:rtl/>
          <w:lang w:bidi="ar-EG"/>
        </w:rPr>
        <w:t>.</w:t>
      </w:r>
    </w:p>
    <w:p w:rsidR="00DC5505" w:rsidRPr="006F493F" w:rsidRDefault="00DC5505" w:rsidP="00C5355E">
      <w:pPr>
        <w:rPr>
          <w:spacing w:val="-6"/>
          <w:rtl/>
          <w:lang w:bidi="ar-EG"/>
        </w:rPr>
      </w:pPr>
      <w:r w:rsidRPr="006F493F">
        <w:rPr>
          <w:rFonts w:hint="cs"/>
          <w:spacing w:val="-6"/>
          <w:rtl/>
          <w:lang w:bidi="ar-EG"/>
        </w:rPr>
        <w:t xml:space="preserve">ويمكن الاطلاع على معلومات براءات الاختراع المتاحة مباشرة على الخط في الموقع الإلكتروني للقطاع </w:t>
      </w:r>
      <w:r w:rsidR="00980D9A">
        <w:rPr>
          <w:spacing w:val="-6"/>
          <w:lang w:bidi="ar-EG"/>
        </w:rPr>
        <w:t>(</w:t>
      </w:r>
      <w:hyperlink r:id="rId10" w:history="1">
        <w:r w:rsidRPr="006F493F">
          <w:rPr>
            <w:rStyle w:val="Hyperlink"/>
            <w:spacing w:val="-6"/>
            <w:lang w:bidi="ar-EG"/>
          </w:rPr>
          <w:t>www.itu.int/ITU-T/ipr/</w:t>
        </w:r>
      </w:hyperlink>
      <w:r w:rsidR="00980D9A">
        <w:rPr>
          <w:spacing w:val="-6"/>
          <w:lang w:bidi="ar-EG"/>
        </w:rPr>
        <w:t>)</w:t>
      </w:r>
      <w:r w:rsidRPr="006F493F">
        <w:rPr>
          <w:rFonts w:hint="cs"/>
          <w:spacing w:val="-6"/>
          <w:rtl/>
          <w:lang w:bidi="ar-EG"/>
        </w:rPr>
        <w:t>.</w:t>
      </w:r>
    </w:p>
    <w:p w:rsidR="00DC5505" w:rsidRDefault="00DC5505" w:rsidP="00E15DA3">
      <w:pPr>
        <w:rPr>
          <w:rtl/>
          <w:lang w:bidi="ar-EG"/>
        </w:rPr>
      </w:pPr>
      <w:r>
        <w:rPr>
          <w:lang w:bidi="ar-EG"/>
        </w:rPr>
        <w:lastRenderedPageBreak/>
        <w:t>4</w:t>
      </w:r>
      <w:r>
        <w:rPr>
          <w:rFonts w:hint="cs"/>
          <w:rtl/>
          <w:lang w:bidi="ar-EG"/>
        </w:rPr>
        <w:tab/>
      </w:r>
      <w:r w:rsidR="00E15DA3">
        <w:rPr>
          <w:rFonts w:hint="cs"/>
          <w:rtl/>
          <w:lang w:bidi="ar-EG"/>
        </w:rPr>
        <w:t>وتبعاً لأحكام القسم</w:t>
      </w:r>
      <w:r w:rsidR="00E15DA3">
        <w:rPr>
          <w:rFonts w:hint="eastAsia"/>
          <w:rtl/>
          <w:lang w:bidi="ar-EG"/>
        </w:rPr>
        <w:t> </w:t>
      </w:r>
      <w:r w:rsidR="00E15DA3">
        <w:rPr>
          <w:lang w:bidi="ar-EG"/>
        </w:rPr>
        <w:t>9</w:t>
      </w:r>
      <w:r w:rsidR="00E15DA3">
        <w:rPr>
          <w:rFonts w:hint="cs"/>
          <w:rtl/>
          <w:lang w:bidi="ar-EG"/>
        </w:rPr>
        <w:t xml:space="preserve"> من القرار</w:t>
      </w:r>
      <w:r w:rsidR="00E15DA3">
        <w:rPr>
          <w:rFonts w:hint="eastAsia"/>
          <w:rtl/>
          <w:lang w:bidi="ar-EG"/>
        </w:rPr>
        <w:t> </w:t>
      </w:r>
      <w:r w:rsidR="00E15DA3">
        <w:rPr>
          <w:lang w:bidi="ar-EG"/>
        </w:rPr>
        <w:t>1</w:t>
      </w:r>
      <w:r w:rsidR="00E15DA3">
        <w:rPr>
          <w:rFonts w:hint="cs"/>
          <w:rtl/>
          <w:lang w:bidi="ar-EG"/>
        </w:rPr>
        <w:t xml:space="preserve">، سأكون ممتناً لو تفضلتم بإعلامي في موعد أقصاه منتصف الليل بالتوقيت العالمي المنسَّق </w:t>
      </w:r>
      <w:r w:rsidR="00E15DA3">
        <w:rPr>
          <w:rFonts w:hint="cs"/>
          <w:b/>
          <w:bCs/>
          <w:rtl/>
          <w:lang w:bidi="ar-EG"/>
        </w:rPr>
        <w:t xml:space="preserve">في </w:t>
      </w:r>
      <w:r w:rsidR="00E15DA3" w:rsidRPr="00070529">
        <w:rPr>
          <w:rFonts w:hint="cs"/>
          <w:b/>
          <w:bCs/>
          <w:rtl/>
          <w:lang w:bidi="ar-EG"/>
        </w:rPr>
        <w:t>يوم</w:t>
      </w:r>
      <w:r w:rsidR="00E15DA3">
        <w:rPr>
          <w:rFonts w:hint="eastAsia"/>
          <w:rtl/>
          <w:lang w:bidi="ar-EG"/>
        </w:rPr>
        <w:t> </w:t>
      </w:r>
      <w:r w:rsidR="00E15DA3">
        <w:rPr>
          <w:b/>
          <w:bCs/>
          <w:lang w:bidi="ar-EG"/>
        </w:rPr>
        <w:t>11</w:t>
      </w:r>
      <w:r w:rsidR="00E15DA3" w:rsidRPr="00AA1A6E">
        <w:rPr>
          <w:rFonts w:hint="cs"/>
          <w:b/>
          <w:bCs/>
          <w:rtl/>
          <w:lang w:bidi="ar-EG"/>
        </w:rPr>
        <w:t xml:space="preserve"> </w:t>
      </w:r>
      <w:r w:rsidR="00E15DA3">
        <w:rPr>
          <w:rFonts w:hint="cs"/>
          <w:b/>
          <w:bCs/>
          <w:rtl/>
          <w:lang w:bidi="ar-EG"/>
        </w:rPr>
        <w:t>أغسطس</w:t>
      </w:r>
      <w:r w:rsidR="00E15DA3">
        <w:rPr>
          <w:rFonts w:hint="eastAsia"/>
          <w:rtl/>
          <w:lang w:bidi="ar-EG"/>
        </w:rPr>
        <w:t> </w:t>
      </w:r>
      <w:r w:rsidR="00E15DA3" w:rsidRPr="00AA1A6E">
        <w:rPr>
          <w:b/>
          <w:bCs/>
          <w:lang w:bidi="ar-EG"/>
        </w:rPr>
        <w:t>201</w:t>
      </w:r>
      <w:r w:rsidR="00E15DA3">
        <w:rPr>
          <w:b/>
          <w:bCs/>
          <w:lang w:bidi="ar-EG"/>
        </w:rPr>
        <w:t>1</w:t>
      </w:r>
      <w:r w:rsidR="00E15DA3">
        <w:rPr>
          <w:rFonts w:hint="cs"/>
          <w:i/>
          <w:iCs/>
          <w:rtl/>
          <w:lang w:bidi="ar-EG"/>
        </w:rPr>
        <w:t xml:space="preserve"> </w:t>
      </w:r>
      <w:r w:rsidR="00E15DA3">
        <w:rPr>
          <w:rFonts w:hint="cs"/>
          <w:rtl/>
          <w:lang w:bidi="ar-EG"/>
        </w:rPr>
        <w:t>ما إذا كانت إدارتكم تفوِّض السلطة إلى لجنة الدراسات</w:t>
      </w:r>
      <w:r w:rsidR="00E15DA3">
        <w:rPr>
          <w:rFonts w:hint="eastAsia"/>
          <w:rtl/>
          <w:lang w:bidi="ar-EG"/>
        </w:rPr>
        <w:t> </w:t>
      </w:r>
      <w:r w:rsidR="00E15DA3">
        <w:rPr>
          <w:lang w:bidi="ar-EG"/>
        </w:rPr>
        <w:t>17</w:t>
      </w:r>
      <w:r w:rsidR="00E15DA3">
        <w:rPr>
          <w:rFonts w:hint="cs"/>
          <w:rtl/>
          <w:lang w:bidi="ar-EG"/>
        </w:rPr>
        <w:t xml:space="preserve"> للنظر في مشاريع التوصيات الجديدة بغرض الموافقة عليها في اجتماع لجنة</w:t>
      </w:r>
      <w:r w:rsidR="00E15DA3">
        <w:rPr>
          <w:rFonts w:hint="eastAsia"/>
          <w:rtl/>
          <w:lang w:bidi="ar-EG"/>
        </w:rPr>
        <w:t> </w:t>
      </w:r>
      <w:r w:rsidR="00E15DA3">
        <w:rPr>
          <w:rFonts w:hint="cs"/>
          <w:rtl/>
          <w:lang w:bidi="ar-EG"/>
        </w:rPr>
        <w:t>الدراسات.</w:t>
      </w:r>
    </w:p>
    <w:p w:rsidR="00DC5505" w:rsidRDefault="00233FF0" w:rsidP="00C5355E">
      <w:pPr>
        <w:rPr>
          <w:rtl/>
          <w:lang w:bidi="ar-EG"/>
        </w:rPr>
      </w:pPr>
      <w:r>
        <w:rPr>
          <w:rFonts w:hint="cs"/>
          <w:rtl/>
          <w:lang w:bidi="ar-EG"/>
        </w:rPr>
        <w:t>وإذا رأت أي دولة عضو أن عملية النظر بغرض الموافقة ينبغي ألا تستمر، فعليها أن تبيّن أسباب ذلك الاعتراض وأن تشير إلى</w:t>
      </w:r>
      <w:r>
        <w:rPr>
          <w:rFonts w:hint="eastAsia"/>
          <w:lang w:bidi="ar-EG"/>
        </w:rPr>
        <w:t> </w:t>
      </w:r>
      <w:r>
        <w:rPr>
          <w:rFonts w:hint="cs"/>
          <w:rtl/>
          <w:lang w:bidi="ar-EG"/>
        </w:rPr>
        <w:t>التغييرات الممكنة التي من شأنها تيسير مواصلة النظر في مشاريع التوصيات الجديدة والموافقة</w:t>
      </w:r>
      <w:r>
        <w:rPr>
          <w:rFonts w:hint="eastAsia"/>
          <w:rtl/>
          <w:lang w:bidi="ar-EG"/>
        </w:rPr>
        <w:t> </w:t>
      </w:r>
      <w:r>
        <w:rPr>
          <w:rFonts w:hint="cs"/>
          <w:rtl/>
          <w:lang w:bidi="ar-EG"/>
        </w:rPr>
        <w:t>عليها.</w:t>
      </w:r>
    </w:p>
    <w:p w:rsidR="00DC5505" w:rsidRPr="001040FF" w:rsidRDefault="00DC5505" w:rsidP="00A2608E">
      <w:pPr>
        <w:rPr>
          <w:spacing w:val="-2"/>
          <w:rtl/>
          <w:lang w:bidi="ar-EG"/>
        </w:rPr>
      </w:pPr>
      <w:r>
        <w:rPr>
          <w:lang w:bidi="ar-EG"/>
        </w:rPr>
        <w:t>5</w:t>
      </w:r>
      <w:r>
        <w:rPr>
          <w:rFonts w:hint="cs"/>
          <w:rtl/>
          <w:lang w:bidi="ar-EG"/>
        </w:rPr>
        <w:tab/>
      </w:r>
      <w:r w:rsidR="00A2608E" w:rsidRPr="001040FF">
        <w:rPr>
          <w:rFonts w:hint="cs"/>
          <w:spacing w:val="-2"/>
          <w:rtl/>
          <w:lang w:bidi="ar-EG"/>
        </w:rPr>
        <w:t>فإذا كان</w:t>
      </w:r>
      <w:r w:rsidR="00A2608E" w:rsidRPr="001040FF">
        <w:rPr>
          <w:rFonts w:hint="eastAsia"/>
          <w:spacing w:val="-2"/>
          <w:rtl/>
          <w:lang w:bidi="ar-EG"/>
        </w:rPr>
        <w:t> </w:t>
      </w:r>
      <w:r w:rsidR="00A2608E" w:rsidRPr="001040FF">
        <w:rPr>
          <w:spacing w:val="-2"/>
          <w:lang w:bidi="ar-EG"/>
        </w:rPr>
        <w:t>70</w:t>
      </w:r>
      <w:r w:rsidR="00A2608E" w:rsidRPr="001040FF">
        <w:rPr>
          <w:rFonts w:hint="cs"/>
          <w:spacing w:val="-2"/>
          <w:rtl/>
          <w:lang w:bidi="ar-EG"/>
        </w:rPr>
        <w:t xml:space="preserve"> في المائة أو أكثر من الردود الواردة من الدول الأعضاء تؤيد النظر في مشاريع التوصيات الجديدة هذه بغرض الموافقة عليها في اجتماع لجنة الدراسات، عندئذ سوف تكرَّس جلسة عامة </w:t>
      </w:r>
      <w:r w:rsidR="00A2608E" w:rsidRPr="001040FF">
        <w:rPr>
          <w:rFonts w:hint="cs"/>
          <w:b/>
          <w:bCs/>
          <w:spacing w:val="-2"/>
          <w:rtl/>
          <w:lang w:bidi="ar-EG"/>
        </w:rPr>
        <w:t>في</w:t>
      </w:r>
      <w:r w:rsidR="00A2608E" w:rsidRPr="001040FF">
        <w:rPr>
          <w:rFonts w:hint="eastAsia"/>
          <w:spacing w:val="-2"/>
          <w:rtl/>
          <w:lang w:bidi="ar-EG"/>
        </w:rPr>
        <w:t> </w:t>
      </w:r>
      <w:r w:rsidR="00A2608E" w:rsidRPr="001040FF">
        <w:rPr>
          <w:b/>
          <w:bCs/>
          <w:spacing w:val="-2"/>
          <w:lang w:bidi="ar-EG"/>
        </w:rPr>
        <w:t>2</w:t>
      </w:r>
      <w:r w:rsidR="00A2608E" w:rsidRPr="001040FF">
        <w:rPr>
          <w:rFonts w:hint="cs"/>
          <w:b/>
          <w:bCs/>
          <w:spacing w:val="-2"/>
          <w:rtl/>
          <w:lang w:bidi="ar-EG"/>
        </w:rPr>
        <w:t xml:space="preserve"> سبتمبر</w:t>
      </w:r>
      <w:r w:rsidR="00A2608E" w:rsidRPr="001040FF">
        <w:rPr>
          <w:rFonts w:hint="eastAsia"/>
          <w:spacing w:val="-2"/>
          <w:rtl/>
          <w:lang w:bidi="ar-EG"/>
        </w:rPr>
        <w:t> </w:t>
      </w:r>
      <w:r w:rsidR="00A2608E" w:rsidRPr="001040FF">
        <w:rPr>
          <w:b/>
          <w:bCs/>
          <w:spacing w:val="-2"/>
          <w:lang w:bidi="ar-EG"/>
        </w:rPr>
        <w:t>2011</w:t>
      </w:r>
      <w:r w:rsidR="00A2608E" w:rsidRPr="00170CB1">
        <w:rPr>
          <w:rFonts w:hint="cs"/>
          <w:spacing w:val="-2"/>
          <w:rtl/>
          <w:lang w:bidi="ar-EG"/>
        </w:rPr>
        <w:t xml:space="preserve"> </w:t>
      </w:r>
      <w:r w:rsidR="00A2608E" w:rsidRPr="001040FF">
        <w:rPr>
          <w:rFonts w:hint="cs"/>
          <w:spacing w:val="-2"/>
          <w:rtl/>
          <w:lang w:bidi="ar-EG"/>
        </w:rPr>
        <w:t>لتطبيق إجراءات</w:t>
      </w:r>
      <w:r w:rsidR="00A2608E" w:rsidRPr="001040FF">
        <w:rPr>
          <w:rFonts w:hint="eastAsia"/>
          <w:spacing w:val="-2"/>
          <w:rtl/>
          <w:lang w:bidi="ar-EG"/>
        </w:rPr>
        <w:t> </w:t>
      </w:r>
      <w:r w:rsidR="00A2608E" w:rsidRPr="001040FF">
        <w:rPr>
          <w:rFonts w:hint="cs"/>
          <w:spacing w:val="-2"/>
          <w:rtl/>
          <w:lang w:bidi="ar-EG"/>
        </w:rPr>
        <w:t>الموافقة.</w:t>
      </w:r>
    </w:p>
    <w:p w:rsidR="00DC5505" w:rsidRPr="001B54D9" w:rsidRDefault="001B54D9" w:rsidP="00274B47">
      <w:pPr>
        <w:rPr>
          <w:rtl/>
          <w:lang w:bidi="ar-EG"/>
        </w:rPr>
      </w:pPr>
      <w:r w:rsidRPr="001B54D9">
        <w:rPr>
          <w:rFonts w:hint="cs"/>
          <w:rtl/>
          <w:lang w:bidi="ar-EG"/>
        </w:rPr>
        <w:t xml:space="preserve">ولذلك فإنني أدعو إدارتكم إلى إرسال ممثل إلى الاجتماع. </w:t>
      </w:r>
      <w:r w:rsidRPr="001B54D9">
        <w:rPr>
          <w:rFonts w:hint="cs"/>
          <w:b/>
          <w:bCs/>
          <w:rtl/>
          <w:lang w:bidi="ar-EG"/>
        </w:rPr>
        <w:t>ويرجى من إدارات الدول الأعضاء في الاتحاد</w:t>
      </w:r>
      <w:r w:rsidRPr="001B54D9">
        <w:rPr>
          <w:rFonts w:hint="cs"/>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 عندئذ يتعين إبلاغ المدير بذلك طبقاً لأحكام الرقم</w:t>
      </w:r>
      <w:r w:rsidRPr="001B54D9">
        <w:rPr>
          <w:rFonts w:hint="eastAsia"/>
          <w:rtl/>
          <w:lang w:bidi="ar-EG"/>
        </w:rPr>
        <w:t> </w:t>
      </w:r>
      <w:r w:rsidRPr="001B54D9">
        <w:rPr>
          <w:lang w:bidi="ar-EG"/>
        </w:rPr>
        <w:t>239</w:t>
      </w:r>
      <w:r w:rsidRPr="001B54D9">
        <w:rPr>
          <w:rFonts w:hint="cs"/>
          <w:rtl/>
          <w:lang w:bidi="ar-EG"/>
        </w:rPr>
        <w:t xml:space="preserve"> من المادة</w:t>
      </w:r>
      <w:r w:rsidRPr="001B54D9">
        <w:rPr>
          <w:rFonts w:hint="eastAsia"/>
          <w:rtl/>
          <w:lang w:bidi="ar-EG"/>
        </w:rPr>
        <w:t> </w:t>
      </w:r>
      <w:r w:rsidRPr="001B54D9">
        <w:rPr>
          <w:lang w:bidi="ar-EG"/>
        </w:rPr>
        <w:t>19</w:t>
      </w:r>
      <w:r w:rsidRPr="001B54D9">
        <w:rPr>
          <w:rFonts w:hint="cs"/>
          <w:rtl/>
          <w:lang w:bidi="ar-EG"/>
        </w:rPr>
        <w:t xml:space="preserve"> من</w:t>
      </w:r>
      <w:r w:rsidRPr="001B54D9">
        <w:rPr>
          <w:rFonts w:hint="eastAsia"/>
          <w:lang w:bidi="ar-EG"/>
        </w:rPr>
        <w:t> </w:t>
      </w:r>
      <w:r w:rsidRPr="001B54D9">
        <w:rPr>
          <w:rFonts w:hint="cs"/>
          <w:rtl/>
          <w:lang w:bidi="ar-EG"/>
        </w:rPr>
        <w:t>اتفاقية</w:t>
      </w:r>
      <w:r w:rsidRPr="001B54D9">
        <w:rPr>
          <w:rFonts w:hint="eastAsia"/>
          <w:rtl/>
          <w:lang w:bidi="ar-EG"/>
        </w:rPr>
        <w:t> </w:t>
      </w:r>
      <w:r w:rsidRPr="001B54D9">
        <w:rPr>
          <w:rFonts w:hint="cs"/>
          <w:rtl/>
          <w:lang w:bidi="ar-EG"/>
        </w:rPr>
        <w:t>الاتحاد.</w:t>
      </w:r>
    </w:p>
    <w:p w:rsidR="00DC5505" w:rsidRDefault="00DC5505" w:rsidP="006910D2">
      <w:pPr>
        <w:rPr>
          <w:rtl/>
          <w:lang w:bidi="ar-EG"/>
        </w:rPr>
      </w:pPr>
      <w:r>
        <w:rPr>
          <w:lang w:bidi="ar-EG"/>
        </w:rPr>
        <w:t>6</w:t>
      </w:r>
      <w:r>
        <w:rPr>
          <w:rFonts w:hint="cs"/>
          <w:rtl/>
          <w:lang w:bidi="ar-EG"/>
        </w:rPr>
        <w:tab/>
      </w:r>
      <w:r w:rsidR="006910D2">
        <w:rPr>
          <w:rFonts w:hint="cs"/>
          <w:rtl/>
          <w:lang w:bidi="ar-EG"/>
        </w:rPr>
        <w:t>ويمكن الاطلاع على جدول الأعمال وجميع المعلومات ذات الصلة فيما يتعلق باجتماع لجنة الدراسات</w:t>
      </w:r>
      <w:r w:rsidR="006910D2">
        <w:rPr>
          <w:rFonts w:hint="eastAsia"/>
          <w:rtl/>
          <w:lang w:bidi="ar-EG"/>
        </w:rPr>
        <w:t> </w:t>
      </w:r>
      <w:r w:rsidR="006910D2">
        <w:rPr>
          <w:lang w:bidi="ar-EG"/>
        </w:rPr>
        <w:t>17</w:t>
      </w:r>
      <w:r w:rsidR="006910D2">
        <w:rPr>
          <w:rFonts w:hint="cs"/>
          <w:rtl/>
          <w:lang w:bidi="ar-EG"/>
        </w:rPr>
        <w:t xml:space="preserve"> في</w:t>
      </w:r>
      <w:r w:rsidR="006910D2">
        <w:rPr>
          <w:rFonts w:hint="eastAsia"/>
          <w:lang w:bidi="ar-EG"/>
        </w:rPr>
        <w:t> </w:t>
      </w:r>
      <w:r w:rsidR="006910D2">
        <w:rPr>
          <w:rFonts w:hint="cs"/>
          <w:rtl/>
          <w:lang w:bidi="ar-EG"/>
        </w:rPr>
        <w:t>الرسالة الجماعية</w:t>
      </w:r>
      <w:r w:rsidR="006910D2">
        <w:rPr>
          <w:rFonts w:hint="eastAsia"/>
          <w:rtl/>
          <w:lang w:bidi="ar-EG"/>
        </w:rPr>
        <w:t> </w:t>
      </w:r>
      <w:r w:rsidR="006910D2">
        <w:rPr>
          <w:lang w:bidi="ar-EG"/>
        </w:rPr>
        <w:t>6/17</w:t>
      </w:r>
      <w:r w:rsidR="006910D2">
        <w:rPr>
          <w:rFonts w:hint="cs"/>
          <w:rtl/>
          <w:lang w:bidi="ar-EG"/>
        </w:rPr>
        <w:t>.</w:t>
      </w:r>
    </w:p>
    <w:p w:rsidR="00DC5505" w:rsidRPr="004579B5" w:rsidRDefault="00DC5505" w:rsidP="00791AFE">
      <w:pPr>
        <w:rPr>
          <w:rtl/>
          <w:lang w:bidi="ar-EG"/>
        </w:rPr>
      </w:pPr>
      <w:r>
        <w:rPr>
          <w:lang w:bidi="ar-EG"/>
        </w:rPr>
        <w:t>7</w:t>
      </w:r>
      <w:r>
        <w:rPr>
          <w:rFonts w:hint="cs"/>
          <w:rtl/>
          <w:lang w:bidi="ar-EG"/>
        </w:rPr>
        <w:tab/>
      </w:r>
      <w:r w:rsidR="00791AFE">
        <w:rPr>
          <w:rFonts w:hint="cs"/>
          <w:rtl/>
          <w:lang w:bidi="ar-EG"/>
        </w:rPr>
        <w:t>وفي أعقاب الاجتماع سوف يعلن مدير مكتب تقييس الاتصالات، في نشرة معممة، عن القرار المتخذ بشأن هذه التوصيات. ولسوف تُنشر هذه المعلومات أيضاً في النشرة التشغيلية</w:t>
      </w:r>
      <w:r w:rsidR="00791AFE">
        <w:rPr>
          <w:rFonts w:hint="eastAsia"/>
          <w:rtl/>
          <w:lang w:bidi="ar-EG"/>
        </w:rPr>
        <w:t> </w:t>
      </w:r>
      <w:r w:rsidR="00791AFE">
        <w:rPr>
          <w:rFonts w:hint="cs"/>
          <w:rtl/>
          <w:lang w:bidi="ar-EG"/>
        </w:rPr>
        <w:t>للاتحاد.</w:t>
      </w:r>
    </w:p>
    <w:p w:rsidR="00DC5505" w:rsidRPr="005F33FD" w:rsidRDefault="00DC5505" w:rsidP="00C5355E">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DC5505" w:rsidRDefault="00DC5505" w:rsidP="00C5355E">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DC5505" w:rsidRDefault="00DC5505" w:rsidP="00C5355E">
      <w:pPr>
        <w:tabs>
          <w:tab w:val="left" w:pos="1173"/>
        </w:tabs>
        <w:spacing w:before="1320"/>
        <w:ind w:left="1174" w:hanging="1174"/>
        <w:jc w:val="left"/>
        <w:rPr>
          <w:rtl/>
          <w:lang w:bidi="ar-EG"/>
        </w:rPr>
      </w:pPr>
      <w:r>
        <w:rPr>
          <w:rFonts w:hint="cs"/>
          <w:b/>
          <w:bCs/>
          <w:rtl/>
          <w:lang w:bidi="ar-EG"/>
        </w:rPr>
        <w:t>الملحقات:</w:t>
      </w:r>
      <w:r w:rsidR="008C4385">
        <w:rPr>
          <w:rFonts w:hint="cs"/>
          <w:rtl/>
          <w:lang w:bidi="ar-EG"/>
        </w:rPr>
        <w:t xml:space="preserve"> </w:t>
      </w:r>
      <w:r w:rsidR="006930BE">
        <w:rPr>
          <w:lang w:bidi="ar-EG"/>
        </w:rPr>
        <w:t>1</w:t>
      </w:r>
    </w:p>
    <w:p w:rsidR="006930BE" w:rsidRDefault="006930BE" w:rsidP="006930BE">
      <w:pPr>
        <w:tabs>
          <w:tab w:val="left" w:pos="1173"/>
        </w:tabs>
        <w:spacing w:before="0"/>
        <w:ind w:left="1174" w:hanging="1174"/>
        <w:jc w:val="left"/>
        <w:rPr>
          <w:b/>
          <w:bCs/>
          <w:rtl/>
          <w:lang w:bidi="ar-EG"/>
        </w:rPr>
      </w:pPr>
      <w:r>
        <w:rPr>
          <w:b/>
          <w:bCs/>
          <w:rtl/>
          <w:lang w:bidi="ar-EG"/>
        </w:rPr>
        <w:br w:type="page"/>
      </w:r>
    </w:p>
    <w:p w:rsidR="006930BE" w:rsidRPr="00097DC9" w:rsidRDefault="006930BE" w:rsidP="00C83C6E">
      <w:pPr>
        <w:pStyle w:val="Annextitle"/>
        <w:spacing w:before="0"/>
        <w:rPr>
          <w:rFonts w:ascii="Times New Roman"/>
          <w:b w:val="0"/>
          <w:bCs w:val="0"/>
          <w:sz w:val="22"/>
          <w:szCs w:val="30"/>
          <w:rtl/>
          <w:lang w:val="en-US" w:bidi="ar-EG"/>
        </w:rPr>
      </w:pPr>
      <w:r w:rsidRPr="00FF4798">
        <w:rPr>
          <w:rFonts w:ascii="Times New Roman" w:hint="cs"/>
          <w:b w:val="0"/>
          <w:bCs w:val="0"/>
          <w:rtl/>
          <w:lang w:bidi="ar-EG"/>
        </w:rPr>
        <w:lastRenderedPageBreak/>
        <w:t xml:space="preserve">الملحـق </w:t>
      </w:r>
      <w:r w:rsidRPr="00FF4798">
        <w:rPr>
          <w:rFonts w:ascii="Times New Roman"/>
          <w:b w:val="0"/>
          <w:bCs w:val="0"/>
          <w:lang w:val="en-US" w:bidi="ar-EG"/>
        </w:rPr>
        <w:t>1</w:t>
      </w:r>
      <w:r w:rsidRPr="00FF4798">
        <w:rPr>
          <w:rFonts w:ascii="Times New Roman" w:hint="cs"/>
          <w:b w:val="0"/>
          <w:bCs w:val="0"/>
          <w:rtl/>
          <w:lang w:val="en-US" w:bidi="ar-EG"/>
        </w:rPr>
        <w:br/>
      </w:r>
      <w:r w:rsidRPr="00097DC9">
        <w:rPr>
          <w:rFonts w:ascii="Times New Roman" w:hint="cs"/>
          <w:b w:val="0"/>
          <w:bCs w:val="0"/>
          <w:sz w:val="22"/>
          <w:szCs w:val="30"/>
          <w:rtl/>
          <w:lang w:val="en-US" w:bidi="ar-EG"/>
        </w:rPr>
        <w:t>(للنشرة</w:t>
      </w:r>
      <w:r w:rsidR="0000555B">
        <w:rPr>
          <w:rFonts w:ascii="Times New Roman" w:hint="cs"/>
          <w:b w:val="0"/>
          <w:bCs w:val="0"/>
          <w:sz w:val="22"/>
          <w:szCs w:val="30"/>
          <w:rtl/>
          <w:lang w:val="en-US" w:bidi="ar-EG"/>
        </w:rPr>
        <w:t xml:space="preserve"> المعممة</w:t>
      </w:r>
      <w:r w:rsidRPr="00097DC9">
        <w:rPr>
          <w:rFonts w:ascii="Times New Roman" w:hint="cs"/>
          <w:b w:val="0"/>
          <w:bCs w:val="0"/>
          <w:sz w:val="22"/>
          <w:szCs w:val="30"/>
          <w:rtl/>
          <w:lang w:val="en-US" w:bidi="ar-EG"/>
        </w:rPr>
        <w:t xml:space="preserve"> </w:t>
      </w:r>
      <w:r>
        <w:rPr>
          <w:rFonts w:ascii="Times New Roman"/>
          <w:b w:val="0"/>
          <w:bCs w:val="0"/>
          <w:sz w:val="22"/>
          <w:szCs w:val="30"/>
          <w:lang w:val="en-US" w:bidi="ar-EG"/>
        </w:rPr>
        <w:t>190</w:t>
      </w:r>
      <w:r w:rsidRPr="00097DC9">
        <w:rPr>
          <w:rFonts w:ascii="Times New Roman" w:hint="cs"/>
          <w:b w:val="0"/>
          <w:bCs w:val="0"/>
          <w:sz w:val="22"/>
          <w:szCs w:val="30"/>
          <w:rtl/>
          <w:lang w:val="en-US" w:bidi="ar-EG"/>
        </w:rPr>
        <w:t xml:space="preserve"> لمكتب تقييس الاتصالات)</w:t>
      </w:r>
    </w:p>
    <w:p w:rsidR="006930BE" w:rsidRDefault="006930BE" w:rsidP="00194C77">
      <w:pPr>
        <w:pStyle w:val="Annextitle"/>
        <w:rPr>
          <w:rtl/>
          <w:lang w:bidi="ar-EG"/>
        </w:rPr>
      </w:pPr>
      <w:r>
        <w:rPr>
          <w:rFonts w:hint="cs"/>
          <w:rtl/>
          <w:lang w:bidi="ar-EG"/>
        </w:rPr>
        <w:t>ملخص النصوص والوثائق التي ترد فيها</w:t>
      </w:r>
    </w:p>
    <w:p w:rsidR="006930BE" w:rsidRPr="00115568" w:rsidRDefault="006930BE" w:rsidP="00115568">
      <w:pPr>
        <w:spacing w:before="480"/>
        <w:rPr>
          <w:b/>
          <w:bCs/>
          <w:rtl/>
          <w:lang w:bidi="ar-EG"/>
        </w:rPr>
      </w:pPr>
      <w:r w:rsidRPr="00115568">
        <w:rPr>
          <w:rFonts w:hint="cs"/>
          <w:b/>
          <w:bCs/>
          <w:rtl/>
          <w:lang w:bidi="ar-EG"/>
        </w:rPr>
        <w:t xml:space="preserve">مشروع التوصية الجديدة </w:t>
      </w:r>
      <w:r w:rsidRPr="00115568">
        <w:rPr>
          <w:b/>
          <w:bCs/>
          <w:lang w:bidi="ar-EG"/>
        </w:rPr>
        <w:t>ITU-T X.1211 </w:t>
      </w:r>
      <w:r w:rsidRPr="00115568">
        <w:rPr>
          <w:b/>
          <w:bCs/>
        </w:rPr>
        <w:t>(</w:t>
      </w:r>
      <w:proofErr w:type="spellStart"/>
      <w:r w:rsidRPr="00115568">
        <w:rPr>
          <w:b/>
          <w:bCs/>
        </w:rPr>
        <w:t>X.tb-ucc</w:t>
      </w:r>
      <w:proofErr w:type="spellEnd"/>
      <w:r w:rsidRPr="00115568">
        <w:rPr>
          <w:b/>
          <w:bCs/>
        </w:rPr>
        <w:t>)</w:t>
      </w:r>
      <w:r w:rsidRPr="00115568">
        <w:rPr>
          <w:rFonts w:hint="cs"/>
          <w:b/>
          <w:bCs/>
          <w:rtl/>
          <w:lang w:bidi="ar-EG"/>
        </w:rPr>
        <w:t>، إمكانية استخدام تتبع الشبكات</w:t>
      </w:r>
      <w:r w:rsidR="00C83C6E" w:rsidRPr="00115568">
        <w:rPr>
          <w:rFonts w:hint="cs"/>
          <w:b/>
          <w:bCs/>
          <w:rtl/>
          <w:lang w:bidi="ar-EG"/>
        </w:rPr>
        <w:tab/>
      </w:r>
      <w:r w:rsidR="00C83C6E" w:rsidRPr="00115568">
        <w:rPr>
          <w:rFonts w:hint="cs"/>
          <w:b/>
          <w:bCs/>
          <w:rtl/>
          <w:lang w:bidi="ar-EG"/>
        </w:rPr>
        <w:br/>
      </w:r>
      <w:r w:rsidRPr="00115568">
        <w:rPr>
          <w:b/>
          <w:bCs/>
          <w:lang w:bidi="ar-EG"/>
        </w:rPr>
        <w:t>COM</w:t>
      </w:r>
      <w:r w:rsidR="006729B1" w:rsidRPr="00115568">
        <w:rPr>
          <w:rFonts w:hint="eastAsia"/>
          <w:b/>
          <w:bCs/>
          <w:lang w:bidi="ar-EG"/>
        </w:rPr>
        <w:t> </w:t>
      </w:r>
      <w:r w:rsidRPr="00115568">
        <w:rPr>
          <w:b/>
          <w:bCs/>
          <w:lang w:bidi="ar-EG"/>
        </w:rPr>
        <w:t>17 </w:t>
      </w:r>
      <w:r w:rsidRPr="00115568">
        <w:rPr>
          <w:rFonts w:hint="cs"/>
          <w:b/>
          <w:bCs/>
          <w:lang w:bidi="ar-EG"/>
        </w:rPr>
        <w:t>–</w:t>
      </w:r>
      <w:r w:rsidRPr="00115568">
        <w:rPr>
          <w:b/>
          <w:bCs/>
          <w:lang w:bidi="ar-EG"/>
        </w:rPr>
        <w:t> R</w:t>
      </w:r>
      <w:r w:rsidR="006729B1" w:rsidRPr="00115568">
        <w:rPr>
          <w:rFonts w:hint="eastAsia"/>
          <w:b/>
          <w:bCs/>
          <w:lang w:bidi="ar-EG"/>
        </w:rPr>
        <w:t> </w:t>
      </w:r>
      <w:r w:rsidRPr="00115568">
        <w:rPr>
          <w:b/>
          <w:bCs/>
          <w:lang w:bidi="ar-EG"/>
        </w:rPr>
        <w:t>33</w:t>
      </w:r>
    </w:p>
    <w:p w:rsidR="006930BE" w:rsidRDefault="006930BE" w:rsidP="00605511">
      <w:pPr>
        <w:pStyle w:val="heading-ib"/>
        <w:rPr>
          <w:i w:val="0"/>
          <w:iCs w:val="0"/>
          <w:rtl/>
          <w:lang w:val="en-US" w:bidi="ar-EG"/>
        </w:rPr>
      </w:pPr>
      <w:r>
        <w:rPr>
          <w:rFonts w:hint="cs"/>
          <w:i w:val="0"/>
          <w:iCs w:val="0"/>
          <w:rtl/>
          <w:lang w:val="en-US" w:bidi="ar-EG"/>
        </w:rPr>
        <w:t>ملخص</w:t>
      </w:r>
    </w:p>
    <w:p w:rsidR="006930BE" w:rsidRPr="00883B54" w:rsidRDefault="006930BE" w:rsidP="00883B54">
      <w:pPr>
        <w:rPr>
          <w:rtl/>
          <w:lang w:bidi="ar-EG"/>
        </w:rPr>
      </w:pPr>
      <w:r w:rsidRPr="00883B54">
        <w:rPr>
          <w:rFonts w:hint="cs"/>
          <w:rtl/>
          <w:lang w:bidi="ar-EG"/>
        </w:rPr>
        <w:t xml:space="preserve">تقدم هذه التوصية نظرة عامة عن التتبع لاعتماد </w:t>
      </w:r>
      <w:r w:rsidRPr="00883B54">
        <w:rPr>
          <w:rtl/>
          <w:lang w:bidi="ar-EG"/>
        </w:rPr>
        <w:t xml:space="preserve">تدابير </w:t>
      </w:r>
      <w:r w:rsidRPr="00883B54">
        <w:rPr>
          <w:rFonts w:hint="cs"/>
          <w:rtl/>
          <w:lang w:bidi="ar-EG"/>
        </w:rPr>
        <w:t>ال</w:t>
      </w:r>
      <w:r w:rsidRPr="00883B54">
        <w:rPr>
          <w:rtl/>
          <w:lang w:bidi="ar-EG"/>
        </w:rPr>
        <w:t xml:space="preserve">استجابة لبعض </w:t>
      </w:r>
      <w:r w:rsidRPr="00883B54">
        <w:rPr>
          <w:rFonts w:hint="cs"/>
          <w:rtl/>
          <w:lang w:bidi="ar-EG"/>
        </w:rPr>
        <w:t>ال</w:t>
      </w:r>
      <w:r w:rsidRPr="00883B54">
        <w:rPr>
          <w:rtl/>
          <w:lang w:bidi="ar-EG"/>
        </w:rPr>
        <w:t xml:space="preserve">مشاكل </w:t>
      </w:r>
      <w:r w:rsidRPr="00883B54">
        <w:rPr>
          <w:rFonts w:hint="cs"/>
          <w:rtl/>
          <w:lang w:bidi="ar-EG"/>
        </w:rPr>
        <w:t>المتعلقة بالشبكات</w:t>
      </w:r>
      <w:r w:rsidRPr="00883B54">
        <w:rPr>
          <w:rtl/>
          <w:lang w:bidi="ar-EG"/>
        </w:rPr>
        <w:t xml:space="preserve"> ضمن </w:t>
      </w:r>
      <w:r w:rsidRPr="00883B54">
        <w:rPr>
          <w:rFonts w:hint="cs"/>
          <w:rtl/>
          <w:lang w:bidi="ar-EG"/>
        </w:rPr>
        <w:t xml:space="preserve">مجموعة </w:t>
      </w:r>
      <w:r w:rsidRPr="00883B54">
        <w:rPr>
          <w:rtl/>
          <w:lang w:bidi="ar-EG"/>
        </w:rPr>
        <w:t>واحدة أو مجموعة أكثر تعقيداً من مقدمي الخدمات.</w:t>
      </w:r>
      <w:r w:rsidRPr="00883B54">
        <w:rPr>
          <w:rFonts w:hint="cs"/>
          <w:rtl/>
          <w:lang w:bidi="ar-EG"/>
        </w:rPr>
        <w:t xml:space="preserve"> و</w:t>
      </w:r>
      <w:r w:rsidRPr="00883B54">
        <w:rPr>
          <w:rtl/>
          <w:lang w:bidi="ar-EG"/>
        </w:rPr>
        <w:t xml:space="preserve">قد </w:t>
      </w:r>
      <w:r w:rsidRPr="00883B54">
        <w:rPr>
          <w:rFonts w:hint="cs"/>
          <w:rtl/>
          <w:lang w:bidi="ar-EG"/>
        </w:rPr>
        <w:t>ي</w:t>
      </w:r>
      <w:r w:rsidRPr="00883B54">
        <w:rPr>
          <w:rtl/>
          <w:lang w:bidi="ar-EG"/>
        </w:rPr>
        <w:t xml:space="preserve">ساعد </w:t>
      </w:r>
      <w:r w:rsidRPr="00883B54">
        <w:rPr>
          <w:rFonts w:hint="cs"/>
          <w:rtl/>
          <w:lang w:bidi="ar-EG"/>
        </w:rPr>
        <w:t xml:space="preserve">التتبع </w:t>
      </w:r>
      <w:r w:rsidRPr="00883B54">
        <w:rPr>
          <w:rtl/>
          <w:lang w:bidi="ar-EG"/>
        </w:rPr>
        <w:t xml:space="preserve">في اكتشاف نقاط </w:t>
      </w:r>
      <w:r w:rsidRPr="00883B54">
        <w:rPr>
          <w:rFonts w:hint="cs"/>
          <w:rtl/>
          <w:lang w:bidi="ar-EG"/>
        </w:rPr>
        <w:t>ال</w:t>
      </w:r>
      <w:r w:rsidRPr="00883B54">
        <w:rPr>
          <w:rtl/>
          <w:lang w:bidi="ar-EG"/>
        </w:rPr>
        <w:t xml:space="preserve">دخول </w:t>
      </w:r>
      <w:r w:rsidRPr="00883B54">
        <w:rPr>
          <w:rFonts w:hint="cs"/>
          <w:rtl/>
          <w:lang w:bidi="ar-EG"/>
        </w:rPr>
        <w:t>و</w:t>
      </w:r>
      <w:r w:rsidRPr="00883B54">
        <w:rPr>
          <w:rtl/>
          <w:lang w:bidi="ar-EG"/>
        </w:rPr>
        <w:t xml:space="preserve">المسارات </w:t>
      </w:r>
      <w:proofErr w:type="spellStart"/>
      <w:r w:rsidRPr="00883B54">
        <w:rPr>
          <w:rFonts w:hint="cs"/>
          <w:rtl/>
          <w:lang w:bidi="ar-EG"/>
        </w:rPr>
        <w:t>و</w:t>
      </w:r>
      <w:r w:rsidRPr="00883B54">
        <w:rPr>
          <w:rtl/>
          <w:lang w:bidi="ar-EG"/>
        </w:rPr>
        <w:t>المسارات</w:t>
      </w:r>
      <w:proofErr w:type="spellEnd"/>
      <w:r w:rsidRPr="00883B54">
        <w:rPr>
          <w:rtl/>
          <w:lang w:bidi="ar-EG"/>
        </w:rPr>
        <w:t xml:space="preserve"> الجزئية أو مصادر </w:t>
      </w:r>
      <w:r w:rsidR="00197C60" w:rsidRPr="00883B54">
        <w:rPr>
          <w:rFonts w:hint="cs"/>
          <w:rtl/>
          <w:lang w:bidi="ar-EG"/>
        </w:rPr>
        <w:t>ال</w:t>
      </w:r>
      <w:r w:rsidRPr="00883B54">
        <w:rPr>
          <w:rFonts w:hint="cs"/>
          <w:rtl/>
          <w:lang w:bidi="ar-EG"/>
        </w:rPr>
        <w:t>أحداث</w:t>
      </w:r>
      <w:r w:rsidRPr="00883B54">
        <w:rPr>
          <w:rtl/>
          <w:lang w:bidi="ar-EG"/>
        </w:rPr>
        <w:t xml:space="preserve"> </w:t>
      </w:r>
      <w:r w:rsidRPr="00883B54">
        <w:rPr>
          <w:rFonts w:hint="cs"/>
          <w:rtl/>
          <w:lang w:bidi="ar-EG"/>
        </w:rPr>
        <w:t>المثيرة للمشاكل</w:t>
      </w:r>
      <w:r w:rsidR="00197C60" w:rsidRPr="00883B54">
        <w:rPr>
          <w:rFonts w:hint="cs"/>
          <w:rtl/>
          <w:lang w:bidi="ar-EG"/>
        </w:rPr>
        <w:t xml:space="preserve"> في الشبكات</w:t>
      </w:r>
      <w:r w:rsidRPr="00883B54">
        <w:rPr>
          <w:rtl/>
          <w:lang w:bidi="ar-EG"/>
        </w:rPr>
        <w:t xml:space="preserve">. </w:t>
      </w:r>
      <w:r w:rsidRPr="00883B54">
        <w:rPr>
          <w:rFonts w:hint="cs"/>
          <w:rtl/>
          <w:lang w:bidi="ar-EG"/>
        </w:rPr>
        <w:t xml:space="preserve">ويمكن أن تساعد </w:t>
      </w:r>
      <w:r w:rsidRPr="00883B54">
        <w:rPr>
          <w:rtl/>
          <w:lang w:bidi="ar-EG"/>
        </w:rPr>
        <w:t xml:space="preserve">هذه المعلومات </w:t>
      </w:r>
      <w:r w:rsidR="006D6A2A" w:rsidRPr="00883B54">
        <w:rPr>
          <w:rFonts w:hint="cs"/>
          <w:rtl/>
          <w:lang w:bidi="ar-EG"/>
        </w:rPr>
        <w:t>مقدمي</w:t>
      </w:r>
      <w:r w:rsidRPr="00883B54">
        <w:rPr>
          <w:rtl/>
          <w:lang w:bidi="ar-EG"/>
        </w:rPr>
        <w:t xml:space="preserve"> الخدمات في التخفيف من هذه</w:t>
      </w:r>
      <w:r w:rsidR="00883B54">
        <w:rPr>
          <w:rFonts w:hint="cs"/>
          <w:rtl/>
          <w:lang w:bidi="ar-EG"/>
        </w:rPr>
        <w:t> </w:t>
      </w:r>
      <w:r w:rsidRPr="00883B54">
        <w:rPr>
          <w:rtl/>
          <w:lang w:bidi="ar-EG"/>
        </w:rPr>
        <w:t>الأحداث</w:t>
      </w:r>
      <w:r w:rsidRPr="00883B54">
        <w:rPr>
          <w:rFonts w:hint="cs"/>
          <w:rtl/>
          <w:lang w:bidi="ar-EG"/>
        </w:rPr>
        <w:t>.</w:t>
      </w:r>
    </w:p>
    <w:p w:rsidR="006930BE" w:rsidRPr="00115568" w:rsidRDefault="006930BE" w:rsidP="00115568">
      <w:pPr>
        <w:spacing w:before="480"/>
        <w:rPr>
          <w:b/>
          <w:bCs/>
          <w:rtl/>
          <w:lang w:bidi="ar-EG"/>
        </w:rPr>
      </w:pPr>
      <w:r w:rsidRPr="00115568">
        <w:rPr>
          <w:rFonts w:hint="cs"/>
          <w:b/>
          <w:bCs/>
          <w:rtl/>
          <w:lang w:bidi="ar-EG"/>
        </w:rPr>
        <w:t xml:space="preserve">مشروع التوصية الجديدة </w:t>
      </w:r>
      <w:r w:rsidRPr="00115568">
        <w:rPr>
          <w:b/>
          <w:bCs/>
          <w:lang w:bidi="ar-EG"/>
        </w:rPr>
        <w:t>ITU-T X.1246 (X.tcs-2)</w:t>
      </w:r>
      <w:r w:rsidRPr="00115568">
        <w:rPr>
          <w:rFonts w:hint="cs"/>
          <w:b/>
          <w:bCs/>
          <w:rtl/>
          <w:lang w:bidi="ar-EG"/>
        </w:rPr>
        <w:t xml:space="preserve">، إطار يقوم على قائمة سوداء في الوقت الفعلي </w:t>
      </w:r>
      <w:r w:rsidRPr="00115568">
        <w:rPr>
          <w:b/>
          <w:bCs/>
          <w:lang w:bidi="ar-EG"/>
        </w:rPr>
        <w:t>(RBL)</w:t>
      </w:r>
      <w:r w:rsidRPr="00115568">
        <w:rPr>
          <w:rFonts w:hint="cs"/>
          <w:b/>
          <w:bCs/>
          <w:rtl/>
          <w:lang w:bidi="ar-EG"/>
        </w:rPr>
        <w:t xml:space="preserve"> لمكافحة الرسائل الاقتحامية </w:t>
      </w:r>
      <w:proofErr w:type="spellStart"/>
      <w:r w:rsidRPr="00115568">
        <w:rPr>
          <w:rFonts w:hint="cs"/>
          <w:b/>
          <w:bCs/>
          <w:rtl/>
          <w:lang w:bidi="ar-EG"/>
        </w:rPr>
        <w:t>للمهاتفة</w:t>
      </w:r>
      <w:proofErr w:type="spellEnd"/>
      <w:r w:rsidRPr="00115568">
        <w:rPr>
          <w:rFonts w:hint="cs"/>
          <w:b/>
          <w:bCs/>
          <w:rtl/>
          <w:lang w:bidi="ar-EG"/>
        </w:rPr>
        <w:t xml:space="preserve"> عبر بروتوكول الإنترنت</w:t>
      </w:r>
      <w:r w:rsidR="00C83C6E" w:rsidRPr="00115568">
        <w:rPr>
          <w:rFonts w:hint="cs"/>
          <w:b/>
          <w:bCs/>
          <w:rtl/>
          <w:lang w:bidi="ar-EG"/>
        </w:rPr>
        <w:tab/>
      </w:r>
      <w:r w:rsidR="00C83C6E" w:rsidRPr="00115568">
        <w:rPr>
          <w:rFonts w:hint="cs"/>
          <w:b/>
          <w:bCs/>
          <w:rtl/>
          <w:lang w:bidi="ar-EG"/>
        </w:rPr>
        <w:br/>
      </w:r>
      <w:r w:rsidRPr="00115568">
        <w:rPr>
          <w:b/>
          <w:bCs/>
          <w:lang w:bidi="ar-EG"/>
        </w:rPr>
        <w:t>COM</w:t>
      </w:r>
      <w:r w:rsidR="003C5AD6" w:rsidRPr="00115568">
        <w:rPr>
          <w:rFonts w:hint="eastAsia"/>
          <w:b/>
          <w:bCs/>
          <w:lang w:bidi="ar-EG"/>
        </w:rPr>
        <w:t> </w:t>
      </w:r>
      <w:r w:rsidRPr="00115568">
        <w:rPr>
          <w:b/>
          <w:bCs/>
          <w:lang w:bidi="ar-EG"/>
        </w:rPr>
        <w:t>17</w:t>
      </w:r>
      <w:r w:rsidR="00605511" w:rsidRPr="00115568">
        <w:rPr>
          <w:rFonts w:hint="eastAsia"/>
          <w:b/>
          <w:bCs/>
          <w:lang w:bidi="ar-EG"/>
        </w:rPr>
        <w:t> </w:t>
      </w:r>
      <w:r w:rsidRPr="00115568">
        <w:rPr>
          <w:b/>
          <w:bCs/>
          <w:lang w:bidi="ar-EG"/>
        </w:rPr>
        <w:t>-</w:t>
      </w:r>
      <w:r w:rsidR="00605511" w:rsidRPr="00115568">
        <w:rPr>
          <w:rFonts w:hint="eastAsia"/>
          <w:b/>
          <w:bCs/>
          <w:lang w:bidi="ar-EG"/>
        </w:rPr>
        <w:t> </w:t>
      </w:r>
      <w:r w:rsidRPr="00115568">
        <w:rPr>
          <w:b/>
          <w:bCs/>
          <w:lang w:bidi="ar-EG"/>
        </w:rPr>
        <w:t>R</w:t>
      </w:r>
      <w:r w:rsidR="003C5AD6" w:rsidRPr="00115568">
        <w:rPr>
          <w:rFonts w:hint="eastAsia"/>
          <w:b/>
          <w:bCs/>
          <w:lang w:bidi="ar-EG"/>
        </w:rPr>
        <w:t> </w:t>
      </w:r>
      <w:r w:rsidRPr="00115568">
        <w:rPr>
          <w:b/>
          <w:bCs/>
          <w:lang w:bidi="ar-EG"/>
        </w:rPr>
        <w:t>34</w:t>
      </w:r>
    </w:p>
    <w:p w:rsidR="006930BE" w:rsidRDefault="006930BE" w:rsidP="00605511">
      <w:pPr>
        <w:pStyle w:val="heading-ib"/>
        <w:rPr>
          <w:b w:val="0"/>
          <w:bCs w:val="0"/>
          <w:i w:val="0"/>
          <w:iCs w:val="0"/>
          <w:rtl/>
          <w:lang w:val="en-US" w:bidi="ar-EG"/>
        </w:rPr>
      </w:pPr>
      <w:r w:rsidRPr="00CA3B2C">
        <w:rPr>
          <w:rFonts w:hint="cs"/>
          <w:i w:val="0"/>
          <w:iCs w:val="0"/>
          <w:rtl/>
          <w:lang w:val="en-US" w:bidi="ar-EG"/>
        </w:rPr>
        <w:t>ملخص</w:t>
      </w:r>
    </w:p>
    <w:p w:rsidR="006930BE" w:rsidRPr="0053622C" w:rsidRDefault="006930BE" w:rsidP="0053622C">
      <w:pPr>
        <w:rPr>
          <w:rtl/>
          <w:lang w:bidi="ar-EG"/>
        </w:rPr>
      </w:pPr>
      <w:r w:rsidRPr="0053622C">
        <w:rPr>
          <w:rFonts w:hint="cs"/>
          <w:rtl/>
          <w:lang w:bidi="ar-EG"/>
        </w:rPr>
        <w:t xml:space="preserve">تقدم هذه التوصية إطاراً تقنياً يقوم على قائمة سوداء في الوقت الفعلي لمكافحة الرسائل الاقتحامية </w:t>
      </w:r>
      <w:proofErr w:type="spellStart"/>
      <w:r w:rsidRPr="0053622C">
        <w:rPr>
          <w:rFonts w:hint="cs"/>
          <w:rtl/>
          <w:lang w:bidi="ar-EG"/>
        </w:rPr>
        <w:t>للمهاتفة</w:t>
      </w:r>
      <w:proofErr w:type="spellEnd"/>
      <w:r w:rsidRPr="0053622C">
        <w:rPr>
          <w:rFonts w:hint="cs"/>
          <w:rtl/>
          <w:lang w:bidi="ar-EG"/>
        </w:rPr>
        <w:t xml:space="preserve"> عبر بروتوكول الإنترنت، ويشمل كيانات وظيفية أربعة: نظام منع الرسائل الاقتحامية </w:t>
      </w:r>
      <w:proofErr w:type="spellStart"/>
      <w:r w:rsidRPr="0053622C">
        <w:rPr>
          <w:rFonts w:hint="cs"/>
          <w:rtl/>
          <w:lang w:bidi="ar-EG"/>
        </w:rPr>
        <w:t>للمهاتفة</w:t>
      </w:r>
      <w:proofErr w:type="spellEnd"/>
      <w:r w:rsidRPr="0053622C">
        <w:rPr>
          <w:rFonts w:hint="cs"/>
          <w:rtl/>
          <w:lang w:bidi="ar-EG"/>
        </w:rPr>
        <w:t xml:space="preserve"> عبر بروتوكول الإنترنت </w:t>
      </w:r>
      <w:r w:rsidRPr="0053622C">
        <w:rPr>
          <w:lang w:bidi="ar-EG"/>
        </w:rPr>
        <w:t>(VSPS)</w:t>
      </w:r>
      <w:r w:rsidRPr="0053622C">
        <w:rPr>
          <w:rFonts w:hint="cs"/>
          <w:rtl/>
          <w:lang w:bidi="ar-EG"/>
        </w:rPr>
        <w:t xml:space="preserve">، ومخدم سياسة منع الرسائل الاقتحامية </w:t>
      </w:r>
      <w:proofErr w:type="spellStart"/>
      <w:r w:rsidRPr="0053622C">
        <w:rPr>
          <w:rFonts w:hint="cs"/>
          <w:rtl/>
          <w:lang w:bidi="ar-EG"/>
        </w:rPr>
        <w:t>للمهاتفة</w:t>
      </w:r>
      <w:proofErr w:type="spellEnd"/>
      <w:r w:rsidRPr="0053622C">
        <w:rPr>
          <w:rFonts w:hint="cs"/>
          <w:rtl/>
          <w:lang w:bidi="ar-EG"/>
        </w:rPr>
        <w:t xml:space="preserve"> عبر بروتوكول الإنترنت </w:t>
      </w:r>
      <w:r w:rsidRPr="0053622C">
        <w:rPr>
          <w:lang w:bidi="ar-EG"/>
        </w:rPr>
        <w:t>(VSPPS)</w:t>
      </w:r>
      <w:r w:rsidRPr="0053622C">
        <w:rPr>
          <w:rFonts w:hint="cs"/>
          <w:rtl/>
          <w:lang w:bidi="ar-EG"/>
        </w:rPr>
        <w:t xml:space="preserve">، ونظام مركزي </w:t>
      </w:r>
      <w:r w:rsidRPr="0053622C">
        <w:rPr>
          <w:lang w:bidi="ar-EG"/>
        </w:rPr>
        <w:t>RBL</w:t>
      </w:r>
      <w:r w:rsidRPr="0053622C">
        <w:rPr>
          <w:rFonts w:hint="cs"/>
          <w:rtl/>
          <w:lang w:bidi="ar-EG"/>
        </w:rPr>
        <w:t xml:space="preserve"> لمنع الرسائل الاقتحامية </w:t>
      </w:r>
      <w:proofErr w:type="spellStart"/>
      <w:r w:rsidRPr="0053622C">
        <w:rPr>
          <w:rFonts w:hint="cs"/>
          <w:rtl/>
          <w:lang w:bidi="ar-EG"/>
        </w:rPr>
        <w:t>للمهاتفة</w:t>
      </w:r>
      <w:proofErr w:type="spellEnd"/>
      <w:r w:rsidRPr="0053622C">
        <w:rPr>
          <w:rFonts w:hint="cs"/>
          <w:rtl/>
          <w:lang w:bidi="ar-EG"/>
        </w:rPr>
        <w:t xml:space="preserve"> عبر بروتوكول الإنترنت </w:t>
      </w:r>
      <w:r w:rsidRPr="0053622C">
        <w:t>(VSP-RBL)</w:t>
      </w:r>
      <w:r w:rsidRPr="0053622C">
        <w:rPr>
          <w:rFonts w:hint="cs"/>
          <w:rtl/>
          <w:lang w:bidi="ar-EG"/>
        </w:rPr>
        <w:t xml:space="preserve">، ونظام سمعة المستعمل </w:t>
      </w:r>
      <w:r w:rsidRPr="0053622C">
        <w:rPr>
          <w:lang w:bidi="ar-EG"/>
        </w:rPr>
        <w:t>(URS)</w:t>
      </w:r>
      <w:r w:rsidRPr="0053622C">
        <w:rPr>
          <w:rFonts w:hint="cs"/>
          <w:rtl/>
          <w:lang w:bidi="ar-EG"/>
        </w:rPr>
        <w:t xml:space="preserve">. وتحدد هذه التوصية أيضاً </w:t>
      </w:r>
      <w:r w:rsidRPr="0053622C">
        <w:rPr>
          <w:rtl/>
          <w:lang w:bidi="ar-EG"/>
        </w:rPr>
        <w:t xml:space="preserve">القدرات الوظيفية والإجراءات </w:t>
      </w:r>
      <w:r w:rsidRPr="0053622C">
        <w:rPr>
          <w:rFonts w:hint="cs"/>
          <w:rtl/>
          <w:lang w:bidi="ar-EG"/>
        </w:rPr>
        <w:t>والسطوح البينية</w:t>
      </w:r>
      <w:r w:rsidRPr="0053622C">
        <w:rPr>
          <w:rtl/>
          <w:lang w:bidi="ar-EG"/>
        </w:rPr>
        <w:t xml:space="preserve"> لكل كيان من الكيانات </w:t>
      </w:r>
      <w:r w:rsidRPr="0053622C">
        <w:rPr>
          <w:rFonts w:hint="cs"/>
          <w:rtl/>
          <w:lang w:bidi="ar-EG"/>
        </w:rPr>
        <w:t>الوظيفية</w:t>
      </w:r>
      <w:r w:rsidRPr="0053622C">
        <w:rPr>
          <w:rtl/>
          <w:lang w:bidi="ar-EG"/>
        </w:rPr>
        <w:t xml:space="preserve"> </w:t>
      </w:r>
      <w:r w:rsidRPr="0053622C">
        <w:rPr>
          <w:rFonts w:hint="cs"/>
          <w:rtl/>
          <w:lang w:bidi="ar-EG"/>
        </w:rPr>
        <w:t xml:space="preserve">من أجل مكافحة الرسائل الاقتحامية </w:t>
      </w:r>
      <w:proofErr w:type="spellStart"/>
      <w:r w:rsidRPr="0053622C">
        <w:rPr>
          <w:rFonts w:hint="cs"/>
          <w:rtl/>
          <w:lang w:bidi="ar-EG"/>
        </w:rPr>
        <w:t>للمهاتفة</w:t>
      </w:r>
      <w:proofErr w:type="spellEnd"/>
      <w:r w:rsidRPr="0053622C">
        <w:rPr>
          <w:rFonts w:hint="cs"/>
          <w:rtl/>
          <w:lang w:bidi="ar-EG"/>
        </w:rPr>
        <w:t xml:space="preserve"> عبر بروتوكول</w:t>
      </w:r>
      <w:r w:rsidR="0053622C">
        <w:rPr>
          <w:rFonts w:hint="eastAsia"/>
          <w:rtl/>
          <w:lang w:bidi="ar-EG"/>
        </w:rPr>
        <w:t> </w:t>
      </w:r>
      <w:r w:rsidRPr="0053622C">
        <w:rPr>
          <w:rFonts w:hint="cs"/>
          <w:rtl/>
          <w:lang w:bidi="ar-EG"/>
        </w:rPr>
        <w:t>الإنترنت.</w:t>
      </w:r>
    </w:p>
    <w:p w:rsidR="006930BE" w:rsidRPr="00115568" w:rsidRDefault="006930BE" w:rsidP="00115568">
      <w:pPr>
        <w:spacing w:before="480"/>
        <w:rPr>
          <w:b/>
          <w:bCs/>
          <w:rtl/>
          <w:lang w:bidi="ar-EG"/>
        </w:rPr>
      </w:pPr>
      <w:r w:rsidRPr="00115568">
        <w:rPr>
          <w:rFonts w:hint="cs"/>
          <w:b/>
          <w:bCs/>
          <w:rtl/>
          <w:lang w:bidi="ar-EG"/>
        </w:rPr>
        <w:t xml:space="preserve">مشروع </w:t>
      </w:r>
      <w:r w:rsidR="007A3E20" w:rsidRPr="00115568">
        <w:rPr>
          <w:rFonts w:hint="cs"/>
          <w:b/>
          <w:bCs/>
          <w:rtl/>
          <w:lang w:bidi="ar-EG"/>
        </w:rPr>
        <w:t>ال</w:t>
      </w:r>
      <w:r w:rsidRPr="00115568">
        <w:rPr>
          <w:rFonts w:hint="cs"/>
          <w:b/>
          <w:bCs/>
          <w:rtl/>
          <w:lang w:bidi="ar-EG"/>
        </w:rPr>
        <w:t xml:space="preserve">توصية </w:t>
      </w:r>
      <w:r w:rsidR="007A3E20" w:rsidRPr="00115568">
        <w:rPr>
          <w:rFonts w:hint="cs"/>
          <w:b/>
          <w:bCs/>
          <w:rtl/>
          <w:lang w:bidi="ar-EG"/>
        </w:rPr>
        <w:t>ال</w:t>
      </w:r>
      <w:r w:rsidRPr="00115568">
        <w:rPr>
          <w:rFonts w:hint="cs"/>
          <w:b/>
          <w:bCs/>
          <w:rtl/>
          <w:lang w:bidi="ar-EG"/>
        </w:rPr>
        <w:t xml:space="preserve">جديدة </w:t>
      </w:r>
      <w:r w:rsidRPr="00115568">
        <w:rPr>
          <w:b/>
          <w:bCs/>
          <w:lang w:bidi="ar-EG"/>
        </w:rPr>
        <w:t>ITU-T X.1253 (</w:t>
      </w:r>
      <w:proofErr w:type="spellStart"/>
      <w:r w:rsidRPr="00115568">
        <w:rPr>
          <w:b/>
          <w:bCs/>
          <w:lang w:bidi="ar-EG"/>
        </w:rPr>
        <w:t>X.idmsg</w:t>
      </w:r>
      <w:proofErr w:type="spellEnd"/>
      <w:r w:rsidRPr="00115568">
        <w:rPr>
          <w:b/>
          <w:bCs/>
          <w:lang w:bidi="ar-EG"/>
        </w:rPr>
        <w:t>)</w:t>
      </w:r>
      <w:r w:rsidRPr="00115568">
        <w:rPr>
          <w:rFonts w:hint="cs"/>
          <w:b/>
          <w:bCs/>
          <w:rtl/>
          <w:lang w:bidi="ar-EG"/>
        </w:rPr>
        <w:t>، المبادئ التوجيهية للأمن من أجل أنظمة إدارة الهوية</w:t>
      </w:r>
      <w:r w:rsidR="00C83C6E" w:rsidRPr="00115568">
        <w:rPr>
          <w:rFonts w:hint="cs"/>
          <w:b/>
          <w:bCs/>
          <w:rtl/>
          <w:lang w:bidi="ar-EG"/>
        </w:rPr>
        <w:tab/>
      </w:r>
      <w:r w:rsidR="00C83C6E" w:rsidRPr="00115568">
        <w:rPr>
          <w:rFonts w:hint="cs"/>
          <w:b/>
          <w:bCs/>
          <w:rtl/>
          <w:lang w:bidi="ar-EG"/>
        </w:rPr>
        <w:br/>
      </w:r>
      <w:r w:rsidRPr="00115568">
        <w:rPr>
          <w:b/>
          <w:bCs/>
          <w:lang w:bidi="ar-EG"/>
        </w:rPr>
        <w:t>COM</w:t>
      </w:r>
      <w:r w:rsidR="003C5AD6" w:rsidRPr="00115568">
        <w:rPr>
          <w:rFonts w:hint="eastAsia"/>
          <w:b/>
          <w:bCs/>
          <w:lang w:bidi="ar-EG"/>
        </w:rPr>
        <w:t> </w:t>
      </w:r>
      <w:r w:rsidRPr="00115568">
        <w:rPr>
          <w:b/>
          <w:bCs/>
          <w:lang w:bidi="ar-EG"/>
        </w:rPr>
        <w:t>17 </w:t>
      </w:r>
      <w:r w:rsidRPr="00115568">
        <w:rPr>
          <w:rFonts w:hint="cs"/>
          <w:b/>
          <w:bCs/>
          <w:lang w:bidi="ar-EG"/>
        </w:rPr>
        <w:t>–</w:t>
      </w:r>
      <w:r w:rsidRPr="00115568">
        <w:rPr>
          <w:b/>
          <w:bCs/>
          <w:lang w:bidi="ar-EG"/>
        </w:rPr>
        <w:t> R</w:t>
      </w:r>
      <w:r w:rsidR="001D2E1E" w:rsidRPr="00115568">
        <w:rPr>
          <w:rFonts w:hint="eastAsia"/>
          <w:b/>
          <w:bCs/>
          <w:lang w:bidi="ar-EG"/>
        </w:rPr>
        <w:t> </w:t>
      </w:r>
      <w:r w:rsidRPr="00115568">
        <w:rPr>
          <w:b/>
          <w:bCs/>
          <w:lang w:bidi="ar-EG"/>
        </w:rPr>
        <w:t>38</w:t>
      </w:r>
    </w:p>
    <w:p w:rsidR="006930BE" w:rsidRDefault="006930BE" w:rsidP="00605511">
      <w:pPr>
        <w:pStyle w:val="heading-ib"/>
        <w:rPr>
          <w:b w:val="0"/>
          <w:bCs w:val="0"/>
          <w:i w:val="0"/>
          <w:iCs w:val="0"/>
          <w:rtl/>
          <w:lang w:val="en-US" w:bidi="ar-EG"/>
        </w:rPr>
      </w:pPr>
      <w:r w:rsidRPr="00CA3B2C">
        <w:rPr>
          <w:rFonts w:hint="cs"/>
          <w:i w:val="0"/>
          <w:iCs w:val="0"/>
          <w:rtl/>
          <w:lang w:val="en-US" w:bidi="ar-EG"/>
        </w:rPr>
        <w:t>ملخص</w:t>
      </w:r>
    </w:p>
    <w:p w:rsidR="006930BE" w:rsidRPr="00917528" w:rsidRDefault="006930BE" w:rsidP="008A1D34">
      <w:pPr>
        <w:rPr>
          <w:rtl/>
          <w:lang w:bidi="ar-EG"/>
        </w:rPr>
      </w:pPr>
      <w:r>
        <w:rPr>
          <w:rFonts w:hint="cs"/>
          <w:rtl/>
          <w:lang w:bidi="ar-EG"/>
        </w:rPr>
        <w:t xml:space="preserve">تقترح هذه التوصية مبادئ توجيهية للأمن من أجل أنظمة إدارة الهوية </w:t>
      </w:r>
      <w:r>
        <w:rPr>
          <w:lang w:bidi="ar-EG"/>
        </w:rPr>
        <w:t>(</w:t>
      </w:r>
      <w:proofErr w:type="spellStart"/>
      <w:r>
        <w:rPr>
          <w:lang w:bidi="ar-EG"/>
        </w:rPr>
        <w:t>IdM</w:t>
      </w:r>
      <w:proofErr w:type="spellEnd"/>
      <w:r>
        <w:rPr>
          <w:lang w:bidi="ar-EG"/>
        </w:rPr>
        <w:t>)</w:t>
      </w:r>
      <w:r>
        <w:rPr>
          <w:rFonts w:hint="cs"/>
          <w:rtl/>
          <w:lang w:bidi="ar-EG"/>
        </w:rPr>
        <w:t xml:space="preserve">. وتصف المبادئ التوجيهية للأمن كيفية استخدام نظام إدارة الهوية وتشغيله من أجل خدمات الهوية الآمنة في بيئة شبكات الجيل التالي أو الفضاء </w:t>
      </w:r>
      <w:proofErr w:type="spellStart"/>
      <w:r>
        <w:rPr>
          <w:rFonts w:hint="cs"/>
          <w:rtl/>
          <w:lang w:bidi="ar-EG"/>
        </w:rPr>
        <w:t>السيبراني</w:t>
      </w:r>
      <w:proofErr w:type="spellEnd"/>
      <w:r>
        <w:rPr>
          <w:rFonts w:hint="cs"/>
          <w:rtl/>
          <w:lang w:bidi="ar-EG"/>
        </w:rPr>
        <w:t xml:space="preserve">. </w:t>
      </w:r>
      <w:r w:rsidR="00AC520D">
        <w:rPr>
          <w:rFonts w:hint="cs"/>
          <w:rtl/>
          <w:lang w:bidi="ar-EG"/>
        </w:rPr>
        <w:t>و</w:t>
      </w:r>
      <w:r>
        <w:rPr>
          <w:rFonts w:hint="cs"/>
          <w:rtl/>
          <w:lang w:bidi="ar-EG"/>
        </w:rPr>
        <w:t xml:space="preserve">المبادئ التوجيهية للأمن </w:t>
      </w:r>
      <w:r w:rsidR="00AC520D">
        <w:rPr>
          <w:rFonts w:hint="cs"/>
          <w:rtl/>
          <w:lang w:bidi="ar-EG"/>
        </w:rPr>
        <w:t>بمثابة</w:t>
      </w:r>
      <w:r>
        <w:rPr>
          <w:rFonts w:hint="cs"/>
          <w:rtl/>
          <w:lang w:bidi="ar-EG"/>
        </w:rPr>
        <w:t xml:space="preserve"> مشورة رسمية بشأن كيفية استخدام آليات الأمن المختلفة لحماية نظام </w:t>
      </w:r>
      <w:proofErr w:type="spellStart"/>
      <w:r>
        <w:rPr>
          <w:lang w:bidi="ar-EG"/>
        </w:rPr>
        <w:t>IdM</w:t>
      </w:r>
      <w:proofErr w:type="spellEnd"/>
      <w:r>
        <w:rPr>
          <w:rFonts w:hint="cs"/>
          <w:rtl/>
          <w:lang w:bidi="ar-EG"/>
        </w:rPr>
        <w:t xml:space="preserve"> عام </w:t>
      </w:r>
      <w:r w:rsidR="008A1D34">
        <w:rPr>
          <w:rFonts w:hint="cs"/>
          <w:rtl/>
          <w:lang w:bidi="ar-EG"/>
        </w:rPr>
        <w:t>وتعرض</w:t>
      </w:r>
      <w:bookmarkStart w:id="0" w:name="_GoBack"/>
      <w:bookmarkEnd w:id="0"/>
      <w:r>
        <w:rPr>
          <w:rFonts w:hint="cs"/>
          <w:rtl/>
          <w:lang w:bidi="ar-EG"/>
        </w:rPr>
        <w:t xml:space="preserve"> إجراءات الأمن المناسبة التي تكون مطلوبة عند التشغيل البيني </w:t>
      </w:r>
      <w:r w:rsidR="00AC520D">
        <w:rPr>
          <w:rFonts w:hint="cs"/>
          <w:rtl/>
          <w:lang w:bidi="ar-EG"/>
        </w:rPr>
        <w:t>ل</w:t>
      </w:r>
      <w:r>
        <w:rPr>
          <w:rFonts w:hint="cs"/>
          <w:rtl/>
          <w:lang w:bidi="ar-EG"/>
        </w:rPr>
        <w:t>نظامين لإدارة الهوية.</w:t>
      </w:r>
    </w:p>
    <w:p w:rsidR="006930BE" w:rsidRPr="00E95DB0" w:rsidRDefault="006930BE" w:rsidP="00115568">
      <w:pPr>
        <w:keepNext/>
        <w:keepLines/>
        <w:spacing w:before="480"/>
        <w:rPr>
          <w:b/>
          <w:bCs/>
          <w:rtl/>
          <w:lang w:bidi="ar-EG"/>
        </w:rPr>
      </w:pPr>
      <w:r w:rsidRPr="00115568">
        <w:rPr>
          <w:rFonts w:hint="cs"/>
          <w:b/>
          <w:bCs/>
          <w:rtl/>
          <w:lang w:bidi="ar-EG"/>
        </w:rPr>
        <w:lastRenderedPageBreak/>
        <w:t xml:space="preserve">مشروع </w:t>
      </w:r>
      <w:r w:rsidR="007A3E20" w:rsidRPr="00115568">
        <w:rPr>
          <w:rFonts w:hint="cs"/>
          <w:b/>
          <w:bCs/>
          <w:rtl/>
          <w:lang w:bidi="ar-EG"/>
        </w:rPr>
        <w:t>ال</w:t>
      </w:r>
      <w:r w:rsidRPr="00115568">
        <w:rPr>
          <w:rFonts w:hint="cs"/>
          <w:b/>
          <w:bCs/>
          <w:rtl/>
          <w:lang w:bidi="ar-EG"/>
        </w:rPr>
        <w:t xml:space="preserve">توصية </w:t>
      </w:r>
      <w:r w:rsidR="007A3E20" w:rsidRPr="00115568">
        <w:rPr>
          <w:rFonts w:hint="cs"/>
          <w:b/>
          <w:bCs/>
          <w:rtl/>
          <w:lang w:bidi="ar-EG"/>
        </w:rPr>
        <w:t>ال</w:t>
      </w:r>
      <w:r w:rsidRPr="00115568">
        <w:rPr>
          <w:rFonts w:hint="cs"/>
          <w:b/>
          <w:bCs/>
          <w:rtl/>
          <w:lang w:bidi="ar-EG"/>
        </w:rPr>
        <w:t xml:space="preserve">جديدة </w:t>
      </w:r>
      <w:r w:rsidRPr="00115568">
        <w:rPr>
          <w:b/>
          <w:bCs/>
          <w:lang w:bidi="ar-EG"/>
        </w:rPr>
        <w:t>ITU-T</w:t>
      </w:r>
      <w:r w:rsidR="00515D85" w:rsidRPr="00115568">
        <w:rPr>
          <w:b/>
          <w:bCs/>
          <w:lang w:bidi="ar-EG"/>
        </w:rPr>
        <w:t> </w:t>
      </w:r>
      <w:r w:rsidRPr="00115568">
        <w:rPr>
          <w:b/>
          <w:bCs/>
          <w:lang w:bidi="ar-EG"/>
        </w:rPr>
        <w:t>X.1570 (</w:t>
      </w:r>
      <w:proofErr w:type="spellStart"/>
      <w:r w:rsidRPr="00115568">
        <w:rPr>
          <w:b/>
          <w:bCs/>
          <w:lang w:bidi="ar-EG"/>
        </w:rPr>
        <w:t>X.cybex</w:t>
      </w:r>
      <w:proofErr w:type="spellEnd"/>
      <w:r w:rsidRPr="00115568">
        <w:rPr>
          <w:b/>
          <w:bCs/>
          <w:lang w:bidi="ar-EG"/>
        </w:rPr>
        <w:t>-disc)</w:t>
      </w:r>
      <w:r w:rsidRPr="00115568">
        <w:rPr>
          <w:rFonts w:hint="cs"/>
          <w:b/>
          <w:bCs/>
          <w:rtl/>
          <w:lang w:bidi="ar-EG"/>
        </w:rPr>
        <w:t xml:space="preserve">، آليات الاكتشاف في إطار تبادل معلومات الأمن </w:t>
      </w:r>
      <w:proofErr w:type="spellStart"/>
      <w:r w:rsidRPr="00115568">
        <w:rPr>
          <w:rFonts w:hint="cs"/>
          <w:b/>
          <w:bCs/>
          <w:rtl/>
          <w:lang w:bidi="ar-EG"/>
        </w:rPr>
        <w:t>السيبراني</w:t>
      </w:r>
      <w:proofErr w:type="spellEnd"/>
      <w:r w:rsidR="00C83C6E">
        <w:rPr>
          <w:rFonts w:hint="cs"/>
          <w:b/>
          <w:bCs/>
          <w:rtl/>
          <w:lang w:bidi="ar-EG"/>
        </w:rPr>
        <w:br/>
      </w:r>
      <w:r w:rsidRPr="00115568">
        <w:rPr>
          <w:b/>
          <w:bCs/>
          <w:lang w:bidi="ar-EG"/>
        </w:rPr>
        <w:t>COM</w:t>
      </w:r>
      <w:r w:rsidR="008B0E27" w:rsidRPr="00115568">
        <w:rPr>
          <w:b/>
          <w:bCs/>
          <w:lang w:bidi="ar-EG"/>
        </w:rPr>
        <w:t> </w:t>
      </w:r>
      <w:r w:rsidRPr="00115568">
        <w:rPr>
          <w:b/>
          <w:bCs/>
          <w:lang w:bidi="ar-EG"/>
        </w:rPr>
        <w:t>17 </w:t>
      </w:r>
      <w:r w:rsidRPr="00115568">
        <w:rPr>
          <w:rFonts w:hint="cs"/>
          <w:b/>
          <w:bCs/>
          <w:lang w:bidi="ar-EG"/>
        </w:rPr>
        <w:t>–</w:t>
      </w:r>
      <w:r w:rsidRPr="00115568">
        <w:rPr>
          <w:b/>
          <w:bCs/>
          <w:lang w:bidi="ar-EG"/>
        </w:rPr>
        <w:t> R</w:t>
      </w:r>
      <w:r w:rsidR="008B0E27" w:rsidRPr="00115568">
        <w:rPr>
          <w:b/>
          <w:bCs/>
          <w:lang w:bidi="ar-EG"/>
        </w:rPr>
        <w:t> </w:t>
      </w:r>
      <w:r w:rsidRPr="00115568">
        <w:rPr>
          <w:b/>
          <w:bCs/>
          <w:lang w:bidi="ar-EG"/>
        </w:rPr>
        <w:t>35</w:t>
      </w:r>
    </w:p>
    <w:p w:rsidR="006930BE" w:rsidRDefault="006930BE" w:rsidP="004228FF">
      <w:pPr>
        <w:pStyle w:val="heading-ib"/>
        <w:keepNext/>
        <w:keepLines/>
        <w:rPr>
          <w:b w:val="0"/>
          <w:bCs w:val="0"/>
          <w:i w:val="0"/>
          <w:iCs w:val="0"/>
          <w:rtl/>
          <w:lang w:val="en-US" w:bidi="ar-EG"/>
        </w:rPr>
      </w:pPr>
      <w:r w:rsidRPr="00CA3B2C">
        <w:rPr>
          <w:rFonts w:hint="cs"/>
          <w:i w:val="0"/>
          <w:iCs w:val="0"/>
          <w:rtl/>
          <w:lang w:val="en-US" w:bidi="ar-EG"/>
        </w:rPr>
        <w:t>ملخص</w:t>
      </w:r>
    </w:p>
    <w:p w:rsidR="006930BE" w:rsidRPr="00066DA8" w:rsidRDefault="006930BE" w:rsidP="004228FF">
      <w:pPr>
        <w:keepNext/>
        <w:keepLines/>
        <w:rPr>
          <w:rtl/>
          <w:lang w:bidi="ar-EG"/>
        </w:rPr>
      </w:pPr>
      <w:r>
        <w:rPr>
          <w:rFonts w:hint="cs"/>
          <w:rtl/>
          <w:lang w:bidi="ar-EG"/>
        </w:rPr>
        <w:t xml:space="preserve">تقدم هذه التوصية إطاراً لاكتشاف معلومات الأمن </w:t>
      </w:r>
      <w:proofErr w:type="spellStart"/>
      <w:r>
        <w:rPr>
          <w:rFonts w:hint="cs"/>
          <w:rtl/>
          <w:lang w:bidi="ar-EG"/>
        </w:rPr>
        <w:t>السيبراني</w:t>
      </w:r>
      <w:proofErr w:type="spellEnd"/>
      <w:r>
        <w:rPr>
          <w:rFonts w:hint="cs"/>
          <w:rtl/>
          <w:lang w:bidi="ar-EG"/>
        </w:rPr>
        <w:t xml:space="preserve"> والآلية التي تسمح بتحقيق ذلك. و</w:t>
      </w:r>
      <w:r w:rsidRPr="00F644FA">
        <w:rPr>
          <w:rtl/>
          <w:lang w:bidi="ar-EG"/>
        </w:rPr>
        <w:t xml:space="preserve">يمكن اعتبار الاكتشاف مرحلة من مراحل دورة </w:t>
      </w:r>
      <w:r>
        <w:rPr>
          <w:rFonts w:hint="cs"/>
          <w:rtl/>
          <w:lang w:bidi="ar-EG"/>
        </w:rPr>
        <w:t>ال</w:t>
      </w:r>
      <w:r w:rsidRPr="00F644FA">
        <w:rPr>
          <w:rtl/>
          <w:lang w:bidi="ar-EG"/>
        </w:rPr>
        <w:t xml:space="preserve">حياة </w:t>
      </w:r>
      <w:r>
        <w:rPr>
          <w:rFonts w:hint="cs"/>
          <w:rtl/>
          <w:lang w:bidi="ar-EG"/>
        </w:rPr>
        <w:t>المتعلقة بمعلومات</w:t>
      </w:r>
      <w:r w:rsidRPr="00F644FA">
        <w:rPr>
          <w:rtl/>
          <w:lang w:bidi="ar-EG"/>
        </w:rPr>
        <w:t xml:space="preserve"> الأمن </w:t>
      </w:r>
      <w:proofErr w:type="spellStart"/>
      <w:r w:rsidRPr="00F644FA">
        <w:rPr>
          <w:rtl/>
          <w:lang w:bidi="ar-EG"/>
        </w:rPr>
        <w:t>السيبراني</w:t>
      </w:r>
      <w:proofErr w:type="spellEnd"/>
      <w:r w:rsidRPr="00F644FA">
        <w:rPr>
          <w:rtl/>
          <w:lang w:bidi="ar-EG"/>
        </w:rPr>
        <w:t xml:space="preserve"> </w:t>
      </w:r>
      <w:r>
        <w:rPr>
          <w:rFonts w:hint="cs"/>
          <w:rtl/>
          <w:lang w:bidi="ar-EG"/>
        </w:rPr>
        <w:t>القريبة من نشر المعلومات وحيازتها</w:t>
      </w:r>
      <w:r w:rsidRPr="00F644FA">
        <w:rPr>
          <w:rtl/>
          <w:lang w:bidi="ar-EG"/>
        </w:rPr>
        <w:t xml:space="preserve">، وهي مراحل </w:t>
      </w:r>
      <w:r>
        <w:rPr>
          <w:rFonts w:hint="cs"/>
          <w:rtl/>
          <w:lang w:bidi="ar-EG"/>
        </w:rPr>
        <w:t>متكاملة</w:t>
      </w:r>
      <w:r w:rsidRPr="00F644FA">
        <w:rPr>
          <w:rtl/>
          <w:lang w:bidi="ar-EG"/>
        </w:rPr>
        <w:t xml:space="preserve"> وضرورية من أجل الاكتشاف. </w:t>
      </w:r>
      <w:r>
        <w:rPr>
          <w:rFonts w:hint="cs"/>
          <w:rtl/>
          <w:lang w:bidi="ar-EG"/>
        </w:rPr>
        <w:t>ومن ثم، فإن هذا</w:t>
      </w:r>
      <w:r w:rsidRPr="00F644FA">
        <w:rPr>
          <w:rtl/>
          <w:lang w:bidi="ar-EG"/>
        </w:rPr>
        <w:t xml:space="preserve"> الإطار </w:t>
      </w:r>
      <w:r>
        <w:rPr>
          <w:rFonts w:hint="cs"/>
          <w:rtl/>
          <w:lang w:bidi="ar-EG"/>
        </w:rPr>
        <w:t xml:space="preserve">يتناول كيفية </w:t>
      </w:r>
      <w:r>
        <w:rPr>
          <w:rtl/>
          <w:lang w:bidi="ar-EG"/>
        </w:rPr>
        <w:t xml:space="preserve">نشر معلومات </w:t>
      </w:r>
      <w:r>
        <w:rPr>
          <w:rFonts w:hint="cs"/>
          <w:rtl/>
          <w:lang w:bidi="ar-EG"/>
        </w:rPr>
        <w:t>ا</w:t>
      </w:r>
      <w:r w:rsidRPr="00F644FA">
        <w:rPr>
          <w:rtl/>
          <w:lang w:bidi="ar-EG"/>
        </w:rPr>
        <w:t xml:space="preserve">لأمن </w:t>
      </w:r>
      <w:proofErr w:type="spellStart"/>
      <w:r w:rsidRPr="00F644FA">
        <w:rPr>
          <w:rtl/>
          <w:lang w:bidi="ar-EG"/>
        </w:rPr>
        <w:t>السيبراني</w:t>
      </w:r>
      <w:proofErr w:type="spellEnd"/>
      <w:r w:rsidRPr="00F644FA">
        <w:rPr>
          <w:rtl/>
          <w:lang w:bidi="ar-EG"/>
        </w:rPr>
        <w:t xml:space="preserve">، </w:t>
      </w:r>
      <w:r>
        <w:rPr>
          <w:rFonts w:hint="cs"/>
          <w:rtl/>
          <w:lang w:bidi="ar-EG"/>
        </w:rPr>
        <w:t xml:space="preserve">والحصول على </w:t>
      </w:r>
      <w:r w:rsidRPr="00F644FA">
        <w:rPr>
          <w:rtl/>
          <w:lang w:bidi="ar-EG"/>
        </w:rPr>
        <w:t xml:space="preserve">قائمة المرشحين </w:t>
      </w:r>
      <w:r w:rsidR="00AC520D">
        <w:rPr>
          <w:rFonts w:hint="cs"/>
          <w:rtl/>
          <w:lang w:bidi="ar-EG"/>
        </w:rPr>
        <w:t>والحصول على</w:t>
      </w:r>
      <w:r w:rsidRPr="00F644FA">
        <w:rPr>
          <w:rtl/>
          <w:lang w:bidi="ar-EG"/>
        </w:rPr>
        <w:t xml:space="preserve"> المعلومات اللازمة. </w:t>
      </w:r>
      <w:r>
        <w:rPr>
          <w:rFonts w:hint="cs"/>
          <w:rtl/>
          <w:lang w:bidi="ar-EG"/>
        </w:rPr>
        <w:t>ويمكن</w:t>
      </w:r>
      <w:r w:rsidRPr="00F644FA">
        <w:rPr>
          <w:rtl/>
          <w:lang w:bidi="ar-EG"/>
        </w:rPr>
        <w:t xml:space="preserve"> تطبيق نظام </w:t>
      </w:r>
      <w:r w:rsidR="00AC520D">
        <w:rPr>
          <w:rFonts w:hint="cs"/>
          <w:rtl/>
          <w:lang w:bidi="ar-EG"/>
        </w:rPr>
        <w:t>ال</w:t>
      </w:r>
      <w:r w:rsidRPr="00F644FA">
        <w:rPr>
          <w:rtl/>
          <w:lang w:bidi="ar-EG"/>
        </w:rPr>
        <w:t>اكتشاف ب</w:t>
      </w:r>
      <w:r>
        <w:rPr>
          <w:rFonts w:hint="cs"/>
          <w:rtl/>
          <w:lang w:bidi="ar-EG"/>
        </w:rPr>
        <w:t xml:space="preserve">واسطة </w:t>
      </w:r>
      <w:r w:rsidRPr="00F644FA">
        <w:rPr>
          <w:rtl/>
          <w:lang w:bidi="ar-EG"/>
        </w:rPr>
        <w:t xml:space="preserve">آليات </w:t>
      </w:r>
      <w:r w:rsidR="00AC520D">
        <w:rPr>
          <w:rFonts w:hint="cs"/>
          <w:rtl/>
          <w:lang w:bidi="ar-EG"/>
        </w:rPr>
        <w:t>عشوائية</w:t>
      </w:r>
      <w:r w:rsidRPr="00F644FA">
        <w:rPr>
          <w:rtl/>
          <w:lang w:bidi="ar-EG"/>
        </w:rPr>
        <w:t xml:space="preserve"> شريطة </w:t>
      </w:r>
      <w:r>
        <w:rPr>
          <w:rFonts w:hint="cs"/>
          <w:rtl/>
          <w:lang w:bidi="ar-EG"/>
        </w:rPr>
        <w:t>توافقها</w:t>
      </w:r>
      <w:r w:rsidRPr="00F644FA">
        <w:rPr>
          <w:rtl/>
          <w:lang w:bidi="ar-EG"/>
        </w:rPr>
        <w:t xml:space="preserve"> مع الإطار، وتشمل هذه الآليات </w:t>
      </w:r>
      <w:r>
        <w:rPr>
          <w:rFonts w:hint="cs"/>
          <w:rtl/>
          <w:lang w:bidi="ar-EG"/>
        </w:rPr>
        <w:t xml:space="preserve">الاكتشاف على أساس معرّف الشيء </w:t>
      </w:r>
      <w:r>
        <w:rPr>
          <w:lang w:bidi="ar-EG"/>
        </w:rPr>
        <w:t>(OID)</w:t>
      </w:r>
      <w:r w:rsidRPr="00F644FA">
        <w:rPr>
          <w:rtl/>
          <w:lang w:bidi="ar-EG"/>
        </w:rPr>
        <w:t xml:space="preserve"> و</w:t>
      </w:r>
      <w:r>
        <w:rPr>
          <w:rFonts w:hint="cs"/>
          <w:rtl/>
          <w:lang w:bidi="ar-EG"/>
        </w:rPr>
        <w:t>ال</w:t>
      </w:r>
      <w:r w:rsidRPr="00F644FA">
        <w:rPr>
          <w:rtl/>
          <w:lang w:bidi="ar-EG"/>
        </w:rPr>
        <w:t xml:space="preserve">اكتشاف </w:t>
      </w:r>
      <w:r>
        <w:rPr>
          <w:rFonts w:hint="cs"/>
          <w:rtl/>
          <w:lang w:bidi="ar-EG"/>
        </w:rPr>
        <w:t>على أساس إطار</w:t>
      </w:r>
      <w:r w:rsidRPr="00F644FA">
        <w:rPr>
          <w:rtl/>
          <w:lang w:bidi="ar-EG"/>
        </w:rPr>
        <w:t xml:space="preserve"> وصف الموارد</w:t>
      </w:r>
      <w:r w:rsidR="00605511">
        <w:rPr>
          <w:rFonts w:hint="cs"/>
          <w:rtl/>
          <w:lang w:bidi="ar-EG"/>
        </w:rPr>
        <w:t> </w:t>
      </w:r>
      <w:r>
        <w:rPr>
          <w:lang w:bidi="ar-EG"/>
        </w:rPr>
        <w:t>(RDF)</w:t>
      </w:r>
      <w:r>
        <w:rPr>
          <w:rFonts w:hint="cs"/>
          <w:rtl/>
          <w:lang w:bidi="ar-EG"/>
        </w:rPr>
        <w:t xml:space="preserve"> التي تعالجها هذه التوصية أيضاً</w:t>
      </w:r>
      <w:r w:rsidRPr="00F644FA">
        <w:rPr>
          <w:rtl/>
          <w:lang w:bidi="ar-EG"/>
        </w:rPr>
        <w:t>.</w:t>
      </w:r>
    </w:p>
    <w:p w:rsidR="006930BE" w:rsidRPr="00EE2C4A" w:rsidRDefault="006930BE" w:rsidP="00605511">
      <w:pPr>
        <w:tabs>
          <w:tab w:val="left" w:pos="1173"/>
        </w:tabs>
        <w:spacing w:before="600"/>
        <w:ind w:left="1174" w:hanging="1174"/>
        <w:jc w:val="center"/>
        <w:rPr>
          <w:rtl/>
          <w:lang w:bidi="ar-EG"/>
        </w:rPr>
      </w:pPr>
      <w:r>
        <w:rPr>
          <w:rFonts w:hint="cs"/>
          <w:rtl/>
          <w:lang w:bidi="ar-EG"/>
        </w:rPr>
        <w:t>ـــــــــــ</w:t>
      </w:r>
    </w:p>
    <w:sectPr w:rsidR="006930BE" w:rsidRPr="00EE2C4A" w:rsidSect="001631E7">
      <w:headerReference w:type="default" r:id="rId11"/>
      <w:footerReference w:type="default" r:id="rId12"/>
      <w:footerReference w:type="first" r:id="rId13"/>
      <w:pgSz w:w="11901" w:h="16840" w:code="9"/>
      <w:pgMar w:top="1418" w:right="1134" w:bottom="1134" w:left="1134" w:header="567"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B69" w:rsidRDefault="00CF1B69">
      <w:r>
        <w:separator/>
      </w:r>
    </w:p>
  </w:endnote>
  <w:endnote w:type="continuationSeparator" w:id="0">
    <w:p w:rsidR="00CF1B69" w:rsidRDefault="00CF1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Futura Lt BT">
    <w:altName w:val="Arial"/>
    <w:panose1 w:val="020B0402020204020303"/>
    <w:charset w:val="00"/>
    <w:family w:val="swiss"/>
    <w:pitch w:val="variable"/>
    <w:sig w:usb0="00000087" w:usb1="00000000" w:usb2="00000000" w:usb3="00000000" w:csb0="0000001B"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B37" w:rsidRDefault="00787B37" w:rsidP="00787B37">
    <w:pPr>
      <w:pStyle w:val="Footer"/>
      <w:bidi w:val="0"/>
      <w:rPr>
        <w:sz w:val="16"/>
        <w:lang w:val="fr-CH"/>
      </w:rPr>
    </w:pPr>
    <w:r>
      <w:rPr>
        <w:sz w:val="16"/>
        <w:lang w:val="fr-CH"/>
      </w:rPr>
      <w:t>ITU-T\BUREAU\CIRC\190A.DOC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18"/>
      <w:gridCol w:w="2411"/>
      <w:gridCol w:w="2227"/>
    </w:tblGrid>
    <w:tr w:rsidR="001631E7" w:rsidTr="004A03BA">
      <w:trPr>
        <w:cantSplit/>
      </w:trPr>
      <w:tc>
        <w:tcPr>
          <w:tcW w:w="1062" w:type="pct"/>
          <w:tcBorders>
            <w:top w:val="single" w:sz="6" w:space="0" w:color="auto"/>
          </w:tcBorders>
          <w:tcMar>
            <w:top w:w="57" w:type="dxa"/>
          </w:tcMar>
        </w:tcPr>
        <w:p w:rsidR="001631E7" w:rsidRDefault="001631E7" w:rsidP="004A03BA">
          <w:pPr>
            <w:pStyle w:val="itu"/>
          </w:pPr>
          <w:r>
            <w:t>Place des Nations</w:t>
          </w:r>
        </w:p>
      </w:tc>
      <w:tc>
        <w:tcPr>
          <w:tcW w:w="1583" w:type="pct"/>
          <w:tcBorders>
            <w:top w:val="single" w:sz="6" w:space="0" w:color="auto"/>
          </w:tcBorders>
          <w:tcMar>
            <w:top w:w="57" w:type="dxa"/>
          </w:tcMar>
        </w:tcPr>
        <w:p w:rsidR="001631E7" w:rsidRDefault="001631E7" w:rsidP="004A03BA">
          <w:pPr>
            <w:pStyle w:val="itu"/>
          </w:pPr>
          <w:r>
            <w:t>Telephone</w:t>
          </w:r>
          <w:r>
            <w:tab/>
            <w:t>+41 22 730 51 11</w:t>
          </w:r>
        </w:p>
      </w:tc>
      <w:tc>
        <w:tcPr>
          <w:tcW w:w="1224" w:type="pct"/>
          <w:tcBorders>
            <w:top w:val="single" w:sz="6" w:space="0" w:color="auto"/>
          </w:tcBorders>
          <w:tcMar>
            <w:top w:w="57" w:type="dxa"/>
          </w:tcMar>
        </w:tcPr>
        <w:p w:rsidR="001631E7" w:rsidRDefault="001631E7" w:rsidP="004A03B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631E7" w:rsidRDefault="001631E7" w:rsidP="004A03BA">
          <w:pPr>
            <w:pStyle w:val="itu"/>
          </w:pPr>
          <w:r>
            <w:t>E-mail:</w:t>
          </w:r>
          <w:r>
            <w:tab/>
            <w:t>itumail@itu.int</w:t>
          </w:r>
        </w:p>
      </w:tc>
    </w:tr>
    <w:tr w:rsidR="001631E7" w:rsidTr="004A03BA">
      <w:trPr>
        <w:cantSplit/>
      </w:trPr>
      <w:tc>
        <w:tcPr>
          <w:tcW w:w="1062" w:type="pct"/>
        </w:tcPr>
        <w:p w:rsidR="001631E7" w:rsidRPr="008F5E3A" w:rsidRDefault="001631E7" w:rsidP="004A03BA">
          <w:pPr>
            <w:pStyle w:val="itu"/>
          </w:pPr>
          <w:r w:rsidRPr="008F5E3A">
            <w:t>CH-1211 Geneva 20</w:t>
          </w:r>
        </w:p>
      </w:tc>
      <w:tc>
        <w:tcPr>
          <w:tcW w:w="1583" w:type="pct"/>
        </w:tcPr>
        <w:p w:rsidR="001631E7" w:rsidRPr="008F5E3A" w:rsidRDefault="001631E7" w:rsidP="004A03BA">
          <w:pPr>
            <w:pStyle w:val="itu"/>
          </w:pPr>
          <w:r w:rsidRPr="008F5E3A">
            <w:t>Telefax</w:t>
          </w:r>
          <w:r w:rsidRPr="008F5E3A">
            <w:tab/>
            <w:t>Gr3:</w:t>
          </w:r>
          <w:r w:rsidRPr="008F5E3A">
            <w:tab/>
            <w:t>+41 22 733 72 56</w:t>
          </w:r>
        </w:p>
      </w:tc>
      <w:tc>
        <w:tcPr>
          <w:tcW w:w="1224" w:type="pct"/>
        </w:tcPr>
        <w:p w:rsidR="001631E7" w:rsidRPr="008F5E3A" w:rsidRDefault="001631E7" w:rsidP="004A03BA">
          <w:pPr>
            <w:pStyle w:val="itu"/>
          </w:pPr>
          <w:r w:rsidRPr="008F5E3A">
            <w:t>Telegram ITU GENEVE</w:t>
          </w:r>
        </w:p>
      </w:tc>
      <w:tc>
        <w:tcPr>
          <w:tcW w:w="1131" w:type="pct"/>
        </w:tcPr>
        <w:p w:rsidR="001631E7" w:rsidRPr="00724ED5" w:rsidRDefault="001631E7" w:rsidP="004A03BA">
          <w:pPr>
            <w:pStyle w:val="itu"/>
            <w:rPr>
              <w:lang w:val="en-US"/>
            </w:rPr>
          </w:pPr>
          <w:r w:rsidRPr="008F5E3A">
            <w:tab/>
          </w:r>
          <w:hyperlink r:id="rId1" w:history="1">
            <w:r w:rsidRPr="0034525D">
              <w:rPr>
                <w:rStyle w:val="Hyperlink"/>
              </w:rPr>
              <w:t>www.itu.int</w:t>
            </w:r>
          </w:hyperlink>
        </w:p>
      </w:tc>
    </w:tr>
    <w:tr w:rsidR="001631E7" w:rsidTr="004A03BA">
      <w:trPr>
        <w:cantSplit/>
      </w:trPr>
      <w:tc>
        <w:tcPr>
          <w:tcW w:w="1062" w:type="pct"/>
        </w:tcPr>
        <w:p w:rsidR="001631E7" w:rsidRDefault="001631E7" w:rsidP="004A03BA">
          <w:pPr>
            <w:pStyle w:val="itu"/>
          </w:pPr>
          <w:r>
            <w:t>SWITZERLAND</w:t>
          </w:r>
        </w:p>
      </w:tc>
      <w:tc>
        <w:tcPr>
          <w:tcW w:w="1583" w:type="pct"/>
        </w:tcPr>
        <w:p w:rsidR="001631E7" w:rsidRDefault="001631E7" w:rsidP="004A03BA">
          <w:pPr>
            <w:pStyle w:val="itu"/>
          </w:pPr>
          <w:r>
            <w:tab/>
            <w:t>Gr4:</w:t>
          </w:r>
          <w:r>
            <w:tab/>
            <w:t>+41 22 730 65 00</w:t>
          </w:r>
        </w:p>
      </w:tc>
      <w:tc>
        <w:tcPr>
          <w:tcW w:w="1224" w:type="pct"/>
        </w:tcPr>
        <w:p w:rsidR="001631E7" w:rsidRDefault="001631E7" w:rsidP="004A03BA">
          <w:pPr>
            <w:pStyle w:val="itu"/>
          </w:pPr>
        </w:p>
      </w:tc>
      <w:tc>
        <w:tcPr>
          <w:tcW w:w="1131" w:type="pct"/>
        </w:tcPr>
        <w:p w:rsidR="001631E7" w:rsidRDefault="001631E7" w:rsidP="004A03BA">
          <w:pPr>
            <w:pStyle w:val="itu"/>
          </w:pPr>
        </w:p>
      </w:tc>
    </w:tr>
  </w:tbl>
  <w:p w:rsidR="00CF1B69" w:rsidRPr="00AE03C4" w:rsidRDefault="00CF1B69" w:rsidP="001631E7">
    <w:pPr>
      <w:pStyle w:val="Footer"/>
      <w:bidi w:val="0"/>
      <w:spacing w:befor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B69" w:rsidRDefault="00CF1B69">
      <w:r>
        <w:separator/>
      </w:r>
    </w:p>
  </w:footnote>
  <w:footnote w:type="continuationSeparator" w:id="0">
    <w:p w:rsidR="00CF1B69" w:rsidRDefault="00CF1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69" w:rsidRDefault="00CF1B69" w:rsidP="004331B3">
    <w:pPr>
      <w:pStyle w:val="Header"/>
      <w:bidi w:val="0"/>
      <w:spacing w:after="240"/>
      <w:jc w:val="center"/>
    </w:pPr>
    <w:r>
      <w:t>- </w:t>
    </w:r>
    <w:r w:rsidR="00E37F7D">
      <w:rPr>
        <w:rFonts w:cs="Times New Roman"/>
        <w:szCs w:val="22"/>
      </w:rPr>
      <w:fldChar w:fldCharType="begin"/>
    </w:r>
    <w:r>
      <w:rPr>
        <w:rFonts w:cs="Times New Roman"/>
        <w:szCs w:val="22"/>
      </w:rPr>
      <w:instrText>PAGE</w:instrText>
    </w:r>
    <w:r w:rsidR="00E37F7D">
      <w:rPr>
        <w:rFonts w:cs="Times New Roman"/>
        <w:szCs w:val="22"/>
      </w:rPr>
      <w:fldChar w:fldCharType="separate"/>
    </w:r>
    <w:r w:rsidR="006C67B1">
      <w:rPr>
        <w:rFonts w:cs="Times New Roman"/>
        <w:noProof/>
        <w:szCs w:val="22"/>
      </w:rPr>
      <w:t>4</w:t>
    </w:r>
    <w:r w:rsidR="00E37F7D">
      <w:rPr>
        <w:rFonts w:cs="Times New Roman"/>
        <w:szCs w:val="22"/>
      </w:rPr>
      <w:fldChar w:fldCharType="end"/>
    </w:r>
    <w: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stylePaneFormatFilter w:val="3F01"/>
  <w:defaultTabStop w:val="794"/>
  <w:noPunctuationKerning/>
  <w:characterSpacingControl w:val="doNotCompress"/>
  <w:hdrShapeDefaults>
    <o:shapedefaults v:ext="edit" spidmax="22529"/>
  </w:hdrShapeDefaults>
  <w:footnotePr>
    <w:footnote w:id="-1"/>
    <w:footnote w:id="0"/>
  </w:footnotePr>
  <w:endnotePr>
    <w:endnote w:id="-1"/>
    <w:endnote w:id="0"/>
  </w:endnotePr>
  <w:compat/>
  <w:rsids>
    <w:rsidRoot w:val="009F4B09"/>
    <w:rsid w:val="0000555B"/>
    <w:rsid w:val="00007569"/>
    <w:rsid w:val="00012BDE"/>
    <w:rsid w:val="000132B7"/>
    <w:rsid w:val="00020DB7"/>
    <w:rsid w:val="00025F9B"/>
    <w:rsid w:val="000260D5"/>
    <w:rsid w:val="000302D3"/>
    <w:rsid w:val="000440C4"/>
    <w:rsid w:val="000525E5"/>
    <w:rsid w:val="000637D6"/>
    <w:rsid w:val="0006455A"/>
    <w:rsid w:val="00064EC5"/>
    <w:rsid w:val="00071718"/>
    <w:rsid w:val="00073E7E"/>
    <w:rsid w:val="00076A45"/>
    <w:rsid w:val="00081D8A"/>
    <w:rsid w:val="000A3EFF"/>
    <w:rsid w:val="000A7621"/>
    <w:rsid w:val="000C2FB2"/>
    <w:rsid w:val="000D3455"/>
    <w:rsid w:val="000D3F69"/>
    <w:rsid w:val="000D6000"/>
    <w:rsid w:val="0010144A"/>
    <w:rsid w:val="001014A9"/>
    <w:rsid w:val="001040FF"/>
    <w:rsid w:val="001132C8"/>
    <w:rsid w:val="00115568"/>
    <w:rsid w:val="00125B34"/>
    <w:rsid w:val="00127FFE"/>
    <w:rsid w:val="00133BF7"/>
    <w:rsid w:val="001401E7"/>
    <w:rsid w:val="00150879"/>
    <w:rsid w:val="001523BE"/>
    <w:rsid w:val="0016239F"/>
    <w:rsid w:val="001631E7"/>
    <w:rsid w:val="00170CB1"/>
    <w:rsid w:val="00180899"/>
    <w:rsid w:val="001919D1"/>
    <w:rsid w:val="00194C77"/>
    <w:rsid w:val="0019658A"/>
    <w:rsid w:val="00197C60"/>
    <w:rsid w:val="001A5641"/>
    <w:rsid w:val="001A5E10"/>
    <w:rsid w:val="001B54D9"/>
    <w:rsid w:val="001B5908"/>
    <w:rsid w:val="001C0EF6"/>
    <w:rsid w:val="001C7ECA"/>
    <w:rsid w:val="001D1DF8"/>
    <w:rsid w:val="001D2E1E"/>
    <w:rsid w:val="001D39B3"/>
    <w:rsid w:val="001D3E3A"/>
    <w:rsid w:val="001D6103"/>
    <w:rsid w:val="001D6F02"/>
    <w:rsid w:val="001F1051"/>
    <w:rsid w:val="001F6CD8"/>
    <w:rsid w:val="00201E08"/>
    <w:rsid w:val="0021011A"/>
    <w:rsid w:val="00212D0E"/>
    <w:rsid w:val="00213FD5"/>
    <w:rsid w:val="00214741"/>
    <w:rsid w:val="0022041F"/>
    <w:rsid w:val="00224522"/>
    <w:rsid w:val="002313E7"/>
    <w:rsid w:val="002330BE"/>
    <w:rsid w:val="00233FF0"/>
    <w:rsid w:val="00235C8A"/>
    <w:rsid w:val="00246AD0"/>
    <w:rsid w:val="00247D96"/>
    <w:rsid w:val="00247D9B"/>
    <w:rsid w:val="00250DC3"/>
    <w:rsid w:val="00252705"/>
    <w:rsid w:val="002561C9"/>
    <w:rsid w:val="00256EA5"/>
    <w:rsid w:val="00264241"/>
    <w:rsid w:val="00270797"/>
    <w:rsid w:val="00274B47"/>
    <w:rsid w:val="00286E0F"/>
    <w:rsid w:val="00287340"/>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63805"/>
    <w:rsid w:val="00363E8E"/>
    <w:rsid w:val="003859D0"/>
    <w:rsid w:val="00393E7C"/>
    <w:rsid w:val="003A4E80"/>
    <w:rsid w:val="003B2C5F"/>
    <w:rsid w:val="003B459A"/>
    <w:rsid w:val="003C2AC9"/>
    <w:rsid w:val="003C5AD6"/>
    <w:rsid w:val="003C6EA6"/>
    <w:rsid w:val="003D56B1"/>
    <w:rsid w:val="003E051B"/>
    <w:rsid w:val="003E32A8"/>
    <w:rsid w:val="003E6B7D"/>
    <w:rsid w:val="003F591C"/>
    <w:rsid w:val="004067A6"/>
    <w:rsid w:val="00417512"/>
    <w:rsid w:val="00422171"/>
    <w:rsid w:val="004221D4"/>
    <w:rsid w:val="004228FF"/>
    <w:rsid w:val="00425397"/>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E1059"/>
    <w:rsid w:val="004E4BB7"/>
    <w:rsid w:val="004F3D50"/>
    <w:rsid w:val="0051132E"/>
    <w:rsid w:val="00511394"/>
    <w:rsid w:val="00515D85"/>
    <w:rsid w:val="00523B5B"/>
    <w:rsid w:val="00535CA0"/>
    <w:rsid w:val="0053622C"/>
    <w:rsid w:val="00537B94"/>
    <w:rsid w:val="005429E9"/>
    <w:rsid w:val="00543D04"/>
    <w:rsid w:val="0054515F"/>
    <w:rsid w:val="00550F45"/>
    <w:rsid w:val="00553969"/>
    <w:rsid w:val="0057474C"/>
    <w:rsid w:val="00575402"/>
    <w:rsid w:val="00575B6C"/>
    <w:rsid w:val="0058156E"/>
    <w:rsid w:val="005821D3"/>
    <w:rsid w:val="00586F78"/>
    <w:rsid w:val="00591E68"/>
    <w:rsid w:val="005960F3"/>
    <w:rsid w:val="005A6657"/>
    <w:rsid w:val="005C447D"/>
    <w:rsid w:val="005D467E"/>
    <w:rsid w:val="005D488B"/>
    <w:rsid w:val="005E007E"/>
    <w:rsid w:val="005F33FD"/>
    <w:rsid w:val="006011E0"/>
    <w:rsid w:val="0060203A"/>
    <w:rsid w:val="00605511"/>
    <w:rsid w:val="00605E96"/>
    <w:rsid w:val="00614F3F"/>
    <w:rsid w:val="00633EB6"/>
    <w:rsid w:val="006344E2"/>
    <w:rsid w:val="00637FB5"/>
    <w:rsid w:val="00642F8E"/>
    <w:rsid w:val="0064388F"/>
    <w:rsid w:val="00655E5A"/>
    <w:rsid w:val="006638AC"/>
    <w:rsid w:val="00664DAB"/>
    <w:rsid w:val="006729B1"/>
    <w:rsid w:val="00672C1B"/>
    <w:rsid w:val="00674542"/>
    <w:rsid w:val="006765EA"/>
    <w:rsid w:val="00680F48"/>
    <w:rsid w:val="00681DA0"/>
    <w:rsid w:val="006845A9"/>
    <w:rsid w:val="00687F0B"/>
    <w:rsid w:val="006910D2"/>
    <w:rsid w:val="006930BE"/>
    <w:rsid w:val="0069450E"/>
    <w:rsid w:val="00696BB2"/>
    <w:rsid w:val="00697445"/>
    <w:rsid w:val="006A058F"/>
    <w:rsid w:val="006A3056"/>
    <w:rsid w:val="006B52B5"/>
    <w:rsid w:val="006B6B9A"/>
    <w:rsid w:val="006C1530"/>
    <w:rsid w:val="006C4FFB"/>
    <w:rsid w:val="006C67B1"/>
    <w:rsid w:val="006D49AD"/>
    <w:rsid w:val="006D6A2A"/>
    <w:rsid w:val="006E73B1"/>
    <w:rsid w:val="0071127D"/>
    <w:rsid w:val="007149A7"/>
    <w:rsid w:val="007202C3"/>
    <w:rsid w:val="007414CF"/>
    <w:rsid w:val="007437F9"/>
    <w:rsid w:val="00746048"/>
    <w:rsid w:val="007561C9"/>
    <w:rsid w:val="00757D5F"/>
    <w:rsid w:val="0076311C"/>
    <w:rsid w:val="00764273"/>
    <w:rsid w:val="00767D08"/>
    <w:rsid w:val="00775E3D"/>
    <w:rsid w:val="00776896"/>
    <w:rsid w:val="007804EA"/>
    <w:rsid w:val="00783CD2"/>
    <w:rsid w:val="00787B37"/>
    <w:rsid w:val="00791AFE"/>
    <w:rsid w:val="00795FF6"/>
    <w:rsid w:val="007A3E20"/>
    <w:rsid w:val="007A63EC"/>
    <w:rsid w:val="007A66C2"/>
    <w:rsid w:val="007A6984"/>
    <w:rsid w:val="007A7E70"/>
    <w:rsid w:val="007B1AED"/>
    <w:rsid w:val="007B5E75"/>
    <w:rsid w:val="007C1AEA"/>
    <w:rsid w:val="007F0AC6"/>
    <w:rsid w:val="0080133D"/>
    <w:rsid w:val="008041A7"/>
    <w:rsid w:val="00811121"/>
    <w:rsid w:val="008165EA"/>
    <w:rsid w:val="0081722F"/>
    <w:rsid w:val="008226F2"/>
    <w:rsid w:val="0082500A"/>
    <w:rsid w:val="0082673E"/>
    <w:rsid w:val="00830F86"/>
    <w:rsid w:val="00852573"/>
    <w:rsid w:val="00864823"/>
    <w:rsid w:val="00866CFB"/>
    <w:rsid w:val="0087077B"/>
    <w:rsid w:val="00876CC0"/>
    <w:rsid w:val="00883B54"/>
    <w:rsid w:val="00883E59"/>
    <w:rsid w:val="00886A0C"/>
    <w:rsid w:val="008A1D34"/>
    <w:rsid w:val="008B0E27"/>
    <w:rsid w:val="008B61CA"/>
    <w:rsid w:val="008C3899"/>
    <w:rsid w:val="008C4385"/>
    <w:rsid w:val="008C7D86"/>
    <w:rsid w:val="008D27E0"/>
    <w:rsid w:val="008D2E33"/>
    <w:rsid w:val="008D3838"/>
    <w:rsid w:val="008D45D2"/>
    <w:rsid w:val="008F4C50"/>
    <w:rsid w:val="008F55E3"/>
    <w:rsid w:val="008F7B1F"/>
    <w:rsid w:val="009015FD"/>
    <w:rsid w:val="009041F1"/>
    <w:rsid w:val="009048A4"/>
    <w:rsid w:val="00904BF4"/>
    <w:rsid w:val="00911629"/>
    <w:rsid w:val="00914455"/>
    <w:rsid w:val="00920A44"/>
    <w:rsid w:val="009257DF"/>
    <w:rsid w:val="0093679C"/>
    <w:rsid w:val="00965582"/>
    <w:rsid w:val="00972F5B"/>
    <w:rsid w:val="00973D3C"/>
    <w:rsid w:val="0097559C"/>
    <w:rsid w:val="0097651D"/>
    <w:rsid w:val="0098075F"/>
    <w:rsid w:val="00980D9A"/>
    <w:rsid w:val="009824F8"/>
    <w:rsid w:val="00986865"/>
    <w:rsid w:val="009938A9"/>
    <w:rsid w:val="009961EB"/>
    <w:rsid w:val="009A398E"/>
    <w:rsid w:val="009A61F8"/>
    <w:rsid w:val="009B0414"/>
    <w:rsid w:val="009B5009"/>
    <w:rsid w:val="009B6BF5"/>
    <w:rsid w:val="009C4ADE"/>
    <w:rsid w:val="009D2DD2"/>
    <w:rsid w:val="009E21AD"/>
    <w:rsid w:val="009F4B09"/>
    <w:rsid w:val="00A14ADB"/>
    <w:rsid w:val="00A22222"/>
    <w:rsid w:val="00A2608E"/>
    <w:rsid w:val="00A26EA0"/>
    <w:rsid w:val="00A55013"/>
    <w:rsid w:val="00A6296D"/>
    <w:rsid w:val="00A655AC"/>
    <w:rsid w:val="00A77701"/>
    <w:rsid w:val="00A82313"/>
    <w:rsid w:val="00A83A6D"/>
    <w:rsid w:val="00A90460"/>
    <w:rsid w:val="00A91B80"/>
    <w:rsid w:val="00A95BF9"/>
    <w:rsid w:val="00A96CD8"/>
    <w:rsid w:val="00AA0DC1"/>
    <w:rsid w:val="00AA1F42"/>
    <w:rsid w:val="00AB063E"/>
    <w:rsid w:val="00AB321E"/>
    <w:rsid w:val="00AB5A96"/>
    <w:rsid w:val="00AC520D"/>
    <w:rsid w:val="00AD28DD"/>
    <w:rsid w:val="00B06EFE"/>
    <w:rsid w:val="00B10464"/>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B2862"/>
    <w:rsid w:val="00BB3AA1"/>
    <w:rsid w:val="00BB639B"/>
    <w:rsid w:val="00BC45BA"/>
    <w:rsid w:val="00BC683A"/>
    <w:rsid w:val="00BD225D"/>
    <w:rsid w:val="00BD2A33"/>
    <w:rsid w:val="00BD51F1"/>
    <w:rsid w:val="00C16CB6"/>
    <w:rsid w:val="00C335A4"/>
    <w:rsid w:val="00C33D50"/>
    <w:rsid w:val="00C42FC9"/>
    <w:rsid w:val="00C47940"/>
    <w:rsid w:val="00C5355E"/>
    <w:rsid w:val="00C53A1D"/>
    <w:rsid w:val="00C5483C"/>
    <w:rsid w:val="00C56944"/>
    <w:rsid w:val="00C66212"/>
    <w:rsid w:val="00C67A47"/>
    <w:rsid w:val="00C714FF"/>
    <w:rsid w:val="00C7616B"/>
    <w:rsid w:val="00C766C5"/>
    <w:rsid w:val="00C83C6E"/>
    <w:rsid w:val="00C96833"/>
    <w:rsid w:val="00CB63B9"/>
    <w:rsid w:val="00CC0E5D"/>
    <w:rsid w:val="00CC30F9"/>
    <w:rsid w:val="00CD3457"/>
    <w:rsid w:val="00CD49DF"/>
    <w:rsid w:val="00CE2555"/>
    <w:rsid w:val="00CE7C57"/>
    <w:rsid w:val="00CF1B69"/>
    <w:rsid w:val="00CF2045"/>
    <w:rsid w:val="00CF4610"/>
    <w:rsid w:val="00CF7EA1"/>
    <w:rsid w:val="00D044F3"/>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6402"/>
    <w:rsid w:val="00D87242"/>
    <w:rsid w:val="00D90360"/>
    <w:rsid w:val="00DA07ED"/>
    <w:rsid w:val="00DA1155"/>
    <w:rsid w:val="00DB0549"/>
    <w:rsid w:val="00DC2200"/>
    <w:rsid w:val="00DC4DC2"/>
    <w:rsid w:val="00DC5505"/>
    <w:rsid w:val="00DE1E88"/>
    <w:rsid w:val="00DE3A97"/>
    <w:rsid w:val="00DE4D41"/>
    <w:rsid w:val="00DE76C6"/>
    <w:rsid w:val="00DE7845"/>
    <w:rsid w:val="00DF0B2F"/>
    <w:rsid w:val="00E11642"/>
    <w:rsid w:val="00E14185"/>
    <w:rsid w:val="00E15DA3"/>
    <w:rsid w:val="00E24356"/>
    <w:rsid w:val="00E25C6C"/>
    <w:rsid w:val="00E27501"/>
    <w:rsid w:val="00E32073"/>
    <w:rsid w:val="00E36E54"/>
    <w:rsid w:val="00E37F7D"/>
    <w:rsid w:val="00E4218D"/>
    <w:rsid w:val="00E448CA"/>
    <w:rsid w:val="00E507D1"/>
    <w:rsid w:val="00E529E7"/>
    <w:rsid w:val="00E61E5B"/>
    <w:rsid w:val="00E65A50"/>
    <w:rsid w:val="00E76382"/>
    <w:rsid w:val="00E7666B"/>
    <w:rsid w:val="00E80F95"/>
    <w:rsid w:val="00E96B35"/>
    <w:rsid w:val="00EA5B6B"/>
    <w:rsid w:val="00EA722D"/>
    <w:rsid w:val="00EB28A5"/>
    <w:rsid w:val="00EB661D"/>
    <w:rsid w:val="00EC0515"/>
    <w:rsid w:val="00EC38BA"/>
    <w:rsid w:val="00ED30C0"/>
    <w:rsid w:val="00ED3E50"/>
    <w:rsid w:val="00ED6CD3"/>
    <w:rsid w:val="00EF1712"/>
    <w:rsid w:val="00EF5BAB"/>
    <w:rsid w:val="00F03585"/>
    <w:rsid w:val="00F060DD"/>
    <w:rsid w:val="00F0698D"/>
    <w:rsid w:val="00F11BC4"/>
    <w:rsid w:val="00F14BA4"/>
    <w:rsid w:val="00F20164"/>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D0F0F"/>
    <w:rsid w:val="00FE7226"/>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6EA6"/>
    <w:pPr>
      <w:tabs>
        <w:tab w:val="center" w:pos="4703"/>
        <w:tab w:val="right" w:pos="9406"/>
      </w:tabs>
    </w:pPr>
  </w:style>
  <w:style w:type="paragraph" w:styleId="Footer">
    <w:name w:val="footer"/>
    <w:basedOn w:val="Normal"/>
    <w:link w:val="FooterChar"/>
    <w:rsid w:val="003C6EA6"/>
    <w:pPr>
      <w:tabs>
        <w:tab w:val="center" w:pos="4703"/>
        <w:tab w:val="right" w:pos="9406"/>
      </w:tabs>
    </w:pPr>
  </w:style>
  <w:style w:type="character" w:styleId="Hyperlink">
    <w:name w:val="Hyperlink"/>
    <w:basedOn w:val="DefaultParagraphFont"/>
    <w:rsid w:val="003C6EA6"/>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next w:val="Normal"/>
    <w:rsid w:val="006930B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bCs/>
      <w:sz w:val="28"/>
      <w:szCs w:val="40"/>
      <w:lang w:val="en-GB"/>
    </w:rPr>
  </w:style>
  <w:style w:type="paragraph" w:customStyle="1" w:styleId="heading-ib">
    <w:name w:val="heading-i_b"/>
    <w:basedOn w:val="Normal"/>
    <w:next w:val="Normal"/>
    <w:rsid w:val="006930BE"/>
    <w:pPr>
      <w:tabs>
        <w:tab w:val="left" w:pos="567"/>
        <w:tab w:val="left" w:pos="1134"/>
        <w:tab w:val="left" w:pos="1701"/>
        <w:tab w:val="left" w:pos="2268"/>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rPr>
  </w:style>
  <w:style w:type="paragraph" w:customStyle="1" w:styleId="Headingb">
    <w:name w:val="Heading_b"/>
    <w:basedOn w:val="Normal"/>
    <w:next w:val="Normal"/>
    <w:rsid w:val="006930BE"/>
    <w:pPr>
      <w:keepNext/>
      <w:tabs>
        <w:tab w:val="left" w:pos="794"/>
        <w:tab w:val="left" w:pos="1191"/>
        <w:tab w:val="left" w:pos="1588"/>
        <w:tab w:val="left" w:pos="1985"/>
      </w:tabs>
      <w:overflowPunct w:val="0"/>
      <w:autoSpaceDE w:val="0"/>
      <w:autoSpaceDN w:val="0"/>
      <w:adjustRightInd w:val="0"/>
      <w:spacing w:before="160"/>
      <w:textAlignment w:val="baseline"/>
    </w:pPr>
    <w:rPr>
      <w:b/>
      <w:lang w:val="en-GB"/>
    </w:rPr>
  </w:style>
  <w:style w:type="character" w:styleId="FollowedHyperlink">
    <w:name w:val="FollowedHyperlink"/>
    <w:basedOn w:val="DefaultParagraphFont"/>
    <w:rsid w:val="00787B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next w:val="Normal"/>
    <w:rsid w:val="006930B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bCs/>
      <w:sz w:val="28"/>
      <w:szCs w:val="40"/>
      <w:lang w:val="en-GB"/>
    </w:rPr>
  </w:style>
  <w:style w:type="paragraph" w:customStyle="1" w:styleId="heading-ib">
    <w:name w:val="heading-i_b"/>
    <w:basedOn w:val="Normal"/>
    <w:next w:val="Normal"/>
    <w:rsid w:val="006930BE"/>
    <w:pPr>
      <w:tabs>
        <w:tab w:val="left" w:pos="567"/>
        <w:tab w:val="left" w:pos="1134"/>
        <w:tab w:val="left" w:pos="1701"/>
        <w:tab w:val="left" w:pos="2268"/>
        <w:tab w:val="left" w:pos="2835"/>
      </w:tabs>
      <w:overflowPunct w:val="0"/>
      <w:autoSpaceDE w:val="0"/>
      <w:autoSpaceDN w:val="0"/>
      <w:adjustRightInd w:val="0"/>
      <w:spacing w:before="160"/>
      <w:jc w:val="left"/>
      <w:textAlignment w:val="baseline"/>
    </w:pPr>
    <w:rPr>
      <w:rFonts w:ascii="Times New Roman Bold" w:eastAsia="Batang" w:hAnsi="Times New Roman Bold"/>
      <w:b/>
      <w:bCs/>
      <w:i/>
      <w:iCs/>
      <w:lang w:val="en-GB"/>
    </w:rPr>
  </w:style>
  <w:style w:type="paragraph" w:customStyle="1" w:styleId="Headingb">
    <w:name w:val="Heading_b"/>
    <w:basedOn w:val="Normal"/>
    <w:next w:val="Normal"/>
    <w:rsid w:val="006930BE"/>
    <w:pPr>
      <w:keepNext/>
      <w:tabs>
        <w:tab w:val="left" w:pos="794"/>
        <w:tab w:val="left" w:pos="1191"/>
        <w:tab w:val="left" w:pos="1588"/>
        <w:tab w:val="left" w:pos="1985"/>
      </w:tabs>
      <w:overflowPunct w:val="0"/>
      <w:autoSpaceDE w:val="0"/>
      <w:autoSpaceDN w:val="0"/>
      <w:adjustRightInd w:val="0"/>
      <w:spacing w:before="160"/>
      <w:textAlignment w:val="baseline"/>
    </w:pPr>
    <w:rPr>
      <w:b/>
      <w:lang w:val="en-GB"/>
    </w:rPr>
  </w:style>
</w:styles>
</file>

<file path=word/webSettings.xml><?xml version="1.0" encoding="utf-8"?>
<w:webSettings xmlns:r="http://schemas.openxmlformats.org/officeDocument/2006/relationships" xmlns:w="http://schemas.openxmlformats.org/wordprocessingml/2006/main">
  <w:divs>
    <w:div w:id="438374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ipr/"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F5415-8F95-41B8-A306-F7722767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5723</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bettini</cp:lastModifiedBy>
  <cp:revision>2</cp:revision>
  <cp:lastPrinted>2011-05-05T10:36:00Z</cp:lastPrinted>
  <dcterms:created xsi:type="dcterms:W3CDTF">2011-05-13T08:44:00Z</dcterms:created>
  <dcterms:modified xsi:type="dcterms:W3CDTF">2011-05-13T08:44:00Z</dcterms:modified>
</cp:coreProperties>
</file>