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1" name="Picture 1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left" w:pos="5755"/>
        </w:tabs>
        <w:spacing w:before="0"/>
      </w:pPr>
    </w:p>
    <w:p w:rsidR="00C34772" w:rsidRDefault="00C34772" w:rsidP="00C2055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>
        <w:tab/>
        <w:t>Ginebra,</w:t>
      </w:r>
      <w:r w:rsidR="002363DB">
        <w:t xml:space="preserve"> </w:t>
      </w:r>
      <w:r w:rsidR="001F014D">
        <w:t>19 de abril de 2011</w:t>
      </w:r>
    </w:p>
    <w:p w:rsidR="00C34772" w:rsidRDefault="00C34772" w:rsidP="00303D62">
      <w:pPr>
        <w:spacing w:before="0" w:after="240"/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11"/>
        <w:gridCol w:w="4328"/>
      </w:tblGrid>
      <w:tr w:rsidR="00762E6E" w:rsidRPr="00004EA2" w:rsidTr="00762E6E">
        <w:trPr>
          <w:cantSplit/>
          <w:trHeight w:val="340"/>
        </w:trPr>
        <w:tc>
          <w:tcPr>
            <w:tcW w:w="1276" w:type="dxa"/>
          </w:tcPr>
          <w:p w:rsidR="00762E6E" w:rsidRPr="00E8677F" w:rsidRDefault="00762E6E" w:rsidP="00762E6E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</w:rPr>
              <w:t>Ref.:</w:t>
            </w:r>
          </w:p>
        </w:tc>
        <w:tc>
          <w:tcPr>
            <w:tcW w:w="4111" w:type="dxa"/>
          </w:tcPr>
          <w:p w:rsidR="00762E6E" w:rsidRPr="002363DB" w:rsidRDefault="00762E6E" w:rsidP="0029160B">
            <w:pPr>
              <w:spacing w:before="0"/>
              <w:rPr>
                <w:lang w:val="en-US"/>
              </w:rPr>
            </w:pPr>
            <w:r w:rsidRPr="002363DB">
              <w:rPr>
                <w:b/>
                <w:lang w:val="en-US"/>
              </w:rPr>
              <w:t>Circular TSB</w:t>
            </w:r>
            <w:r w:rsidR="0029160B">
              <w:rPr>
                <w:b/>
                <w:lang w:val="en-US"/>
              </w:rPr>
              <w:t xml:space="preserve"> </w:t>
            </w:r>
            <w:r w:rsidR="002363DB" w:rsidRPr="002363DB">
              <w:rPr>
                <w:b/>
                <w:lang w:val="en-US"/>
              </w:rPr>
              <w:t>186</w:t>
            </w:r>
            <w:r w:rsidRPr="002363DB">
              <w:rPr>
                <w:lang w:val="en-US"/>
              </w:rPr>
              <w:br/>
              <w:t xml:space="preserve">COM </w:t>
            </w:r>
            <w:r w:rsidR="002363DB" w:rsidRPr="002363DB">
              <w:rPr>
                <w:lang w:val="en-US"/>
              </w:rPr>
              <w:t>12</w:t>
            </w:r>
            <w:r w:rsidRPr="002363DB">
              <w:rPr>
                <w:lang w:val="en-US"/>
              </w:rPr>
              <w:t>/</w:t>
            </w:r>
            <w:r w:rsidR="002363DB">
              <w:rPr>
                <w:lang w:val="en-US"/>
              </w:rPr>
              <w:t>JKK</w:t>
            </w:r>
          </w:p>
          <w:p w:rsidR="00762E6E" w:rsidRPr="002363DB" w:rsidRDefault="00762E6E" w:rsidP="00762E6E">
            <w:pPr>
              <w:spacing w:before="0"/>
              <w:rPr>
                <w:lang w:val="en-US"/>
              </w:rPr>
            </w:pPr>
          </w:p>
        </w:tc>
        <w:tc>
          <w:tcPr>
            <w:tcW w:w="4328" w:type="dxa"/>
          </w:tcPr>
          <w:p w:rsidR="00762E6E" w:rsidRPr="00004EA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las Administraciones de los Estados Miembros de la Unión</w:t>
            </w:r>
          </w:p>
        </w:tc>
      </w:tr>
      <w:tr w:rsidR="00762E6E" w:rsidRPr="00004EA2" w:rsidTr="00762E6E">
        <w:trPr>
          <w:cantSplit/>
        </w:trPr>
        <w:tc>
          <w:tcPr>
            <w:tcW w:w="1276" w:type="dxa"/>
          </w:tcPr>
          <w:p w:rsidR="00762E6E" w:rsidRPr="00E8677F" w:rsidRDefault="00762E6E" w:rsidP="00762E6E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</w:rPr>
              <w:t>Tel.:</w:t>
            </w:r>
            <w:r w:rsidRPr="00E8677F">
              <w:rPr>
                <w:lang w:val="ru-RU"/>
              </w:rPr>
              <w:br/>
            </w:r>
            <w:r>
              <w:rPr>
                <w:rFonts w:ascii="Futura Lt BT" w:hAnsi="Futura Lt BT"/>
                <w:sz w:val="20"/>
                <w:lang w:val="es-ES"/>
              </w:rPr>
              <w:t>Fax.:</w:t>
            </w:r>
            <w:r w:rsidRPr="00E8677F">
              <w:rPr>
                <w:lang w:val="ru-RU"/>
              </w:rPr>
              <w:br/>
            </w:r>
            <w:r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4111" w:type="dxa"/>
          </w:tcPr>
          <w:p w:rsidR="00762E6E" w:rsidRPr="00E8677F" w:rsidRDefault="00762E6E" w:rsidP="00762E6E">
            <w:pPr>
              <w:spacing w:before="0"/>
              <w:rPr>
                <w:lang w:val="ru-RU"/>
              </w:rPr>
            </w:pPr>
            <w:r w:rsidRPr="00E8677F">
              <w:rPr>
                <w:lang w:val="ru-RU"/>
              </w:rPr>
              <w:t>+41 22 730</w:t>
            </w:r>
            <w:r w:rsidR="002363DB">
              <w:t xml:space="preserve"> 5780</w:t>
            </w:r>
            <w:r w:rsidRPr="00E8677F">
              <w:rPr>
                <w:lang w:val="ru-RU"/>
              </w:rPr>
              <w:br/>
              <w:t>+41 22 730 5853</w:t>
            </w:r>
            <w:r w:rsidRPr="00E8677F">
              <w:rPr>
                <w:lang w:val="ru-RU"/>
              </w:rPr>
              <w:br/>
            </w:r>
            <w:hyperlink r:id="rId9" w:history="1">
              <w:r w:rsidR="00E81425" w:rsidRPr="00F406FE">
                <w:rPr>
                  <w:rStyle w:val="Hyperlink"/>
                  <w:lang w:val="ru-RU"/>
                </w:rPr>
                <w:t>tsbsg</w:t>
              </w:r>
              <w:r w:rsidR="00E81425" w:rsidRPr="00F406FE">
                <w:rPr>
                  <w:rStyle w:val="Hyperlink"/>
                  <w:lang w:val="en-US"/>
                </w:rPr>
                <w:t>12</w:t>
              </w:r>
              <w:r w:rsidR="00E81425" w:rsidRPr="00F406FE">
                <w:rPr>
                  <w:rStyle w:val="Hyperlink"/>
                  <w:lang w:val="ru-RU"/>
                </w:rPr>
                <w:t>@itu.in</w:t>
              </w:r>
              <w:proofErr w:type="spellStart"/>
              <w:r w:rsidR="00E81425" w:rsidRPr="00F406FE">
                <w:rPr>
                  <w:rStyle w:val="Hyperlink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328" w:type="dxa"/>
          </w:tcPr>
          <w:p w:rsidR="00762E6E" w:rsidRPr="00004EA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rPr>
                <w:b/>
                <w:lang w:val="es-ES"/>
              </w:rPr>
              <w:t>Copia:</w:t>
            </w:r>
          </w:p>
          <w:p w:rsidR="00762E6E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t>–</w:t>
            </w:r>
            <w:r>
              <w:rPr>
                <w:lang w:val="es-ES"/>
              </w:rPr>
              <w:tab/>
              <w:t>A los Miembros del Sector UIT-T;</w:t>
            </w:r>
          </w:p>
          <w:p w:rsidR="00762E6E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A los Asociados del UIT-T;</w:t>
            </w:r>
          </w:p>
          <w:p w:rsidR="00762E6E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 las Instituciones Académicas del UIT</w:t>
            </w:r>
            <w:r>
              <w:rPr>
                <w:lang w:val="es-ES"/>
              </w:rPr>
              <w:noBreakHyphen/>
            </w:r>
            <w:r w:rsidRPr="00004EA2">
              <w:rPr>
                <w:lang w:val="es-ES"/>
              </w:rPr>
              <w:t>T;</w:t>
            </w:r>
          </w:p>
          <w:p w:rsidR="00762E6E" w:rsidRPr="00004EA2" w:rsidRDefault="00762E6E" w:rsidP="002363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004EA2">
              <w:rPr>
                <w:lang w:val="es-ES"/>
              </w:rPr>
              <w:t xml:space="preserve">Al Presidente y a los Vicepresidentes </w:t>
            </w:r>
            <w:r w:rsidRPr="00004EA2">
              <w:rPr>
                <w:lang w:val="es-ES"/>
              </w:rPr>
              <w:br/>
              <w:t xml:space="preserve">de la Comisión de Estudio </w:t>
            </w:r>
            <w:r w:rsidR="002363DB">
              <w:rPr>
                <w:lang w:val="es-ES"/>
              </w:rPr>
              <w:t>12</w:t>
            </w:r>
            <w:r w:rsidRPr="00004EA2">
              <w:rPr>
                <w:lang w:val="es-ES"/>
              </w:rPr>
              <w:t>;</w:t>
            </w:r>
          </w:p>
          <w:p w:rsidR="00762E6E" w:rsidRPr="00004EA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 de la Oficina de Desarrollo</w:t>
            </w:r>
            <w:r w:rsidRPr="00004EA2">
              <w:rPr>
                <w:lang w:val="es-ES"/>
              </w:rPr>
              <w:br/>
              <w:t>de las Telecomunicaciones;</w:t>
            </w:r>
          </w:p>
          <w:p w:rsidR="00762E6E" w:rsidRPr="00004EA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</w:t>
            </w:r>
            <w:r w:rsidRPr="00004EA2">
              <w:t xml:space="preserve"> de la Oficina de Radiocomunicaciones</w:t>
            </w:r>
          </w:p>
        </w:tc>
      </w:tr>
    </w:tbl>
    <w:p w:rsidR="00762E6E" w:rsidRDefault="00762E6E" w:rsidP="00762E6E">
      <w:pPr>
        <w:spacing w:before="0" w:after="240"/>
      </w:pPr>
    </w:p>
    <w:tbl>
      <w:tblPr>
        <w:tblW w:w="60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820"/>
      </w:tblGrid>
      <w:tr w:rsidR="00762E6E" w:rsidRPr="00E8677F" w:rsidTr="00E94A96">
        <w:trPr>
          <w:cantSplit/>
        </w:trPr>
        <w:tc>
          <w:tcPr>
            <w:tcW w:w="1276" w:type="dxa"/>
          </w:tcPr>
          <w:p w:rsidR="00762E6E" w:rsidRPr="00E8677F" w:rsidRDefault="00762E6E" w:rsidP="00762E6E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  <w:lang w:val="es-ES"/>
              </w:rPr>
              <w:t>Asunto:</w:t>
            </w:r>
          </w:p>
        </w:tc>
        <w:tc>
          <w:tcPr>
            <w:tcW w:w="4820" w:type="dxa"/>
          </w:tcPr>
          <w:p w:rsidR="00762E6E" w:rsidRPr="00516D7E" w:rsidRDefault="007D76BF" w:rsidP="0029160B">
            <w:pPr>
              <w:spacing w:before="0"/>
              <w:rPr>
                <w:b/>
                <w:bCs/>
              </w:rPr>
            </w:pPr>
            <w:r>
              <w:rPr>
                <w:b/>
                <w:lang w:val="es-ES"/>
              </w:rPr>
              <w:t>S</w:t>
            </w:r>
            <w:r w:rsidR="00762E6E">
              <w:rPr>
                <w:b/>
                <w:lang w:val="es-ES"/>
              </w:rPr>
              <w:t>upresión de las Cuesti</w:t>
            </w:r>
            <w:r w:rsidR="0029160B">
              <w:rPr>
                <w:b/>
                <w:lang w:val="es-ES"/>
              </w:rPr>
              <w:t>o</w:t>
            </w:r>
            <w:r w:rsidR="00762E6E">
              <w:rPr>
                <w:b/>
                <w:lang w:val="es-ES"/>
              </w:rPr>
              <w:t>n</w:t>
            </w:r>
            <w:r w:rsidR="0029160B">
              <w:rPr>
                <w:b/>
                <w:lang w:val="es-ES"/>
              </w:rPr>
              <w:t>es</w:t>
            </w:r>
            <w:r w:rsidR="00516D7E">
              <w:rPr>
                <w:b/>
                <w:lang w:val="es-ES"/>
              </w:rPr>
              <w:t xml:space="preserve"> 10/12 y 2/12</w:t>
            </w:r>
          </w:p>
        </w:tc>
      </w:tr>
    </w:tbl>
    <w:p w:rsidR="00C34772" w:rsidRDefault="00C34772" w:rsidP="00303D62">
      <w:pPr>
        <w:ind w:left="-198"/>
        <w:rPr>
          <w:rFonts w:ascii="Century Gothic" w:hAnsi="Century Gothic"/>
          <w:color w:val="FFFFFF"/>
          <w:sz w:val="16"/>
          <w:lang w:val="es-ES"/>
        </w:rPr>
      </w:pPr>
    </w:p>
    <w:p w:rsidR="00C34772" w:rsidRDefault="00C34772" w:rsidP="00303D62">
      <w:pPr>
        <w:rPr>
          <w:lang w:val="es-ES"/>
        </w:rPr>
      </w:pPr>
      <w:r>
        <w:rPr>
          <w:lang w:val="es-ES"/>
        </w:rPr>
        <w:t>Muy Señora mía/Muy Señor mío:</w:t>
      </w:r>
    </w:p>
    <w:p w:rsidR="00C34772" w:rsidRDefault="00C34772" w:rsidP="0029160B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 xml:space="preserve">Por la Circular TSB </w:t>
      </w:r>
      <w:r w:rsidR="00516D7E">
        <w:rPr>
          <w:lang w:val="es-ES"/>
        </w:rPr>
        <w:t>16</w:t>
      </w:r>
      <w:r w:rsidR="0029160B">
        <w:rPr>
          <w:lang w:val="es-ES"/>
        </w:rPr>
        <w:t>9</w:t>
      </w:r>
      <w:r>
        <w:rPr>
          <w:lang w:val="es-ES"/>
        </w:rPr>
        <w:t xml:space="preserve"> del </w:t>
      </w:r>
      <w:r w:rsidR="00516D7E">
        <w:rPr>
          <w:lang w:val="es-ES"/>
        </w:rPr>
        <w:t>18 de febrero de 2011</w:t>
      </w:r>
      <w:r>
        <w:rPr>
          <w:lang w:val="es-ES"/>
        </w:rPr>
        <w:t xml:space="preserve">, y a petición de los Miembros presentes en la reunión de la Comisión de Estudio </w:t>
      </w:r>
      <w:r w:rsidR="00516D7E">
        <w:rPr>
          <w:lang w:val="es-ES"/>
        </w:rPr>
        <w:t>12</w:t>
      </w:r>
      <w:r>
        <w:rPr>
          <w:lang w:val="es-ES"/>
        </w:rPr>
        <w:t xml:space="preserve"> (Ginebra, </w:t>
      </w:r>
      <w:r w:rsidR="00516D7E">
        <w:rPr>
          <w:lang w:val="es-ES"/>
        </w:rPr>
        <w:t>18 al 27 de enero de 2011</w:t>
      </w:r>
      <w:r>
        <w:rPr>
          <w:lang w:val="es-ES"/>
        </w:rPr>
        <w:t>), se propuso suprimir las Cuesti</w:t>
      </w:r>
      <w:r w:rsidR="0029160B">
        <w:rPr>
          <w:lang w:val="es-ES"/>
        </w:rPr>
        <w:t>o</w:t>
      </w:r>
      <w:r>
        <w:rPr>
          <w:lang w:val="es-ES"/>
        </w:rPr>
        <w:t>n</w:t>
      </w:r>
      <w:r w:rsidR="0029160B">
        <w:rPr>
          <w:lang w:val="es-ES"/>
        </w:rPr>
        <w:t>es</w:t>
      </w:r>
      <w:r>
        <w:rPr>
          <w:lang w:val="es-ES"/>
        </w:rPr>
        <w:t xml:space="preserve"> mencionadas arriba, de conformidad con las disposiciones de la Resolución 1, Sección 7, de la AMNT (</w:t>
      </w:r>
      <w:r>
        <w:t>Johannesburgo, 2008</w:t>
      </w:r>
      <w:r>
        <w:rPr>
          <w:lang w:val="es-ES"/>
        </w:rPr>
        <w:t>).</w:t>
      </w:r>
    </w:p>
    <w:p w:rsidR="00C34772" w:rsidRDefault="00C34772" w:rsidP="0029160B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El </w:t>
      </w:r>
      <w:r w:rsidR="00516D7E">
        <w:rPr>
          <w:lang w:val="es-ES"/>
        </w:rPr>
        <w:t>18 de abril de 2011</w:t>
      </w:r>
      <w:r>
        <w:rPr>
          <w:lang w:val="es-ES"/>
        </w:rPr>
        <w:t xml:space="preserve"> se cumplieron las condiciones de supresión de estas Cuesti</w:t>
      </w:r>
      <w:r w:rsidR="0029160B">
        <w:rPr>
          <w:lang w:val="es-ES"/>
        </w:rPr>
        <w:t>o</w:t>
      </w:r>
      <w:r>
        <w:rPr>
          <w:lang w:val="es-ES"/>
        </w:rPr>
        <w:t>nes.</w:t>
      </w:r>
    </w:p>
    <w:p w:rsidR="00C34772" w:rsidRPr="0029160B" w:rsidRDefault="00C34772" w:rsidP="000F5B1B">
      <w:pPr>
        <w:rPr>
          <w:bCs/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0F5B1B">
        <w:rPr>
          <w:lang w:val="es-ES"/>
        </w:rPr>
        <w:t>N</w:t>
      </w:r>
      <w:r>
        <w:rPr>
          <w:lang w:val="es-ES"/>
        </w:rPr>
        <w:t xml:space="preserve">o se </w:t>
      </w:r>
      <w:r w:rsidR="000F5B1B">
        <w:rPr>
          <w:lang w:val="es-ES"/>
        </w:rPr>
        <w:t xml:space="preserve">ha </w:t>
      </w:r>
      <w:r>
        <w:rPr>
          <w:lang w:val="es-ES"/>
        </w:rPr>
        <w:t>recibi</w:t>
      </w:r>
      <w:r w:rsidR="000F5B1B">
        <w:rPr>
          <w:lang w:val="es-ES"/>
        </w:rPr>
        <w:t>do</w:t>
      </w:r>
      <w:r>
        <w:rPr>
          <w:lang w:val="es-ES"/>
        </w:rPr>
        <w:t xml:space="preserve"> ninguna objeción a la supresión.</w:t>
      </w:r>
      <w:r w:rsidR="000F5B1B">
        <w:rPr>
          <w:lang w:val="es-ES"/>
        </w:rPr>
        <w:t xml:space="preserve"> </w:t>
      </w:r>
      <w:r>
        <w:rPr>
          <w:b/>
          <w:lang w:val="es-ES"/>
        </w:rPr>
        <w:t xml:space="preserve">Quedan, por tanto, </w:t>
      </w:r>
      <w:r w:rsidRPr="0029160B">
        <w:rPr>
          <w:b/>
          <w:lang w:val="es-ES"/>
        </w:rPr>
        <w:t>suprimidas</w:t>
      </w:r>
      <w:bookmarkStart w:id="0" w:name="_GoBack"/>
      <w:r w:rsidRPr="0029160B">
        <w:rPr>
          <w:bCs/>
          <w:lang w:val="es-ES"/>
        </w:rPr>
        <w:t xml:space="preserve"> </w:t>
      </w:r>
      <w:bookmarkEnd w:id="0"/>
      <w:r w:rsidRPr="0029160B">
        <w:rPr>
          <w:bCs/>
          <w:lang w:val="es-ES"/>
        </w:rPr>
        <w:t>las Cuesti</w:t>
      </w:r>
      <w:r w:rsidR="000F5B1B" w:rsidRPr="0029160B">
        <w:rPr>
          <w:bCs/>
          <w:lang w:val="es-ES"/>
        </w:rPr>
        <w:t>o</w:t>
      </w:r>
      <w:r w:rsidRPr="0029160B">
        <w:rPr>
          <w:bCs/>
          <w:lang w:val="es-ES"/>
        </w:rPr>
        <w:t xml:space="preserve">nes </w:t>
      </w:r>
      <w:r w:rsidR="000F5B1B" w:rsidRPr="0029160B">
        <w:rPr>
          <w:bCs/>
          <w:lang w:val="es-ES"/>
        </w:rPr>
        <w:t>siguientes:</w:t>
      </w:r>
    </w:p>
    <w:p w:rsidR="000F5B1B" w:rsidRDefault="000F5B1B" w:rsidP="001F014D">
      <w:pPr>
        <w:ind w:left="1985" w:hanging="1985"/>
        <w:rPr>
          <w:b/>
          <w:bCs/>
          <w:color w:val="000000"/>
          <w:szCs w:val="24"/>
        </w:rPr>
      </w:pPr>
      <w:r>
        <w:rPr>
          <w:b/>
          <w:lang w:val="es-ES"/>
        </w:rPr>
        <w:t>Cuestión 10/12:</w:t>
      </w:r>
      <w:r>
        <w:rPr>
          <w:b/>
          <w:lang w:val="es-ES"/>
        </w:rPr>
        <w:tab/>
      </w:r>
      <w:r w:rsidR="001F014D" w:rsidRPr="001F014D">
        <w:rPr>
          <w:b/>
          <w:bCs/>
          <w:color w:val="000000"/>
          <w:szCs w:val="24"/>
        </w:rPr>
        <w:t>Planificación de la transmisión y consideraciones relativas la calidad de funcionamiento para los servicios en banda vocal, de datos y multimedios</w:t>
      </w:r>
    </w:p>
    <w:p w:rsidR="001F014D" w:rsidRDefault="001F014D" w:rsidP="001F014D">
      <w:pPr>
        <w:ind w:left="1985" w:hanging="1985"/>
        <w:rPr>
          <w:b/>
          <w:lang w:val="es-ES"/>
        </w:rPr>
      </w:pPr>
      <w:r>
        <w:rPr>
          <w:b/>
          <w:lang w:val="es-ES"/>
        </w:rPr>
        <w:t>Cuestión 2/12: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1F014D">
        <w:rPr>
          <w:b/>
          <w:bCs/>
          <w:color w:val="000000"/>
          <w:szCs w:val="24"/>
        </w:rPr>
        <w:t>Consideraciones relativas a la calidad de funcionamiento de los multimedios para pasarelas IP</w:t>
      </w:r>
    </w:p>
    <w:p w:rsidR="00C34772" w:rsidRDefault="00C34772" w:rsidP="001B6D41">
      <w:pPr>
        <w:rPr>
          <w:lang w:val="es-ES"/>
        </w:rPr>
      </w:pPr>
      <w:r>
        <w:rPr>
          <w:lang w:val="es-ES"/>
        </w:rPr>
        <w:t>Le saluda muy atentamente</w:t>
      </w:r>
      <w:r w:rsidR="001B6D41">
        <w:rPr>
          <w:lang w:val="es-ES"/>
        </w:rPr>
        <w:t>.</w:t>
      </w:r>
    </w:p>
    <w:p w:rsidR="00E81425" w:rsidRDefault="00E81425" w:rsidP="001F014D">
      <w:pPr>
        <w:spacing w:before="720"/>
      </w:pPr>
    </w:p>
    <w:p w:rsidR="00401C20" w:rsidRPr="001B6D41" w:rsidRDefault="00C34772" w:rsidP="001F014D">
      <w:pPr>
        <w:spacing w:before="720"/>
      </w:pPr>
      <w:r w:rsidRPr="00140D45">
        <w:t>Malcolm Johnson</w:t>
      </w:r>
      <w:r>
        <w:rPr>
          <w:lang w:val="es-ES"/>
        </w:rPr>
        <w:br/>
        <w:t>Director de la Oficina de</w:t>
      </w:r>
      <w:r>
        <w:rPr>
          <w:lang w:val="es-ES"/>
        </w:rPr>
        <w:br/>
        <w:t>Normalización de las Telecomunicaciones</w:t>
      </w:r>
    </w:p>
    <w:sectPr w:rsidR="00401C20" w:rsidRPr="001B6D41" w:rsidSect="00ED52FF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0B" w:rsidRDefault="0029160B">
      <w:r>
        <w:separator/>
      </w:r>
    </w:p>
  </w:endnote>
  <w:endnote w:type="continuationSeparator" w:id="0">
    <w:p w:rsidR="0029160B" w:rsidRDefault="0029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0B" w:rsidRPr="00B52EE6" w:rsidRDefault="00D9270A" w:rsidP="00303D62">
    <w:pPr>
      <w:pStyle w:val="Footer"/>
      <w:rPr>
        <w:lang w:val="en-US"/>
      </w:rPr>
    </w:pPr>
    <w:fldSimple w:instr=" FILENAME \p  \* MERGEFORMAT ">
      <w:r w:rsidR="00B52EE6" w:rsidRPr="00B52EE6">
        <w:rPr>
          <w:noProof/>
          <w:sz w:val="16"/>
          <w:szCs w:val="16"/>
          <w:lang w:val="en-US"/>
        </w:rPr>
        <w:t>M:\SG_DOC\SG12\Circulars_09-12\186S.DOCX</w:t>
      </w:r>
    </w:fldSimple>
    <w:r w:rsidR="0029160B" w:rsidRPr="00B52EE6">
      <w:rPr>
        <w:noProof/>
        <w:sz w:val="16"/>
        <w:szCs w:val="16"/>
        <w:lang w:val="en-US"/>
      </w:rPr>
      <w:t xml:space="preserve"> (305381)</w:t>
    </w:r>
    <w:r w:rsidR="0029160B" w:rsidRPr="00B52EE6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="0029160B"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345E79">
      <w:rPr>
        <w:noProof/>
        <w:sz w:val="16"/>
        <w:szCs w:val="16"/>
      </w:rPr>
      <w:t>13.05.11</w:t>
    </w:r>
    <w:r w:rsidRPr="00303D62">
      <w:rPr>
        <w:sz w:val="16"/>
        <w:szCs w:val="16"/>
      </w:rPr>
      <w:fldChar w:fldCharType="end"/>
    </w:r>
    <w:r w:rsidR="0029160B" w:rsidRPr="00B52EE6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="0029160B"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B52EE6">
      <w:rPr>
        <w:noProof/>
        <w:sz w:val="16"/>
        <w:szCs w:val="16"/>
      </w:rPr>
      <w:t>13.05.11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29160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9160B" w:rsidRDefault="0029160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9160B" w:rsidRDefault="0029160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9160B" w:rsidRDefault="0029160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9160B" w:rsidRDefault="0029160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9160B">
      <w:tc>
        <w:tcPr>
          <w:tcW w:w="1985" w:type="dxa"/>
        </w:tcPr>
        <w:p w:rsidR="0029160B" w:rsidRDefault="0029160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9160B" w:rsidRDefault="0029160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9160B" w:rsidRDefault="0029160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9160B" w:rsidRDefault="0029160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29160B">
      <w:tc>
        <w:tcPr>
          <w:tcW w:w="1985" w:type="dxa"/>
        </w:tcPr>
        <w:p w:rsidR="0029160B" w:rsidRDefault="0029160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9160B" w:rsidRDefault="0029160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9160B" w:rsidRDefault="0029160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29160B" w:rsidRDefault="0029160B">
          <w:pPr>
            <w:pStyle w:val="FirstFooter"/>
            <w:rPr>
              <w:rFonts w:ascii="Futura Lt BT" w:hAnsi="Futura Lt BT"/>
            </w:rPr>
          </w:pPr>
        </w:p>
      </w:tc>
    </w:tr>
  </w:tbl>
  <w:p w:rsidR="0029160B" w:rsidRPr="00E81425" w:rsidRDefault="0029160B" w:rsidP="00E81425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0B" w:rsidRDefault="0029160B">
      <w:r>
        <w:t>____________________</w:t>
      </w:r>
    </w:p>
  </w:footnote>
  <w:footnote w:type="continuationSeparator" w:id="0">
    <w:p w:rsidR="0029160B" w:rsidRDefault="0029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0B" w:rsidRPr="00303D62" w:rsidRDefault="0029160B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D9270A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D9270A" w:rsidRPr="00303D6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D9270A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C382F"/>
    <w:rsid w:val="000F5B1B"/>
    <w:rsid w:val="001173CC"/>
    <w:rsid w:val="00133081"/>
    <w:rsid w:val="001A54CC"/>
    <w:rsid w:val="001B6D41"/>
    <w:rsid w:val="001F014D"/>
    <w:rsid w:val="002363DB"/>
    <w:rsid w:val="00257FB4"/>
    <w:rsid w:val="0029160B"/>
    <w:rsid w:val="00303D62"/>
    <w:rsid w:val="00335367"/>
    <w:rsid w:val="00345E79"/>
    <w:rsid w:val="00370C2D"/>
    <w:rsid w:val="003D1E8D"/>
    <w:rsid w:val="003D673B"/>
    <w:rsid w:val="003F2855"/>
    <w:rsid w:val="00401C20"/>
    <w:rsid w:val="004C4144"/>
    <w:rsid w:val="004F10B9"/>
    <w:rsid w:val="00516D7E"/>
    <w:rsid w:val="006969B4"/>
    <w:rsid w:val="00762E6E"/>
    <w:rsid w:val="007810DA"/>
    <w:rsid w:val="00781E2A"/>
    <w:rsid w:val="007D76BF"/>
    <w:rsid w:val="008258C2"/>
    <w:rsid w:val="008505BD"/>
    <w:rsid w:val="00850C78"/>
    <w:rsid w:val="008C17AD"/>
    <w:rsid w:val="008D02CD"/>
    <w:rsid w:val="0095172A"/>
    <w:rsid w:val="00A54E47"/>
    <w:rsid w:val="00AE7093"/>
    <w:rsid w:val="00B422BC"/>
    <w:rsid w:val="00B43F77"/>
    <w:rsid w:val="00B52EE6"/>
    <w:rsid w:val="00B95F0A"/>
    <w:rsid w:val="00B96180"/>
    <w:rsid w:val="00C17AC0"/>
    <w:rsid w:val="00C20553"/>
    <w:rsid w:val="00C34772"/>
    <w:rsid w:val="00D9270A"/>
    <w:rsid w:val="00DD77C9"/>
    <w:rsid w:val="00E81425"/>
    <w:rsid w:val="00E839B0"/>
    <w:rsid w:val="00E92C09"/>
    <w:rsid w:val="00E94A96"/>
    <w:rsid w:val="00ED52FF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2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52F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52F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D52F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D52F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D52F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D52F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D52F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D52F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D52F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ED52FF"/>
    <w:rPr>
      <w:vertAlign w:val="superscript"/>
    </w:rPr>
  </w:style>
  <w:style w:type="paragraph" w:styleId="TOC8">
    <w:name w:val="toc 8"/>
    <w:basedOn w:val="TOC3"/>
    <w:rsid w:val="00ED52FF"/>
  </w:style>
  <w:style w:type="paragraph" w:styleId="TOC7">
    <w:name w:val="toc 7"/>
    <w:basedOn w:val="TOC3"/>
    <w:rsid w:val="00ED52FF"/>
  </w:style>
  <w:style w:type="paragraph" w:styleId="TOC6">
    <w:name w:val="toc 6"/>
    <w:basedOn w:val="TOC3"/>
    <w:rsid w:val="00ED52FF"/>
  </w:style>
  <w:style w:type="paragraph" w:styleId="TOC5">
    <w:name w:val="toc 5"/>
    <w:basedOn w:val="TOC3"/>
    <w:rsid w:val="00ED52FF"/>
  </w:style>
  <w:style w:type="paragraph" w:styleId="TOC4">
    <w:name w:val="toc 4"/>
    <w:basedOn w:val="TOC3"/>
    <w:rsid w:val="00ED52FF"/>
  </w:style>
  <w:style w:type="paragraph" w:styleId="TOC3">
    <w:name w:val="toc 3"/>
    <w:basedOn w:val="TOC2"/>
    <w:rsid w:val="00ED52FF"/>
    <w:pPr>
      <w:spacing w:before="80"/>
    </w:pPr>
  </w:style>
  <w:style w:type="paragraph" w:styleId="TOC2">
    <w:name w:val="toc 2"/>
    <w:basedOn w:val="TOC1"/>
    <w:rsid w:val="00ED52FF"/>
    <w:pPr>
      <w:spacing w:before="120"/>
    </w:pPr>
  </w:style>
  <w:style w:type="paragraph" w:styleId="TOC1">
    <w:name w:val="toc 1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D52FF"/>
    <w:pPr>
      <w:ind w:left="1698"/>
    </w:pPr>
  </w:style>
  <w:style w:type="paragraph" w:styleId="Index6">
    <w:name w:val="index 6"/>
    <w:basedOn w:val="Normal"/>
    <w:next w:val="Normal"/>
    <w:semiHidden/>
    <w:rsid w:val="00ED52FF"/>
    <w:pPr>
      <w:ind w:left="1415"/>
    </w:pPr>
  </w:style>
  <w:style w:type="paragraph" w:styleId="Index5">
    <w:name w:val="index 5"/>
    <w:basedOn w:val="Normal"/>
    <w:next w:val="Normal"/>
    <w:semiHidden/>
    <w:rsid w:val="00ED52FF"/>
    <w:pPr>
      <w:ind w:left="1132"/>
    </w:pPr>
  </w:style>
  <w:style w:type="paragraph" w:styleId="Index4">
    <w:name w:val="index 4"/>
    <w:basedOn w:val="Normal"/>
    <w:next w:val="Normal"/>
    <w:semiHidden/>
    <w:rsid w:val="00ED52FF"/>
    <w:pPr>
      <w:ind w:left="849"/>
    </w:pPr>
  </w:style>
  <w:style w:type="paragraph" w:styleId="Index3">
    <w:name w:val="index 3"/>
    <w:basedOn w:val="Normal"/>
    <w:next w:val="Normal"/>
    <w:rsid w:val="00ED52FF"/>
    <w:pPr>
      <w:ind w:left="566"/>
    </w:pPr>
  </w:style>
  <w:style w:type="paragraph" w:styleId="Index2">
    <w:name w:val="index 2"/>
    <w:basedOn w:val="Normal"/>
    <w:next w:val="Normal"/>
    <w:rsid w:val="00ED52FF"/>
    <w:pPr>
      <w:ind w:left="283"/>
    </w:pPr>
  </w:style>
  <w:style w:type="paragraph" w:styleId="Index1">
    <w:name w:val="index 1"/>
    <w:basedOn w:val="Normal"/>
    <w:next w:val="Normal"/>
    <w:rsid w:val="00ED52FF"/>
  </w:style>
  <w:style w:type="character" w:styleId="LineNumber">
    <w:name w:val="line number"/>
    <w:basedOn w:val="DefaultParagraphFont"/>
    <w:rsid w:val="00ED52FF"/>
  </w:style>
  <w:style w:type="paragraph" w:styleId="IndexHeading">
    <w:name w:val="index heading"/>
    <w:basedOn w:val="Normal"/>
    <w:next w:val="Index1"/>
    <w:semiHidden/>
    <w:rsid w:val="00ED52FF"/>
  </w:style>
  <w:style w:type="paragraph" w:styleId="Footer">
    <w:name w:val="footer"/>
    <w:basedOn w:val="Normal"/>
    <w:link w:val="FooterChar"/>
    <w:rsid w:val="00ED5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D5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ED52FF"/>
    <w:rPr>
      <w:position w:val="6"/>
      <w:sz w:val="16"/>
    </w:rPr>
  </w:style>
  <w:style w:type="paragraph" w:styleId="FootnoteText">
    <w:name w:val="footnote text"/>
    <w:basedOn w:val="Normal"/>
    <w:rsid w:val="00ED52F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52FF"/>
    <w:pPr>
      <w:ind w:left="794"/>
    </w:pPr>
  </w:style>
  <w:style w:type="paragraph" w:customStyle="1" w:styleId="TableLegend">
    <w:name w:val="Table_Legend"/>
    <w:basedOn w:val="TableText"/>
    <w:rsid w:val="00ED52FF"/>
    <w:pPr>
      <w:spacing w:before="120"/>
    </w:pPr>
  </w:style>
  <w:style w:type="paragraph" w:customStyle="1" w:styleId="TableText">
    <w:name w:val="Table_Text"/>
    <w:basedOn w:val="Normal"/>
    <w:rsid w:val="00ED5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52F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52F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52FF"/>
    <w:pPr>
      <w:spacing w:before="80"/>
      <w:ind w:left="794" w:hanging="794"/>
    </w:pPr>
  </w:style>
  <w:style w:type="paragraph" w:customStyle="1" w:styleId="enumlev2">
    <w:name w:val="enumlev2"/>
    <w:basedOn w:val="enumlev1"/>
    <w:rsid w:val="00ED52FF"/>
    <w:pPr>
      <w:ind w:left="1191" w:hanging="397"/>
    </w:pPr>
  </w:style>
  <w:style w:type="paragraph" w:customStyle="1" w:styleId="enumlev3">
    <w:name w:val="enumlev3"/>
    <w:basedOn w:val="enumlev2"/>
    <w:rsid w:val="00ED52FF"/>
    <w:pPr>
      <w:ind w:left="1588"/>
    </w:pPr>
  </w:style>
  <w:style w:type="paragraph" w:customStyle="1" w:styleId="TableHead">
    <w:name w:val="Table_Head"/>
    <w:basedOn w:val="TableText"/>
    <w:rsid w:val="00ED52F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5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52FF"/>
    <w:pPr>
      <w:spacing w:before="480"/>
    </w:pPr>
  </w:style>
  <w:style w:type="paragraph" w:customStyle="1" w:styleId="FigureTitle">
    <w:name w:val="Figure_Title"/>
    <w:basedOn w:val="TableTitle"/>
    <w:next w:val="Normal"/>
    <w:rsid w:val="00ED52F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52F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52F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D52F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D52FF"/>
  </w:style>
  <w:style w:type="paragraph" w:customStyle="1" w:styleId="AppendixRef">
    <w:name w:val="Appendix_Ref"/>
    <w:basedOn w:val="AnnexRef"/>
    <w:next w:val="AppendixTitle"/>
    <w:rsid w:val="00ED52FF"/>
  </w:style>
  <w:style w:type="paragraph" w:customStyle="1" w:styleId="AppendixTitle">
    <w:name w:val="Appendix_Title"/>
    <w:basedOn w:val="AnnexTitle"/>
    <w:next w:val="Normal"/>
    <w:rsid w:val="00ED52FF"/>
  </w:style>
  <w:style w:type="paragraph" w:customStyle="1" w:styleId="RefTitle">
    <w:name w:val="Ref_Title"/>
    <w:basedOn w:val="Normal"/>
    <w:next w:val="RefText"/>
    <w:rsid w:val="00ED52F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52FF"/>
    <w:pPr>
      <w:ind w:left="794" w:hanging="794"/>
    </w:pPr>
  </w:style>
  <w:style w:type="paragraph" w:customStyle="1" w:styleId="Equation">
    <w:name w:val="Equation"/>
    <w:basedOn w:val="Normal"/>
    <w:rsid w:val="00ED52F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D52F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D52FF"/>
    <w:pPr>
      <w:spacing w:before="320"/>
    </w:pPr>
  </w:style>
  <w:style w:type="paragraph" w:customStyle="1" w:styleId="call">
    <w:name w:val="call"/>
    <w:basedOn w:val="Normal"/>
    <w:next w:val="Normal"/>
    <w:rsid w:val="00ED52F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52F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52F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52F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52F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D52F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ED52F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52F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ED52FF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ED52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ED52F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ED52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ED52F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ED52FF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ED52FF"/>
  </w:style>
  <w:style w:type="paragraph" w:customStyle="1" w:styleId="listitem">
    <w:name w:val="listitem"/>
    <w:basedOn w:val="Normal"/>
    <w:rsid w:val="00ED52F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ED52FF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ED52F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52FF"/>
    <w:pPr>
      <w:tabs>
        <w:tab w:val="left" w:pos="397"/>
      </w:tabs>
    </w:pPr>
  </w:style>
  <w:style w:type="paragraph" w:customStyle="1" w:styleId="FirstFooter">
    <w:name w:val="FirstFooter"/>
    <w:basedOn w:val="Footer"/>
    <w:rsid w:val="00ED52F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D52FF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3A3F-D779-4AFA-9930-3CF6EF1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1591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2011-05-13T14:17:00Z</cp:lastPrinted>
  <dcterms:created xsi:type="dcterms:W3CDTF">2011-05-16T09:58:00Z</dcterms:created>
  <dcterms:modified xsi:type="dcterms:W3CDTF">2011-05-16T09:58:00Z</dcterms:modified>
</cp:coreProperties>
</file>