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4E6BD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313B50" w:rsidP="004E6BD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3700" cy="698500"/>
                  <wp:effectExtent l="0" t="0" r="0" b="635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4E6BD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4E6BD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1078BC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1078BC"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 w:rsidR="001078BC">
        <w:rPr>
          <w:lang w:eastAsia="zh-CN"/>
        </w:rPr>
        <w:t>4</w:t>
      </w:r>
      <w:r>
        <w:rPr>
          <w:rFonts w:hint="eastAsia"/>
          <w:lang w:eastAsia="zh-CN"/>
        </w:rPr>
        <w:t>月</w:t>
      </w:r>
      <w:r w:rsidR="001078BC">
        <w:rPr>
          <w:lang w:eastAsia="zh-CN"/>
        </w:rPr>
        <w:t>6</w:t>
      </w:r>
      <w:r>
        <w:rPr>
          <w:rFonts w:hint="eastAsia"/>
          <w:lang w:eastAsia="zh-CN"/>
        </w:rPr>
        <w:t>日，日内瓦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848" w:type="dxa"/>
          </w:tcPr>
          <w:p w:rsidR="00EE59AB" w:rsidRDefault="00EE59AB" w:rsidP="001078BC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1078BC" w:rsidRPr="00C26510">
              <w:rPr>
                <w:b/>
                <w:bCs/>
                <w:lang w:eastAsia="zh-CN"/>
              </w:rPr>
              <w:t>184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Default="00EE59AB" w:rsidP="001078BC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847B5">
              <w:rPr>
                <w:bCs/>
                <w:iCs/>
                <w:lang w:eastAsia="zh-CN"/>
              </w:rPr>
              <w:t>COM</w:t>
            </w:r>
            <w:r w:rsidR="001078BC" w:rsidRPr="001078BC">
              <w:rPr>
                <w:rFonts w:hint="eastAsia"/>
                <w:lang w:eastAsia="zh-CN"/>
              </w:rPr>
              <w:t>3</w:t>
            </w:r>
            <w:r>
              <w:rPr>
                <w:rFonts w:ascii="Futura Lt BT" w:hAnsi="Futura Lt BT" w:hint="eastAsia"/>
                <w:bCs/>
                <w:iCs/>
                <w:lang w:eastAsia="zh-CN"/>
              </w:rPr>
              <w:t>/</w:t>
            </w:r>
            <w:r w:rsidR="001078BC" w:rsidRPr="001078BC">
              <w:rPr>
                <w:rFonts w:hint="eastAsia"/>
                <w:lang w:eastAsia="zh-CN"/>
              </w:rPr>
              <w:t>RH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C26510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C26510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>
              <w:rPr>
                <w:sz w:val="22"/>
                <w:lang w:eastAsia="zh-CN"/>
              </w:rPr>
              <w:t>:</w:t>
            </w:r>
          </w:p>
          <w:p w:rsidR="00EE59AB" w:rsidRDefault="00EE59AB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F93839">
            <w:pPr>
              <w:pStyle w:val="BodyTextIndent"/>
              <w:spacing w:before="4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1078BC">
              <w:rPr>
                <w:rFonts w:hint="eastAsia"/>
                <w:lang w:eastAsia="zh-CN"/>
              </w:rPr>
              <w:t>5887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A763EE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7" w:history="1">
              <w:r w:rsidR="001078BC" w:rsidRPr="0009483A">
                <w:rPr>
                  <w:rStyle w:val="Hyperlink"/>
                  <w:lang w:val="en-US"/>
                </w:rPr>
                <w:t>tsbsg3@itu.int</w:t>
              </w:r>
            </w:hyperlink>
            <w:r w:rsidR="00EE59AB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BC24E4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BC24E4" w:rsidRDefault="00BC24E4" w:rsidP="00BC24E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 xml:space="preserve">ITU-T 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C2651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1078BC"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研究组</w:t>
            </w:r>
            <w:r w:rsidR="00C26510">
              <w:rPr>
                <w:rFonts w:hint="eastAsia"/>
                <w:lang w:eastAsia="zh-CN"/>
              </w:rPr>
              <w:t>正</w:t>
            </w:r>
            <w:r>
              <w:rPr>
                <w:rFonts w:hint="eastAsia"/>
                <w:lang w:eastAsia="zh-CN"/>
              </w:rPr>
              <w:t>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817"/>
      </w:tblGrid>
      <w:tr w:rsidR="00EE59AB" w:rsidTr="001078BC">
        <w:trPr>
          <w:cantSplit/>
          <w:trHeight w:val="680"/>
        </w:trPr>
        <w:tc>
          <w:tcPr>
            <w:tcW w:w="822" w:type="dxa"/>
          </w:tcPr>
          <w:p w:rsidR="00EE59AB" w:rsidRDefault="00EE59A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7817" w:type="dxa"/>
          </w:tcPr>
          <w:p w:rsidR="00EE59AB" w:rsidRDefault="00EE59AB" w:rsidP="001078B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rFonts w:hint="eastAsia"/>
                <w:b/>
                <w:lang w:eastAsia="zh-CN"/>
              </w:rPr>
              <w:t xml:space="preserve"> ITU-T</w:t>
            </w:r>
            <w:r w:rsidR="001078BC">
              <w:rPr>
                <w:rFonts w:hint="eastAsia"/>
                <w:b/>
                <w:lang w:eastAsia="zh-CN"/>
              </w:rPr>
              <w:t xml:space="preserve"> D.50</w:t>
            </w:r>
            <w:r w:rsidR="001078BC">
              <w:rPr>
                <w:rFonts w:hint="eastAsia"/>
                <w:b/>
                <w:lang w:eastAsia="zh-CN"/>
              </w:rPr>
              <w:t>建议书新的修正</w:t>
            </w:r>
            <w:r w:rsidR="001078BC">
              <w:rPr>
                <w:rFonts w:hint="eastAsia"/>
                <w:b/>
                <w:lang w:eastAsia="zh-CN"/>
              </w:rPr>
              <w:t>2</w:t>
            </w:r>
            <w:r w:rsidR="001078BC">
              <w:rPr>
                <w:rFonts w:hint="eastAsia"/>
                <w:b/>
                <w:lang w:eastAsia="zh-CN"/>
              </w:rPr>
              <w:t>和</w:t>
            </w:r>
            <w:r w:rsidR="001078BC">
              <w:rPr>
                <w:rFonts w:hint="eastAsia"/>
                <w:b/>
                <w:lang w:eastAsia="zh-CN"/>
              </w:rPr>
              <w:t>ITU-T D.195</w:t>
            </w:r>
            <w:r w:rsidR="001078BC">
              <w:rPr>
                <w:rFonts w:hint="eastAsia"/>
                <w:b/>
                <w:lang w:eastAsia="zh-CN"/>
              </w:rPr>
              <w:t>建议书新的修正</w:t>
            </w:r>
            <w:r w:rsidR="001078BC">
              <w:rPr>
                <w:rFonts w:hint="eastAsia"/>
                <w:b/>
                <w:lang w:eastAsia="zh-CN"/>
              </w:rPr>
              <w:t>1</w:t>
            </w:r>
          </w:p>
        </w:tc>
      </w:tr>
    </w:tbl>
    <w:p w:rsidR="00EE59AB" w:rsidRDefault="00EE59A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C26510">
      <w:pPr>
        <w:spacing w:before="100" w:after="20" w:line="340" w:lineRule="atLeast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</w:t>
      </w:r>
      <w:r w:rsidR="001078BC">
        <w:rPr>
          <w:rFonts w:hint="eastAsia"/>
          <w:lang w:eastAsia="zh-CN"/>
        </w:rPr>
        <w:t>的</w:t>
      </w:r>
      <w:r w:rsidR="00EE59AB">
        <w:rPr>
          <w:rFonts w:hint="eastAsia"/>
          <w:lang w:eastAsia="zh-CN"/>
        </w:rPr>
        <w:t>先生</w:t>
      </w:r>
      <w:r w:rsidR="00EE59AB">
        <w:rPr>
          <w:rFonts w:hint="eastAsia"/>
          <w:lang w:eastAsia="zh-CN"/>
        </w:rPr>
        <w:t>/</w:t>
      </w:r>
      <w:r w:rsidR="00EE59AB">
        <w:rPr>
          <w:rFonts w:hint="eastAsia"/>
          <w:lang w:eastAsia="zh-CN"/>
        </w:rPr>
        <w:t>女士，</w:t>
      </w:r>
      <w:bookmarkStart w:id="3" w:name="_GoBack"/>
      <w:bookmarkEnd w:id="3"/>
    </w:p>
    <w:p w:rsidR="00EE59AB" w:rsidRDefault="00EE59AB" w:rsidP="00E7300F">
      <w:pPr>
        <w:spacing w:before="100" w:after="20" w:line="340" w:lineRule="atLeast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 w:rsidR="001078BC">
        <w:rPr>
          <w:rFonts w:hint="eastAsia"/>
          <w:lang w:eastAsia="zh-CN"/>
        </w:rPr>
        <w:t>2010</w:t>
      </w:r>
      <w:r w:rsidR="001078BC">
        <w:rPr>
          <w:rFonts w:hint="eastAsia"/>
          <w:lang w:eastAsia="zh-CN"/>
        </w:rPr>
        <w:t>年</w:t>
      </w:r>
      <w:r w:rsidR="001078BC">
        <w:rPr>
          <w:rFonts w:hint="eastAsia"/>
          <w:lang w:eastAsia="zh-CN"/>
        </w:rPr>
        <w:t>11</w:t>
      </w:r>
      <w:r w:rsidR="001078BC">
        <w:rPr>
          <w:rFonts w:hint="eastAsia"/>
          <w:lang w:eastAsia="zh-CN"/>
        </w:rPr>
        <w:t>月</w:t>
      </w:r>
      <w:r w:rsidR="001078BC">
        <w:rPr>
          <w:rFonts w:hint="eastAsia"/>
          <w:lang w:eastAsia="zh-CN"/>
        </w:rPr>
        <w:t>3</w:t>
      </w:r>
      <w:r w:rsidR="001078BC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1078BC">
        <w:rPr>
          <w:rFonts w:hint="eastAsia"/>
          <w:lang w:eastAsia="zh-CN"/>
        </w:rPr>
        <w:t>第</w:t>
      </w:r>
      <w:r w:rsidR="001078BC">
        <w:rPr>
          <w:rFonts w:hint="eastAsia"/>
          <w:lang w:eastAsia="zh-CN"/>
        </w:rPr>
        <w:t>148</w:t>
      </w:r>
      <w:r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1078BC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</w:t>
      </w:r>
      <w:r w:rsidR="001078BC">
        <w:rPr>
          <w:rFonts w:hint="eastAsia"/>
          <w:lang w:eastAsia="zh-CN"/>
        </w:rPr>
        <w:t>36</w:t>
      </w:r>
      <w:r w:rsidR="001078BC">
        <w:rPr>
          <w:rFonts w:hint="eastAsia"/>
          <w:lang w:eastAsia="zh-CN"/>
        </w:rPr>
        <w:t>个</w:t>
      </w:r>
      <w:r w:rsidR="00C26510">
        <w:rPr>
          <w:rFonts w:hint="eastAsia"/>
          <w:lang w:eastAsia="zh-CN"/>
        </w:rPr>
        <w:t>成</w:t>
      </w:r>
      <w:r w:rsidR="00BC24E4">
        <w:rPr>
          <w:rFonts w:hint="eastAsia"/>
          <w:lang w:eastAsia="zh-CN"/>
        </w:rPr>
        <w:t>员国已于</w:t>
      </w:r>
      <w:r w:rsidR="001078BC"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 w:rsidR="001078BC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="001078BC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日举行的全体会议上</w:t>
      </w:r>
      <w:r w:rsidRPr="005365E4">
        <w:rPr>
          <w:rFonts w:hint="eastAsia"/>
          <w:b/>
          <w:bCs/>
          <w:lang w:eastAsia="zh-CN"/>
        </w:rPr>
        <w:t>批准了</w:t>
      </w:r>
      <w:r w:rsidR="001078BC" w:rsidRPr="001078BC">
        <w:rPr>
          <w:rFonts w:hint="eastAsia"/>
          <w:lang w:eastAsia="zh-CN"/>
        </w:rPr>
        <w:t>ITU-T D.50</w:t>
      </w:r>
      <w:r w:rsidR="001078BC" w:rsidRPr="001078BC">
        <w:rPr>
          <w:rFonts w:hint="eastAsia"/>
          <w:lang w:eastAsia="zh-CN"/>
        </w:rPr>
        <w:t>建议书新的修正</w:t>
      </w:r>
      <w:r w:rsidR="001078BC" w:rsidRPr="001078BC">
        <w:rPr>
          <w:rFonts w:hint="eastAsia"/>
          <w:lang w:eastAsia="zh-CN"/>
        </w:rPr>
        <w:t>2</w:t>
      </w:r>
      <w:r w:rsidR="001078BC" w:rsidRPr="001078BC">
        <w:rPr>
          <w:rFonts w:hint="eastAsia"/>
          <w:lang w:eastAsia="zh-CN"/>
        </w:rPr>
        <w:t>和</w:t>
      </w:r>
      <w:r w:rsidR="001078BC" w:rsidRPr="001078BC">
        <w:rPr>
          <w:rFonts w:hint="eastAsia"/>
          <w:lang w:eastAsia="zh-CN"/>
        </w:rPr>
        <w:t>ITU-T D.195</w:t>
      </w:r>
      <w:r w:rsidR="001078BC" w:rsidRPr="001078BC">
        <w:rPr>
          <w:rFonts w:hint="eastAsia"/>
          <w:lang w:eastAsia="zh-CN"/>
        </w:rPr>
        <w:t>建议书新的修正</w:t>
      </w:r>
      <w:r w:rsidR="001078BC" w:rsidRPr="001078BC">
        <w:rPr>
          <w:rFonts w:hint="eastAsia"/>
          <w:lang w:eastAsia="zh-CN"/>
        </w:rPr>
        <w:t>1</w:t>
      </w:r>
      <w:r w:rsidR="001078BC">
        <w:rPr>
          <w:rFonts w:hint="eastAsia"/>
          <w:lang w:eastAsia="zh-CN"/>
        </w:rPr>
        <w:t>的</w:t>
      </w:r>
      <w:r w:rsidR="00BC24E4" w:rsidRPr="00BC24E4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EE59AB" w:rsidRDefault="00EE59AB" w:rsidP="001078BC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</w:t>
      </w:r>
      <w:r w:rsidR="00BC24E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新</w:t>
      </w:r>
      <w:r w:rsidR="001078BC">
        <w:rPr>
          <w:rFonts w:hint="eastAsia"/>
          <w:lang w:eastAsia="zh-CN"/>
        </w:rPr>
        <w:t>案文的</w:t>
      </w:r>
      <w:r w:rsidR="00B50E4F">
        <w:rPr>
          <w:rFonts w:hint="eastAsia"/>
          <w:lang w:eastAsia="zh-CN"/>
        </w:rPr>
        <w:t>标题</w:t>
      </w:r>
      <w:r w:rsidR="001078BC">
        <w:rPr>
          <w:rFonts w:hint="eastAsia"/>
          <w:lang w:eastAsia="zh-CN"/>
        </w:rPr>
        <w:t>如下：</w:t>
      </w:r>
    </w:p>
    <w:p w:rsidR="001078BC" w:rsidRDefault="001078BC" w:rsidP="001078BC">
      <w:pPr>
        <w:pStyle w:val="Heading1"/>
        <w:spacing w:before="100"/>
        <w:rPr>
          <w:b w:val="0"/>
          <w:bCs/>
          <w:lang w:val="en-US" w:eastAsia="zh-CN"/>
        </w:rPr>
      </w:pPr>
      <w:bookmarkStart w:id="6" w:name="_Toc264017744"/>
      <w:bookmarkStart w:id="7" w:name="_Toc264291162"/>
      <w:r w:rsidRPr="00CB624A">
        <w:rPr>
          <w:lang w:val="en-US" w:eastAsia="zh-CN"/>
        </w:rPr>
        <w:t>ITU-T D.50</w:t>
      </w:r>
      <w:bookmarkEnd w:id="6"/>
      <w:r w:rsidRPr="00CB624A">
        <w:rPr>
          <w:rFonts w:hint="eastAsia"/>
          <w:lang w:val="en-US" w:eastAsia="zh-CN"/>
        </w:rPr>
        <w:t>建议书修</w:t>
      </w:r>
      <w:r>
        <w:rPr>
          <w:rFonts w:hint="eastAsia"/>
          <w:lang w:val="en-US" w:eastAsia="zh-CN"/>
        </w:rPr>
        <w:t>正</w:t>
      </w:r>
      <w:r w:rsidRPr="00CB624A">
        <w:rPr>
          <w:rFonts w:hint="eastAsia"/>
          <w:lang w:val="en-US" w:eastAsia="zh-CN"/>
        </w:rPr>
        <w:t>2</w:t>
      </w:r>
      <w:bookmarkEnd w:id="7"/>
      <w:r>
        <w:rPr>
          <w:rFonts w:hint="eastAsia"/>
          <w:lang w:val="en-US" w:eastAsia="zh-CN"/>
        </w:rPr>
        <w:t>：</w:t>
      </w:r>
      <w:r w:rsidRPr="00CB624A">
        <w:rPr>
          <w:rFonts w:hint="eastAsia"/>
          <w:lang w:val="en-US" w:eastAsia="zh-CN"/>
        </w:rPr>
        <w:t>国际互联网连接</w:t>
      </w:r>
      <w:r w:rsidRPr="001078BC">
        <w:rPr>
          <w:rFonts w:hint="eastAsia"/>
          <w:b w:val="0"/>
          <w:bCs/>
          <w:lang w:val="en-US" w:eastAsia="zh-CN"/>
        </w:rPr>
        <w:t>（</w:t>
      </w:r>
      <w:r w:rsidRPr="00C26510">
        <w:rPr>
          <w:rFonts w:ascii="STKaiti" w:eastAsia="STKaiti" w:hAnsi="STKaiti" w:hint="eastAsia"/>
          <w:b w:val="0"/>
          <w:bCs/>
          <w:lang w:eastAsia="zh-CN"/>
        </w:rPr>
        <w:t>修订附录</w:t>
      </w:r>
      <w:r w:rsidRPr="001078BC">
        <w:rPr>
          <w:rFonts w:hint="eastAsia"/>
          <w:b w:val="0"/>
          <w:bCs/>
          <w:lang w:eastAsia="zh-CN"/>
        </w:rPr>
        <w:t xml:space="preserve"> </w:t>
      </w:r>
      <w:r w:rsidRPr="001078BC">
        <w:rPr>
          <w:b w:val="0"/>
          <w:bCs/>
          <w:lang w:eastAsia="zh-CN"/>
        </w:rPr>
        <w:t xml:space="preserve">I </w:t>
      </w:r>
      <w:r w:rsidRPr="00C26510">
        <w:rPr>
          <w:rFonts w:ascii="STKaiti" w:eastAsia="STKaiti" w:hAnsi="STKaiti" w:hint="eastAsia"/>
          <w:b w:val="0"/>
          <w:bCs/>
          <w:lang w:eastAsia="zh-CN"/>
        </w:rPr>
        <w:t>的</w:t>
      </w:r>
      <w:r w:rsidRPr="001078BC">
        <w:rPr>
          <w:rFonts w:hint="eastAsia"/>
          <w:b w:val="0"/>
          <w:bCs/>
          <w:lang w:eastAsia="zh-CN"/>
        </w:rPr>
        <w:t xml:space="preserve"> </w:t>
      </w:r>
      <w:r w:rsidRPr="001078BC">
        <w:rPr>
          <w:b w:val="0"/>
          <w:bCs/>
          <w:lang w:eastAsia="zh-CN"/>
        </w:rPr>
        <w:t>I.2</w:t>
      </w:r>
      <w:r w:rsidRPr="001078BC">
        <w:rPr>
          <w:rFonts w:hint="eastAsia"/>
          <w:b w:val="0"/>
          <w:bCs/>
          <w:lang w:val="en-US" w:eastAsia="zh-CN"/>
        </w:rPr>
        <w:t>）</w:t>
      </w:r>
    </w:p>
    <w:p w:rsidR="001078BC" w:rsidRPr="001078BC" w:rsidRDefault="001078BC" w:rsidP="001078BC">
      <w:pPr>
        <w:pStyle w:val="Heading1"/>
        <w:spacing w:before="100"/>
        <w:rPr>
          <w:lang w:val="en-US" w:eastAsia="zh-CN"/>
        </w:rPr>
      </w:pPr>
      <w:bookmarkStart w:id="8" w:name="_Toc264017745"/>
      <w:bookmarkStart w:id="9" w:name="_Toc264291163"/>
      <w:r w:rsidRPr="00CB624A">
        <w:rPr>
          <w:lang w:val="en-US" w:eastAsia="zh-CN"/>
        </w:rPr>
        <w:t>ITU-T D.195</w:t>
      </w:r>
      <w:bookmarkEnd w:id="8"/>
      <w:r w:rsidRPr="00CB624A">
        <w:rPr>
          <w:rFonts w:hint="eastAsia"/>
          <w:lang w:val="en-US" w:eastAsia="zh-CN"/>
        </w:rPr>
        <w:t>建议书修</w:t>
      </w:r>
      <w:r>
        <w:rPr>
          <w:rFonts w:hint="eastAsia"/>
          <w:lang w:val="en-US" w:eastAsia="zh-CN"/>
        </w:rPr>
        <w:t>正</w:t>
      </w:r>
      <w:r w:rsidRPr="00CB624A">
        <w:rPr>
          <w:rFonts w:hint="eastAsia"/>
          <w:lang w:val="en-US" w:eastAsia="zh-CN"/>
        </w:rPr>
        <w:t>1</w:t>
      </w:r>
      <w:bookmarkEnd w:id="9"/>
      <w:r>
        <w:rPr>
          <w:rFonts w:hint="eastAsia"/>
          <w:lang w:val="en-US" w:eastAsia="zh-CN"/>
        </w:rPr>
        <w:t>：</w:t>
      </w:r>
      <w:r w:rsidRPr="00CB624A">
        <w:rPr>
          <w:rFonts w:hint="eastAsia"/>
          <w:bCs/>
          <w:szCs w:val="28"/>
          <w:lang w:eastAsia="zh-CN"/>
        </w:rPr>
        <w:t>结付国际电信业务账目的时间周期</w:t>
      </w:r>
      <w:r w:rsidRPr="001078BC">
        <w:rPr>
          <w:rFonts w:hint="eastAsia"/>
          <w:b w:val="0"/>
          <w:szCs w:val="28"/>
          <w:lang w:eastAsia="zh-CN"/>
        </w:rPr>
        <w:t>（</w:t>
      </w:r>
      <w:r w:rsidRPr="001078BC">
        <w:rPr>
          <w:rFonts w:hint="eastAsia"/>
          <w:b w:val="0"/>
          <w:color w:val="000000"/>
          <w:lang w:eastAsia="zh-CN"/>
        </w:rPr>
        <w:t>修订</w:t>
      </w:r>
      <w:r w:rsidRPr="00C26510">
        <w:rPr>
          <w:rFonts w:ascii="STKaiti" w:eastAsia="STKaiti" w:hAnsi="STKaiti" w:hint="eastAsia"/>
          <w:b w:val="0"/>
          <w:color w:val="000000"/>
          <w:lang w:eastAsia="zh-CN"/>
        </w:rPr>
        <w:t>做出建议</w:t>
      </w:r>
      <w:r w:rsidRPr="001078BC">
        <w:rPr>
          <w:b w:val="0"/>
          <w:color w:val="000000"/>
          <w:lang w:eastAsia="zh-CN"/>
        </w:rPr>
        <w:t xml:space="preserve"> </w:t>
      </w:r>
      <w:r w:rsidRPr="00C26510">
        <w:rPr>
          <w:rFonts w:ascii="STKaiti" w:eastAsia="STKaiti" w:hAnsi="STKaiti"/>
          <w:b w:val="0"/>
          <w:bCs/>
          <w:lang w:eastAsia="zh-CN"/>
        </w:rPr>
        <w:t>a)</w:t>
      </w:r>
      <w:r w:rsidRPr="001078BC">
        <w:rPr>
          <w:b w:val="0"/>
          <w:color w:val="000000"/>
          <w:lang w:eastAsia="zh-CN"/>
        </w:rPr>
        <w:t xml:space="preserve"> </w:t>
      </w:r>
      <w:r w:rsidRPr="001078BC">
        <w:rPr>
          <w:rFonts w:hint="eastAsia"/>
          <w:b w:val="0"/>
          <w:color w:val="000000"/>
          <w:lang w:eastAsia="zh-CN"/>
        </w:rPr>
        <w:t>和</w:t>
      </w:r>
      <w:r w:rsidRPr="001078BC">
        <w:rPr>
          <w:b w:val="0"/>
          <w:color w:val="000000"/>
          <w:lang w:eastAsia="zh-CN"/>
        </w:rPr>
        <w:t xml:space="preserve"> </w:t>
      </w:r>
      <w:r w:rsidRPr="00C26510">
        <w:rPr>
          <w:rFonts w:ascii="STKaiti" w:eastAsia="STKaiti" w:hAnsi="STKaiti"/>
          <w:b w:val="0"/>
          <w:bCs/>
          <w:lang w:eastAsia="zh-CN"/>
        </w:rPr>
        <w:t>b)</w:t>
      </w:r>
      <w:r w:rsidRPr="001078BC">
        <w:rPr>
          <w:rFonts w:hint="eastAsia"/>
          <w:b w:val="0"/>
          <w:szCs w:val="28"/>
          <w:lang w:eastAsia="zh-CN"/>
        </w:rPr>
        <w:t>）</w:t>
      </w:r>
    </w:p>
    <w:p w:rsidR="00EE59AB" w:rsidRDefault="00EE59AB" w:rsidP="001078BC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</w:t>
      </w:r>
      <w:r w:rsidR="001078BC">
        <w:rPr>
          <w:rFonts w:hint="eastAsia"/>
          <w:lang w:eastAsia="zh-CN"/>
        </w:rPr>
        <w:t>查询</w:t>
      </w:r>
      <w:r>
        <w:rPr>
          <w:rFonts w:hint="eastAsia"/>
          <w:lang w:eastAsia="zh-CN"/>
        </w:rPr>
        <w:t>有关的专利信息。</w:t>
      </w:r>
    </w:p>
    <w:p w:rsidR="00EE59AB" w:rsidRDefault="00EE59AB" w:rsidP="001078BC">
      <w:pPr>
        <w:spacing w:before="100" w:after="20" w:line="340" w:lineRule="atLeas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网站上将很快提供预出版的案文。</w:t>
      </w:r>
    </w:p>
    <w:p w:rsidR="00EE59AB" w:rsidRDefault="00EE59AB" w:rsidP="001078BC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 w:rsidR="001078BC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EE59AB" w:rsidRDefault="00EE59AB" w:rsidP="00B67F39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B67F39" w:rsidRDefault="00B67F3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C62F0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  <w:proofErr w:type="spellStart"/>
      <w:r>
        <w:rPr>
          <w:rFonts w:hint="eastAsia"/>
        </w:rPr>
        <w:t>马尔科姆</w:t>
      </w:r>
      <w:proofErr w:type="spellEnd"/>
      <w:r w:rsidRPr="00B54FD5">
        <w:rPr>
          <w:sz w:val="20"/>
        </w:rPr>
        <w:t>•</w:t>
      </w:r>
      <w:proofErr w:type="spellStart"/>
      <w:r>
        <w:rPr>
          <w:rFonts w:hint="eastAsia"/>
        </w:rPr>
        <w:t>琼森</w:t>
      </w:r>
      <w:proofErr w:type="spellEnd"/>
    </w:p>
    <w:p w:rsidR="00EE59AB" w:rsidRDefault="00EE59AB" w:rsidP="007626DE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rFonts w:hint="eastAsia"/>
          <w:lang w:eastAsia="zh-CN"/>
        </w:rPr>
        <w:t xml:space="preserve"> </w:t>
      </w:r>
    </w:p>
    <w:sectPr w:rsidR="00EE59AB" w:rsidSect="00B60243">
      <w:footerReference w:type="default" r:id="rId8"/>
      <w:footerReference w:type="first" r:id="rId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1D" w:rsidRDefault="00A6301D">
      <w:r>
        <w:separator/>
      </w:r>
    </w:p>
  </w:endnote>
  <w:endnote w:type="continuationSeparator" w:id="0">
    <w:p w:rsidR="00A6301D" w:rsidRDefault="00A6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635638">
      <w:tc>
        <w:tcPr>
          <w:tcW w:w="10149" w:type="dxa"/>
        </w:tcPr>
        <w:p w:rsidR="00635638" w:rsidRDefault="00635638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635638" w:rsidRDefault="00635638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635638" w:rsidRDefault="00635638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635638" w:rsidRDefault="006356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38" w:rsidRDefault="00A763EE">
    <w:pPr>
      <w:pStyle w:val="Footer"/>
    </w:pPr>
    <w:fldSimple w:instr=" FILENAME \p \* MERGEFORMAT ">
      <w:r w:rsidR="0084435D">
        <w:t>M:\SG_DOC\SG3\Circ\184c.docx</w:t>
      </w:r>
    </w:fldSimple>
    <w:r w:rsidR="00635638">
      <w:tab/>
    </w:r>
    <w:r>
      <w:fldChar w:fldCharType="begin"/>
    </w:r>
    <w:r w:rsidR="00635638">
      <w:instrText xml:space="preserve"> savedate \@ dd.MM.yy </w:instrText>
    </w:r>
    <w:r>
      <w:fldChar w:fldCharType="separate"/>
    </w:r>
    <w:r w:rsidR="001B16BB">
      <w:t>14.04.11</w:t>
    </w:r>
    <w:r>
      <w:fldChar w:fldCharType="end"/>
    </w:r>
    <w:r w:rsidR="00635638">
      <w:tab/>
    </w:r>
    <w:r>
      <w:fldChar w:fldCharType="begin"/>
    </w:r>
    <w:r w:rsidR="00635638">
      <w:instrText xml:space="preserve"> printdate \@ dd.MM.yy </w:instrText>
    </w:r>
    <w:r>
      <w:fldChar w:fldCharType="separate"/>
    </w:r>
    <w:r w:rsidR="0084435D">
      <w:t>14.04.11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1D" w:rsidRDefault="00A6301D">
      <w:r>
        <w:t>____________________</w:t>
      </w:r>
    </w:p>
  </w:footnote>
  <w:footnote w:type="continuationSeparator" w:id="0">
    <w:p w:rsidR="00A6301D" w:rsidRDefault="00A63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1078BC"/>
    <w:rsid w:val="001B16BB"/>
    <w:rsid w:val="001C21C8"/>
    <w:rsid w:val="001C7B49"/>
    <w:rsid w:val="00313B50"/>
    <w:rsid w:val="003207F4"/>
    <w:rsid w:val="003D5773"/>
    <w:rsid w:val="004E6BDA"/>
    <w:rsid w:val="005365E4"/>
    <w:rsid w:val="005905A5"/>
    <w:rsid w:val="0059425B"/>
    <w:rsid w:val="00624CB1"/>
    <w:rsid w:val="00635638"/>
    <w:rsid w:val="0073196D"/>
    <w:rsid w:val="007626DE"/>
    <w:rsid w:val="00762E1B"/>
    <w:rsid w:val="0084435D"/>
    <w:rsid w:val="0085046C"/>
    <w:rsid w:val="008847B5"/>
    <w:rsid w:val="009328B0"/>
    <w:rsid w:val="0098410B"/>
    <w:rsid w:val="009963D1"/>
    <w:rsid w:val="00A23824"/>
    <w:rsid w:val="00A6232A"/>
    <w:rsid w:val="00A6301D"/>
    <w:rsid w:val="00A763EE"/>
    <w:rsid w:val="00B50E4F"/>
    <w:rsid w:val="00B60243"/>
    <w:rsid w:val="00B67063"/>
    <w:rsid w:val="00B67F39"/>
    <w:rsid w:val="00BB7187"/>
    <w:rsid w:val="00BC24E4"/>
    <w:rsid w:val="00C115D3"/>
    <w:rsid w:val="00C26510"/>
    <w:rsid w:val="00C32E78"/>
    <w:rsid w:val="00C62F0D"/>
    <w:rsid w:val="00D534EC"/>
    <w:rsid w:val="00DD7502"/>
    <w:rsid w:val="00E049DE"/>
    <w:rsid w:val="00E669B0"/>
    <w:rsid w:val="00E7300F"/>
    <w:rsid w:val="00E73313"/>
    <w:rsid w:val="00EE2A77"/>
    <w:rsid w:val="00EE59AB"/>
    <w:rsid w:val="00F218C8"/>
    <w:rsid w:val="00F93839"/>
    <w:rsid w:val="00FC5765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24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6024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6024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6024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6024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6024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6024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6024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6024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6024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B60243"/>
  </w:style>
  <w:style w:type="paragraph" w:styleId="TOC7">
    <w:name w:val="toc 7"/>
    <w:basedOn w:val="TOC3"/>
    <w:next w:val="Normal"/>
    <w:semiHidden/>
    <w:rsid w:val="00B60243"/>
  </w:style>
  <w:style w:type="paragraph" w:styleId="TOC6">
    <w:name w:val="toc 6"/>
    <w:basedOn w:val="TOC3"/>
    <w:next w:val="Normal"/>
    <w:semiHidden/>
    <w:rsid w:val="00B60243"/>
  </w:style>
  <w:style w:type="paragraph" w:styleId="TOC5">
    <w:name w:val="toc 5"/>
    <w:basedOn w:val="TOC3"/>
    <w:next w:val="Normal"/>
    <w:semiHidden/>
    <w:rsid w:val="00B60243"/>
  </w:style>
  <w:style w:type="paragraph" w:styleId="TOC4">
    <w:name w:val="toc 4"/>
    <w:basedOn w:val="TOC3"/>
    <w:next w:val="Normal"/>
    <w:semiHidden/>
    <w:rsid w:val="00B60243"/>
  </w:style>
  <w:style w:type="paragraph" w:styleId="TOC3">
    <w:name w:val="toc 3"/>
    <w:basedOn w:val="TOC2"/>
    <w:next w:val="Normal"/>
    <w:semiHidden/>
    <w:rsid w:val="00B60243"/>
    <w:pPr>
      <w:spacing w:before="80"/>
    </w:pPr>
  </w:style>
  <w:style w:type="paragraph" w:styleId="TOC2">
    <w:name w:val="toc 2"/>
    <w:basedOn w:val="TOC1"/>
    <w:next w:val="Normal"/>
    <w:semiHidden/>
    <w:rsid w:val="00B60243"/>
    <w:pPr>
      <w:spacing w:before="120"/>
    </w:pPr>
  </w:style>
  <w:style w:type="paragraph" w:styleId="TOC1">
    <w:name w:val="toc 1"/>
    <w:basedOn w:val="Normal"/>
    <w:semiHidden/>
    <w:rsid w:val="00B6024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60243"/>
    <w:pPr>
      <w:ind w:left="1698"/>
    </w:pPr>
  </w:style>
  <w:style w:type="paragraph" w:styleId="Index6">
    <w:name w:val="index 6"/>
    <w:basedOn w:val="Normal"/>
    <w:next w:val="Normal"/>
    <w:semiHidden/>
    <w:rsid w:val="00B60243"/>
    <w:pPr>
      <w:ind w:left="1415"/>
    </w:pPr>
  </w:style>
  <w:style w:type="paragraph" w:styleId="Index5">
    <w:name w:val="index 5"/>
    <w:basedOn w:val="Normal"/>
    <w:next w:val="Normal"/>
    <w:semiHidden/>
    <w:rsid w:val="00B60243"/>
    <w:pPr>
      <w:ind w:left="1132"/>
    </w:pPr>
  </w:style>
  <w:style w:type="paragraph" w:styleId="Index4">
    <w:name w:val="index 4"/>
    <w:basedOn w:val="Normal"/>
    <w:next w:val="Normal"/>
    <w:semiHidden/>
    <w:rsid w:val="00B60243"/>
    <w:pPr>
      <w:ind w:left="851"/>
    </w:pPr>
  </w:style>
  <w:style w:type="paragraph" w:styleId="Index3">
    <w:name w:val="index 3"/>
    <w:basedOn w:val="Normal"/>
    <w:next w:val="Normal"/>
    <w:semiHidden/>
    <w:rsid w:val="00B60243"/>
    <w:pPr>
      <w:ind w:left="567"/>
    </w:pPr>
  </w:style>
  <w:style w:type="paragraph" w:styleId="Index2">
    <w:name w:val="index 2"/>
    <w:basedOn w:val="Normal"/>
    <w:next w:val="Normal"/>
    <w:semiHidden/>
    <w:rsid w:val="00B60243"/>
    <w:pPr>
      <w:ind w:left="284"/>
    </w:pPr>
  </w:style>
  <w:style w:type="paragraph" w:styleId="Index1">
    <w:name w:val="index 1"/>
    <w:basedOn w:val="Normal"/>
    <w:next w:val="Normal"/>
    <w:semiHidden/>
    <w:rsid w:val="00B60243"/>
  </w:style>
  <w:style w:type="character" w:styleId="LineNumber">
    <w:name w:val="line number"/>
    <w:basedOn w:val="DefaultParagraphFont"/>
    <w:rsid w:val="00B60243"/>
  </w:style>
  <w:style w:type="paragraph" w:styleId="IndexHeading">
    <w:name w:val="index heading"/>
    <w:basedOn w:val="Normal"/>
    <w:next w:val="Normal"/>
    <w:semiHidden/>
    <w:rsid w:val="00B60243"/>
  </w:style>
  <w:style w:type="paragraph" w:styleId="Footer">
    <w:name w:val="footer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B6024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B60243"/>
    <w:rPr>
      <w:position w:val="6"/>
      <w:sz w:val="16"/>
    </w:rPr>
  </w:style>
  <w:style w:type="paragraph" w:styleId="FootnoteText">
    <w:name w:val="footnote text"/>
    <w:basedOn w:val="Normal"/>
    <w:semiHidden/>
    <w:rsid w:val="00B6024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60243"/>
    <w:pPr>
      <w:ind w:left="794"/>
    </w:pPr>
  </w:style>
  <w:style w:type="paragraph" w:customStyle="1" w:styleId="TableLegend">
    <w:name w:val="Table_Legend"/>
    <w:basedOn w:val="TableText"/>
    <w:rsid w:val="00B60243"/>
    <w:pPr>
      <w:spacing w:before="120"/>
    </w:pPr>
  </w:style>
  <w:style w:type="paragraph" w:customStyle="1" w:styleId="TableText">
    <w:name w:val="Table_Text"/>
    <w:basedOn w:val="Normal"/>
    <w:rsid w:val="00B6024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6024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6024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60243"/>
    <w:pPr>
      <w:spacing w:before="80"/>
      <w:ind w:left="794" w:hanging="794"/>
    </w:pPr>
  </w:style>
  <w:style w:type="paragraph" w:customStyle="1" w:styleId="enumlev2">
    <w:name w:val="enumlev2"/>
    <w:basedOn w:val="enumlev1"/>
    <w:rsid w:val="00B60243"/>
    <w:pPr>
      <w:ind w:left="1191" w:hanging="397"/>
    </w:pPr>
  </w:style>
  <w:style w:type="paragraph" w:customStyle="1" w:styleId="enumlev3">
    <w:name w:val="enumlev3"/>
    <w:basedOn w:val="enumlev2"/>
    <w:rsid w:val="00B60243"/>
    <w:pPr>
      <w:ind w:left="1588"/>
    </w:pPr>
  </w:style>
  <w:style w:type="paragraph" w:customStyle="1" w:styleId="TableHead">
    <w:name w:val="Table_Head"/>
    <w:basedOn w:val="TableText"/>
    <w:rsid w:val="00B6024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6024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60243"/>
    <w:pPr>
      <w:spacing w:before="480"/>
    </w:pPr>
  </w:style>
  <w:style w:type="paragraph" w:customStyle="1" w:styleId="FigureTitle">
    <w:name w:val="Figure_Title"/>
    <w:basedOn w:val="TableTitle"/>
    <w:next w:val="Normal"/>
    <w:rsid w:val="00B6024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6024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6024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B6024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60243"/>
  </w:style>
  <w:style w:type="paragraph" w:customStyle="1" w:styleId="AppendixRef">
    <w:name w:val="Appendix_Ref"/>
    <w:basedOn w:val="AnnexRef"/>
    <w:next w:val="AppendixTitle"/>
    <w:rsid w:val="00B60243"/>
  </w:style>
  <w:style w:type="paragraph" w:customStyle="1" w:styleId="AppendixTitle">
    <w:name w:val="Appendix_Title"/>
    <w:basedOn w:val="AnnexTitle"/>
    <w:next w:val="Normalaftertitle"/>
    <w:rsid w:val="00B60243"/>
  </w:style>
  <w:style w:type="paragraph" w:customStyle="1" w:styleId="RefTitle">
    <w:name w:val="Ref_Title"/>
    <w:basedOn w:val="Normal"/>
    <w:next w:val="RefText"/>
    <w:rsid w:val="00B6024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60243"/>
    <w:pPr>
      <w:ind w:left="794" w:hanging="794"/>
    </w:pPr>
  </w:style>
  <w:style w:type="paragraph" w:customStyle="1" w:styleId="Equation">
    <w:name w:val="Equation"/>
    <w:basedOn w:val="Normal"/>
    <w:rsid w:val="00B6024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6024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60243"/>
    <w:pPr>
      <w:spacing w:before="320"/>
    </w:pPr>
  </w:style>
  <w:style w:type="paragraph" w:customStyle="1" w:styleId="call">
    <w:name w:val="call"/>
    <w:basedOn w:val="Normal"/>
    <w:next w:val="Normal"/>
    <w:rsid w:val="00B6024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6024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6024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6024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6024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6024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B6024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6024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B60243"/>
  </w:style>
  <w:style w:type="paragraph" w:customStyle="1" w:styleId="ITUbureau">
    <w:name w:val="ITU_bureau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B6024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6024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B6024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B6024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B6024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B60243"/>
    <w:rPr>
      <w:color w:val="0000FF"/>
      <w:u w:val="single"/>
    </w:rPr>
  </w:style>
  <w:style w:type="paragraph" w:customStyle="1" w:styleId="Qlist">
    <w:name w:val="Qlist"/>
    <w:basedOn w:val="Normal"/>
    <w:rsid w:val="00B6024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60243"/>
    <w:pPr>
      <w:tabs>
        <w:tab w:val="left" w:pos="397"/>
      </w:tabs>
    </w:pPr>
  </w:style>
  <w:style w:type="paragraph" w:customStyle="1" w:styleId="FirstFooter">
    <w:name w:val="FirstFooter"/>
    <w:basedOn w:val="Footer"/>
    <w:rsid w:val="00B6024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B60243"/>
  </w:style>
  <w:style w:type="paragraph" w:styleId="BodyText0">
    <w:name w:val="Body Text"/>
    <w:basedOn w:val="Normal"/>
    <w:rsid w:val="00B6024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B60243"/>
  </w:style>
  <w:style w:type="paragraph" w:customStyle="1" w:styleId="AnnexNo">
    <w:name w:val="Annex_No"/>
    <w:basedOn w:val="Normal"/>
    <w:next w:val="Normal"/>
    <w:rsid w:val="00B6024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B60243"/>
    <w:rPr>
      <w:color w:val="800080"/>
      <w:u w:val="single"/>
    </w:rPr>
  </w:style>
  <w:style w:type="paragraph" w:styleId="BodyTextIndent">
    <w:name w:val="Body Text Indent"/>
    <w:basedOn w:val="Normal"/>
    <w:rsid w:val="00B60243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B60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3@itu.in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ITU-T D.50建议书修正2：国际互联网连接（修订附录 I 的 I.2）</vt:lpstr>
      <vt:lpstr>ITU-T D.195建议书修正1：结付国际电信业务账目的时间周期（修订做出建议 a) 和 b)）</vt:lpstr>
    </vt:vector>
  </TitlesOfParts>
  <Company>ITU</Company>
  <LinksUpToDate>false</LinksUpToDate>
  <CharactersWithSpaces>624</CharactersWithSpaces>
  <SharedDoc>false</SharedDoc>
  <HLinks>
    <vt:vector size="6" baseType="variant"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2011-04-14T14:33:00Z</cp:lastPrinted>
  <dcterms:created xsi:type="dcterms:W3CDTF">2011-04-18T12:41:00Z</dcterms:created>
  <dcterms:modified xsi:type="dcterms:W3CDTF">2011-04-18T12:41:00Z</dcterms:modified>
</cp:coreProperties>
</file>