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0E5" w:rsidRDefault="00BC00E5">
      <w:pPr>
        <w:spacing w:before="0"/>
        <w:rPr>
          <w:lang w:bidi="ar-EG"/>
        </w:rPr>
      </w:pPr>
    </w:p>
    <w:tbl>
      <w:tblPr>
        <w:tblpPr w:leftFromText="180" w:rightFromText="180" w:vertAnchor="page" w:horzAnchor="margin" w:tblpXSpec="center" w:tblpY="526"/>
        <w:bidiVisual/>
        <w:tblW w:w="9923" w:type="dxa"/>
        <w:tblLayout w:type="fixed"/>
        <w:tblLook w:val="0000"/>
      </w:tblPr>
      <w:tblGrid>
        <w:gridCol w:w="6379"/>
        <w:gridCol w:w="424"/>
        <w:gridCol w:w="3120"/>
      </w:tblGrid>
      <w:tr w:rsidR="00EE2C4A" w:rsidRPr="00C56944" w:rsidTr="00CB53F1">
        <w:trPr>
          <w:cantSplit/>
        </w:trPr>
        <w:tc>
          <w:tcPr>
            <w:tcW w:w="6379" w:type="dxa"/>
            <w:vAlign w:val="center"/>
          </w:tcPr>
          <w:p w:rsidR="00EE2C4A" w:rsidRPr="00BB168F" w:rsidRDefault="00EE2C4A" w:rsidP="00EE2C4A">
            <w:pPr>
              <w:spacing w:before="0" w:line="240" w:lineRule="atLeast"/>
              <w:jc w:val="left"/>
              <w:rPr>
                <w:rFonts w:ascii="Times" w:hAnsi="Times"/>
                <w:lang w:bidi="ar-EG"/>
              </w:rPr>
            </w:pPr>
            <w:r w:rsidRPr="00C56944">
              <w:rPr>
                <w:rFonts w:hint="cs"/>
                <w:b/>
                <w:bCs/>
                <w:sz w:val="44"/>
                <w:szCs w:val="44"/>
                <w:rtl/>
              </w:rPr>
              <w:t>مكتب تقييس الاتصالات</w:t>
            </w:r>
          </w:p>
        </w:tc>
        <w:tc>
          <w:tcPr>
            <w:tcW w:w="3544" w:type="dxa"/>
            <w:gridSpan w:val="2"/>
            <w:vAlign w:val="center"/>
          </w:tcPr>
          <w:p w:rsidR="00EE2C4A" w:rsidRPr="00C56944" w:rsidRDefault="00B90276" w:rsidP="00EE2C4A">
            <w:pPr>
              <w:jc w:val="right"/>
              <w:rPr>
                <w:b/>
                <w:bCs/>
                <w:sz w:val="44"/>
                <w:szCs w:val="44"/>
                <w:rtl/>
              </w:rPr>
            </w:pPr>
            <w:r>
              <w:rPr>
                <w:rFonts w:ascii="Times" w:hAnsi="Times"/>
                <w:noProof/>
                <w:lang w:eastAsia="zh-CN"/>
              </w:rPr>
              <w:drawing>
                <wp:inline distT="0" distB="0" distL="0" distR="0">
                  <wp:extent cx="1819910" cy="750570"/>
                  <wp:effectExtent l="19050" t="0" r="889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910" cy="750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2C4A" w:rsidRPr="00617BE4" w:rsidTr="00EE2C4A">
        <w:trPr>
          <w:cantSplit/>
        </w:trPr>
        <w:tc>
          <w:tcPr>
            <w:tcW w:w="6803" w:type="dxa"/>
            <w:gridSpan w:val="2"/>
          </w:tcPr>
          <w:p w:rsidR="00EE2C4A" w:rsidRPr="00617BE4" w:rsidRDefault="00EE2C4A" w:rsidP="00EE2C4A">
            <w:pPr>
              <w:spacing w:before="0" w:after="48" w:line="240" w:lineRule="atLeast"/>
              <w:rPr>
                <w:b/>
                <w:smallCaps/>
                <w:szCs w:val="24"/>
                <w:lang w:bidi="ar-EG"/>
              </w:rPr>
            </w:pPr>
          </w:p>
        </w:tc>
        <w:tc>
          <w:tcPr>
            <w:tcW w:w="3120" w:type="dxa"/>
          </w:tcPr>
          <w:p w:rsidR="00EE2C4A" w:rsidRPr="00617BE4" w:rsidRDefault="00EE2C4A" w:rsidP="00EE2C4A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</w:tbl>
    <w:tbl>
      <w:tblPr>
        <w:bidiVisual/>
        <w:tblW w:w="9633" w:type="dxa"/>
        <w:jc w:val="center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33"/>
        <w:gridCol w:w="3340"/>
        <w:gridCol w:w="4760"/>
      </w:tblGrid>
      <w:tr w:rsidR="0027101B" w:rsidTr="00EE2C4A">
        <w:trPr>
          <w:cantSplit/>
          <w:trHeight w:val="340"/>
          <w:jc w:val="center"/>
        </w:trPr>
        <w:tc>
          <w:tcPr>
            <w:tcW w:w="1533" w:type="dxa"/>
          </w:tcPr>
          <w:p w:rsidR="0027101B" w:rsidRDefault="0027101B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sz w:val="21"/>
                <w:szCs w:val="28"/>
              </w:rPr>
            </w:pPr>
          </w:p>
        </w:tc>
        <w:tc>
          <w:tcPr>
            <w:tcW w:w="3340" w:type="dxa"/>
          </w:tcPr>
          <w:p w:rsidR="0027101B" w:rsidRDefault="0027101B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b/>
                <w:sz w:val="21"/>
                <w:szCs w:val="28"/>
              </w:rPr>
            </w:pPr>
          </w:p>
        </w:tc>
        <w:tc>
          <w:tcPr>
            <w:tcW w:w="4760" w:type="dxa"/>
          </w:tcPr>
          <w:p w:rsidR="0027101B" w:rsidRDefault="0027101B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sz w:val="21"/>
                <w:szCs w:val="28"/>
                <w:lang w:bidi="ar-EG"/>
              </w:rPr>
            </w:pPr>
            <w:r>
              <w:rPr>
                <w:rFonts w:hint="cs"/>
                <w:sz w:val="21"/>
                <w:szCs w:val="28"/>
                <w:rtl/>
              </w:rPr>
              <w:t>جنيف،</w:t>
            </w:r>
            <w:r w:rsidR="00631AC4">
              <w:rPr>
                <w:rFonts w:hint="cs"/>
                <w:sz w:val="21"/>
                <w:szCs w:val="28"/>
                <w:rtl/>
              </w:rPr>
              <w:t xml:space="preserve"> </w:t>
            </w:r>
            <w:r w:rsidR="00631AC4">
              <w:rPr>
                <w:sz w:val="21"/>
                <w:szCs w:val="28"/>
              </w:rPr>
              <w:t>24</w:t>
            </w:r>
            <w:r w:rsidR="00631AC4">
              <w:rPr>
                <w:rFonts w:hint="cs"/>
                <w:sz w:val="21"/>
                <w:szCs w:val="28"/>
                <w:rtl/>
                <w:lang w:bidi="ar-EG"/>
              </w:rPr>
              <w:t xml:space="preserve"> يناير </w:t>
            </w:r>
            <w:r w:rsidR="00631AC4">
              <w:rPr>
                <w:sz w:val="21"/>
                <w:szCs w:val="28"/>
                <w:lang w:bidi="ar-EG"/>
              </w:rPr>
              <w:t>2011</w:t>
            </w:r>
          </w:p>
          <w:p w:rsidR="0027101B" w:rsidRDefault="0027101B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sz w:val="21"/>
                <w:szCs w:val="28"/>
              </w:rPr>
            </w:pPr>
          </w:p>
        </w:tc>
      </w:tr>
      <w:tr w:rsidR="0027101B" w:rsidTr="005E2ACA">
        <w:trPr>
          <w:cantSplit/>
          <w:trHeight w:val="340"/>
          <w:jc w:val="center"/>
        </w:trPr>
        <w:tc>
          <w:tcPr>
            <w:tcW w:w="1533" w:type="dxa"/>
          </w:tcPr>
          <w:p w:rsidR="0027101B" w:rsidRDefault="0027101B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sz w:val="21"/>
                <w:szCs w:val="28"/>
              </w:rPr>
            </w:pPr>
            <w:r>
              <w:rPr>
                <w:rFonts w:hint="cs"/>
                <w:sz w:val="21"/>
                <w:szCs w:val="28"/>
                <w:rtl/>
              </w:rPr>
              <w:t>المرجع:</w:t>
            </w:r>
          </w:p>
        </w:tc>
        <w:tc>
          <w:tcPr>
            <w:tcW w:w="3340" w:type="dxa"/>
          </w:tcPr>
          <w:p w:rsidR="0027101B" w:rsidRDefault="0027101B" w:rsidP="00631AC4">
            <w:pPr>
              <w:tabs>
                <w:tab w:val="left" w:pos="4111"/>
              </w:tabs>
              <w:spacing w:before="20" w:line="300" w:lineRule="exact"/>
              <w:ind w:left="57"/>
              <w:rPr>
                <w:b/>
                <w:sz w:val="21"/>
                <w:szCs w:val="28"/>
              </w:rPr>
            </w:pPr>
            <w:r>
              <w:rPr>
                <w:b/>
                <w:sz w:val="21"/>
                <w:szCs w:val="28"/>
              </w:rPr>
              <w:t>TSB Circular</w:t>
            </w:r>
            <w:r w:rsidR="00631AC4">
              <w:rPr>
                <w:b/>
                <w:sz w:val="21"/>
                <w:szCs w:val="28"/>
              </w:rPr>
              <w:t xml:space="preserve"> 163</w:t>
            </w:r>
          </w:p>
          <w:p w:rsidR="0027101B" w:rsidRDefault="0027101B" w:rsidP="00631AC4">
            <w:pPr>
              <w:tabs>
                <w:tab w:val="left" w:pos="4111"/>
              </w:tabs>
              <w:spacing w:before="0" w:after="60" w:line="300" w:lineRule="exact"/>
              <w:ind w:left="57"/>
              <w:rPr>
                <w:bCs/>
                <w:sz w:val="21"/>
                <w:szCs w:val="28"/>
              </w:rPr>
            </w:pPr>
            <w:r>
              <w:rPr>
                <w:bCs/>
                <w:sz w:val="21"/>
                <w:szCs w:val="28"/>
              </w:rPr>
              <w:t xml:space="preserve">COM </w:t>
            </w:r>
            <w:r w:rsidR="00631AC4">
              <w:rPr>
                <w:bCs/>
                <w:sz w:val="21"/>
                <w:szCs w:val="28"/>
              </w:rPr>
              <w:t>2</w:t>
            </w:r>
            <w:r>
              <w:rPr>
                <w:bCs/>
                <w:sz w:val="21"/>
                <w:szCs w:val="28"/>
              </w:rPr>
              <w:t>/</w:t>
            </w:r>
            <w:r w:rsidR="00631AC4">
              <w:rPr>
                <w:bCs/>
                <w:sz w:val="21"/>
                <w:szCs w:val="28"/>
              </w:rPr>
              <w:t>RH</w:t>
            </w:r>
          </w:p>
        </w:tc>
        <w:tc>
          <w:tcPr>
            <w:tcW w:w="4760" w:type="dxa"/>
          </w:tcPr>
          <w:p w:rsidR="0027101B" w:rsidRDefault="0027101B" w:rsidP="0036145A">
            <w:pPr>
              <w:numPr>
                <w:ilvl w:val="0"/>
                <w:numId w:val="1"/>
              </w:numPr>
              <w:tabs>
                <w:tab w:val="left" w:pos="284"/>
                <w:tab w:val="left" w:pos="4111"/>
              </w:tabs>
              <w:spacing w:before="20" w:line="300" w:lineRule="exact"/>
              <w:rPr>
                <w:sz w:val="21"/>
                <w:szCs w:val="28"/>
                <w:rtl/>
                <w:lang w:bidi="ar-EG"/>
              </w:rPr>
            </w:pPr>
            <w:r>
              <w:rPr>
                <w:rFonts w:hint="cs"/>
                <w:sz w:val="21"/>
                <w:szCs w:val="28"/>
                <w:rtl/>
              </w:rPr>
              <w:t>إلى إدارات الدول الأعضاء في الاتحاد</w:t>
            </w:r>
          </w:p>
          <w:p w:rsidR="00D20A54" w:rsidRDefault="00D20A54" w:rsidP="00D20A54">
            <w:pPr>
              <w:tabs>
                <w:tab w:val="left" w:pos="284"/>
                <w:tab w:val="left" w:pos="4111"/>
              </w:tabs>
              <w:spacing w:before="20" w:line="300" w:lineRule="exact"/>
              <w:ind w:left="57"/>
              <w:rPr>
                <w:sz w:val="21"/>
                <w:szCs w:val="28"/>
                <w:rtl/>
                <w:lang w:bidi="ar-EG"/>
              </w:rPr>
            </w:pPr>
          </w:p>
          <w:p w:rsidR="00AC58F0" w:rsidRDefault="00AC58F0" w:rsidP="00D20A54">
            <w:pPr>
              <w:tabs>
                <w:tab w:val="left" w:pos="284"/>
                <w:tab w:val="left" w:pos="4111"/>
              </w:tabs>
              <w:spacing w:before="20" w:line="300" w:lineRule="exact"/>
              <w:ind w:left="57"/>
              <w:rPr>
                <w:sz w:val="21"/>
                <w:szCs w:val="28"/>
                <w:lang w:bidi="ar-EG"/>
              </w:rPr>
            </w:pPr>
          </w:p>
        </w:tc>
      </w:tr>
      <w:tr w:rsidR="0027101B" w:rsidTr="00EE2C4A">
        <w:trPr>
          <w:cantSplit/>
          <w:jc w:val="center"/>
        </w:trPr>
        <w:tc>
          <w:tcPr>
            <w:tcW w:w="1533" w:type="dxa"/>
          </w:tcPr>
          <w:p w:rsidR="0027101B" w:rsidRDefault="0027101B">
            <w:pPr>
              <w:spacing w:before="20" w:after="60" w:line="300" w:lineRule="exact"/>
              <w:ind w:left="57"/>
              <w:rPr>
                <w:sz w:val="21"/>
                <w:szCs w:val="28"/>
                <w:rtl/>
              </w:rPr>
            </w:pPr>
            <w:r>
              <w:rPr>
                <w:rFonts w:hint="cs"/>
                <w:sz w:val="21"/>
                <w:szCs w:val="28"/>
                <w:rtl/>
                <w:lang w:bidi="ar-SY"/>
              </w:rPr>
              <w:t>الهاتف</w:t>
            </w:r>
            <w:r>
              <w:rPr>
                <w:rFonts w:hint="cs"/>
                <w:sz w:val="21"/>
                <w:szCs w:val="28"/>
                <w:rtl/>
              </w:rPr>
              <w:t>:</w:t>
            </w:r>
          </w:p>
          <w:p w:rsidR="0027101B" w:rsidRDefault="0027101B">
            <w:pPr>
              <w:spacing w:before="20" w:after="60" w:line="300" w:lineRule="exact"/>
              <w:ind w:left="57"/>
              <w:rPr>
                <w:sz w:val="21"/>
                <w:szCs w:val="28"/>
              </w:rPr>
            </w:pPr>
            <w:r>
              <w:rPr>
                <w:rFonts w:hint="cs"/>
                <w:sz w:val="21"/>
                <w:szCs w:val="28"/>
                <w:rtl/>
              </w:rPr>
              <w:t>الفاكس:</w:t>
            </w:r>
          </w:p>
          <w:p w:rsidR="0027101B" w:rsidRDefault="0027101B">
            <w:pPr>
              <w:spacing w:before="20" w:after="60" w:line="300" w:lineRule="exact"/>
              <w:ind w:left="57"/>
              <w:jc w:val="left"/>
              <w:rPr>
                <w:sz w:val="21"/>
                <w:szCs w:val="28"/>
              </w:rPr>
            </w:pPr>
            <w:r>
              <w:rPr>
                <w:rFonts w:hint="cs"/>
                <w:sz w:val="21"/>
                <w:szCs w:val="28"/>
                <w:rtl/>
              </w:rPr>
              <w:t>البريد الإلكتروني:</w:t>
            </w:r>
          </w:p>
        </w:tc>
        <w:tc>
          <w:tcPr>
            <w:tcW w:w="3340" w:type="dxa"/>
          </w:tcPr>
          <w:p w:rsidR="0027101B" w:rsidRDefault="0027101B" w:rsidP="00631AC4">
            <w:pPr>
              <w:tabs>
                <w:tab w:val="left" w:pos="4111"/>
              </w:tabs>
              <w:spacing w:before="20" w:after="60" w:line="300" w:lineRule="exact"/>
              <w:ind w:left="57"/>
              <w:jc w:val="left"/>
              <w:rPr>
                <w:sz w:val="21"/>
                <w:szCs w:val="28"/>
              </w:rPr>
            </w:pPr>
            <w:r>
              <w:rPr>
                <w:sz w:val="21"/>
                <w:szCs w:val="28"/>
              </w:rPr>
              <w:t xml:space="preserve">+41 22 730 </w:t>
            </w:r>
            <w:r w:rsidR="00631AC4">
              <w:rPr>
                <w:sz w:val="21"/>
                <w:szCs w:val="28"/>
              </w:rPr>
              <w:t>5887</w:t>
            </w:r>
          </w:p>
          <w:p w:rsidR="0027101B" w:rsidRDefault="0027101B" w:rsidP="0027101B">
            <w:pPr>
              <w:tabs>
                <w:tab w:val="left" w:pos="4111"/>
              </w:tabs>
              <w:spacing w:before="20" w:after="60" w:line="300" w:lineRule="exact"/>
              <w:ind w:left="57"/>
              <w:jc w:val="left"/>
              <w:rPr>
                <w:sz w:val="21"/>
                <w:szCs w:val="28"/>
                <w:rtl/>
              </w:rPr>
            </w:pPr>
            <w:r>
              <w:rPr>
                <w:sz w:val="21"/>
                <w:szCs w:val="28"/>
              </w:rPr>
              <w:t>+41 22 730 5853</w:t>
            </w:r>
          </w:p>
          <w:p w:rsidR="0027101B" w:rsidRPr="00631AC4" w:rsidRDefault="00DE1A77" w:rsidP="00CB53F1">
            <w:pPr>
              <w:tabs>
                <w:tab w:val="left" w:pos="794"/>
                <w:tab w:val="left" w:pos="1191"/>
                <w:tab w:val="left" w:pos="1588"/>
                <w:tab w:val="left" w:pos="1985"/>
                <w:tab w:val="left" w:pos="4111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ind w:left="113"/>
              <w:jc w:val="left"/>
              <w:textAlignment w:val="baseline"/>
              <w:rPr>
                <w:sz w:val="21"/>
                <w:szCs w:val="28"/>
                <w:rtl/>
                <w:lang w:bidi="ar-EG"/>
              </w:rPr>
            </w:pPr>
            <w:hyperlink r:id="rId9" w:history="1">
              <w:r w:rsidR="00310D57" w:rsidRPr="00CB53F1">
                <w:rPr>
                  <w:rStyle w:val="Hyperlink"/>
                  <w:rFonts w:cs="Times New Roman"/>
                  <w:sz w:val="21"/>
                  <w:szCs w:val="20"/>
                  <w:lang w:val="en-GB"/>
                </w:rPr>
                <w:t>t</w:t>
              </w:r>
              <w:r w:rsidR="0027101B" w:rsidRPr="00CB53F1">
                <w:rPr>
                  <w:rStyle w:val="Hyperlink"/>
                  <w:rFonts w:cs="Times New Roman"/>
                  <w:sz w:val="21"/>
                  <w:szCs w:val="20"/>
                  <w:lang w:val="en-GB"/>
                </w:rPr>
                <w:t>sbsg</w:t>
              </w:r>
              <w:r w:rsidR="00CB53F1" w:rsidRPr="00CB53F1">
                <w:rPr>
                  <w:rStyle w:val="Hyperlink"/>
                  <w:rFonts w:cs="Times New Roman"/>
                  <w:sz w:val="21"/>
                  <w:szCs w:val="20"/>
                </w:rPr>
                <w:t>2</w:t>
              </w:r>
              <w:r w:rsidR="0027101B" w:rsidRPr="00CB53F1">
                <w:rPr>
                  <w:rStyle w:val="Hyperlink"/>
                  <w:rFonts w:cs="Times New Roman"/>
                  <w:sz w:val="21"/>
                  <w:szCs w:val="20"/>
                  <w:lang w:val="en-GB"/>
                </w:rPr>
                <w:t>@itu.int</w:t>
              </w:r>
            </w:hyperlink>
          </w:p>
        </w:tc>
        <w:tc>
          <w:tcPr>
            <w:tcW w:w="4760" w:type="dxa"/>
          </w:tcPr>
          <w:p w:rsidR="00DB16CF" w:rsidRDefault="00DB16CF" w:rsidP="00DB16CF">
            <w:pPr>
              <w:tabs>
                <w:tab w:val="left" w:pos="284"/>
                <w:tab w:val="left" w:pos="4111"/>
              </w:tabs>
              <w:spacing w:before="20" w:after="60" w:line="300" w:lineRule="exact"/>
              <w:ind w:left="284" w:hanging="227"/>
              <w:rPr>
                <w:b/>
                <w:bCs/>
                <w:sz w:val="21"/>
                <w:szCs w:val="28"/>
                <w:rtl/>
              </w:rPr>
            </w:pPr>
            <w:r>
              <w:rPr>
                <w:rFonts w:hint="cs"/>
                <w:b/>
                <w:bCs/>
                <w:sz w:val="21"/>
                <w:szCs w:val="28"/>
                <w:rtl/>
              </w:rPr>
              <w:t>نسخة إلى:</w:t>
            </w:r>
          </w:p>
          <w:p w:rsidR="00DB16CF" w:rsidRDefault="00DB16CF" w:rsidP="00AC58F0">
            <w:pPr>
              <w:tabs>
                <w:tab w:val="left" w:pos="284"/>
                <w:tab w:val="left" w:pos="4111"/>
              </w:tabs>
              <w:spacing w:before="40" w:line="300" w:lineRule="exact"/>
              <w:ind w:left="284" w:hanging="227"/>
              <w:rPr>
                <w:sz w:val="21"/>
                <w:szCs w:val="28"/>
                <w:rtl/>
              </w:rPr>
            </w:pPr>
            <w:r>
              <w:rPr>
                <w:rFonts w:hint="cs"/>
                <w:sz w:val="21"/>
                <w:szCs w:val="28"/>
                <w:rtl/>
              </w:rPr>
              <w:t>-</w:t>
            </w:r>
            <w:r>
              <w:rPr>
                <w:sz w:val="21"/>
                <w:szCs w:val="28"/>
                <w:rtl/>
              </w:rPr>
              <w:tab/>
            </w:r>
            <w:r w:rsidR="00844D9B">
              <w:rPr>
                <w:rFonts w:hint="cs"/>
                <w:sz w:val="21"/>
                <w:szCs w:val="28"/>
                <w:rtl/>
              </w:rPr>
              <w:t>أعضاء قطاع تقييس الاتصالات</w:t>
            </w:r>
            <w:r>
              <w:rPr>
                <w:rFonts w:hint="cs"/>
                <w:sz w:val="21"/>
                <w:szCs w:val="28"/>
                <w:rtl/>
              </w:rPr>
              <w:t>؛</w:t>
            </w:r>
          </w:p>
          <w:p w:rsidR="00844D9B" w:rsidRDefault="00844D9B" w:rsidP="00AC58F0">
            <w:pPr>
              <w:tabs>
                <w:tab w:val="left" w:pos="284"/>
                <w:tab w:val="left" w:pos="4111"/>
              </w:tabs>
              <w:spacing w:before="40" w:line="300" w:lineRule="exact"/>
              <w:ind w:left="284" w:hanging="227"/>
              <w:rPr>
                <w:sz w:val="21"/>
                <w:szCs w:val="28"/>
                <w:rtl/>
              </w:rPr>
            </w:pPr>
            <w:r>
              <w:rPr>
                <w:rFonts w:hint="cs"/>
                <w:sz w:val="21"/>
                <w:szCs w:val="28"/>
                <w:rtl/>
              </w:rPr>
              <w:t>-</w:t>
            </w:r>
            <w:r>
              <w:rPr>
                <w:sz w:val="21"/>
                <w:szCs w:val="28"/>
                <w:rtl/>
              </w:rPr>
              <w:tab/>
            </w:r>
            <w:r>
              <w:rPr>
                <w:rFonts w:hint="cs"/>
                <w:sz w:val="21"/>
                <w:szCs w:val="28"/>
                <w:rtl/>
              </w:rPr>
              <w:t>المنتسبين إلى قطاع تقييس الاتصالات؛</w:t>
            </w:r>
          </w:p>
          <w:p w:rsidR="00DB16CF" w:rsidRDefault="00DB16CF" w:rsidP="00AC58F0">
            <w:pPr>
              <w:tabs>
                <w:tab w:val="left" w:pos="284"/>
                <w:tab w:val="left" w:pos="4111"/>
              </w:tabs>
              <w:spacing w:before="40" w:line="300" w:lineRule="exact"/>
              <w:ind w:left="284" w:hanging="227"/>
              <w:rPr>
                <w:sz w:val="21"/>
                <w:szCs w:val="28"/>
                <w:rtl/>
                <w:lang w:bidi="ar-EG"/>
              </w:rPr>
            </w:pPr>
            <w:r>
              <w:rPr>
                <w:rFonts w:hint="cs"/>
                <w:sz w:val="21"/>
                <w:szCs w:val="28"/>
                <w:rtl/>
              </w:rPr>
              <w:t>-</w:t>
            </w:r>
            <w:r>
              <w:rPr>
                <w:sz w:val="21"/>
                <w:szCs w:val="28"/>
                <w:rtl/>
              </w:rPr>
              <w:tab/>
            </w:r>
            <w:r>
              <w:rPr>
                <w:rFonts w:hint="cs"/>
                <w:sz w:val="21"/>
                <w:szCs w:val="28"/>
                <w:rtl/>
              </w:rPr>
              <w:t xml:space="preserve">رئيس لجنة الدراسات </w:t>
            </w:r>
            <w:r w:rsidR="0063384D">
              <w:rPr>
                <w:sz w:val="21"/>
                <w:szCs w:val="28"/>
              </w:rPr>
              <w:t>2</w:t>
            </w:r>
            <w:r w:rsidR="00021E10">
              <w:rPr>
                <w:rFonts w:hint="cs"/>
                <w:sz w:val="21"/>
                <w:szCs w:val="28"/>
                <w:rtl/>
                <w:lang w:bidi="ar-EG"/>
              </w:rPr>
              <w:t xml:space="preserve"> </w:t>
            </w:r>
            <w:r>
              <w:rPr>
                <w:rFonts w:hint="cs"/>
                <w:sz w:val="21"/>
                <w:szCs w:val="28"/>
                <w:rtl/>
                <w:lang w:bidi="ar-EG"/>
              </w:rPr>
              <w:t>ونوابه؛</w:t>
            </w:r>
          </w:p>
          <w:p w:rsidR="00DB16CF" w:rsidRDefault="00DB16CF" w:rsidP="00AC58F0">
            <w:pPr>
              <w:tabs>
                <w:tab w:val="left" w:pos="284"/>
                <w:tab w:val="left" w:pos="4111"/>
              </w:tabs>
              <w:spacing w:before="40" w:line="300" w:lineRule="exact"/>
              <w:ind w:left="284" w:hanging="227"/>
              <w:rPr>
                <w:sz w:val="21"/>
                <w:szCs w:val="28"/>
                <w:rtl/>
              </w:rPr>
            </w:pPr>
            <w:r>
              <w:rPr>
                <w:rFonts w:hint="cs"/>
                <w:sz w:val="21"/>
                <w:szCs w:val="28"/>
                <w:rtl/>
              </w:rPr>
              <w:t>-</w:t>
            </w:r>
            <w:r>
              <w:rPr>
                <w:sz w:val="21"/>
                <w:szCs w:val="28"/>
                <w:rtl/>
              </w:rPr>
              <w:tab/>
              <w:t>مدير مكتب تنمية الاتصالات</w:t>
            </w:r>
            <w:r>
              <w:rPr>
                <w:rFonts w:hint="cs"/>
                <w:sz w:val="21"/>
                <w:szCs w:val="28"/>
                <w:rtl/>
              </w:rPr>
              <w:t>؛</w:t>
            </w:r>
          </w:p>
          <w:p w:rsidR="0027101B" w:rsidRDefault="00DB16CF" w:rsidP="00AC58F0">
            <w:pPr>
              <w:tabs>
                <w:tab w:val="left" w:pos="284"/>
                <w:tab w:val="left" w:pos="4111"/>
              </w:tabs>
              <w:spacing w:before="40" w:after="120" w:line="300" w:lineRule="exact"/>
              <w:ind w:left="284" w:hanging="227"/>
              <w:rPr>
                <w:sz w:val="21"/>
                <w:szCs w:val="28"/>
                <w:rtl/>
              </w:rPr>
            </w:pPr>
            <w:r>
              <w:rPr>
                <w:rFonts w:hint="cs"/>
                <w:sz w:val="21"/>
                <w:szCs w:val="28"/>
                <w:rtl/>
              </w:rPr>
              <w:t>-</w:t>
            </w:r>
            <w:r>
              <w:rPr>
                <w:sz w:val="21"/>
                <w:szCs w:val="28"/>
                <w:rtl/>
              </w:rPr>
              <w:tab/>
              <w:t>مدير مكتب الاتصالات الراديوية</w:t>
            </w:r>
          </w:p>
        </w:tc>
      </w:tr>
    </w:tbl>
    <w:p w:rsidR="00BC00E5" w:rsidRDefault="00BC00E5">
      <w:pPr>
        <w:spacing w:before="0" w:after="120"/>
        <w:rPr>
          <w:sz w:val="21"/>
          <w:szCs w:val="28"/>
          <w:rtl/>
          <w:lang w:bidi="ar-EG"/>
        </w:rPr>
      </w:pPr>
    </w:p>
    <w:p w:rsidR="00533DE7" w:rsidRDefault="00533DE7" w:rsidP="00C42909">
      <w:pPr>
        <w:spacing w:before="240"/>
        <w:ind w:left="924" w:hanging="924"/>
        <w:rPr>
          <w:b/>
          <w:bCs/>
          <w:rtl/>
          <w:lang w:bidi="ar-EG"/>
        </w:rPr>
      </w:pPr>
      <w:r w:rsidRPr="00CB53F1">
        <w:rPr>
          <w:rFonts w:hint="cs"/>
          <w:rtl/>
        </w:rPr>
        <w:t>الموضوع:</w:t>
      </w:r>
      <w:r w:rsidRPr="00CB53F1">
        <w:rPr>
          <w:rtl/>
        </w:rPr>
        <w:tab/>
      </w:r>
      <w:r w:rsidRPr="00CB53F1">
        <w:rPr>
          <w:rFonts w:hint="cs"/>
          <w:b/>
          <w:bCs/>
          <w:rtl/>
        </w:rPr>
        <w:t>اجتماع لجنة الدراسات</w:t>
      </w:r>
      <w:r w:rsidRPr="00CB53F1">
        <w:rPr>
          <w:rFonts w:hint="cs"/>
          <w:b/>
          <w:bCs/>
          <w:rtl/>
          <w:lang w:bidi="ar-EG"/>
        </w:rPr>
        <w:t xml:space="preserve"> </w:t>
      </w:r>
      <w:r w:rsidR="00E5744B" w:rsidRPr="00CB53F1">
        <w:rPr>
          <w:b/>
          <w:bCs/>
          <w:lang w:bidi="ar-EG"/>
        </w:rPr>
        <w:t>2</w:t>
      </w:r>
      <w:r w:rsidRPr="00CB53F1">
        <w:rPr>
          <w:rFonts w:hint="cs"/>
          <w:b/>
          <w:bCs/>
          <w:rtl/>
          <w:lang w:bidi="ar-EG"/>
        </w:rPr>
        <w:t xml:space="preserve"> بهدف الموافقة على</w:t>
      </w:r>
      <w:bookmarkStart w:id="0" w:name="_Toc280105404"/>
      <w:r w:rsidR="00E5744B" w:rsidRPr="00CB53F1">
        <w:rPr>
          <w:rtl/>
        </w:rPr>
        <w:t xml:space="preserve"> </w:t>
      </w:r>
      <w:r w:rsidR="00E5744B" w:rsidRPr="00CB53F1">
        <w:rPr>
          <w:b/>
          <w:bCs/>
          <w:rtl/>
          <w:lang w:bidi="ar-EG"/>
        </w:rPr>
        <w:t>مشروع</w:t>
      </w:r>
      <w:r w:rsidR="00E5744B" w:rsidRPr="00CB53F1">
        <w:rPr>
          <w:rFonts w:hint="cs"/>
          <w:b/>
          <w:bCs/>
          <w:rtl/>
          <w:lang w:bidi="ar-EG"/>
        </w:rPr>
        <w:t xml:space="preserve"> التعديل</w:t>
      </w:r>
      <w:r w:rsidR="00E676B0" w:rsidRPr="00CB53F1">
        <w:rPr>
          <w:rFonts w:hint="cs"/>
          <w:b/>
          <w:bCs/>
          <w:rtl/>
          <w:lang w:bidi="ar-EG"/>
        </w:rPr>
        <w:t xml:space="preserve"> الجديد</w:t>
      </w:r>
      <w:r w:rsidR="00E5744B" w:rsidRPr="00CB53F1">
        <w:rPr>
          <w:rFonts w:hint="cs"/>
          <w:b/>
          <w:bCs/>
          <w:rtl/>
          <w:lang w:bidi="ar-EG"/>
        </w:rPr>
        <w:t xml:space="preserve"> </w:t>
      </w:r>
      <w:r w:rsidR="00E5744B" w:rsidRPr="00CB53F1">
        <w:rPr>
          <w:b/>
          <w:bCs/>
          <w:lang w:bidi="ar-EG"/>
        </w:rPr>
        <w:t>1</w:t>
      </w:r>
      <w:r w:rsidR="00E5744B" w:rsidRPr="00CB53F1">
        <w:rPr>
          <w:b/>
          <w:bCs/>
          <w:rtl/>
          <w:lang w:bidi="ar-EG"/>
        </w:rPr>
        <w:t xml:space="preserve"> </w:t>
      </w:r>
      <w:r w:rsidR="00E5744B" w:rsidRPr="00CB53F1">
        <w:rPr>
          <w:rFonts w:hint="cs"/>
          <w:b/>
          <w:bCs/>
          <w:rtl/>
          <w:lang w:bidi="ar-EG"/>
        </w:rPr>
        <w:t>ل</w:t>
      </w:r>
      <w:r w:rsidR="00E5744B" w:rsidRPr="00CB53F1">
        <w:rPr>
          <w:b/>
          <w:bCs/>
          <w:rtl/>
          <w:lang w:bidi="ar-EG"/>
        </w:rPr>
        <w:t>لتوصية</w:t>
      </w:r>
      <w:r w:rsidR="00E5744B" w:rsidRPr="00CB53F1">
        <w:rPr>
          <w:rFonts w:hint="cs"/>
          <w:rtl/>
        </w:rPr>
        <w:t xml:space="preserve"> </w:t>
      </w:r>
      <w:r w:rsidR="00E5744B" w:rsidRPr="00CB53F1">
        <w:rPr>
          <w:b/>
          <w:bCs/>
          <w:lang w:bidi="ar-EG"/>
        </w:rPr>
        <w:t>ITU-T</w:t>
      </w:r>
      <w:r w:rsidR="00B31DBE" w:rsidRPr="00CB53F1">
        <w:rPr>
          <w:b/>
          <w:bCs/>
          <w:lang w:bidi="ar-EG"/>
        </w:rPr>
        <w:t> </w:t>
      </w:r>
      <w:r w:rsidR="00E5744B" w:rsidRPr="00CB53F1">
        <w:rPr>
          <w:b/>
          <w:bCs/>
          <w:lang w:bidi="ar-EG"/>
        </w:rPr>
        <w:t>E.101</w:t>
      </w:r>
      <w:r w:rsidR="00E5744B" w:rsidRPr="00CB53F1">
        <w:rPr>
          <w:rFonts w:hint="cs"/>
          <w:b/>
          <w:bCs/>
          <w:rtl/>
          <w:lang w:bidi="ar-EG"/>
        </w:rPr>
        <w:t xml:space="preserve"> </w:t>
      </w:r>
      <w:r w:rsidR="00886E7A" w:rsidRPr="00CB53F1">
        <w:rPr>
          <w:b/>
          <w:bCs/>
          <w:rtl/>
          <w:lang w:bidi="ar-EG"/>
        </w:rPr>
        <w:br/>
      </w:r>
      <w:r w:rsidR="00B31DBE" w:rsidRPr="00CB53F1">
        <w:rPr>
          <w:rFonts w:hint="cs"/>
          <w:b/>
          <w:bCs/>
          <w:rtl/>
          <w:lang w:bidi="ar-EG"/>
        </w:rPr>
        <w:t>(</w:t>
      </w:r>
      <w:r w:rsidR="00E5744B" w:rsidRPr="00CB53F1">
        <w:rPr>
          <w:rFonts w:hint="cs"/>
          <w:b/>
          <w:bCs/>
          <w:rtl/>
          <w:lang w:bidi="ar-EG"/>
        </w:rPr>
        <w:t xml:space="preserve">التذييل </w:t>
      </w:r>
      <w:r w:rsidR="00CB53F1">
        <w:rPr>
          <w:rFonts w:hint="cs"/>
          <w:b/>
          <w:bCs/>
          <w:rtl/>
          <w:lang w:bidi="ar-EG"/>
        </w:rPr>
        <w:t xml:space="preserve">الأول </w:t>
      </w:r>
      <w:r w:rsidR="00E5744B" w:rsidRPr="00CB53F1">
        <w:rPr>
          <w:rFonts w:hint="cs"/>
          <w:b/>
          <w:bCs/>
          <w:rtl/>
          <w:lang w:bidi="ar-EG"/>
        </w:rPr>
        <w:t>الجديد</w:t>
      </w:r>
      <w:bookmarkEnd w:id="0"/>
      <w:r w:rsidR="00B31DBE" w:rsidRPr="00CB53F1">
        <w:rPr>
          <w:rFonts w:hint="cs"/>
          <w:b/>
          <w:bCs/>
          <w:rtl/>
          <w:lang w:bidi="ar-EG"/>
        </w:rPr>
        <w:t>)</w:t>
      </w:r>
      <w:r w:rsidR="00CE6B73" w:rsidRPr="00CB53F1">
        <w:rPr>
          <w:rFonts w:hint="cs"/>
          <w:b/>
          <w:bCs/>
          <w:rtl/>
          <w:lang w:bidi="ar-EG"/>
        </w:rPr>
        <w:t xml:space="preserve">، </w:t>
      </w:r>
      <w:r w:rsidR="00B31DBE" w:rsidRPr="00CB53F1">
        <w:rPr>
          <w:rFonts w:hint="cs"/>
          <w:b/>
          <w:bCs/>
          <w:rtl/>
          <w:lang w:bidi="ar-EG"/>
        </w:rPr>
        <w:t>ومشروع التعديل</w:t>
      </w:r>
      <w:r w:rsidR="00E676B0" w:rsidRPr="00CB53F1">
        <w:rPr>
          <w:rFonts w:hint="cs"/>
          <w:b/>
          <w:bCs/>
          <w:rtl/>
          <w:lang w:bidi="ar-EG"/>
        </w:rPr>
        <w:t xml:space="preserve"> الجديد</w:t>
      </w:r>
      <w:r w:rsidR="00B31DBE" w:rsidRPr="00CB53F1">
        <w:rPr>
          <w:rFonts w:hint="cs"/>
          <w:b/>
          <w:bCs/>
          <w:rtl/>
          <w:lang w:bidi="ar-EG"/>
        </w:rPr>
        <w:t xml:space="preserve"> </w:t>
      </w:r>
      <w:r w:rsidR="00B31DBE" w:rsidRPr="00CB53F1">
        <w:rPr>
          <w:b/>
          <w:bCs/>
          <w:lang w:bidi="ar-EG"/>
        </w:rPr>
        <w:t>1</w:t>
      </w:r>
      <w:r w:rsidR="00B31DBE" w:rsidRPr="00CB53F1">
        <w:rPr>
          <w:rFonts w:hint="cs"/>
          <w:b/>
          <w:bCs/>
          <w:rtl/>
          <w:lang w:bidi="ar-EG"/>
        </w:rPr>
        <w:t xml:space="preserve"> للتوصية </w:t>
      </w:r>
      <w:bookmarkStart w:id="1" w:name="_Toc280105405"/>
      <w:r w:rsidR="00B31DBE" w:rsidRPr="00CB53F1">
        <w:rPr>
          <w:b/>
          <w:bCs/>
          <w:lang w:bidi="ar-EG"/>
        </w:rPr>
        <w:t>ITU</w:t>
      </w:r>
      <w:r w:rsidR="00CB53F1">
        <w:rPr>
          <w:b/>
          <w:bCs/>
          <w:lang w:bidi="ar-EG"/>
        </w:rPr>
        <w:t>-</w:t>
      </w:r>
      <w:r w:rsidR="00B31DBE" w:rsidRPr="00CB53F1">
        <w:rPr>
          <w:b/>
          <w:bCs/>
          <w:lang w:bidi="ar-EG"/>
        </w:rPr>
        <w:t>T E.164</w:t>
      </w:r>
      <w:r w:rsidR="00B31DBE" w:rsidRPr="00CB53F1">
        <w:rPr>
          <w:rFonts w:hint="cs"/>
          <w:b/>
          <w:bCs/>
          <w:rtl/>
          <w:lang w:bidi="ar-EG"/>
        </w:rPr>
        <w:t xml:space="preserve"> (القسم </w:t>
      </w:r>
      <w:bookmarkEnd w:id="1"/>
      <w:r w:rsidR="00C42909">
        <w:rPr>
          <w:rFonts w:hint="cs"/>
          <w:b/>
          <w:bCs/>
          <w:rtl/>
          <w:lang w:bidi="ar-EG"/>
        </w:rPr>
        <w:t>ألف</w:t>
      </w:r>
      <w:r w:rsidR="00C42909">
        <w:rPr>
          <w:b/>
          <w:bCs/>
          <w:lang w:bidi="ar-EG"/>
        </w:rPr>
        <w:t>8-</w:t>
      </w:r>
      <w:r w:rsidR="00B31DBE" w:rsidRPr="00CB53F1">
        <w:rPr>
          <w:rFonts w:hint="cs"/>
          <w:b/>
          <w:bCs/>
          <w:rtl/>
          <w:lang w:bidi="ar-EG"/>
        </w:rPr>
        <w:t>)</w:t>
      </w:r>
      <w:r w:rsidR="00886E7A" w:rsidRPr="00CB53F1">
        <w:rPr>
          <w:rFonts w:hint="cs"/>
          <w:rtl/>
          <w:lang w:bidi="ar-EG"/>
        </w:rPr>
        <w:t xml:space="preserve">، </w:t>
      </w:r>
      <w:r w:rsidR="00886E7A" w:rsidRPr="00CB53F1">
        <w:rPr>
          <w:rFonts w:hint="cs"/>
          <w:b/>
          <w:bCs/>
          <w:rtl/>
          <w:lang w:bidi="ar-EG"/>
        </w:rPr>
        <w:t>ومشروع التعديل</w:t>
      </w:r>
      <w:r w:rsidR="00E676B0" w:rsidRPr="00CB53F1">
        <w:rPr>
          <w:rFonts w:hint="cs"/>
          <w:b/>
          <w:bCs/>
          <w:rtl/>
          <w:lang w:bidi="ar-EG"/>
        </w:rPr>
        <w:t xml:space="preserve"> الجديد</w:t>
      </w:r>
      <w:r w:rsidR="00886E7A" w:rsidRPr="00CB53F1">
        <w:rPr>
          <w:rFonts w:hint="cs"/>
          <w:b/>
          <w:bCs/>
          <w:rtl/>
          <w:lang w:bidi="ar-EG"/>
        </w:rPr>
        <w:t xml:space="preserve"> </w:t>
      </w:r>
      <w:r w:rsidR="00886E7A" w:rsidRPr="00CB53F1">
        <w:rPr>
          <w:b/>
          <w:bCs/>
          <w:lang w:bidi="ar-EG"/>
        </w:rPr>
        <w:t>3</w:t>
      </w:r>
      <w:r w:rsidR="00886E7A" w:rsidRPr="00CB53F1">
        <w:rPr>
          <w:rFonts w:hint="cs"/>
          <w:b/>
          <w:bCs/>
          <w:rtl/>
          <w:lang w:bidi="ar-EG"/>
        </w:rPr>
        <w:t xml:space="preserve"> للتوصية </w:t>
      </w:r>
      <w:bookmarkStart w:id="2" w:name="_Toc280105406"/>
      <w:r w:rsidR="00886E7A" w:rsidRPr="00CB53F1">
        <w:rPr>
          <w:b/>
          <w:bCs/>
          <w:lang w:bidi="ar-EG"/>
        </w:rPr>
        <w:t>ITU-T E.212</w:t>
      </w:r>
      <w:r w:rsidR="00886E7A" w:rsidRPr="00CB53F1">
        <w:rPr>
          <w:rFonts w:hint="cs"/>
          <w:b/>
          <w:bCs/>
          <w:rtl/>
          <w:lang w:bidi="ar-EG"/>
        </w:rPr>
        <w:t xml:space="preserve"> (مراجعة الملحق</w:t>
      </w:r>
      <w:bookmarkEnd w:id="2"/>
      <w:r w:rsidR="00CB53F1">
        <w:rPr>
          <w:rFonts w:hint="cs"/>
          <w:b/>
          <w:bCs/>
          <w:rtl/>
          <w:lang w:bidi="ar-EG"/>
        </w:rPr>
        <w:t xml:space="preserve"> هاء</w:t>
      </w:r>
      <w:r w:rsidR="00886E7A" w:rsidRPr="00CB53F1">
        <w:rPr>
          <w:rFonts w:hint="cs"/>
          <w:b/>
          <w:bCs/>
          <w:rtl/>
          <w:lang w:bidi="ar-EG"/>
        </w:rPr>
        <w:t>)</w:t>
      </w:r>
      <w:r w:rsidR="00A66953">
        <w:rPr>
          <w:rFonts w:hint="cs"/>
          <w:rtl/>
          <w:lang w:bidi="ar-EG"/>
        </w:rPr>
        <w:t>،</w:t>
      </w:r>
      <w:r w:rsidR="00B31DBE" w:rsidRPr="00CB53F1">
        <w:rPr>
          <w:rFonts w:hint="cs"/>
          <w:rtl/>
          <w:lang w:bidi="ar-EG"/>
        </w:rPr>
        <w:t xml:space="preserve"> </w:t>
      </w:r>
      <w:r w:rsidRPr="00CB53F1">
        <w:rPr>
          <w:rFonts w:hint="cs"/>
          <w:b/>
          <w:bCs/>
          <w:rtl/>
          <w:lang w:bidi="ar-EG"/>
        </w:rPr>
        <w:t xml:space="preserve">عملاً بأحكام القسم </w:t>
      </w:r>
      <w:r w:rsidRPr="00CB53F1">
        <w:rPr>
          <w:b/>
          <w:bCs/>
          <w:lang w:bidi="ar-EG"/>
        </w:rPr>
        <w:t>9</w:t>
      </w:r>
      <w:r w:rsidRPr="00CB53F1">
        <w:rPr>
          <w:rFonts w:hint="cs"/>
          <w:b/>
          <w:bCs/>
          <w:rtl/>
          <w:lang w:bidi="ar-EG"/>
        </w:rPr>
        <w:t xml:space="preserve"> من القرار </w:t>
      </w:r>
      <w:r w:rsidRPr="00CB53F1">
        <w:rPr>
          <w:b/>
          <w:bCs/>
          <w:lang w:bidi="ar-EG"/>
        </w:rPr>
        <w:t>1</w:t>
      </w:r>
      <w:r w:rsidRPr="00CB53F1">
        <w:rPr>
          <w:rFonts w:hint="cs"/>
          <w:b/>
          <w:bCs/>
          <w:rtl/>
          <w:lang w:bidi="ar-EG"/>
        </w:rPr>
        <w:t xml:space="preserve"> الصادر عن</w:t>
      </w:r>
      <w:r w:rsidR="00E676B0" w:rsidRPr="00CB53F1">
        <w:rPr>
          <w:rFonts w:hint="eastAsia"/>
          <w:b/>
          <w:bCs/>
          <w:rtl/>
          <w:lang w:bidi="ar-EG"/>
        </w:rPr>
        <w:t> </w:t>
      </w:r>
      <w:r w:rsidRPr="00CB53F1">
        <w:rPr>
          <w:rFonts w:hint="cs"/>
          <w:b/>
          <w:bCs/>
          <w:rtl/>
          <w:lang w:bidi="ar-EG"/>
        </w:rPr>
        <w:t>الجمعية العالمية لتقييس الاتصالات (</w:t>
      </w:r>
      <w:r w:rsidR="00CE6B73" w:rsidRPr="00CB53F1">
        <w:rPr>
          <w:rFonts w:hint="cs"/>
          <w:b/>
          <w:bCs/>
          <w:rtl/>
          <w:lang w:bidi="ar-EG"/>
        </w:rPr>
        <w:t>جوهانسبرغ</w:t>
      </w:r>
      <w:r w:rsidRPr="00CB53F1">
        <w:rPr>
          <w:rFonts w:hint="cs"/>
          <w:b/>
          <w:bCs/>
          <w:rtl/>
          <w:lang w:bidi="ar-EG"/>
        </w:rPr>
        <w:t xml:space="preserve">، </w:t>
      </w:r>
      <w:r w:rsidR="00CE6B73" w:rsidRPr="00CB53F1">
        <w:rPr>
          <w:b/>
          <w:bCs/>
          <w:lang w:bidi="ar-EG"/>
        </w:rPr>
        <w:t>2008</w:t>
      </w:r>
      <w:r w:rsidRPr="00CB53F1">
        <w:rPr>
          <w:rFonts w:hint="cs"/>
          <w:b/>
          <w:bCs/>
          <w:rtl/>
          <w:lang w:bidi="ar-EG"/>
        </w:rPr>
        <w:t>)</w:t>
      </w:r>
      <w:r w:rsidR="00797AA8">
        <w:rPr>
          <w:b/>
          <w:bCs/>
          <w:rtl/>
          <w:lang w:bidi="ar-EG"/>
        </w:rPr>
        <w:tab/>
      </w:r>
      <w:r w:rsidR="00797AA8">
        <w:rPr>
          <w:b/>
          <w:bCs/>
          <w:rtl/>
          <w:lang w:bidi="ar-EG"/>
        </w:rPr>
        <w:br/>
      </w:r>
      <w:r w:rsidR="00797AA8">
        <w:rPr>
          <w:rFonts w:hint="cs"/>
          <w:b/>
          <w:bCs/>
          <w:rtl/>
          <w:lang w:bidi="ar-EG"/>
        </w:rPr>
        <w:t xml:space="preserve">جنيف، </w:t>
      </w:r>
      <w:r w:rsidR="00797AA8">
        <w:rPr>
          <w:b/>
          <w:bCs/>
          <w:lang w:bidi="ar-EG"/>
        </w:rPr>
        <w:t>10</w:t>
      </w:r>
      <w:r w:rsidR="00797AA8">
        <w:rPr>
          <w:rFonts w:hint="cs"/>
          <w:b/>
          <w:bCs/>
          <w:rtl/>
          <w:lang w:bidi="ar-EG"/>
        </w:rPr>
        <w:t xml:space="preserve"> يونيو </w:t>
      </w:r>
      <w:r w:rsidR="00797AA8">
        <w:rPr>
          <w:b/>
          <w:bCs/>
          <w:lang w:bidi="ar-EG"/>
        </w:rPr>
        <w:t>2011</w:t>
      </w:r>
    </w:p>
    <w:p w:rsidR="00533DE7" w:rsidRPr="005F33FD" w:rsidRDefault="00533DE7" w:rsidP="00AC58F0">
      <w:pPr>
        <w:spacing w:before="600"/>
        <w:rPr>
          <w:rtl/>
        </w:rPr>
      </w:pPr>
      <w:r w:rsidRPr="005F33FD">
        <w:rPr>
          <w:rFonts w:hint="cs"/>
          <w:rtl/>
        </w:rPr>
        <w:t xml:space="preserve">حضرات </w:t>
      </w:r>
      <w:r>
        <w:rPr>
          <w:rFonts w:hint="cs"/>
          <w:rtl/>
        </w:rPr>
        <w:t>السادة</w:t>
      </w:r>
      <w:r w:rsidRPr="0010144A">
        <w:rPr>
          <w:rFonts w:hint="cs"/>
          <w:rtl/>
        </w:rPr>
        <w:t xml:space="preserve"> </w:t>
      </w:r>
      <w:r>
        <w:rPr>
          <w:rFonts w:hint="cs"/>
          <w:rtl/>
        </w:rPr>
        <w:t>والسيدات</w:t>
      </w:r>
      <w:r w:rsidRPr="005F33FD">
        <w:rPr>
          <w:rFonts w:hint="cs"/>
          <w:rtl/>
        </w:rPr>
        <w:t>،</w:t>
      </w:r>
    </w:p>
    <w:p w:rsidR="00533DE7" w:rsidRPr="005F33FD" w:rsidRDefault="00CB53F1" w:rsidP="00CB53F1">
      <w:pPr>
        <w:tabs>
          <w:tab w:val="left" w:pos="2238"/>
        </w:tabs>
        <w:rPr>
          <w:rtl/>
          <w:lang w:bidi="ar-EG"/>
        </w:rPr>
      </w:pPr>
      <w:r>
        <w:rPr>
          <w:rFonts w:hint="cs"/>
          <w:rtl/>
        </w:rPr>
        <w:t>تحية طيبة وبعد،</w:t>
      </w:r>
    </w:p>
    <w:p w:rsidR="00533DE7" w:rsidRDefault="00533DE7" w:rsidP="003A0C89">
      <w:pPr>
        <w:rPr>
          <w:rtl/>
          <w:lang w:bidi="ar-EG"/>
        </w:rPr>
      </w:pPr>
      <w:r w:rsidRPr="005F33FD">
        <w:t>1</w:t>
      </w:r>
      <w:r w:rsidRPr="005F33FD">
        <w:tab/>
      </w:r>
      <w:r>
        <w:rPr>
          <w:rFonts w:hint="cs"/>
          <w:rtl/>
        </w:rPr>
        <w:t xml:space="preserve">بناءً على طلب رئيس لجنة الدراسات </w:t>
      </w:r>
      <w:r w:rsidR="00747FED">
        <w:t>2</w:t>
      </w:r>
      <w:r>
        <w:rPr>
          <w:rFonts w:hint="cs"/>
          <w:rtl/>
          <w:lang w:bidi="ar-EG"/>
        </w:rPr>
        <w:t xml:space="preserve"> المعنية </w:t>
      </w:r>
      <w:r w:rsidR="00747FED" w:rsidRPr="006D7AC3">
        <w:rPr>
          <w:rFonts w:hint="cs"/>
          <w:i/>
          <w:iCs/>
          <w:rtl/>
        </w:rPr>
        <w:t>بالجوانب التشغيلية لتوفير الخدمات وإدارة الاتصالات</w:t>
      </w:r>
      <w:r>
        <w:rPr>
          <w:rFonts w:hint="cs"/>
          <w:rtl/>
          <w:lang w:bidi="ar-EG"/>
        </w:rPr>
        <w:t>، أتشرف بأن</w:t>
      </w:r>
      <w:r w:rsidR="00E676B0">
        <w:rPr>
          <w:rFonts w:hint="eastAsia"/>
          <w:rtl/>
          <w:lang w:bidi="ar-EG"/>
        </w:rPr>
        <w:t> </w:t>
      </w:r>
      <w:r w:rsidR="00014A1D">
        <w:rPr>
          <w:rFonts w:hint="cs"/>
          <w:rtl/>
          <w:lang w:bidi="ar-EG"/>
        </w:rPr>
        <w:t>أُعلِمَكُم</w:t>
      </w:r>
      <w:r>
        <w:rPr>
          <w:rFonts w:hint="cs"/>
          <w:rtl/>
          <w:lang w:bidi="ar-EG"/>
        </w:rPr>
        <w:t xml:space="preserve"> أن لجنة الدراسات هذه، التي ستجتمع من</w:t>
      </w:r>
      <w:r w:rsidR="00E11311">
        <w:rPr>
          <w:rFonts w:hint="cs"/>
          <w:rtl/>
          <w:lang w:bidi="ar-EG"/>
        </w:rPr>
        <w:t xml:space="preserve"> </w:t>
      </w:r>
      <w:r w:rsidR="00FC1424">
        <w:rPr>
          <w:lang w:bidi="ar-EG"/>
        </w:rPr>
        <w:t>1</w:t>
      </w:r>
      <w:r>
        <w:rPr>
          <w:rFonts w:hint="cs"/>
          <w:rtl/>
          <w:lang w:bidi="ar-EG"/>
        </w:rPr>
        <w:t xml:space="preserve"> إلى</w:t>
      </w:r>
      <w:r w:rsidR="00B30F6B">
        <w:rPr>
          <w:rFonts w:hint="cs"/>
          <w:rtl/>
          <w:lang w:bidi="ar-EG"/>
        </w:rPr>
        <w:t xml:space="preserve"> </w:t>
      </w:r>
      <w:r w:rsidR="00FC1424">
        <w:rPr>
          <w:lang w:bidi="ar-EG"/>
        </w:rPr>
        <w:t>10</w:t>
      </w:r>
      <w:r w:rsidR="00FC1424">
        <w:rPr>
          <w:rFonts w:hint="cs"/>
          <w:rtl/>
          <w:lang w:bidi="ar-EG"/>
        </w:rPr>
        <w:t xml:space="preserve"> يونيو </w:t>
      </w:r>
      <w:r w:rsidR="00FC1424">
        <w:rPr>
          <w:lang w:bidi="ar-EG"/>
        </w:rPr>
        <w:t>2011</w:t>
      </w:r>
      <w:r>
        <w:rPr>
          <w:rFonts w:hint="cs"/>
          <w:rtl/>
          <w:lang w:bidi="ar-EG"/>
        </w:rPr>
        <w:t>، تنوي تطبيق الإجراءات الموصوفة في القسم</w:t>
      </w:r>
      <w:r w:rsidR="00E676B0">
        <w:rPr>
          <w:rFonts w:hint="eastAsia"/>
          <w:rtl/>
          <w:lang w:bidi="ar-EG"/>
        </w:rPr>
        <w:t> </w:t>
      </w:r>
      <w:r>
        <w:rPr>
          <w:lang w:bidi="ar-EG"/>
        </w:rPr>
        <w:t>9</w:t>
      </w:r>
      <w:r>
        <w:rPr>
          <w:rFonts w:hint="cs"/>
          <w:rtl/>
          <w:lang w:bidi="ar-EG"/>
        </w:rPr>
        <w:t xml:space="preserve"> من القرار </w:t>
      </w:r>
      <w:r>
        <w:rPr>
          <w:lang w:bidi="ar-EG"/>
        </w:rPr>
        <w:t>1</w:t>
      </w:r>
      <w:r>
        <w:rPr>
          <w:rFonts w:hint="cs"/>
          <w:rtl/>
          <w:lang w:bidi="ar-EG"/>
        </w:rPr>
        <w:t xml:space="preserve"> الصادر عن الجمعية العالمية لتقييس الاتصالات (</w:t>
      </w:r>
      <w:r w:rsidR="00014A1D">
        <w:rPr>
          <w:rFonts w:hint="cs"/>
          <w:rtl/>
          <w:lang w:bidi="ar-EG"/>
        </w:rPr>
        <w:t>جوهانسبرغ</w:t>
      </w:r>
      <w:r>
        <w:rPr>
          <w:rFonts w:hint="cs"/>
          <w:rtl/>
          <w:lang w:bidi="ar-EG"/>
        </w:rPr>
        <w:t xml:space="preserve">، </w:t>
      </w:r>
      <w:r>
        <w:rPr>
          <w:lang w:bidi="ar-EG"/>
        </w:rPr>
        <w:t>200</w:t>
      </w:r>
      <w:r w:rsidR="00014A1D">
        <w:rPr>
          <w:lang w:bidi="ar-EG"/>
        </w:rPr>
        <w:t>8</w:t>
      </w:r>
      <w:r>
        <w:rPr>
          <w:rFonts w:hint="cs"/>
          <w:rtl/>
          <w:lang w:bidi="ar-EG"/>
        </w:rPr>
        <w:t xml:space="preserve">) </w:t>
      </w:r>
      <w:r w:rsidRPr="00551BDE">
        <w:rPr>
          <w:rFonts w:hint="cs"/>
          <w:rtl/>
          <w:lang w:bidi="ar-EG"/>
        </w:rPr>
        <w:t xml:space="preserve">وذلك من أجل الموافقة على </w:t>
      </w:r>
      <w:r w:rsidR="003A0C89" w:rsidRPr="00551BDE">
        <w:rPr>
          <w:rFonts w:hint="cs"/>
          <w:rtl/>
          <w:lang w:bidi="ar-EG"/>
        </w:rPr>
        <w:t xml:space="preserve">مشاريع التعديلات الجديدة للتوصيات </w:t>
      </w:r>
      <w:r w:rsidRPr="00551BDE">
        <w:rPr>
          <w:rFonts w:hint="cs"/>
          <w:rtl/>
          <w:lang w:bidi="ar-EG"/>
        </w:rPr>
        <w:t>المذكورة أعلاه.</w:t>
      </w:r>
    </w:p>
    <w:p w:rsidR="00533DE7" w:rsidRDefault="00533DE7" w:rsidP="00551BDE">
      <w:pPr>
        <w:rPr>
          <w:rtl/>
          <w:lang w:bidi="ar-EG"/>
        </w:rPr>
      </w:pPr>
      <w:r>
        <w:rPr>
          <w:lang w:bidi="ar-EG"/>
        </w:rPr>
        <w:t>2</w:t>
      </w:r>
      <w:r>
        <w:rPr>
          <w:rFonts w:hint="cs"/>
          <w:rtl/>
          <w:lang w:bidi="ar-EG"/>
        </w:rPr>
        <w:tab/>
        <w:t xml:space="preserve">ويشتمل </w:t>
      </w:r>
      <w:r>
        <w:rPr>
          <w:rFonts w:hint="cs"/>
          <w:b/>
          <w:bCs/>
          <w:rtl/>
          <w:lang w:bidi="ar-EG"/>
        </w:rPr>
        <w:t xml:space="preserve">الملحق </w:t>
      </w:r>
      <w:r>
        <w:rPr>
          <w:b/>
          <w:bCs/>
          <w:lang w:bidi="ar-EG"/>
        </w:rPr>
        <w:t>1</w:t>
      </w:r>
      <w:r>
        <w:rPr>
          <w:rFonts w:hint="cs"/>
          <w:rtl/>
          <w:lang w:bidi="ar-EG"/>
        </w:rPr>
        <w:t xml:space="preserve"> بهذه الرسالة على ملخص </w:t>
      </w:r>
      <w:r w:rsidR="00551BDE">
        <w:rPr>
          <w:rFonts w:hint="cs"/>
          <w:rtl/>
          <w:lang w:bidi="ar-EG"/>
        </w:rPr>
        <w:t xml:space="preserve">كل من مشاريع مراجعة نصوص </w:t>
      </w:r>
      <w:r>
        <w:rPr>
          <w:rFonts w:hint="cs"/>
          <w:rtl/>
          <w:lang w:bidi="ar-EG"/>
        </w:rPr>
        <w:t>قطاع تقييس الاتصالات المقترح الموافقة عليها</w:t>
      </w:r>
      <w:r w:rsidR="00014A1D">
        <w:rPr>
          <w:rFonts w:hint="cs"/>
          <w:rtl/>
          <w:lang w:bidi="ar-EG"/>
        </w:rPr>
        <w:t>، و</w:t>
      </w:r>
      <w:r w:rsidR="00551BDE">
        <w:rPr>
          <w:rFonts w:hint="cs"/>
          <w:rtl/>
          <w:lang w:bidi="ar-EG"/>
        </w:rPr>
        <w:t>عنوانه والوثيقة التي ترد فيها.</w:t>
      </w:r>
    </w:p>
    <w:p w:rsidR="00533DE7" w:rsidRDefault="00533DE7" w:rsidP="00551BDE">
      <w:pPr>
        <w:rPr>
          <w:lang w:bidi="ar-EG"/>
        </w:rPr>
      </w:pPr>
      <w:r>
        <w:rPr>
          <w:lang w:bidi="ar-EG"/>
        </w:rPr>
        <w:t>3</w:t>
      </w:r>
      <w:r>
        <w:rPr>
          <w:rFonts w:hint="cs"/>
          <w:rtl/>
          <w:lang w:bidi="ar-EG"/>
        </w:rPr>
        <w:tab/>
      </w:r>
      <w:r w:rsidRPr="00CC30F9">
        <w:rPr>
          <w:rFonts w:hint="cs"/>
          <w:spacing w:val="-2"/>
          <w:rtl/>
          <w:lang w:bidi="ar-EG"/>
        </w:rPr>
        <w:t>يرجى من أي دولة عضو في الاتحاد أو عضو في القطاع أو منتسب إليه يعلم بوجود براءة اختراع في حيازته أو</w:t>
      </w:r>
      <w:r w:rsidR="00E676B0">
        <w:rPr>
          <w:rFonts w:hint="eastAsia"/>
          <w:spacing w:val="-2"/>
          <w:rtl/>
          <w:lang w:bidi="ar-EG"/>
        </w:rPr>
        <w:t> </w:t>
      </w:r>
      <w:r w:rsidRPr="00CC30F9">
        <w:rPr>
          <w:rFonts w:hint="cs"/>
          <w:spacing w:val="-2"/>
          <w:rtl/>
          <w:lang w:bidi="ar-EG"/>
        </w:rPr>
        <w:t>في</w:t>
      </w:r>
      <w:r w:rsidR="00E676B0">
        <w:rPr>
          <w:rFonts w:hint="eastAsia"/>
          <w:spacing w:val="-2"/>
          <w:rtl/>
          <w:lang w:bidi="ar-EG"/>
        </w:rPr>
        <w:t> </w:t>
      </w:r>
      <w:r w:rsidRPr="00CC30F9">
        <w:rPr>
          <w:rFonts w:hint="cs"/>
          <w:spacing w:val="-2"/>
          <w:rtl/>
          <w:lang w:bidi="ar-EG"/>
        </w:rPr>
        <w:t>حيازة الغير من شأنها أن تشمل كلياً أو جزئياً عناصر من</w:t>
      </w:r>
      <w:r w:rsidR="00551BDE">
        <w:rPr>
          <w:rFonts w:hint="cs"/>
          <w:spacing w:val="-2"/>
          <w:rtl/>
          <w:lang w:bidi="ar-EG"/>
        </w:rPr>
        <w:t xml:space="preserve"> مشاريع النصوص </w:t>
      </w:r>
      <w:r w:rsidRPr="00CC30F9">
        <w:rPr>
          <w:rFonts w:hint="cs"/>
          <w:spacing w:val="-2"/>
          <w:rtl/>
          <w:lang w:bidi="ar-EG"/>
        </w:rPr>
        <w:t xml:space="preserve">المقترح الموافقة عليها أن </w:t>
      </w:r>
      <w:r w:rsidR="00551BDE">
        <w:rPr>
          <w:rFonts w:hint="cs"/>
          <w:spacing w:val="-2"/>
          <w:rtl/>
          <w:lang w:bidi="ar-EG"/>
        </w:rPr>
        <w:t xml:space="preserve">يعلن </w:t>
      </w:r>
      <w:r w:rsidRPr="00CC30F9">
        <w:rPr>
          <w:rFonts w:hint="cs"/>
          <w:spacing w:val="-2"/>
          <w:rtl/>
          <w:lang w:bidi="ar-EG"/>
        </w:rPr>
        <w:t xml:space="preserve">عن مثل هذه المعلومات لمكتب تقييس الاتصالات، عملاً بالسياسة المشتركة للبراءات المعتمدة لدى قطاع تقييس الاتصالات/قطاع الاتصالات الراديوية/المنظمة الدولية للتوحيد القياسي/اللجنة الكهرتقنية الدولية </w:t>
      </w:r>
      <w:r w:rsidRPr="00CC30F9">
        <w:rPr>
          <w:spacing w:val="-2"/>
          <w:lang w:bidi="ar-EG"/>
        </w:rPr>
        <w:t>(ITU-T/ITU-R/ISO/IEC)</w:t>
      </w:r>
      <w:r>
        <w:rPr>
          <w:rFonts w:hint="cs"/>
          <w:rtl/>
          <w:lang w:bidi="ar-EG"/>
        </w:rPr>
        <w:t>.</w:t>
      </w:r>
    </w:p>
    <w:p w:rsidR="00533DE7" w:rsidRPr="006F493F" w:rsidRDefault="00533DE7" w:rsidP="004B448F">
      <w:pPr>
        <w:keepNext/>
        <w:keepLines/>
        <w:rPr>
          <w:spacing w:val="-6"/>
          <w:rtl/>
          <w:lang w:bidi="ar-EG"/>
        </w:rPr>
      </w:pPr>
      <w:r w:rsidRPr="006F493F">
        <w:rPr>
          <w:rFonts w:hint="cs"/>
          <w:spacing w:val="-6"/>
          <w:rtl/>
          <w:lang w:bidi="ar-EG"/>
        </w:rPr>
        <w:lastRenderedPageBreak/>
        <w:t xml:space="preserve">ويمكن </w:t>
      </w:r>
      <w:r w:rsidR="00D31F2F" w:rsidRPr="006F493F">
        <w:rPr>
          <w:rFonts w:hint="cs"/>
          <w:spacing w:val="-6"/>
          <w:rtl/>
          <w:lang w:bidi="ar-EG"/>
        </w:rPr>
        <w:t>الاطلاع على</w:t>
      </w:r>
      <w:r w:rsidRPr="006F493F">
        <w:rPr>
          <w:rFonts w:hint="cs"/>
          <w:spacing w:val="-6"/>
          <w:rtl/>
          <w:lang w:bidi="ar-EG"/>
        </w:rPr>
        <w:t xml:space="preserve"> معلومات براءات الاختراع المتاحة مباشرة على الخط </w:t>
      </w:r>
      <w:r w:rsidR="00D31F2F" w:rsidRPr="006F493F">
        <w:rPr>
          <w:rFonts w:hint="cs"/>
          <w:spacing w:val="-6"/>
          <w:rtl/>
          <w:lang w:bidi="ar-EG"/>
        </w:rPr>
        <w:t>في الموقع الإلكتروني للقطاع</w:t>
      </w:r>
      <w:r w:rsidRPr="006F493F">
        <w:rPr>
          <w:rFonts w:hint="cs"/>
          <w:spacing w:val="-6"/>
          <w:rtl/>
          <w:lang w:bidi="ar-EG"/>
        </w:rPr>
        <w:t xml:space="preserve"> </w:t>
      </w:r>
      <w:r w:rsidR="004B448F">
        <w:rPr>
          <w:spacing w:val="-6"/>
          <w:lang w:bidi="ar-EG"/>
        </w:rPr>
        <w:t>(</w:t>
      </w:r>
      <w:hyperlink r:id="rId10" w:history="1">
        <w:r w:rsidRPr="006F493F">
          <w:rPr>
            <w:rStyle w:val="Hyperlink"/>
            <w:spacing w:val="-6"/>
            <w:lang w:bidi="ar-EG"/>
          </w:rPr>
          <w:t>www.itu.int/ITU-T/ipr/</w:t>
        </w:r>
      </w:hyperlink>
      <w:r w:rsidR="004B448F">
        <w:rPr>
          <w:spacing w:val="-6"/>
          <w:lang w:bidi="ar-EG"/>
        </w:rPr>
        <w:t>)</w:t>
      </w:r>
      <w:r w:rsidRPr="006F493F">
        <w:rPr>
          <w:rFonts w:hint="cs"/>
          <w:spacing w:val="-6"/>
          <w:rtl/>
          <w:lang w:bidi="ar-EG"/>
        </w:rPr>
        <w:t>.</w:t>
      </w:r>
    </w:p>
    <w:p w:rsidR="00533DE7" w:rsidRDefault="00533DE7" w:rsidP="00551BDE">
      <w:pPr>
        <w:rPr>
          <w:rtl/>
          <w:lang w:bidi="ar-EG"/>
        </w:rPr>
      </w:pPr>
      <w:r>
        <w:rPr>
          <w:lang w:bidi="ar-EG"/>
        </w:rPr>
        <w:t>4</w:t>
      </w:r>
      <w:r>
        <w:rPr>
          <w:rFonts w:hint="cs"/>
          <w:rtl/>
          <w:lang w:bidi="ar-EG"/>
        </w:rPr>
        <w:tab/>
        <w:t xml:space="preserve">وتبعاً لأحكام القسم </w:t>
      </w:r>
      <w:r>
        <w:rPr>
          <w:lang w:bidi="ar-EG"/>
        </w:rPr>
        <w:t>9</w:t>
      </w:r>
      <w:r>
        <w:rPr>
          <w:rFonts w:hint="cs"/>
          <w:rtl/>
          <w:lang w:bidi="ar-EG"/>
        </w:rPr>
        <w:t xml:space="preserve"> من القرار </w:t>
      </w:r>
      <w:r>
        <w:rPr>
          <w:lang w:bidi="ar-EG"/>
        </w:rPr>
        <w:t>1</w:t>
      </w:r>
      <w:r w:rsidR="00A66953">
        <w:rPr>
          <w:rFonts w:hint="cs"/>
          <w:rtl/>
          <w:lang w:bidi="ar-EG"/>
        </w:rPr>
        <w:t>،</w:t>
      </w:r>
      <w:r>
        <w:rPr>
          <w:rFonts w:hint="cs"/>
          <w:rtl/>
          <w:lang w:bidi="ar-EG"/>
        </w:rPr>
        <w:t xml:space="preserve"> سأكون ممتناً لو تفضلتم بإعلامي في موعد أقصاه منتصف الليل بالتوقيت العالمي المنسَّق </w:t>
      </w:r>
      <w:r>
        <w:rPr>
          <w:rFonts w:hint="cs"/>
          <w:b/>
          <w:bCs/>
          <w:rtl/>
          <w:lang w:bidi="ar-EG"/>
        </w:rPr>
        <w:t xml:space="preserve">في </w:t>
      </w:r>
      <w:r w:rsidR="00E676B0" w:rsidRPr="00E676B0">
        <w:rPr>
          <w:b/>
          <w:bCs/>
        </w:rPr>
        <w:t>22</w:t>
      </w:r>
      <w:r w:rsidR="00E676B0" w:rsidRPr="00E676B0">
        <w:rPr>
          <w:rFonts w:hint="cs"/>
          <w:b/>
          <w:bCs/>
          <w:rtl/>
          <w:lang w:bidi="ar-EG"/>
        </w:rPr>
        <w:t xml:space="preserve"> مايو</w:t>
      </w:r>
      <w:r w:rsidR="00551BDE">
        <w:rPr>
          <w:rFonts w:hint="cs"/>
          <w:b/>
          <w:bCs/>
          <w:rtl/>
          <w:lang w:bidi="ar-EG"/>
        </w:rPr>
        <w:t xml:space="preserve"> </w:t>
      </w:r>
      <w:r w:rsidR="00E676B0" w:rsidRPr="00E676B0">
        <w:rPr>
          <w:b/>
          <w:bCs/>
          <w:lang w:bidi="ar-EG"/>
        </w:rPr>
        <w:t>2011</w:t>
      </w:r>
      <w:r w:rsidR="00B30F6B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ما إذا كانت إدارتكم تفوِّض السلطة إلى لجنة الدراسات</w:t>
      </w:r>
      <w:r w:rsidR="00B30F6B">
        <w:rPr>
          <w:rFonts w:hint="cs"/>
          <w:rtl/>
          <w:lang w:bidi="ar-EG"/>
        </w:rPr>
        <w:t xml:space="preserve"> </w:t>
      </w:r>
      <w:r w:rsidR="00E676B0">
        <w:rPr>
          <w:lang w:bidi="ar-EG"/>
        </w:rPr>
        <w:t>2</w:t>
      </w:r>
      <w:r w:rsidR="00B30F6B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للنظر في</w:t>
      </w:r>
      <w:r w:rsidR="00551BDE">
        <w:rPr>
          <w:rFonts w:hint="cs"/>
          <w:rtl/>
          <w:lang w:bidi="ar-EG"/>
        </w:rPr>
        <w:t xml:space="preserve"> مشاريع هذه التعديلات </w:t>
      </w:r>
      <w:r>
        <w:rPr>
          <w:rFonts w:hint="cs"/>
          <w:rtl/>
          <w:lang w:bidi="ar-EG"/>
        </w:rPr>
        <w:t>الجديدة بغرض الموافقة عليها في اجتماع لجنة الدراسات.</w:t>
      </w:r>
    </w:p>
    <w:p w:rsidR="00533DE7" w:rsidRDefault="00533DE7" w:rsidP="00551BDE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وإذا رأت أي دولة عضو أن عملية النظر بغرض الموافقة ينبغي ألاّ تستمر فعليها أن تبيّن أسباب ذلك الاعتراض وأن تشير </w:t>
      </w:r>
      <w:r w:rsidRPr="00551BDE">
        <w:rPr>
          <w:rFonts w:hint="cs"/>
          <w:rtl/>
          <w:lang w:bidi="ar-EG"/>
        </w:rPr>
        <w:t>إلى</w:t>
      </w:r>
      <w:r w:rsidR="00665B63" w:rsidRPr="00551BDE">
        <w:rPr>
          <w:rFonts w:hint="eastAsia"/>
          <w:rtl/>
          <w:lang w:bidi="ar-EG"/>
        </w:rPr>
        <w:t> </w:t>
      </w:r>
      <w:r w:rsidRPr="00551BDE">
        <w:rPr>
          <w:rFonts w:hint="cs"/>
          <w:rtl/>
          <w:lang w:bidi="ar-EG"/>
        </w:rPr>
        <w:t xml:space="preserve">التغييرات الممكنة التي من شأنها تيسير مواصلة النظر في </w:t>
      </w:r>
      <w:r w:rsidR="00551BDE" w:rsidRPr="00551BDE">
        <w:rPr>
          <w:rFonts w:hint="cs"/>
          <w:rtl/>
          <w:lang w:bidi="ar-EG"/>
        </w:rPr>
        <w:t xml:space="preserve">مشاريع التعديلات </w:t>
      </w:r>
      <w:r w:rsidRPr="00551BDE">
        <w:rPr>
          <w:rFonts w:hint="cs"/>
          <w:rtl/>
          <w:lang w:bidi="ar-EG"/>
        </w:rPr>
        <w:t>الجديدة والموافقة عليها.</w:t>
      </w:r>
    </w:p>
    <w:p w:rsidR="00533DE7" w:rsidRDefault="00533DE7" w:rsidP="00551BDE">
      <w:pPr>
        <w:rPr>
          <w:rtl/>
          <w:lang w:bidi="ar-EG"/>
        </w:rPr>
      </w:pPr>
      <w:r>
        <w:rPr>
          <w:lang w:bidi="ar-EG"/>
        </w:rPr>
        <w:t>5</w:t>
      </w:r>
      <w:r>
        <w:rPr>
          <w:rFonts w:hint="cs"/>
          <w:rtl/>
          <w:lang w:bidi="ar-EG"/>
        </w:rPr>
        <w:tab/>
        <w:t xml:space="preserve">فإذا كان </w:t>
      </w:r>
      <w:r>
        <w:rPr>
          <w:lang w:bidi="ar-EG"/>
        </w:rPr>
        <w:t>70</w:t>
      </w:r>
      <w:r>
        <w:rPr>
          <w:rFonts w:hint="cs"/>
          <w:rtl/>
          <w:lang w:bidi="ar-EG"/>
        </w:rPr>
        <w:t xml:space="preserve"> في المائة أو أكثر من الردود الواردة من الدول الأعضاء تؤيد النظر في مشاريع </w:t>
      </w:r>
      <w:r w:rsidR="00551BDE">
        <w:rPr>
          <w:rFonts w:hint="cs"/>
          <w:rtl/>
          <w:lang w:bidi="ar-EG"/>
        </w:rPr>
        <w:t xml:space="preserve">التعديلات الجديدة للتوصيات المشار إليها </w:t>
      </w:r>
      <w:r>
        <w:rPr>
          <w:rFonts w:hint="cs"/>
          <w:rtl/>
          <w:lang w:bidi="ar-EG"/>
        </w:rPr>
        <w:t>بغرض الموافقة عليها في اجتماع لجنة الدراسات</w:t>
      </w:r>
      <w:r w:rsidR="007E4873">
        <w:rPr>
          <w:rFonts w:hint="cs"/>
          <w:rtl/>
          <w:lang w:bidi="ar-EG"/>
        </w:rPr>
        <w:t>،</w:t>
      </w:r>
      <w:r>
        <w:rPr>
          <w:rFonts w:hint="cs"/>
          <w:rtl/>
          <w:lang w:bidi="ar-EG"/>
        </w:rPr>
        <w:t xml:space="preserve"> عندئذ سوف ت</w:t>
      </w:r>
      <w:r w:rsidR="00B2187C">
        <w:rPr>
          <w:rFonts w:hint="cs"/>
          <w:rtl/>
          <w:lang w:bidi="ar-EG"/>
        </w:rPr>
        <w:t>ُ</w:t>
      </w:r>
      <w:r>
        <w:rPr>
          <w:rFonts w:hint="cs"/>
          <w:rtl/>
          <w:lang w:bidi="ar-EG"/>
        </w:rPr>
        <w:t>كرَّس جلسة عامة</w:t>
      </w:r>
      <w:r w:rsidR="00551BDE">
        <w:rPr>
          <w:rFonts w:hint="cs"/>
          <w:rtl/>
          <w:lang w:bidi="ar-EG"/>
        </w:rPr>
        <w:t xml:space="preserve"> </w:t>
      </w:r>
      <w:r>
        <w:rPr>
          <w:rFonts w:hint="cs"/>
          <w:b/>
          <w:bCs/>
          <w:rtl/>
          <w:lang w:bidi="ar-EG"/>
        </w:rPr>
        <w:t xml:space="preserve">في </w:t>
      </w:r>
      <w:r w:rsidR="00665B63">
        <w:rPr>
          <w:b/>
          <w:bCs/>
          <w:lang w:bidi="ar-EG"/>
        </w:rPr>
        <w:t>10</w:t>
      </w:r>
      <w:r w:rsidR="00665B63">
        <w:rPr>
          <w:rFonts w:hint="cs"/>
          <w:b/>
          <w:bCs/>
          <w:rtl/>
          <w:lang w:bidi="ar-EG"/>
        </w:rPr>
        <w:t xml:space="preserve"> يونيو </w:t>
      </w:r>
      <w:r w:rsidR="00665B63">
        <w:rPr>
          <w:b/>
          <w:bCs/>
          <w:lang w:bidi="ar-EG"/>
        </w:rPr>
        <w:t>2011</w:t>
      </w:r>
      <w:r w:rsidR="00B30F6B">
        <w:rPr>
          <w:rFonts w:hint="cs"/>
          <w:b/>
          <w:bCs/>
          <w:rtl/>
          <w:lang w:bidi="ar-EG"/>
        </w:rPr>
        <w:t xml:space="preserve"> </w:t>
      </w:r>
      <w:r w:rsidRPr="00F0698D">
        <w:rPr>
          <w:rFonts w:hint="cs"/>
          <w:rtl/>
          <w:lang w:bidi="ar-EG"/>
        </w:rPr>
        <w:t>لتطبيق إجراءات الموافقة.</w:t>
      </w:r>
    </w:p>
    <w:p w:rsidR="00533DE7" w:rsidRPr="00F11BC4" w:rsidRDefault="00533DE7" w:rsidP="00551BDE">
      <w:pPr>
        <w:rPr>
          <w:spacing w:val="2"/>
          <w:rtl/>
          <w:lang w:bidi="ar-EG"/>
        </w:rPr>
      </w:pPr>
      <w:r w:rsidRPr="00F11BC4">
        <w:rPr>
          <w:rFonts w:hint="cs"/>
          <w:spacing w:val="2"/>
          <w:rtl/>
          <w:lang w:bidi="ar-EG"/>
        </w:rPr>
        <w:t xml:space="preserve">ولذلك فإنني أدعو إدارتكم إلى </w:t>
      </w:r>
      <w:r w:rsidR="007E4873">
        <w:rPr>
          <w:rFonts w:hint="cs"/>
          <w:spacing w:val="2"/>
          <w:rtl/>
          <w:lang w:bidi="ar-EG"/>
        </w:rPr>
        <w:t>إيفاد</w:t>
      </w:r>
      <w:r w:rsidRPr="00F11BC4">
        <w:rPr>
          <w:rFonts w:hint="cs"/>
          <w:spacing w:val="2"/>
          <w:rtl/>
          <w:lang w:bidi="ar-EG"/>
        </w:rPr>
        <w:t xml:space="preserve"> ممثل إلى الاجتماع. </w:t>
      </w:r>
      <w:r w:rsidRPr="00F11BC4">
        <w:rPr>
          <w:rFonts w:hint="cs"/>
          <w:b/>
          <w:bCs/>
          <w:spacing w:val="2"/>
          <w:rtl/>
          <w:lang w:bidi="ar-EG"/>
        </w:rPr>
        <w:t>ويرجى من إدارات الدول الأعضاء في الاتحاد</w:t>
      </w:r>
      <w:r w:rsidRPr="00F11BC4">
        <w:rPr>
          <w:rFonts w:hint="cs"/>
          <w:spacing w:val="2"/>
          <w:rtl/>
          <w:lang w:bidi="ar-EG"/>
        </w:rPr>
        <w:t xml:space="preserve"> بيان اسم رئيس وفدها. وإذا كانت إدارتكم ترغب في أن يمثلها في الاجتماع وكالة تشغيل معتمدة أو منظمة علمية أو صناعية أو أي كيان آخر </w:t>
      </w:r>
      <w:r w:rsidR="00551BDE">
        <w:rPr>
          <w:rFonts w:hint="cs"/>
          <w:spacing w:val="2"/>
          <w:rtl/>
          <w:lang w:bidi="ar-EG"/>
        </w:rPr>
        <w:t>معني ب</w:t>
      </w:r>
      <w:r w:rsidRPr="00F11BC4">
        <w:rPr>
          <w:rFonts w:hint="cs"/>
          <w:spacing w:val="2"/>
          <w:rtl/>
          <w:lang w:bidi="ar-EG"/>
        </w:rPr>
        <w:t>مسائل الاتصالات</w:t>
      </w:r>
      <w:r w:rsidR="007E4873">
        <w:rPr>
          <w:rFonts w:hint="cs"/>
          <w:spacing w:val="2"/>
          <w:rtl/>
          <w:lang w:bidi="ar-EG"/>
        </w:rPr>
        <w:t>،</w:t>
      </w:r>
      <w:r w:rsidRPr="00F11BC4">
        <w:rPr>
          <w:rFonts w:hint="cs"/>
          <w:spacing w:val="2"/>
          <w:rtl/>
          <w:lang w:bidi="ar-EG"/>
        </w:rPr>
        <w:t xml:space="preserve"> </w:t>
      </w:r>
      <w:r w:rsidR="007E4873">
        <w:rPr>
          <w:rFonts w:hint="cs"/>
          <w:spacing w:val="2"/>
          <w:rtl/>
          <w:lang w:bidi="ar-EG"/>
        </w:rPr>
        <w:t>ينبغي</w:t>
      </w:r>
      <w:r w:rsidRPr="00F11BC4">
        <w:rPr>
          <w:rFonts w:hint="cs"/>
          <w:spacing w:val="2"/>
          <w:rtl/>
          <w:lang w:bidi="ar-EG"/>
        </w:rPr>
        <w:t xml:space="preserve"> إبلاغ </w:t>
      </w:r>
      <w:r w:rsidR="007E4873">
        <w:rPr>
          <w:rFonts w:hint="cs"/>
          <w:spacing w:val="2"/>
          <w:rtl/>
          <w:lang w:bidi="ar-EG"/>
        </w:rPr>
        <w:t>المدير</w:t>
      </w:r>
      <w:r w:rsidRPr="00F11BC4">
        <w:rPr>
          <w:rFonts w:hint="cs"/>
          <w:spacing w:val="2"/>
          <w:rtl/>
          <w:lang w:bidi="ar-EG"/>
        </w:rPr>
        <w:t xml:space="preserve"> بذلك طبقاً لأحكام الرقم </w:t>
      </w:r>
      <w:r w:rsidRPr="00F11BC4">
        <w:rPr>
          <w:spacing w:val="2"/>
          <w:lang w:bidi="ar-EG"/>
        </w:rPr>
        <w:t>239</w:t>
      </w:r>
      <w:r w:rsidRPr="00F11BC4">
        <w:rPr>
          <w:rFonts w:hint="cs"/>
          <w:spacing w:val="2"/>
          <w:rtl/>
          <w:lang w:bidi="ar-EG"/>
        </w:rPr>
        <w:t xml:space="preserve"> من المادة </w:t>
      </w:r>
      <w:r w:rsidRPr="00F11BC4">
        <w:rPr>
          <w:spacing w:val="2"/>
          <w:lang w:bidi="ar-EG"/>
        </w:rPr>
        <w:t>19</w:t>
      </w:r>
      <w:r w:rsidRPr="00F11BC4">
        <w:rPr>
          <w:rFonts w:hint="cs"/>
          <w:spacing w:val="2"/>
          <w:rtl/>
          <w:lang w:bidi="ar-EG"/>
        </w:rPr>
        <w:t xml:space="preserve"> من اتفاقية الاتحاد.</w:t>
      </w:r>
    </w:p>
    <w:p w:rsidR="00533DE7" w:rsidRPr="00665B63" w:rsidRDefault="00533DE7" w:rsidP="00551BDE">
      <w:pPr>
        <w:rPr>
          <w:rtl/>
          <w:lang w:bidi="ar-EG"/>
        </w:rPr>
      </w:pPr>
      <w:r>
        <w:rPr>
          <w:lang w:bidi="ar-EG"/>
        </w:rPr>
        <w:t>6</w:t>
      </w:r>
      <w:r>
        <w:rPr>
          <w:rFonts w:hint="cs"/>
          <w:rtl/>
          <w:lang w:bidi="ar-EG"/>
        </w:rPr>
        <w:tab/>
        <w:t xml:space="preserve">ويمكن الاطلاع على جدول الأعمال وجميع المعلومات ذات الصلة فيما يتعلق باجتماع لجنة الدراسات </w:t>
      </w:r>
      <w:r w:rsidR="00665B63">
        <w:rPr>
          <w:lang w:bidi="ar-EG"/>
        </w:rPr>
        <w:t>2</w:t>
      </w:r>
      <w:r w:rsidR="00551BDE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في الرسالة الجماعية</w:t>
      </w:r>
      <w:r w:rsidR="00C94008">
        <w:rPr>
          <w:rFonts w:hint="cs"/>
          <w:rtl/>
          <w:lang w:bidi="ar-EG"/>
        </w:rPr>
        <w:t xml:space="preserve"> </w:t>
      </w:r>
      <w:r w:rsidR="00665B63">
        <w:rPr>
          <w:lang w:bidi="ar-EG"/>
        </w:rPr>
        <w:t>5</w:t>
      </w:r>
      <w:r w:rsidR="00551BDE">
        <w:rPr>
          <w:lang w:bidi="ar-EG"/>
        </w:rPr>
        <w:t>/2</w:t>
      </w:r>
      <w:r w:rsidR="00665B63">
        <w:rPr>
          <w:rFonts w:hint="cs"/>
          <w:rtl/>
          <w:lang w:bidi="ar-EG"/>
        </w:rPr>
        <w:t>.</w:t>
      </w:r>
    </w:p>
    <w:p w:rsidR="00533DE7" w:rsidRPr="004579B5" w:rsidRDefault="00533DE7" w:rsidP="00551BDE">
      <w:pPr>
        <w:rPr>
          <w:rtl/>
          <w:lang w:bidi="ar-EG"/>
        </w:rPr>
      </w:pPr>
      <w:r>
        <w:rPr>
          <w:lang w:bidi="ar-EG"/>
        </w:rPr>
        <w:t>7</w:t>
      </w:r>
      <w:r>
        <w:rPr>
          <w:rFonts w:hint="cs"/>
          <w:rtl/>
          <w:lang w:bidi="ar-EG"/>
        </w:rPr>
        <w:tab/>
        <w:t>وفي أعقاب الاجتماع</w:t>
      </w:r>
      <w:r w:rsidR="00A66953">
        <w:rPr>
          <w:rFonts w:hint="cs"/>
          <w:rtl/>
          <w:lang w:bidi="ar-EG"/>
        </w:rPr>
        <w:t>،</w:t>
      </w:r>
      <w:r>
        <w:rPr>
          <w:rFonts w:hint="cs"/>
          <w:rtl/>
          <w:lang w:bidi="ar-EG"/>
        </w:rPr>
        <w:t xml:space="preserve"> سوف يعلن مدير مكتب تقييس الاتصالات، في </w:t>
      </w:r>
      <w:r w:rsidR="007E4873">
        <w:rPr>
          <w:rFonts w:hint="cs"/>
          <w:rtl/>
          <w:lang w:bidi="ar-EG"/>
        </w:rPr>
        <w:t>رسالة</w:t>
      </w:r>
      <w:r>
        <w:rPr>
          <w:rFonts w:hint="cs"/>
          <w:rtl/>
          <w:lang w:bidi="ar-EG"/>
        </w:rPr>
        <w:t xml:space="preserve"> معممة، عن القرار </w:t>
      </w:r>
      <w:r w:rsidR="00AE5603">
        <w:rPr>
          <w:rFonts w:hint="cs"/>
          <w:rtl/>
          <w:lang w:bidi="ar-EG"/>
        </w:rPr>
        <w:t>المُتَخّذ</w:t>
      </w:r>
      <w:r>
        <w:rPr>
          <w:rFonts w:hint="cs"/>
          <w:rtl/>
          <w:lang w:bidi="ar-EG"/>
        </w:rPr>
        <w:t xml:space="preserve"> بشأن هذه</w:t>
      </w:r>
      <w:r w:rsidR="00551BDE">
        <w:rPr>
          <w:rFonts w:hint="cs"/>
          <w:rtl/>
          <w:lang w:bidi="ar-EG"/>
        </w:rPr>
        <w:t xml:space="preserve"> النصوص</w:t>
      </w:r>
      <w:r>
        <w:rPr>
          <w:rFonts w:hint="cs"/>
          <w:rtl/>
          <w:lang w:bidi="ar-EG"/>
        </w:rPr>
        <w:t>. ولسوف تُنشر هذه المعلومات أيضاً في النشرة التشغيلية للاتحاد.</w:t>
      </w:r>
    </w:p>
    <w:p w:rsidR="00533DE7" w:rsidRPr="005F33FD" w:rsidRDefault="00533DE7" w:rsidP="00551BDE">
      <w:pPr>
        <w:spacing w:before="240"/>
        <w:rPr>
          <w:rtl/>
          <w:lang w:bidi="ar-EG"/>
        </w:rPr>
      </w:pPr>
      <w:r w:rsidRPr="005F33FD">
        <w:rPr>
          <w:rFonts w:hint="cs"/>
          <w:rtl/>
          <w:lang w:bidi="ar-EG"/>
        </w:rPr>
        <w:t>وتفضلوا بقبول فائق</w:t>
      </w:r>
      <w:r>
        <w:rPr>
          <w:rFonts w:hint="cs"/>
          <w:rtl/>
          <w:lang w:bidi="ar-EG"/>
        </w:rPr>
        <w:t xml:space="preserve"> التقدير و</w:t>
      </w:r>
      <w:r w:rsidRPr="005F33FD">
        <w:rPr>
          <w:rFonts w:hint="cs"/>
          <w:rtl/>
          <w:lang w:bidi="ar-EG"/>
        </w:rPr>
        <w:t>الاحترام.</w:t>
      </w:r>
    </w:p>
    <w:p w:rsidR="00533DE7" w:rsidRDefault="00533DE7" w:rsidP="00551BDE">
      <w:pPr>
        <w:spacing w:before="1440"/>
        <w:jc w:val="left"/>
        <w:rPr>
          <w:rtl/>
          <w:lang w:bidi="ar-EG"/>
        </w:rPr>
      </w:pPr>
      <w:r>
        <w:rPr>
          <w:rFonts w:hint="cs"/>
          <w:rtl/>
        </w:rPr>
        <w:t>مالكو</w:t>
      </w:r>
      <w:r>
        <w:rPr>
          <w:rFonts w:hint="cs"/>
          <w:rtl/>
          <w:lang w:bidi="ar-EG"/>
        </w:rPr>
        <w:t>ل</w:t>
      </w:r>
      <w:r>
        <w:rPr>
          <w:rFonts w:hint="cs"/>
          <w:rtl/>
        </w:rPr>
        <w:t>م جونسون</w:t>
      </w:r>
      <w:r w:rsidRPr="003F6932">
        <w:rPr>
          <w:rtl/>
          <w:lang w:bidi="ar-EG"/>
        </w:rPr>
        <w:br/>
      </w:r>
      <w:r w:rsidRPr="005F33FD">
        <w:rPr>
          <w:rFonts w:hint="cs"/>
          <w:rtl/>
          <w:lang w:bidi="ar-EG"/>
        </w:rPr>
        <w:t>مدير مكتب تقييس الاتصالات</w:t>
      </w:r>
    </w:p>
    <w:p w:rsidR="00533DE7" w:rsidRDefault="00533DE7" w:rsidP="00533DE7">
      <w:pPr>
        <w:jc w:val="left"/>
        <w:rPr>
          <w:rtl/>
          <w:lang w:bidi="ar-EG"/>
        </w:rPr>
      </w:pPr>
    </w:p>
    <w:p w:rsidR="00533DE7" w:rsidRDefault="00533DE7" w:rsidP="00533DE7">
      <w:pPr>
        <w:jc w:val="left"/>
        <w:rPr>
          <w:rtl/>
          <w:lang w:bidi="ar-EG"/>
        </w:rPr>
      </w:pPr>
    </w:p>
    <w:p w:rsidR="00103119" w:rsidRDefault="00533DE7" w:rsidP="00533DE7">
      <w:pPr>
        <w:tabs>
          <w:tab w:val="left" w:pos="1173"/>
        </w:tabs>
        <w:spacing w:before="0"/>
        <w:ind w:left="1174" w:hanging="1174"/>
        <w:jc w:val="left"/>
        <w:rPr>
          <w:rtl/>
          <w:lang w:bidi="ar-EG"/>
        </w:rPr>
      </w:pPr>
      <w:r>
        <w:rPr>
          <w:rFonts w:hint="cs"/>
          <w:b/>
          <w:bCs/>
          <w:rtl/>
          <w:lang w:bidi="ar-EG"/>
        </w:rPr>
        <w:t>الملحقات:</w:t>
      </w:r>
      <w:r w:rsidR="00665B63">
        <w:rPr>
          <w:rFonts w:hint="cs"/>
          <w:rtl/>
          <w:lang w:bidi="ar-EG"/>
        </w:rPr>
        <w:t xml:space="preserve"> </w:t>
      </w:r>
      <w:r w:rsidR="00665B63">
        <w:rPr>
          <w:lang w:bidi="ar-EG"/>
        </w:rPr>
        <w:t>1</w:t>
      </w:r>
    </w:p>
    <w:p w:rsidR="001A34CB" w:rsidRDefault="001A34CB" w:rsidP="00533DE7">
      <w:pPr>
        <w:tabs>
          <w:tab w:val="left" w:pos="1173"/>
        </w:tabs>
        <w:spacing w:before="0"/>
        <w:ind w:left="1174" w:hanging="1174"/>
        <w:jc w:val="left"/>
        <w:rPr>
          <w:rtl/>
          <w:lang w:bidi="ar-EG"/>
        </w:rPr>
      </w:pPr>
    </w:p>
    <w:p w:rsidR="001A34CB" w:rsidRDefault="001A34CB">
      <w:pPr>
        <w:bidi w:val="0"/>
        <w:spacing w:before="0" w:line="240" w:lineRule="auto"/>
        <w:jc w:val="left"/>
        <w:rPr>
          <w:lang w:bidi="ar-EG"/>
        </w:rPr>
      </w:pPr>
      <w:r>
        <w:rPr>
          <w:rtl/>
          <w:lang w:bidi="ar-EG"/>
        </w:rPr>
        <w:br w:type="page"/>
      </w:r>
    </w:p>
    <w:p w:rsidR="001A34CB" w:rsidRPr="001A34CB" w:rsidRDefault="001A34CB" w:rsidP="001A34CB">
      <w:pPr>
        <w:pStyle w:val="AnnexNotitle"/>
        <w:rPr>
          <w:rFonts w:ascii="Times New Roman"/>
          <w:b w:val="0"/>
          <w:rtl/>
          <w:lang w:val="en-US"/>
        </w:rPr>
      </w:pPr>
      <w:r w:rsidRPr="001A34CB">
        <w:rPr>
          <w:rFonts w:ascii="Times New Roman" w:hint="cs"/>
          <w:b w:val="0"/>
          <w:rtl/>
          <w:lang w:val="en-US"/>
        </w:rPr>
        <w:lastRenderedPageBreak/>
        <w:t xml:space="preserve">الملحـق </w:t>
      </w:r>
      <w:r w:rsidRPr="001A34CB">
        <w:rPr>
          <w:rFonts w:ascii="Times New Roman"/>
          <w:b w:val="0"/>
          <w:lang w:val="en-US"/>
        </w:rPr>
        <w:t>1</w:t>
      </w:r>
    </w:p>
    <w:p w:rsidR="001A34CB" w:rsidRDefault="001A34CB" w:rsidP="001A34CB">
      <w:pPr>
        <w:tabs>
          <w:tab w:val="left" w:pos="1173"/>
        </w:tabs>
        <w:spacing w:before="0"/>
        <w:jc w:val="center"/>
        <w:rPr>
          <w:rtl/>
          <w:lang w:bidi="ar-EG"/>
        </w:rPr>
      </w:pPr>
      <w:r>
        <w:rPr>
          <w:rFonts w:hint="cs"/>
          <w:rtl/>
        </w:rPr>
        <w:t xml:space="preserve">(بالرسالة المعممة </w:t>
      </w:r>
      <w:r>
        <w:t>TSB 163</w:t>
      </w:r>
      <w:r>
        <w:rPr>
          <w:rFonts w:hint="cs"/>
          <w:rtl/>
          <w:lang w:bidi="ar-EG"/>
        </w:rPr>
        <w:t>)</w:t>
      </w:r>
    </w:p>
    <w:p w:rsidR="001A34CB" w:rsidRPr="00A66953" w:rsidRDefault="001A34CB" w:rsidP="00A66953">
      <w:pPr>
        <w:pStyle w:val="AnnexNotitle"/>
        <w:rPr>
          <w:b w:val="0"/>
          <w:bCs/>
          <w:i/>
          <w:iCs/>
          <w:rtl/>
        </w:rPr>
      </w:pPr>
      <w:r w:rsidRPr="00A66953">
        <w:rPr>
          <w:rFonts w:hint="cs"/>
          <w:b w:val="0"/>
          <w:bCs/>
          <w:i/>
          <w:iCs/>
          <w:rtl/>
        </w:rPr>
        <w:t xml:space="preserve">ملخص </w:t>
      </w:r>
      <w:r w:rsidR="00551BDE" w:rsidRPr="00A66953">
        <w:rPr>
          <w:rFonts w:hint="cs"/>
          <w:b w:val="0"/>
          <w:bCs/>
          <w:i/>
          <w:iCs/>
          <w:rtl/>
        </w:rPr>
        <w:t xml:space="preserve">النصوص </w:t>
      </w:r>
      <w:r w:rsidRPr="00A66953">
        <w:rPr>
          <w:rFonts w:hint="cs"/>
          <w:b w:val="0"/>
          <w:bCs/>
          <w:i/>
          <w:iCs/>
          <w:rtl/>
        </w:rPr>
        <w:t xml:space="preserve">والوثيقة التي </w:t>
      </w:r>
      <w:r w:rsidR="00551BDE" w:rsidRPr="00A66953">
        <w:rPr>
          <w:rFonts w:hint="cs"/>
          <w:b w:val="0"/>
          <w:bCs/>
          <w:i/>
          <w:iCs/>
          <w:rtl/>
        </w:rPr>
        <w:t>ترد فيه</w:t>
      </w:r>
      <w:r w:rsidRPr="00A66953">
        <w:rPr>
          <w:rFonts w:hint="cs"/>
          <w:b w:val="0"/>
          <w:bCs/>
          <w:i/>
          <w:iCs/>
          <w:rtl/>
        </w:rPr>
        <w:t>ا</w:t>
      </w:r>
    </w:p>
    <w:p w:rsidR="001A34CB" w:rsidRDefault="001A34CB" w:rsidP="008628F9">
      <w:pPr>
        <w:tabs>
          <w:tab w:val="left" w:pos="1173"/>
        </w:tabs>
        <w:spacing w:before="360"/>
        <w:jc w:val="left"/>
        <w:rPr>
          <w:b/>
          <w:bCs/>
          <w:i/>
          <w:iCs/>
          <w:rtl/>
          <w:lang w:bidi="ar-EG"/>
        </w:rPr>
      </w:pPr>
      <w:r w:rsidRPr="003E31B3">
        <w:rPr>
          <w:rFonts w:hint="cs"/>
          <w:b/>
          <w:bCs/>
          <w:i/>
          <w:iCs/>
          <w:rtl/>
        </w:rPr>
        <w:t xml:space="preserve">ملاحظة: </w:t>
      </w:r>
      <w:r>
        <w:rPr>
          <w:rFonts w:hint="cs"/>
          <w:b/>
          <w:bCs/>
          <w:i/>
          <w:iCs/>
          <w:rtl/>
        </w:rPr>
        <w:t xml:space="preserve">ترد النصوص بالكامل في التقرير </w:t>
      </w:r>
      <w:r>
        <w:rPr>
          <w:b/>
          <w:bCs/>
          <w:i/>
          <w:iCs/>
        </w:rPr>
        <w:t>COM 2-R 13</w:t>
      </w:r>
      <w:r w:rsidR="00A66953">
        <w:rPr>
          <w:rFonts w:hint="cs"/>
          <w:b/>
          <w:bCs/>
          <w:i/>
          <w:iCs/>
          <w:rtl/>
          <w:lang w:bidi="ar-EG"/>
        </w:rPr>
        <w:t>.</w:t>
      </w:r>
    </w:p>
    <w:p w:rsidR="00AD6AA5" w:rsidRPr="008B6A58" w:rsidRDefault="00545D47" w:rsidP="00545D47">
      <w:pPr>
        <w:pStyle w:val="Heading1"/>
        <w:rPr>
          <w:rtl/>
        </w:rPr>
      </w:pPr>
      <w:r>
        <w:rPr>
          <w:lang w:val="en-US"/>
        </w:rPr>
        <w:t>1</w:t>
      </w:r>
      <w:r>
        <w:rPr>
          <w:rFonts w:hint="cs"/>
          <w:rtl/>
          <w:lang w:val="en-US" w:bidi="ar-EG"/>
        </w:rPr>
        <w:tab/>
      </w:r>
      <w:r w:rsidR="00AD6AA5" w:rsidRPr="008B6A58">
        <w:rPr>
          <w:rtl/>
        </w:rPr>
        <w:t>مشروع</w:t>
      </w:r>
      <w:r w:rsidR="00AD6AA5">
        <w:rPr>
          <w:rFonts w:hint="cs"/>
          <w:rtl/>
        </w:rPr>
        <w:t xml:space="preserve"> التعديل </w:t>
      </w:r>
      <w:r w:rsidR="00AD6AA5">
        <w:rPr>
          <w:lang w:val="en-US"/>
        </w:rPr>
        <w:t>1</w:t>
      </w:r>
      <w:r w:rsidR="00AD6AA5" w:rsidRPr="008B6A58">
        <w:rPr>
          <w:rtl/>
        </w:rPr>
        <w:t xml:space="preserve"> </w:t>
      </w:r>
      <w:r w:rsidR="00AD6AA5">
        <w:rPr>
          <w:rFonts w:hint="cs"/>
          <w:rtl/>
        </w:rPr>
        <w:t>ل</w:t>
      </w:r>
      <w:r w:rsidR="00AD6AA5" w:rsidRPr="008B6A58">
        <w:rPr>
          <w:rtl/>
        </w:rPr>
        <w:t>لتوصية</w:t>
      </w:r>
      <w:r w:rsidR="00AD6AA5" w:rsidRPr="008B6A58">
        <w:rPr>
          <w:rFonts w:hint="cs"/>
          <w:rtl/>
        </w:rPr>
        <w:t xml:space="preserve"> </w:t>
      </w:r>
      <w:r w:rsidR="00AD6AA5" w:rsidRPr="008B6A58">
        <w:t>ITU-T E.</w:t>
      </w:r>
      <w:r w:rsidR="00AD6AA5">
        <w:t>101</w:t>
      </w:r>
      <w:r w:rsidR="00AD6AA5">
        <w:rPr>
          <w:rFonts w:hint="cs"/>
          <w:rtl/>
        </w:rPr>
        <w:t xml:space="preserve"> </w:t>
      </w:r>
      <w:r>
        <w:rPr>
          <w:rFonts w:hint="cs"/>
          <w:rtl/>
        </w:rPr>
        <w:t>(</w:t>
      </w:r>
      <w:r w:rsidRPr="008A7EC9">
        <w:rPr>
          <w:rFonts w:hint="cs"/>
          <w:rtl/>
        </w:rPr>
        <w:t>جديد</w:t>
      </w:r>
      <w:r>
        <w:rPr>
          <w:rFonts w:hint="cs"/>
          <w:rtl/>
        </w:rPr>
        <w:t>)</w:t>
      </w:r>
    </w:p>
    <w:p w:rsidR="00AD6AA5" w:rsidRPr="00A66953" w:rsidRDefault="00AD6AA5" w:rsidP="008628F9">
      <w:pPr>
        <w:pStyle w:val="Rectitle"/>
        <w:rPr>
          <w:bCs/>
          <w:sz w:val="26"/>
          <w:szCs w:val="36"/>
        </w:rPr>
      </w:pPr>
      <w:r w:rsidRPr="00A66953">
        <w:rPr>
          <w:bCs/>
          <w:spacing w:val="6"/>
          <w:sz w:val="26"/>
          <w:szCs w:val="36"/>
          <w:rtl/>
        </w:rPr>
        <w:t xml:space="preserve">تعاريف المصطلحات المستعملة </w:t>
      </w:r>
      <w:r w:rsidR="008628F9" w:rsidRPr="00A66953">
        <w:rPr>
          <w:rFonts w:hint="cs"/>
          <w:bCs/>
          <w:spacing w:val="6"/>
          <w:sz w:val="26"/>
          <w:szCs w:val="36"/>
          <w:rtl/>
        </w:rPr>
        <w:t xml:space="preserve">من أجل </w:t>
      </w:r>
      <w:r w:rsidRPr="00A66953">
        <w:rPr>
          <w:bCs/>
          <w:spacing w:val="6"/>
          <w:sz w:val="26"/>
          <w:szCs w:val="36"/>
          <w:rtl/>
        </w:rPr>
        <w:t xml:space="preserve">معرفات الهوية (الأسماء والأرقام </w:t>
      </w:r>
      <w:r w:rsidRPr="00A66953">
        <w:rPr>
          <w:bCs/>
          <w:sz w:val="26"/>
          <w:szCs w:val="36"/>
          <w:rtl/>
        </w:rPr>
        <w:t xml:space="preserve">والعناوين </w:t>
      </w:r>
      <w:r w:rsidRPr="00A66953">
        <w:rPr>
          <w:bCs/>
          <w:sz w:val="26"/>
          <w:szCs w:val="36"/>
          <w:rtl/>
        </w:rPr>
        <w:br/>
        <w:t>ومعر</w:t>
      </w:r>
      <w:r w:rsidRPr="00A66953">
        <w:rPr>
          <w:rFonts w:hint="cs"/>
          <w:bCs/>
          <w:sz w:val="26"/>
          <w:szCs w:val="36"/>
          <w:rtl/>
        </w:rPr>
        <w:t>ّ</w:t>
      </w:r>
      <w:r w:rsidRPr="00A66953">
        <w:rPr>
          <w:bCs/>
          <w:sz w:val="26"/>
          <w:szCs w:val="36"/>
          <w:rtl/>
        </w:rPr>
        <w:t>فات الهوية الأخرى) من أجل خدمات وشبكات الاتصالات العمومية</w:t>
      </w:r>
      <w:r w:rsidRPr="00A66953">
        <w:rPr>
          <w:bCs/>
          <w:sz w:val="26"/>
          <w:szCs w:val="36"/>
          <w:rtl/>
        </w:rPr>
        <w:br/>
        <w:t xml:space="preserve">في توصيات السلسلة </w:t>
      </w:r>
      <w:r w:rsidRPr="00A66953">
        <w:rPr>
          <w:bCs/>
          <w:sz w:val="26"/>
          <w:szCs w:val="36"/>
        </w:rPr>
        <w:t>E</w:t>
      </w:r>
    </w:p>
    <w:p w:rsidR="00AD6AA5" w:rsidRPr="00AD6887" w:rsidRDefault="00AD6AA5" w:rsidP="008628F9">
      <w:pPr>
        <w:pStyle w:val="AppendixNotitle"/>
        <w:rPr>
          <w:bCs/>
          <w:rtl/>
          <w:lang w:val="en-US"/>
        </w:rPr>
      </w:pPr>
      <w:r w:rsidRPr="00AD6887">
        <w:rPr>
          <w:rFonts w:hint="cs"/>
          <w:bCs/>
          <w:rtl/>
          <w:lang w:val="en-US"/>
        </w:rPr>
        <w:t xml:space="preserve">التذييـل </w:t>
      </w:r>
      <w:r w:rsidR="008628F9">
        <w:rPr>
          <w:rFonts w:hint="cs"/>
          <w:bCs/>
          <w:rtl/>
          <w:lang w:val="en-US"/>
        </w:rPr>
        <w:t>الأول</w:t>
      </w:r>
    </w:p>
    <w:p w:rsidR="00AD6887" w:rsidRPr="00AD6887" w:rsidRDefault="00AD6887" w:rsidP="00DF4191">
      <w:pPr>
        <w:pStyle w:val="AppendixNotitle"/>
        <w:spacing w:before="240"/>
        <w:rPr>
          <w:bCs/>
          <w:rtl/>
          <w:lang w:val="en-US"/>
        </w:rPr>
      </w:pPr>
      <w:r w:rsidRPr="00AD6887">
        <w:rPr>
          <w:rFonts w:hint="cs"/>
          <w:bCs/>
          <w:rtl/>
          <w:lang w:val="en-US"/>
        </w:rPr>
        <w:t xml:space="preserve">قائمة </w:t>
      </w:r>
      <w:r w:rsidR="00DF4191">
        <w:rPr>
          <w:rFonts w:hint="cs"/>
          <w:bCs/>
          <w:rtl/>
          <w:lang w:val="en-US"/>
        </w:rPr>
        <w:t xml:space="preserve">هجائية </w:t>
      </w:r>
      <w:r w:rsidRPr="00AD6887">
        <w:rPr>
          <w:rFonts w:hint="cs"/>
          <w:bCs/>
          <w:rtl/>
          <w:lang w:val="en-US"/>
        </w:rPr>
        <w:t>بالمصطلحات</w:t>
      </w:r>
    </w:p>
    <w:p w:rsidR="00AD6AA5" w:rsidRPr="00AD6AA5" w:rsidRDefault="00AD6AA5" w:rsidP="00434C6C">
      <w:pPr>
        <w:pStyle w:val="Headingb"/>
        <w:spacing w:before="120"/>
        <w:rPr>
          <w:sz w:val="32"/>
          <w:rtl/>
          <w:lang w:bidi="ar-EG"/>
        </w:rPr>
      </w:pPr>
      <w:r w:rsidRPr="00A00DD7">
        <w:rPr>
          <w:sz w:val="32"/>
          <w:rtl/>
          <w:lang w:bidi="ar-EG"/>
        </w:rPr>
        <w:t>ملخص</w:t>
      </w:r>
    </w:p>
    <w:p w:rsidR="001A34CB" w:rsidRDefault="00AD6AA5" w:rsidP="00434C6C">
      <w:pPr>
        <w:rPr>
          <w:rtl/>
          <w:lang w:bidi="ar-EG"/>
        </w:rPr>
      </w:pPr>
      <w:r w:rsidRPr="00C263B2">
        <w:rPr>
          <w:rFonts w:hint="cs"/>
          <w:rtl/>
          <w:lang w:bidi="ar-EG"/>
        </w:rPr>
        <w:t>قائمة أبجدية بالمصطلحات</w:t>
      </w:r>
      <w:r>
        <w:rPr>
          <w:rFonts w:hint="cs"/>
          <w:rtl/>
          <w:lang w:bidi="ar-EG"/>
        </w:rPr>
        <w:t>.</w:t>
      </w:r>
    </w:p>
    <w:p w:rsidR="00E55501" w:rsidRPr="00E55501" w:rsidRDefault="00E55501" w:rsidP="008628F9">
      <w:pPr>
        <w:pStyle w:val="Heading1"/>
        <w:rPr>
          <w:rtl/>
          <w:lang w:bidi="ar-EG"/>
        </w:rPr>
      </w:pPr>
      <w:r>
        <w:rPr>
          <w:lang w:val="en-US"/>
        </w:rPr>
        <w:t>2</w:t>
      </w:r>
      <w:r>
        <w:rPr>
          <w:rFonts w:hint="cs"/>
          <w:rtl/>
          <w:lang w:val="en-US" w:bidi="ar-EG"/>
        </w:rPr>
        <w:tab/>
      </w:r>
      <w:r w:rsidRPr="00E55501">
        <w:rPr>
          <w:rFonts w:hint="cs"/>
          <w:rtl/>
        </w:rPr>
        <w:t xml:space="preserve">مشروع التعديل </w:t>
      </w:r>
      <w:r w:rsidRPr="00E55501">
        <w:t>1</w:t>
      </w:r>
      <w:r w:rsidRPr="00E55501">
        <w:rPr>
          <w:rFonts w:hint="cs"/>
          <w:rtl/>
        </w:rPr>
        <w:t xml:space="preserve"> للتوصية </w:t>
      </w:r>
      <w:r w:rsidR="008A7EC9">
        <w:t>ITU-T </w:t>
      </w:r>
      <w:r w:rsidRPr="00E55501">
        <w:t>E.164</w:t>
      </w:r>
      <w:r w:rsidRPr="00E55501">
        <w:rPr>
          <w:rFonts w:hint="cs"/>
          <w:rtl/>
        </w:rPr>
        <w:t xml:space="preserve"> </w:t>
      </w:r>
      <w:r>
        <w:rPr>
          <w:rFonts w:hint="cs"/>
          <w:rtl/>
        </w:rPr>
        <w:t>(</w:t>
      </w:r>
      <w:r w:rsidRPr="008A7EC9">
        <w:rPr>
          <w:rFonts w:hint="cs"/>
          <w:rtl/>
        </w:rPr>
        <w:t>جديد</w:t>
      </w:r>
      <w:r>
        <w:rPr>
          <w:rFonts w:hint="cs"/>
          <w:rtl/>
        </w:rPr>
        <w:t>)</w:t>
      </w:r>
    </w:p>
    <w:p w:rsidR="00E55501" w:rsidRPr="001B652C" w:rsidRDefault="00E55501" w:rsidP="00E55501">
      <w:pPr>
        <w:pStyle w:val="Rectitle"/>
        <w:rPr>
          <w:rFonts w:ascii="Times New Roman" w:hAnsi="Times New Roman"/>
          <w:bCs/>
          <w:spacing w:val="6"/>
          <w:sz w:val="24"/>
          <w:szCs w:val="36"/>
          <w:rtl/>
        </w:rPr>
      </w:pPr>
      <w:r w:rsidRPr="001B652C">
        <w:rPr>
          <w:rFonts w:ascii="Times New Roman" w:hAnsi="Times New Roman" w:hint="cs"/>
          <w:bCs/>
          <w:spacing w:val="6"/>
          <w:sz w:val="24"/>
          <w:szCs w:val="36"/>
          <w:rtl/>
        </w:rPr>
        <w:t>خطة ترقيم الاتصالات العمومية الدولية</w:t>
      </w:r>
    </w:p>
    <w:p w:rsidR="00E55501" w:rsidRPr="00E62D93" w:rsidRDefault="00E55501" w:rsidP="008628F9">
      <w:pPr>
        <w:pStyle w:val="AnnexNotitle"/>
        <w:rPr>
          <w:bCs/>
          <w:rtl/>
          <w:lang w:val="en-US"/>
        </w:rPr>
      </w:pPr>
      <w:r w:rsidRPr="00E62D93">
        <w:rPr>
          <w:rFonts w:hint="cs"/>
          <w:bCs/>
          <w:rtl/>
          <w:lang w:val="en-US"/>
        </w:rPr>
        <w:t xml:space="preserve">الملحـق </w:t>
      </w:r>
      <w:r w:rsidR="008628F9">
        <w:rPr>
          <w:rFonts w:hint="cs"/>
          <w:bCs/>
          <w:rtl/>
          <w:lang w:val="en-US"/>
        </w:rPr>
        <w:t>ألف</w:t>
      </w:r>
    </w:p>
    <w:p w:rsidR="00E55501" w:rsidRPr="00E55501" w:rsidRDefault="00E55501" w:rsidP="005E3ABD">
      <w:pPr>
        <w:pStyle w:val="AnnexNotitle"/>
        <w:rPr>
          <w:bCs/>
          <w:rtl/>
          <w:lang w:val="en-US"/>
        </w:rPr>
      </w:pPr>
      <w:r w:rsidRPr="00E55501">
        <w:rPr>
          <w:rFonts w:hint="cs"/>
          <w:bCs/>
          <w:rtl/>
          <w:lang w:val="en-US"/>
        </w:rPr>
        <w:t xml:space="preserve">توضيح وتفسير </w:t>
      </w:r>
      <w:r w:rsidR="008A7EC9">
        <w:rPr>
          <w:rFonts w:hint="cs"/>
          <w:bCs/>
          <w:rtl/>
          <w:lang w:val="en-US"/>
        </w:rPr>
        <w:t>ل</w:t>
      </w:r>
      <w:r w:rsidRPr="00E55501">
        <w:rPr>
          <w:rFonts w:hint="cs"/>
          <w:bCs/>
          <w:rtl/>
          <w:lang w:val="en-US"/>
        </w:rPr>
        <w:t xml:space="preserve">بنية الأرقام </w:t>
      </w:r>
      <w:r w:rsidRPr="00E55501">
        <w:rPr>
          <w:bCs/>
          <w:lang w:val="en-US"/>
        </w:rPr>
        <w:t>E.164</w:t>
      </w:r>
      <w:r w:rsidRPr="00E55501">
        <w:rPr>
          <w:rFonts w:hint="cs"/>
          <w:bCs/>
          <w:rtl/>
          <w:lang w:val="en-US"/>
        </w:rPr>
        <w:t xml:space="preserve"> الدولية</w:t>
      </w:r>
      <w:r w:rsidR="008A7EC9">
        <w:rPr>
          <w:rFonts w:hint="cs"/>
          <w:bCs/>
          <w:rtl/>
          <w:lang w:val="en-US"/>
        </w:rPr>
        <w:t xml:space="preserve"> ووظيفتها</w:t>
      </w:r>
    </w:p>
    <w:p w:rsidR="00434C6C" w:rsidRDefault="00E55501" w:rsidP="00E55501">
      <w:pPr>
        <w:pStyle w:val="Headingb"/>
        <w:spacing w:before="120"/>
        <w:rPr>
          <w:sz w:val="32"/>
          <w:rtl/>
          <w:lang w:bidi="ar-EG"/>
        </w:rPr>
      </w:pPr>
      <w:r w:rsidRPr="00A00DD7">
        <w:rPr>
          <w:sz w:val="32"/>
          <w:rtl/>
          <w:lang w:bidi="ar-EG"/>
        </w:rPr>
        <w:t>ملخص</w:t>
      </w:r>
    </w:p>
    <w:p w:rsidR="00E55501" w:rsidRDefault="00E55501" w:rsidP="00A66953">
      <w:pPr>
        <w:rPr>
          <w:rtl/>
          <w:lang w:val="en-GB" w:bidi="ar-EG"/>
        </w:rPr>
      </w:pPr>
      <w:r>
        <w:rPr>
          <w:rFonts w:hint="cs"/>
          <w:rtl/>
          <w:lang w:bidi="ar-EG"/>
        </w:rPr>
        <w:t xml:space="preserve">يرجى الاستعاضة عن القسم </w:t>
      </w:r>
      <w:r w:rsidR="00A66953">
        <w:rPr>
          <w:rFonts w:hint="cs"/>
          <w:rtl/>
          <w:lang w:bidi="ar-EG"/>
        </w:rPr>
        <w:t>ألف</w:t>
      </w:r>
      <w:r>
        <w:rPr>
          <w:lang w:bidi="ar-EG"/>
        </w:rPr>
        <w:t>8</w:t>
      </w:r>
      <w:r w:rsidR="00A66953">
        <w:rPr>
          <w:lang w:bidi="ar-EG"/>
        </w:rPr>
        <w:t>-</w:t>
      </w:r>
      <w:r>
        <w:rPr>
          <w:rFonts w:hint="cs"/>
          <w:rtl/>
          <w:lang w:bidi="ar-EG"/>
        </w:rPr>
        <w:t xml:space="preserve"> </w:t>
      </w:r>
      <w:r w:rsidR="008A7EC9">
        <w:rPr>
          <w:rFonts w:hint="cs"/>
          <w:rtl/>
          <w:lang w:bidi="ar-EG"/>
        </w:rPr>
        <w:t xml:space="preserve">الحالي </w:t>
      </w:r>
      <w:r>
        <w:rPr>
          <w:rFonts w:hint="cs"/>
          <w:rtl/>
          <w:lang w:bidi="ar-EG"/>
        </w:rPr>
        <w:t>بالنص</w:t>
      </w:r>
      <w:r w:rsidR="008A7EC9">
        <w:rPr>
          <w:rFonts w:hint="cs"/>
          <w:rtl/>
          <w:lang w:bidi="ar-EG"/>
        </w:rPr>
        <w:t xml:space="preserve"> الجديد</w:t>
      </w:r>
      <w:r>
        <w:rPr>
          <w:rFonts w:hint="cs"/>
          <w:rtl/>
          <w:lang w:bidi="ar-EG"/>
        </w:rPr>
        <w:t>.</w:t>
      </w:r>
    </w:p>
    <w:p w:rsidR="00E55501" w:rsidRDefault="00E55501" w:rsidP="005E3ABD">
      <w:pPr>
        <w:pStyle w:val="Heading1"/>
        <w:keepNext w:val="0"/>
        <w:keepLines w:val="0"/>
        <w:rPr>
          <w:rtl/>
        </w:rPr>
      </w:pPr>
      <w:r>
        <w:rPr>
          <w:lang w:val="en-US"/>
        </w:rPr>
        <w:t>3</w:t>
      </w:r>
      <w:r>
        <w:rPr>
          <w:rFonts w:hint="cs"/>
          <w:rtl/>
          <w:lang w:val="en-US" w:bidi="ar-EG"/>
        </w:rPr>
        <w:tab/>
      </w:r>
      <w:r w:rsidRPr="008E00F8">
        <w:rPr>
          <w:rFonts w:hint="cs"/>
          <w:rtl/>
        </w:rPr>
        <w:t xml:space="preserve">مشروع التعديل </w:t>
      </w:r>
      <w:r w:rsidRPr="00E55501">
        <w:t>3</w:t>
      </w:r>
      <w:r w:rsidRPr="00E55501">
        <w:rPr>
          <w:rFonts w:hint="cs"/>
          <w:rtl/>
        </w:rPr>
        <w:t xml:space="preserve"> للتوصية </w:t>
      </w:r>
      <w:r w:rsidRPr="00E55501">
        <w:t>ITU-T E.212</w:t>
      </w:r>
      <w:r w:rsidRPr="00E55501">
        <w:rPr>
          <w:rFonts w:hint="cs"/>
          <w:rtl/>
        </w:rPr>
        <w:t xml:space="preserve"> </w:t>
      </w:r>
      <w:r>
        <w:rPr>
          <w:rFonts w:hint="cs"/>
          <w:rtl/>
        </w:rPr>
        <w:t>(</w:t>
      </w:r>
      <w:r w:rsidRPr="00B63C4D">
        <w:rPr>
          <w:rFonts w:hint="cs"/>
          <w:rtl/>
        </w:rPr>
        <w:t>جديد</w:t>
      </w:r>
      <w:r>
        <w:rPr>
          <w:rFonts w:hint="cs"/>
          <w:rtl/>
        </w:rPr>
        <w:t>)</w:t>
      </w:r>
    </w:p>
    <w:p w:rsidR="00646865" w:rsidRPr="001B652C" w:rsidRDefault="00646865" w:rsidP="005E3ABD">
      <w:pPr>
        <w:pStyle w:val="Rectitle"/>
        <w:keepNext w:val="0"/>
        <w:keepLines w:val="0"/>
        <w:rPr>
          <w:rFonts w:ascii="Times New Roman" w:hAnsi="Times New Roman"/>
          <w:bCs/>
          <w:spacing w:val="6"/>
          <w:sz w:val="24"/>
          <w:szCs w:val="36"/>
          <w:rtl/>
        </w:rPr>
      </w:pPr>
      <w:r w:rsidRPr="001B652C">
        <w:rPr>
          <w:rFonts w:ascii="Times New Roman" w:hAnsi="Times New Roman" w:hint="cs"/>
          <w:bCs/>
          <w:spacing w:val="6"/>
          <w:sz w:val="24"/>
          <w:szCs w:val="36"/>
          <w:rtl/>
        </w:rPr>
        <w:t xml:space="preserve">الخطة الدولية لتعرف </w:t>
      </w:r>
      <w:r w:rsidR="00B63C4D" w:rsidRPr="001B652C">
        <w:rPr>
          <w:rFonts w:ascii="Times New Roman" w:hAnsi="Times New Roman" w:hint="cs"/>
          <w:bCs/>
          <w:spacing w:val="6"/>
          <w:sz w:val="24"/>
          <w:szCs w:val="36"/>
          <w:rtl/>
        </w:rPr>
        <w:t>الهويات في الشبكات العمومي</w:t>
      </w:r>
      <w:r w:rsidRPr="001B652C">
        <w:rPr>
          <w:rFonts w:ascii="Times New Roman" w:hAnsi="Times New Roman" w:hint="cs"/>
          <w:bCs/>
          <w:spacing w:val="6"/>
          <w:sz w:val="24"/>
          <w:szCs w:val="36"/>
          <w:rtl/>
        </w:rPr>
        <w:t>ة والاشتراكات</w:t>
      </w:r>
    </w:p>
    <w:p w:rsidR="00F6082B" w:rsidRPr="00E62D93" w:rsidRDefault="00F6082B" w:rsidP="005E3ABD">
      <w:pPr>
        <w:pStyle w:val="AnnexNotitle"/>
        <w:keepNext w:val="0"/>
        <w:keepLines w:val="0"/>
        <w:rPr>
          <w:bCs/>
          <w:rtl/>
          <w:lang w:val="en-US"/>
        </w:rPr>
      </w:pPr>
      <w:bookmarkStart w:id="3" w:name="_Toc221341601"/>
      <w:r w:rsidRPr="00E62D93">
        <w:rPr>
          <w:rFonts w:hint="cs"/>
          <w:bCs/>
          <w:rtl/>
          <w:lang w:val="en-US"/>
        </w:rPr>
        <w:lastRenderedPageBreak/>
        <w:t xml:space="preserve">الملحـق </w:t>
      </w:r>
      <w:r w:rsidR="008628F9">
        <w:rPr>
          <w:rFonts w:hint="cs"/>
          <w:bCs/>
          <w:rtl/>
          <w:lang w:val="en-US"/>
        </w:rPr>
        <w:t>هاء</w:t>
      </w:r>
    </w:p>
    <w:p w:rsidR="00E55501" w:rsidRPr="007D10F2" w:rsidRDefault="00E55501" w:rsidP="005E3ABD">
      <w:pPr>
        <w:pStyle w:val="AppendixNotitle"/>
        <w:keepNext w:val="0"/>
        <w:keepLines w:val="0"/>
        <w:spacing w:before="240"/>
        <w:rPr>
          <w:bCs/>
          <w:rtl/>
          <w:lang w:val="en-US"/>
        </w:rPr>
      </w:pPr>
      <w:r w:rsidRPr="007D10F2">
        <w:rPr>
          <w:rFonts w:hint="cs"/>
          <w:bCs/>
          <w:rtl/>
          <w:lang w:val="en-US"/>
        </w:rPr>
        <w:t xml:space="preserve">استعمال الثنائي </w:t>
      </w:r>
      <w:r w:rsidR="00CB2984">
        <w:rPr>
          <w:rFonts w:hint="cs"/>
          <w:bCs/>
          <w:rtl/>
          <w:lang w:val="en-US"/>
        </w:rPr>
        <w:t>"</w:t>
      </w:r>
      <w:r w:rsidRPr="007D10F2">
        <w:rPr>
          <w:rFonts w:hint="cs"/>
          <w:bCs/>
          <w:rtl/>
          <w:lang w:val="en-US"/>
        </w:rPr>
        <w:t>رمز قطري متنقل ورمز شبكة متنقلة</w:t>
      </w:r>
      <w:r w:rsidR="00CB2984">
        <w:rPr>
          <w:rFonts w:hint="cs"/>
          <w:bCs/>
          <w:rtl/>
          <w:lang w:val="en-US"/>
        </w:rPr>
        <w:t>"</w:t>
      </w:r>
      <w:r w:rsidRPr="007D10F2">
        <w:rPr>
          <w:rFonts w:hint="cs"/>
          <w:bCs/>
          <w:rtl/>
          <w:lang w:val="en-US"/>
        </w:rPr>
        <w:t xml:space="preserve"> </w:t>
      </w:r>
      <w:r w:rsidRPr="007D10F2">
        <w:rPr>
          <w:bCs/>
          <w:lang w:val="en-US"/>
        </w:rPr>
        <w:t>(MCC+MNC)</w:t>
      </w:r>
      <w:r w:rsidRPr="007D10F2">
        <w:rPr>
          <w:rFonts w:hint="cs"/>
          <w:bCs/>
          <w:rtl/>
          <w:lang w:val="en-US"/>
        </w:rPr>
        <w:t xml:space="preserve"> في بلد غير البلد الذي خصص له مدير مكتب تقييس الاتصالات الرمز القطري المتنقل </w:t>
      </w:r>
      <w:r w:rsidRPr="007D10F2">
        <w:rPr>
          <w:bCs/>
          <w:lang w:val="en-US"/>
        </w:rPr>
        <w:t>(MCC)</w:t>
      </w:r>
      <w:bookmarkEnd w:id="3"/>
    </w:p>
    <w:p w:rsidR="00631A2F" w:rsidRPr="00E62D93" w:rsidRDefault="00E62D93" w:rsidP="00E62D93">
      <w:pPr>
        <w:pStyle w:val="Headingb"/>
        <w:spacing w:before="120"/>
        <w:rPr>
          <w:sz w:val="32"/>
          <w:rtl/>
          <w:lang w:bidi="ar-EG"/>
        </w:rPr>
      </w:pPr>
      <w:r w:rsidRPr="00A00DD7">
        <w:rPr>
          <w:sz w:val="32"/>
          <w:rtl/>
          <w:lang w:bidi="ar-EG"/>
        </w:rPr>
        <w:t>ملخص</w:t>
      </w:r>
    </w:p>
    <w:p w:rsidR="00631A2F" w:rsidRDefault="00CB2984" w:rsidP="00CB2984">
      <w:pPr>
        <w:rPr>
          <w:rtl/>
          <w:lang w:val="en-GB"/>
        </w:rPr>
      </w:pPr>
      <w:r>
        <w:rPr>
          <w:rFonts w:hint="cs"/>
          <w:rtl/>
          <w:lang w:bidi="ar-EG"/>
        </w:rPr>
        <w:t xml:space="preserve">ينظم هذا الملحق </w:t>
      </w:r>
      <w:r w:rsidR="00E62D93">
        <w:rPr>
          <w:rFonts w:hint="cs"/>
          <w:rtl/>
          <w:lang w:bidi="ar-EG"/>
        </w:rPr>
        <w:t xml:space="preserve">استعمال الثنائي </w:t>
      </w:r>
      <w:r w:rsidR="00E62D93">
        <w:rPr>
          <w:lang w:bidi="ar-EG"/>
        </w:rPr>
        <w:t>MCC+MNC</w:t>
      </w:r>
      <w:r>
        <w:rPr>
          <w:rFonts w:hint="cs"/>
          <w:rtl/>
          <w:lang w:val="en-GB"/>
        </w:rPr>
        <w:t xml:space="preserve"> خارج الأراضي الإقليمية</w:t>
      </w:r>
      <w:r w:rsidR="00E62D93">
        <w:rPr>
          <w:rFonts w:hint="cs"/>
          <w:rtl/>
          <w:lang w:val="en-GB"/>
        </w:rPr>
        <w:t>.</w:t>
      </w:r>
    </w:p>
    <w:p w:rsidR="006F4098" w:rsidRPr="00631A2F" w:rsidRDefault="00FE68B9" w:rsidP="006F4098">
      <w:pPr>
        <w:spacing w:before="600"/>
        <w:jc w:val="center"/>
        <w:rPr>
          <w:rtl/>
          <w:lang w:val="en-GB" w:bidi="ar-EG"/>
        </w:rPr>
      </w:pPr>
      <w:r>
        <w:rPr>
          <w:rFonts w:hint="cs"/>
          <w:rtl/>
          <w:lang w:val="en-GB" w:bidi="ar-EG"/>
        </w:rPr>
        <w:t>ــــــــــ</w:t>
      </w:r>
    </w:p>
    <w:sectPr w:rsidR="006F4098" w:rsidRPr="00631A2F" w:rsidSect="00EE2C4A">
      <w:headerReference w:type="default" r:id="rId11"/>
      <w:footerReference w:type="default" r:id="rId12"/>
      <w:footerReference w:type="first" r:id="rId13"/>
      <w:pgSz w:w="11901" w:h="16840" w:code="9"/>
      <w:pgMar w:top="1701" w:right="1134" w:bottom="1134" w:left="1134" w:header="567" w:footer="567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0F6B" w:rsidRDefault="00B30F6B">
      <w:r>
        <w:separator/>
      </w:r>
    </w:p>
  </w:endnote>
  <w:endnote w:type="continuationSeparator" w:id="0">
    <w:p w:rsidR="00B30F6B" w:rsidRDefault="00B30F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4A8" w:rsidRPr="00BD44A8" w:rsidRDefault="00BD44A8" w:rsidP="00BD44A8">
    <w:pPr>
      <w:pStyle w:val="Footer"/>
      <w:bidi w:val="0"/>
      <w:rPr>
        <w:sz w:val="18"/>
        <w:szCs w:val="18"/>
        <w:lang w:val="fr-CH"/>
      </w:rPr>
    </w:pPr>
    <w:r w:rsidRPr="00BD44A8">
      <w:rPr>
        <w:sz w:val="18"/>
        <w:szCs w:val="18"/>
        <w:lang w:val="fr-CH"/>
      </w:rPr>
      <w:t>ITU-T\BUREAU\CIRC\100\163</w:t>
    </w:r>
    <w:r>
      <w:rPr>
        <w:sz w:val="18"/>
        <w:szCs w:val="18"/>
        <w:lang w:val="fr-CH"/>
      </w:rPr>
      <w:t>A</w:t>
    </w:r>
    <w:r w:rsidRPr="00BD44A8">
      <w:rPr>
        <w:sz w:val="18"/>
        <w:szCs w:val="18"/>
        <w:lang w:val="fr-CH"/>
      </w:rPr>
      <w:t>.DOCX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49" w:type="dxa"/>
      <w:tblInd w:w="-284" w:type="dxa"/>
      <w:tblLayout w:type="fixed"/>
      <w:tblLook w:val="0000"/>
    </w:tblPr>
    <w:tblGrid>
      <w:gridCol w:w="10149"/>
    </w:tblGrid>
    <w:tr w:rsidR="00B30F6B">
      <w:tc>
        <w:tcPr>
          <w:tcW w:w="10149" w:type="dxa"/>
        </w:tcPr>
        <w:p w:rsidR="00B30F6B" w:rsidRDefault="00B30F6B">
          <w:pPr>
            <w:pBdr>
              <w:top w:val="single" w:sz="4" w:space="5" w:color="auto"/>
            </w:pBdr>
            <w:tabs>
              <w:tab w:val="left" w:pos="2084"/>
              <w:tab w:val="left" w:pos="2984"/>
              <w:tab w:val="left" w:pos="3344"/>
              <w:tab w:val="left" w:pos="3560"/>
              <w:tab w:val="left" w:pos="5684"/>
              <w:tab w:val="left" w:pos="8024"/>
              <w:tab w:val="left" w:pos="8739"/>
              <w:tab w:val="right" w:pos="10858"/>
            </w:tabs>
            <w:bidi w:val="0"/>
            <w:spacing w:line="240" w:lineRule="auto"/>
            <w:rPr>
              <w:rFonts w:ascii="Futura Lt BT" w:hAnsi="Futura Lt BT"/>
              <w:sz w:val="18"/>
              <w:lang w:val="fr-FR"/>
            </w:rPr>
          </w:pPr>
          <w:r>
            <w:rPr>
              <w:rFonts w:ascii="Futura Lt BT" w:hAnsi="Futura Lt BT"/>
              <w:sz w:val="18"/>
              <w:lang w:val="fr-FR"/>
            </w:rPr>
            <w:t>Place des Nations</w:t>
          </w:r>
          <w:r>
            <w:rPr>
              <w:rFonts w:ascii="Futura Lt BT" w:hAnsi="Futura Lt BT"/>
              <w:sz w:val="18"/>
              <w:lang w:val="fr-FR"/>
            </w:rPr>
            <w:tab/>
          </w:r>
          <w:proofErr w:type="spellStart"/>
          <w:r>
            <w:rPr>
              <w:rFonts w:ascii="Futura Lt BT" w:hAnsi="Futura Lt BT"/>
              <w:sz w:val="18"/>
              <w:lang w:val="fr-FR"/>
            </w:rPr>
            <w:t>Telephone</w:t>
          </w:r>
          <w:proofErr w:type="spellEnd"/>
          <w:r>
            <w:rPr>
              <w:rFonts w:ascii="Futura Lt BT" w:hAnsi="Futura Lt BT"/>
              <w:sz w:val="18"/>
              <w:lang w:val="fr-FR"/>
            </w:rPr>
            <w:t xml:space="preserve"> </w:t>
          </w:r>
          <w:r>
            <w:rPr>
              <w:rFonts w:ascii="Futura Lt BT" w:hAnsi="Futura Lt BT" w:hint="cs"/>
              <w:sz w:val="18"/>
              <w:rtl/>
              <w:lang w:val="fr-FR"/>
            </w:rPr>
            <w:tab/>
          </w:r>
          <w:r>
            <w:rPr>
              <w:rFonts w:ascii="Futura Lt BT" w:hAnsi="Futura Lt BT"/>
              <w:sz w:val="18"/>
              <w:rtl/>
              <w:lang w:val="fr-FR"/>
            </w:rPr>
            <w:tab/>
          </w:r>
          <w:r>
            <w:rPr>
              <w:rFonts w:ascii="Futura Lt BT" w:hAnsi="Futura Lt BT"/>
              <w:sz w:val="18"/>
              <w:lang w:val="fr-FR"/>
            </w:rPr>
            <w:tab/>
            <w:t>+41 22 730 51 11</w:t>
          </w:r>
          <w:r>
            <w:rPr>
              <w:rFonts w:ascii="Futura Lt BT" w:hAnsi="Futura Lt BT"/>
              <w:sz w:val="18"/>
              <w:lang w:val="fr-FR"/>
            </w:rPr>
            <w:tab/>
          </w:r>
          <w:proofErr w:type="spellStart"/>
          <w:r>
            <w:rPr>
              <w:rFonts w:ascii="Futura Lt BT" w:hAnsi="Futura Lt BT"/>
              <w:sz w:val="18"/>
              <w:lang w:val="fr-FR"/>
            </w:rPr>
            <w:t>Telex</w:t>
          </w:r>
          <w:proofErr w:type="spellEnd"/>
          <w:r>
            <w:rPr>
              <w:rFonts w:ascii="Futura Lt BT" w:hAnsi="Futura Lt BT"/>
              <w:sz w:val="18"/>
              <w:lang w:val="fr-FR"/>
            </w:rPr>
            <w:t xml:space="preserve"> 421 000 </w:t>
          </w:r>
          <w:proofErr w:type="spellStart"/>
          <w:r>
            <w:rPr>
              <w:rFonts w:ascii="Futura Lt BT" w:hAnsi="Futura Lt BT"/>
              <w:sz w:val="18"/>
              <w:lang w:val="fr-FR"/>
            </w:rPr>
            <w:t>uit</w:t>
          </w:r>
          <w:proofErr w:type="spellEnd"/>
          <w:r>
            <w:rPr>
              <w:rFonts w:ascii="Futura Lt BT" w:hAnsi="Futura Lt BT"/>
              <w:sz w:val="18"/>
              <w:lang w:val="fr-FR"/>
            </w:rPr>
            <w:t xml:space="preserve"> </w:t>
          </w:r>
          <w:proofErr w:type="spellStart"/>
          <w:r>
            <w:rPr>
              <w:rFonts w:ascii="Futura Lt BT" w:hAnsi="Futura Lt BT"/>
              <w:sz w:val="18"/>
              <w:lang w:val="fr-FR"/>
            </w:rPr>
            <w:t>ch</w:t>
          </w:r>
          <w:proofErr w:type="spellEnd"/>
          <w:r>
            <w:rPr>
              <w:rFonts w:ascii="Futura Lt BT" w:hAnsi="Futura Lt BT"/>
              <w:sz w:val="18"/>
              <w:lang w:val="fr-FR"/>
            </w:rPr>
            <w:tab/>
            <w:t>E-mail:</w:t>
          </w:r>
          <w:r>
            <w:rPr>
              <w:rFonts w:ascii="Futura Lt BT" w:hAnsi="Futura Lt BT"/>
              <w:sz w:val="18"/>
              <w:lang w:val="fr-FR"/>
            </w:rPr>
            <w:tab/>
            <w:t>itumail@itu.int</w:t>
          </w:r>
        </w:p>
        <w:p w:rsidR="00B30F6B" w:rsidRDefault="00B30F6B" w:rsidP="00A66953">
          <w:pPr>
            <w:tabs>
              <w:tab w:val="left" w:pos="2084"/>
              <w:tab w:val="left" w:pos="2984"/>
              <w:tab w:val="left" w:pos="3289"/>
              <w:tab w:val="left" w:pos="3344"/>
              <w:tab w:val="left" w:pos="3560"/>
              <w:tab w:val="left" w:pos="5684"/>
              <w:tab w:val="left" w:pos="8024"/>
              <w:tab w:val="left" w:pos="8767"/>
              <w:tab w:val="right" w:pos="10858"/>
            </w:tabs>
            <w:bidi w:val="0"/>
            <w:spacing w:before="0" w:line="240" w:lineRule="auto"/>
            <w:rPr>
              <w:rFonts w:ascii="Futura Lt BT" w:hAnsi="Futura Lt BT"/>
              <w:sz w:val="18"/>
            </w:rPr>
          </w:pPr>
          <w:r>
            <w:rPr>
              <w:rFonts w:ascii="Futura Lt BT" w:hAnsi="Futura Lt BT"/>
              <w:sz w:val="18"/>
            </w:rPr>
            <w:t>CH-1211 Geneva 20</w:t>
          </w:r>
          <w:r>
            <w:rPr>
              <w:rFonts w:ascii="Futura Lt BT" w:hAnsi="Futura Lt BT"/>
              <w:sz w:val="18"/>
            </w:rPr>
            <w:tab/>
          </w:r>
          <w:proofErr w:type="spellStart"/>
          <w:r>
            <w:rPr>
              <w:rFonts w:ascii="Futura Lt BT" w:hAnsi="Futura Lt BT"/>
              <w:sz w:val="18"/>
            </w:rPr>
            <w:t>Telefax</w:t>
          </w:r>
          <w:proofErr w:type="spellEnd"/>
          <w:r>
            <w:rPr>
              <w:rFonts w:ascii="Futura Lt BT" w:hAnsi="Futura Lt BT"/>
              <w:sz w:val="18"/>
            </w:rPr>
            <w:tab/>
            <w:t>Gr3:</w:t>
          </w:r>
          <w:r>
            <w:rPr>
              <w:rFonts w:ascii="Futura Lt BT" w:hAnsi="Futura Lt BT"/>
              <w:sz w:val="18"/>
            </w:rPr>
            <w:tab/>
            <w:t>+41 22 733 72 56</w:t>
          </w:r>
          <w:r>
            <w:rPr>
              <w:rFonts w:ascii="Futura Lt BT" w:hAnsi="Futura Lt BT"/>
              <w:sz w:val="18"/>
            </w:rPr>
            <w:tab/>
            <w:t>Telegram ITU GENEVE</w:t>
          </w:r>
          <w:r>
            <w:rPr>
              <w:rFonts w:ascii="Futura Lt BT" w:hAnsi="Futura Lt BT"/>
              <w:sz w:val="18"/>
            </w:rPr>
            <w:tab/>
          </w:r>
          <w:r w:rsidR="00A66953">
            <w:rPr>
              <w:rFonts w:ascii="Futura Lt BT" w:hAnsi="Futura Lt BT"/>
              <w:sz w:val="18"/>
            </w:rPr>
            <w:tab/>
          </w:r>
          <w:r>
            <w:rPr>
              <w:rFonts w:ascii="Futura Lt BT" w:hAnsi="Futura Lt BT"/>
              <w:sz w:val="18"/>
            </w:rPr>
            <w:t>www.itu.int</w:t>
          </w:r>
        </w:p>
        <w:p w:rsidR="00B30F6B" w:rsidRDefault="00B30F6B">
          <w:pPr>
            <w:tabs>
              <w:tab w:val="left" w:pos="1904"/>
              <w:tab w:val="left" w:pos="2984"/>
              <w:tab w:val="left" w:pos="3289"/>
              <w:tab w:val="left" w:pos="3344"/>
              <w:tab w:val="left" w:pos="3560"/>
              <w:tab w:val="left" w:pos="5870"/>
              <w:tab w:val="left" w:pos="8319"/>
              <w:tab w:val="left" w:pos="9565"/>
              <w:tab w:val="right" w:pos="10858"/>
            </w:tabs>
            <w:bidi w:val="0"/>
            <w:spacing w:before="0" w:line="240" w:lineRule="auto"/>
            <w:rPr>
              <w:rFonts w:ascii="Futura Lt BT" w:hAnsi="Futura Lt BT"/>
              <w:sz w:val="18"/>
            </w:rPr>
          </w:pPr>
          <w:smartTag w:uri="urn:schemas-microsoft-com:office:smarttags" w:element="PlaceName">
            <w:smartTag w:uri="urn:schemas-microsoft-com:office:smarttags" w:element="PlaceType">
              <w:r>
                <w:rPr>
                  <w:rFonts w:ascii="Futura Lt BT" w:hAnsi="Futura Lt BT"/>
                  <w:sz w:val="18"/>
                </w:rPr>
                <w:t>Switzerland</w:t>
              </w:r>
            </w:smartTag>
          </w:smartTag>
          <w:r>
            <w:rPr>
              <w:rFonts w:ascii="Futura Lt BT" w:hAnsi="Futura Lt BT"/>
              <w:sz w:val="18"/>
            </w:rPr>
            <w:tab/>
          </w:r>
          <w:r>
            <w:rPr>
              <w:rFonts w:ascii="Futura Lt BT" w:hAnsi="Futura Lt BT"/>
              <w:sz w:val="18"/>
            </w:rPr>
            <w:tab/>
            <w:t>Gr4:</w:t>
          </w:r>
          <w:r>
            <w:rPr>
              <w:rFonts w:ascii="Futura Lt BT" w:hAnsi="Futura Lt BT"/>
              <w:sz w:val="18"/>
            </w:rPr>
            <w:tab/>
            <w:t>+41 22 730 65 00</w:t>
          </w:r>
        </w:p>
      </w:tc>
    </w:tr>
  </w:tbl>
  <w:p w:rsidR="00B30F6B" w:rsidRDefault="00B30F6B">
    <w:pPr>
      <w:pStyle w:val="Footer"/>
      <w:tabs>
        <w:tab w:val="clear" w:pos="9406"/>
        <w:tab w:val="right" w:pos="9617"/>
      </w:tabs>
      <w:bidi w:val="0"/>
      <w:rPr>
        <w:lang w:val="fr-F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0F6B" w:rsidRDefault="00B30F6B">
      <w:r>
        <w:separator/>
      </w:r>
    </w:p>
  </w:footnote>
  <w:footnote w:type="continuationSeparator" w:id="0">
    <w:p w:rsidR="00B30F6B" w:rsidRDefault="00B30F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8551672"/>
      <w:docPartObj>
        <w:docPartGallery w:val="Page Numbers (Top of Page)"/>
        <w:docPartUnique/>
      </w:docPartObj>
    </w:sdtPr>
    <w:sdtContent>
      <w:p w:rsidR="00B30F6B" w:rsidRDefault="001B652C" w:rsidP="001B652C">
        <w:pPr>
          <w:pStyle w:val="Header"/>
          <w:bidi w:val="0"/>
          <w:jc w:val="center"/>
        </w:pPr>
        <w:r>
          <w:rPr>
            <w:rFonts w:asciiTheme="majorBidi" w:hAnsiTheme="majorBidi" w:cstheme="majorBidi"/>
            <w:szCs w:val="22"/>
          </w:rPr>
          <w:t xml:space="preserve">- </w:t>
        </w:r>
        <w:r w:rsidR="00DE1A77" w:rsidRPr="00E57314">
          <w:rPr>
            <w:rFonts w:asciiTheme="majorBidi" w:hAnsiTheme="majorBidi" w:cstheme="majorBidi"/>
            <w:szCs w:val="22"/>
          </w:rPr>
          <w:fldChar w:fldCharType="begin"/>
        </w:r>
        <w:r w:rsidR="00B30F6B" w:rsidRPr="00E57314">
          <w:rPr>
            <w:rFonts w:asciiTheme="majorBidi" w:hAnsiTheme="majorBidi" w:cstheme="majorBidi"/>
            <w:szCs w:val="22"/>
          </w:rPr>
          <w:instrText xml:space="preserve"> PAGE   \* MERGEFORMAT </w:instrText>
        </w:r>
        <w:r w:rsidR="00DE1A77" w:rsidRPr="00E57314">
          <w:rPr>
            <w:rFonts w:asciiTheme="majorBidi" w:hAnsiTheme="majorBidi" w:cstheme="majorBidi"/>
            <w:szCs w:val="22"/>
          </w:rPr>
          <w:fldChar w:fldCharType="separate"/>
        </w:r>
        <w:r w:rsidR="00BD44A8">
          <w:rPr>
            <w:rFonts w:asciiTheme="majorBidi" w:hAnsiTheme="majorBidi" w:cstheme="majorBidi"/>
            <w:noProof/>
            <w:szCs w:val="22"/>
          </w:rPr>
          <w:t>3</w:t>
        </w:r>
        <w:r w:rsidR="00DE1A77" w:rsidRPr="00E57314">
          <w:rPr>
            <w:rFonts w:asciiTheme="majorBidi" w:hAnsiTheme="majorBidi" w:cstheme="majorBidi"/>
            <w:szCs w:val="22"/>
          </w:rPr>
          <w:fldChar w:fldCharType="end"/>
        </w:r>
        <w:r>
          <w:rPr>
            <w:rFonts w:asciiTheme="majorBidi" w:hAnsiTheme="majorBidi" w:cstheme="majorBidi"/>
            <w:szCs w:val="22"/>
          </w:rPr>
          <w:t xml:space="preserve"> -</w: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314121"/>
    <w:multiLevelType w:val="multilevel"/>
    <w:tmpl w:val="58681AD6"/>
    <w:lvl w:ilvl="0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>
    <w:nsid w:val="738E586B"/>
    <w:multiLevelType w:val="hybridMultilevel"/>
    <w:tmpl w:val="58681AD6"/>
    <w:lvl w:ilvl="0" w:tplc="D61A398E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ar-SA" w:vendorID="4" w:dllVersion="512" w:checkStyle="1"/>
  <w:proofState w:spelling="clean"/>
  <w:attachedTemplate r:id="rId1"/>
  <w:stylePaneFormatFilter w:val="3F01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27101B"/>
    <w:rsid w:val="00014A1D"/>
    <w:rsid w:val="00021E10"/>
    <w:rsid w:val="00056515"/>
    <w:rsid w:val="0007351F"/>
    <w:rsid w:val="000B4DB6"/>
    <w:rsid w:val="000C1E88"/>
    <w:rsid w:val="000C680B"/>
    <w:rsid w:val="000E319B"/>
    <w:rsid w:val="00103119"/>
    <w:rsid w:val="00115D09"/>
    <w:rsid w:val="00125C5A"/>
    <w:rsid w:val="00153E03"/>
    <w:rsid w:val="001A34CB"/>
    <w:rsid w:val="001B4996"/>
    <w:rsid w:val="001B652C"/>
    <w:rsid w:val="00216BC7"/>
    <w:rsid w:val="00240475"/>
    <w:rsid w:val="002478FD"/>
    <w:rsid w:val="0027101B"/>
    <w:rsid w:val="0029367C"/>
    <w:rsid w:val="002C7D47"/>
    <w:rsid w:val="00310D57"/>
    <w:rsid w:val="003324BD"/>
    <w:rsid w:val="0035150F"/>
    <w:rsid w:val="00357D8E"/>
    <w:rsid w:val="0036145A"/>
    <w:rsid w:val="003A0C89"/>
    <w:rsid w:val="003A7B72"/>
    <w:rsid w:val="003F047B"/>
    <w:rsid w:val="00431944"/>
    <w:rsid w:val="00434C6C"/>
    <w:rsid w:val="004821F0"/>
    <w:rsid w:val="004A47DF"/>
    <w:rsid w:val="004B448F"/>
    <w:rsid w:val="004C225F"/>
    <w:rsid w:val="004C49F8"/>
    <w:rsid w:val="004E63E7"/>
    <w:rsid w:val="004F1F15"/>
    <w:rsid w:val="005077D1"/>
    <w:rsid w:val="005172EE"/>
    <w:rsid w:val="00522550"/>
    <w:rsid w:val="00533DE7"/>
    <w:rsid w:val="005375D0"/>
    <w:rsid w:val="00540F7C"/>
    <w:rsid w:val="00545D47"/>
    <w:rsid w:val="00551BDE"/>
    <w:rsid w:val="005B29C4"/>
    <w:rsid w:val="005E2ACA"/>
    <w:rsid w:val="005E3ABD"/>
    <w:rsid w:val="00601BDD"/>
    <w:rsid w:val="00631A2F"/>
    <w:rsid w:val="00631AC4"/>
    <w:rsid w:val="0063384D"/>
    <w:rsid w:val="00640B62"/>
    <w:rsid w:val="00642ACB"/>
    <w:rsid w:val="00646865"/>
    <w:rsid w:val="00652908"/>
    <w:rsid w:val="00665B63"/>
    <w:rsid w:val="00671C99"/>
    <w:rsid w:val="006A1E8A"/>
    <w:rsid w:val="006D0FF8"/>
    <w:rsid w:val="006F4098"/>
    <w:rsid w:val="006F493F"/>
    <w:rsid w:val="00727C66"/>
    <w:rsid w:val="0073315A"/>
    <w:rsid w:val="00741B84"/>
    <w:rsid w:val="00747FED"/>
    <w:rsid w:val="00787583"/>
    <w:rsid w:val="007957DB"/>
    <w:rsid w:val="00797AA8"/>
    <w:rsid w:val="007D10F2"/>
    <w:rsid w:val="007E4873"/>
    <w:rsid w:val="00821E9C"/>
    <w:rsid w:val="00826B83"/>
    <w:rsid w:val="00831DA9"/>
    <w:rsid w:val="00844D9B"/>
    <w:rsid w:val="008628F9"/>
    <w:rsid w:val="00886E7A"/>
    <w:rsid w:val="00892D59"/>
    <w:rsid w:val="008A5215"/>
    <w:rsid w:val="008A7EC9"/>
    <w:rsid w:val="008E503A"/>
    <w:rsid w:val="008F3128"/>
    <w:rsid w:val="008F36A8"/>
    <w:rsid w:val="0094095B"/>
    <w:rsid w:val="009D59EF"/>
    <w:rsid w:val="00A57DA5"/>
    <w:rsid w:val="00A62E4A"/>
    <w:rsid w:val="00A66953"/>
    <w:rsid w:val="00A8423C"/>
    <w:rsid w:val="00AC58F0"/>
    <w:rsid w:val="00AD4EA1"/>
    <w:rsid w:val="00AD5685"/>
    <w:rsid w:val="00AD6887"/>
    <w:rsid w:val="00AD6AA5"/>
    <w:rsid w:val="00AE4DBF"/>
    <w:rsid w:val="00AE5603"/>
    <w:rsid w:val="00B2187C"/>
    <w:rsid w:val="00B25192"/>
    <w:rsid w:val="00B30F6B"/>
    <w:rsid w:val="00B31DBE"/>
    <w:rsid w:val="00B3354C"/>
    <w:rsid w:val="00B63813"/>
    <w:rsid w:val="00B63C4D"/>
    <w:rsid w:val="00B82333"/>
    <w:rsid w:val="00B90276"/>
    <w:rsid w:val="00BC00E5"/>
    <w:rsid w:val="00BD44A8"/>
    <w:rsid w:val="00C003B2"/>
    <w:rsid w:val="00C04A7C"/>
    <w:rsid w:val="00C42909"/>
    <w:rsid w:val="00C52806"/>
    <w:rsid w:val="00C64385"/>
    <w:rsid w:val="00C94008"/>
    <w:rsid w:val="00CA4E1F"/>
    <w:rsid w:val="00CA62ED"/>
    <w:rsid w:val="00CB2984"/>
    <w:rsid w:val="00CB53F1"/>
    <w:rsid w:val="00CC05E6"/>
    <w:rsid w:val="00CE1180"/>
    <w:rsid w:val="00CE6B73"/>
    <w:rsid w:val="00D16E33"/>
    <w:rsid w:val="00D20A54"/>
    <w:rsid w:val="00D31F2F"/>
    <w:rsid w:val="00D718F9"/>
    <w:rsid w:val="00D819C4"/>
    <w:rsid w:val="00D828E0"/>
    <w:rsid w:val="00D86D12"/>
    <w:rsid w:val="00D87836"/>
    <w:rsid w:val="00DA57A5"/>
    <w:rsid w:val="00DB16CF"/>
    <w:rsid w:val="00DD5CEB"/>
    <w:rsid w:val="00DE1A77"/>
    <w:rsid w:val="00DE53F2"/>
    <w:rsid w:val="00DF4191"/>
    <w:rsid w:val="00E11311"/>
    <w:rsid w:val="00E338B2"/>
    <w:rsid w:val="00E5391A"/>
    <w:rsid w:val="00E55501"/>
    <w:rsid w:val="00E57314"/>
    <w:rsid w:val="00E5744B"/>
    <w:rsid w:val="00E62D93"/>
    <w:rsid w:val="00E676B0"/>
    <w:rsid w:val="00E96555"/>
    <w:rsid w:val="00EA0521"/>
    <w:rsid w:val="00EE2C4A"/>
    <w:rsid w:val="00EE4A38"/>
    <w:rsid w:val="00F107DD"/>
    <w:rsid w:val="00F6082B"/>
    <w:rsid w:val="00F70484"/>
    <w:rsid w:val="00F72712"/>
    <w:rsid w:val="00FB1733"/>
    <w:rsid w:val="00FB7C73"/>
    <w:rsid w:val="00FC13AC"/>
    <w:rsid w:val="00FC1424"/>
    <w:rsid w:val="00FD65B7"/>
    <w:rsid w:val="00FE509D"/>
    <w:rsid w:val="00FE68B9"/>
    <w:rsid w:val="00FF0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A47DF"/>
    <w:pPr>
      <w:bidi/>
      <w:spacing w:before="120" w:line="192" w:lineRule="auto"/>
      <w:jc w:val="both"/>
    </w:pPr>
    <w:rPr>
      <w:rFonts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D6AA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ascii="Times New Roman Bold" w:eastAsia="Batang" w:hAnsi="Times New Roman Bold"/>
      <w:b/>
      <w:bCs/>
      <w:sz w:val="26"/>
      <w:szCs w:val="3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A47DF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rsid w:val="004A47DF"/>
    <w:pPr>
      <w:tabs>
        <w:tab w:val="center" w:pos="4703"/>
        <w:tab w:val="right" w:pos="9406"/>
      </w:tabs>
    </w:pPr>
  </w:style>
  <w:style w:type="character" w:styleId="Hyperlink">
    <w:name w:val="Hyperlink"/>
    <w:basedOn w:val="DefaultParagraphFont"/>
    <w:rsid w:val="004A47DF"/>
    <w:rPr>
      <w:color w:val="0000FF"/>
      <w:u w:val="single"/>
    </w:rPr>
  </w:style>
  <w:style w:type="paragraph" w:customStyle="1" w:styleId="ann">
    <w:name w:val="ann"/>
    <w:basedOn w:val="Normal"/>
    <w:rsid w:val="001A34CB"/>
    <w:pPr>
      <w:tabs>
        <w:tab w:val="left" w:pos="1173"/>
      </w:tabs>
      <w:spacing w:before="0"/>
      <w:ind w:left="1174" w:hanging="1174"/>
      <w:jc w:val="left"/>
    </w:pPr>
    <w:rPr>
      <w:lang w:bidi="ar-EG"/>
    </w:rPr>
  </w:style>
  <w:style w:type="paragraph" w:customStyle="1" w:styleId="AnnexNotitle">
    <w:name w:val="Annex_No &amp; title"/>
    <w:basedOn w:val="Normal"/>
    <w:next w:val="Normal"/>
    <w:link w:val="AnnexNotitleChar"/>
    <w:rsid w:val="001A34CB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 Bold" w:hAnsi="Times New Roman Bold"/>
      <w:b/>
      <w:sz w:val="26"/>
      <w:szCs w:val="36"/>
      <w:lang w:val="en-GB"/>
    </w:rPr>
  </w:style>
  <w:style w:type="character" w:customStyle="1" w:styleId="Heading1Char">
    <w:name w:val="Heading 1 Char"/>
    <w:basedOn w:val="DefaultParagraphFont"/>
    <w:link w:val="Heading1"/>
    <w:rsid w:val="00AD6AA5"/>
    <w:rPr>
      <w:rFonts w:ascii="Times New Roman Bold" w:eastAsia="Batang" w:hAnsi="Times New Roman Bold" w:cs="Traditional Arabic"/>
      <w:b/>
      <w:bCs/>
      <w:sz w:val="26"/>
      <w:szCs w:val="36"/>
      <w:lang w:val="en-GB" w:eastAsia="en-US"/>
    </w:rPr>
  </w:style>
  <w:style w:type="character" w:customStyle="1" w:styleId="AnnexNotitleChar">
    <w:name w:val="Annex_No &amp; title Char"/>
    <w:basedOn w:val="DefaultParagraphFont"/>
    <w:link w:val="AnnexNotitle"/>
    <w:locked/>
    <w:rsid w:val="00AD6AA5"/>
    <w:rPr>
      <w:rFonts w:ascii="Times New Roman Bold" w:hAnsi="Times New Roman Bold" w:cs="Traditional Arabic"/>
      <w:b/>
      <w:sz w:val="26"/>
      <w:szCs w:val="36"/>
      <w:lang w:val="en-GB" w:eastAsia="en-US"/>
    </w:rPr>
  </w:style>
  <w:style w:type="paragraph" w:customStyle="1" w:styleId="Rectitle">
    <w:name w:val="Rec_title"/>
    <w:basedOn w:val="Normal"/>
    <w:next w:val="Normal"/>
    <w:rsid w:val="00AD6AA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ascii="Times New Roman Bold" w:eastAsia="Batang" w:hAnsi="Times New Roman Bold"/>
      <w:b/>
      <w:sz w:val="28"/>
      <w:szCs w:val="40"/>
      <w:lang w:val="en-GB"/>
    </w:rPr>
  </w:style>
  <w:style w:type="paragraph" w:customStyle="1" w:styleId="Headingb">
    <w:name w:val="Heading_b"/>
    <w:basedOn w:val="Normal"/>
    <w:next w:val="Normal"/>
    <w:rsid w:val="00AD6AA5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ascii="Times New Roman Bold" w:eastAsia="Batang" w:hAnsi="Times New Roman Bold"/>
      <w:b/>
      <w:bCs/>
      <w:lang w:val="en-GB"/>
    </w:rPr>
  </w:style>
  <w:style w:type="paragraph" w:customStyle="1" w:styleId="AppendixNotitle">
    <w:name w:val="Appendix_No &amp; title"/>
    <w:basedOn w:val="AnnexNotitle"/>
    <w:next w:val="Normal"/>
    <w:rsid w:val="00AD6887"/>
  </w:style>
  <w:style w:type="paragraph" w:customStyle="1" w:styleId="RecTitle0">
    <w:name w:val="Rec Title"/>
    <w:basedOn w:val="Normal"/>
    <w:rsid w:val="00E55501"/>
    <w:pPr>
      <w:spacing w:before="240" w:line="185" w:lineRule="auto"/>
      <w:jc w:val="center"/>
    </w:pPr>
    <w:rPr>
      <w:rFonts w:ascii="Times New Roman Bold" w:eastAsia="SimSun" w:hAnsi="Times New Roman Bold"/>
      <w:b/>
      <w:bCs/>
      <w:sz w:val="26"/>
      <w:szCs w:val="36"/>
      <w:lang w:eastAsia="zh-CN" w:bidi="ar-EG"/>
    </w:rPr>
  </w:style>
  <w:style w:type="character" w:customStyle="1" w:styleId="HeaderChar">
    <w:name w:val="Header Char"/>
    <w:basedOn w:val="DefaultParagraphFont"/>
    <w:link w:val="Header"/>
    <w:uiPriority w:val="99"/>
    <w:rsid w:val="00E57314"/>
    <w:rPr>
      <w:rFonts w:cs="Traditional Arabic"/>
      <w:sz w:val="22"/>
      <w:szCs w:val="30"/>
      <w:lang w:eastAsia="en-US"/>
    </w:rPr>
  </w:style>
  <w:style w:type="character" w:customStyle="1" w:styleId="FooterChar">
    <w:name w:val="Footer Char"/>
    <w:basedOn w:val="DefaultParagraphFont"/>
    <w:link w:val="Footer"/>
    <w:rsid w:val="00BD44A8"/>
    <w:rPr>
      <w:rFonts w:cs="Traditional Arabic"/>
      <w:sz w:val="22"/>
      <w:szCs w:val="3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itu.int/ITU-T/ipr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2@itu.int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ITU-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5ADDB-0591-4CF9-9F3B-9F1AB4027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ITU-T.dot</Template>
  <TotalTime>18</TotalTime>
  <Pages>4</Pages>
  <Words>678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4271</CharactersWithSpaces>
  <SharedDoc>false</SharedDoc>
  <HLinks>
    <vt:vector size="6" baseType="variant">
      <vt:variant>
        <vt:i4>5832781</vt:i4>
      </vt:variant>
      <vt:variant>
        <vt:i4>0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wardany</dc:creator>
  <cp:keywords/>
  <dc:description/>
  <cp:lastModifiedBy>comas</cp:lastModifiedBy>
  <cp:revision>23</cp:revision>
  <cp:lastPrinted>2011-01-27T13:20:00Z</cp:lastPrinted>
  <dcterms:created xsi:type="dcterms:W3CDTF">2011-01-27T12:34:00Z</dcterms:created>
  <dcterms:modified xsi:type="dcterms:W3CDTF">2011-01-31T11:12:00Z</dcterms:modified>
</cp:coreProperties>
</file>