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83" w:type="dxa"/>
        <w:tblInd w:w="8" w:type="dxa"/>
        <w:tblLayout w:type="fixed"/>
        <w:tblCellMar>
          <w:left w:w="0" w:type="dxa"/>
          <w:right w:w="0" w:type="dxa"/>
        </w:tblCellMar>
        <w:tblLook w:val="0000" w:firstRow="0" w:lastRow="0" w:firstColumn="0" w:lastColumn="0" w:noHBand="0" w:noVBand="0"/>
      </w:tblPr>
      <w:tblGrid>
        <w:gridCol w:w="9061"/>
        <w:gridCol w:w="1522"/>
      </w:tblGrid>
      <w:tr w:rsidR="00AC2B9B" w:rsidRPr="00F768C9" w:rsidTr="007B2081">
        <w:trPr>
          <w:cantSplit/>
          <w:trHeight w:hRule="exact" w:val="1553"/>
        </w:trPr>
        <w:tc>
          <w:tcPr>
            <w:tcW w:w="9061" w:type="dxa"/>
          </w:tcPr>
          <w:p w:rsidR="00AC2B9B" w:rsidRPr="00F768C9" w:rsidRDefault="00AC2B9B" w:rsidP="00AC2B9B">
            <w:pPr>
              <w:tabs>
                <w:tab w:val="right" w:pos="8647"/>
              </w:tabs>
              <w:rPr>
                <w:rFonts w:ascii="Futura Lt BT" w:hAnsi="Futura Lt BT"/>
                <w:iCs/>
                <w:sz w:val="32"/>
                <w:szCs w:val="32"/>
              </w:rPr>
            </w:pPr>
            <w:bookmarkStart w:id="0" w:name="dsgno"/>
            <w:bookmarkEnd w:id="0"/>
            <w:r w:rsidRPr="00F768C9">
              <w:rPr>
                <w:rFonts w:ascii="Futura Lt BT" w:hAnsi="Futura Lt BT"/>
                <w:spacing w:val="25"/>
                <w:sz w:val="32"/>
                <w:szCs w:val="32"/>
              </w:rPr>
              <w:t xml:space="preserve">UNIÓN INTERNACIONAL DE TELECOMUNICACIONES </w:t>
            </w:r>
          </w:p>
          <w:p w:rsidR="00AC2B9B" w:rsidRPr="00F768C9" w:rsidRDefault="00AC2B9B" w:rsidP="00AC2B9B">
            <w:pPr>
              <w:tabs>
                <w:tab w:val="right" w:pos="8732"/>
              </w:tabs>
              <w:spacing w:before="240"/>
              <w:rPr>
                <w:rFonts w:ascii="Futura Lt BT" w:hAnsi="Futura Lt BT"/>
                <w:i/>
                <w:color w:val="FFFFFF"/>
                <w:sz w:val="28"/>
              </w:rPr>
            </w:pPr>
            <w:r w:rsidRPr="00F768C9">
              <w:rPr>
                <w:rFonts w:ascii="Futura Lt BT" w:hAnsi="Futura Lt BT"/>
                <w:i/>
                <w:sz w:val="28"/>
              </w:rPr>
              <w:t>Oficina de Normalización                                  Oficina de Desarrollo</w:t>
            </w:r>
            <w:r w:rsidRPr="00F768C9">
              <w:rPr>
                <w:rFonts w:ascii="Futura Lt BT" w:hAnsi="Futura Lt BT"/>
                <w:i/>
                <w:sz w:val="28"/>
              </w:rPr>
              <w:br/>
              <w:t>de las Telecomunicaciones                                 de las Telecomunicaciones</w:t>
            </w:r>
          </w:p>
        </w:tc>
        <w:tc>
          <w:tcPr>
            <w:tcW w:w="1522" w:type="dxa"/>
          </w:tcPr>
          <w:p w:rsidR="00AC2B9B" w:rsidRPr="00F768C9" w:rsidRDefault="00AC2B9B" w:rsidP="00AC2B9B">
            <w:pPr>
              <w:rPr>
                <w:rFonts w:ascii="Futura Lt BT" w:hAnsi="Futura Lt BT"/>
                <w:color w:val="FFFFFF"/>
                <w:sz w:val="8"/>
              </w:rPr>
            </w:pPr>
            <w:bookmarkStart w:id="1" w:name="Head"/>
            <w:bookmarkEnd w:id="1"/>
            <w:r w:rsidRPr="00F768C9">
              <w:rPr>
                <w:noProof/>
                <w:color w:val="FFFFFF"/>
                <w:lang w:eastAsia="zh-CN"/>
              </w:rPr>
              <w:drawing>
                <wp:inline distT="0" distB="0" distL="0" distR="0" wp14:anchorId="4A8A4D66" wp14:editId="36C80EC8">
                  <wp:extent cx="838200" cy="9144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38200" cy="914400"/>
                          </a:xfrm>
                          <a:prstGeom prst="rect">
                            <a:avLst/>
                          </a:prstGeom>
                          <a:noFill/>
                          <a:ln w="9525">
                            <a:noFill/>
                            <a:miter lim="800000"/>
                            <a:headEnd/>
                            <a:tailEnd/>
                          </a:ln>
                        </pic:spPr>
                      </pic:pic>
                    </a:graphicData>
                  </a:graphic>
                </wp:inline>
              </w:drawing>
            </w:r>
          </w:p>
        </w:tc>
      </w:tr>
    </w:tbl>
    <w:p w:rsidR="0035277F" w:rsidRPr="00F768C9" w:rsidRDefault="0035277F" w:rsidP="00FB04E4"/>
    <w:p w:rsidR="00FB04E4" w:rsidRPr="00F768C9" w:rsidRDefault="00FB04E4" w:rsidP="00FB04E4"/>
    <w:p w:rsidR="0035277F" w:rsidRPr="00F768C9" w:rsidRDefault="007B2081" w:rsidP="004D41C5">
      <w:pPr>
        <w:spacing w:before="0" w:after="240"/>
        <w:jc w:val="right"/>
      </w:pPr>
      <w:r w:rsidRPr="00F768C9">
        <w:t xml:space="preserve">Ginebra, </w:t>
      </w:r>
      <w:r w:rsidR="00BA451B" w:rsidRPr="00F768C9">
        <w:t>26</w:t>
      </w:r>
      <w:r w:rsidRPr="00F768C9">
        <w:t xml:space="preserve"> de </w:t>
      </w:r>
      <w:r w:rsidR="00BA451B" w:rsidRPr="00F768C9">
        <w:t>enero</w:t>
      </w:r>
      <w:r w:rsidRPr="00F768C9">
        <w:t xml:space="preserve"> de 201</w:t>
      </w:r>
      <w:r w:rsidR="00BA451B" w:rsidRPr="00F768C9">
        <w:t>1</w:t>
      </w:r>
    </w:p>
    <w:p w:rsidR="00FB04E4" w:rsidRPr="00F768C9" w:rsidRDefault="00FB04E4" w:rsidP="00FB04E4"/>
    <w:tbl>
      <w:tblPr>
        <w:tblW w:w="0" w:type="auto"/>
        <w:tblInd w:w="8" w:type="dxa"/>
        <w:tblLayout w:type="fixed"/>
        <w:tblCellMar>
          <w:left w:w="0" w:type="dxa"/>
          <w:right w:w="0" w:type="dxa"/>
        </w:tblCellMar>
        <w:tblLook w:val="0000" w:firstRow="0" w:lastRow="0" w:firstColumn="0" w:lastColumn="0" w:noHBand="0" w:noVBand="0"/>
      </w:tblPr>
      <w:tblGrid>
        <w:gridCol w:w="1084"/>
        <w:gridCol w:w="3161"/>
        <w:gridCol w:w="5394"/>
      </w:tblGrid>
      <w:tr w:rsidR="0035277F" w:rsidRPr="00F768C9" w:rsidTr="00AC2B9B">
        <w:trPr>
          <w:cantSplit/>
          <w:trHeight w:val="340"/>
        </w:trPr>
        <w:tc>
          <w:tcPr>
            <w:tcW w:w="1084" w:type="dxa"/>
          </w:tcPr>
          <w:p w:rsidR="0035277F" w:rsidRPr="00F768C9" w:rsidRDefault="0035277F" w:rsidP="00CA4659">
            <w:pPr>
              <w:tabs>
                <w:tab w:val="left" w:pos="4111"/>
              </w:tabs>
              <w:spacing w:before="10"/>
              <w:ind w:left="57"/>
              <w:rPr>
                <w:sz w:val="22"/>
              </w:rPr>
            </w:pPr>
            <w:r w:rsidRPr="00F768C9">
              <w:rPr>
                <w:sz w:val="22"/>
              </w:rPr>
              <w:t>Ref</w:t>
            </w:r>
            <w:r w:rsidR="0095375A" w:rsidRPr="00F768C9">
              <w:rPr>
                <w:sz w:val="22"/>
              </w:rPr>
              <w:t>.</w:t>
            </w:r>
            <w:r w:rsidRPr="00F768C9">
              <w:rPr>
                <w:sz w:val="22"/>
              </w:rPr>
              <w:t>:</w:t>
            </w:r>
          </w:p>
        </w:tc>
        <w:tc>
          <w:tcPr>
            <w:tcW w:w="3161" w:type="dxa"/>
          </w:tcPr>
          <w:p w:rsidR="0035277F" w:rsidRPr="00F768C9" w:rsidRDefault="00AC2B9B" w:rsidP="00BA451B">
            <w:pPr>
              <w:tabs>
                <w:tab w:val="left" w:pos="4111"/>
              </w:tabs>
              <w:spacing w:before="0"/>
              <w:ind w:left="57"/>
              <w:rPr>
                <w:u w:val="single"/>
              </w:rPr>
            </w:pPr>
            <w:r w:rsidRPr="00F768C9">
              <w:rPr>
                <w:b/>
              </w:rPr>
              <w:t>Circular</w:t>
            </w:r>
            <w:r w:rsidR="0035277F" w:rsidRPr="00F768C9">
              <w:rPr>
                <w:b/>
              </w:rPr>
              <w:t xml:space="preserve"> TSB </w:t>
            </w:r>
            <w:r w:rsidR="00BA451B" w:rsidRPr="00F768C9">
              <w:rPr>
                <w:b/>
              </w:rPr>
              <w:t>162</w:t>
            </w:r>
          </w:p>
          <w:p w:rsidR="0035277F" w:rsidRPr="00F768C9" w:rsidRDefault="0035277F" w:rsidP="00CA4659">
            <w:pPr>
              <w:tabs>
                <w:tab w:val="left" w:pos="4111"/>
              </w:tabs>
              <w:spacing w:before="0"/>
              <w:ind w:left="57"/>
              <w:rPr>
                <w:u w:val="single"/>
              </w:rPr>
            </w:pPr>
          </w:p>
          <w:p w:rsidR="0035277F" w:rsidRPr="00F768C9" w:rsidRDefault="0035277F" w:rsidP="00CA4659">
            <w:pPr>
              <w:tabs>
                <w:tab w:val="left" w:pos="4111"/>
              </w:tabs>
              <w:spacing w:before="0"/>
              <w:ind w:left="57"/>
            </w:pPr>
          </w:p>
        </w:tc>
        <w:tc>
          <w:tcPr>
            <w:tcW w:w="5394" w:type="dxa"/>
          </w:tcPr>
          <w:p w:rsidR="0035277F" w:rsidRPr="00F768C9" w:rsidRDefault="00AC2B9B" w:rsidP="00BA451B">
            <w:pPr>
              <w:tabs>
                <w:tab w:val="left" w:pos="4111"/>
              </w:tabs>
              <w:spacing w:before="0"/>
              <w:ind w:left="57"/>
              <w:rPr>
                <w:b/>
              </w:rPr>
            </w:pPr>
            <w:r w:rsidRPr="00F768C9">
              <w:rPr>
                <w:b/>
              </w:rPr>
              <w:t>Ref.:</w:t>
            </w:r>
            <w:r w:rsidR="00464956" w:rsidRPr="00F768C9">
              <w:rPr>
                <w:b/>
              </w:rPr>
              <w:tab/>
            </w:r>
            <w:r w:rsidRPr="00F768C9">
              <w:rPr>
                <w:b/>
              </w:rPr>
              <w:tab/>
              <w:t>BDT</w:t>
            </w:r>
            <w:r w:rsidR="00BA451B" w:rsidRPr="00F768C9">
              <w:rPr>
                <w:b/>
              </w:rPr>
              <w:t>/POL/CYB/Circular/001</w:t>
            </w:r>
          </w:p>
        </w:tc>
      </w:tr>
      <w:tr w:rsidR="00AC2B9B" w:rsidRPr="00F768C9" w:rsidTr="00AC2B9B">
        <w:trPr>
          <w:cantSplit/>
        </w:trPr>
        <w:tc>
          <w:tcPr>
            <w:tcW w:w="1084" w:type="dxa"/>
          </w:tcPr>
          <w:p w:rsidR="00AC2B9B" w:rsidRPr="007E5FF8" w:rsidRDefault="00AC2B9B" w:rsidP="00CA4659">
            <w:pPr>
              <w:tabs>
                <w:tab w:val="left" w:pos="4111"/>
              </w:tabs>
              <w:spacing w:before="10"/>
              <w:ind w:left="57"/>
              <w:rPr>
                <w:sz w:val="22"/>
                <w:szCs w:val="22"/>
              </w:rPr>
            </w:pPr>
            <w:r w:rsidRPr="007E5FF8">
              <w:rPr>
                <w:sz w:val="22"/>
                <w:szCs w:val="22"/>
              </w:rPr>
              <w:t>Contacto:</w:t>
            </w:r>
          </w:p>
        </w:tc>
        <w:tc>
          <w:tcPr>
            <w:tcW w:w="3161" w:type="dxa"/>
          </w:tcPr>
          <w:p w:rsidR="00AC2B9B" w:rsidRPr="007E5FF8" w:rsidRDefault="00AC2B9B" w:rsidP="00CA4659">
            <w:pPr>
              <w:tabs>
                <w:tab w:val="left" w:pos="4111"/>
              </w:tabs>
              <w:spacing w:before="0"/>
              <w:ind w:left="57"/>
              <w:rPr>
                <w:sz w:val="22"/>
                <w:szCs w:val="22"/>
              </w:rPr>
            </w:pPr>
            <w:r w:rsidRPr="007E5FF8">
              <w:rPr>
                <w:sz w:val="22"/>
                <w:szCs w:val="22"/>
              </w:rPr>
              <w:t>Xiaoya Yang</w:t>
            </w:r>
          </w:p>
        </w:tc>
        <w:tc>
          <w:tcPr>
            <w:tcW w:w="5394" w:type="dxa"/>
          </w:tcPr>
          <w:p w:rsidR="00AC2B9B" w:rsidRPr="007E5FF8" w:rsidRDefault="00AC2B9B" w:rsidP="00CA4659">
            <w:pPr>
              <w:tabs>
                <w:tab w:val="left" w:pos="4111"/>
              </w:tabs>
              <w:spacing w:before="0"/>
              <w:ind w:left="57"/>
              <w:rPr>
                <w:sz w:val="22"/>
                <w:szCs w:val="22"/>
              </w:rPr>
            </w:pPr>
            <w:r w:rsidRPr="007E5FF8">
              <w:rPr>
                <w:sz w:val="22"/>
                <w:szCs w:val="22"/>
              </w:rPr>
              <w:t>Contacto:</w:t>
            </w:r>
            <w:r w:rsidRPr="007E5FF8">
              <w:rPr>
                <w:sz w:val="22"/>
                <w:szCs w:val="22"/>
              </w:rPr>
              <w:tab/>
              <w:t>Souheil Marine</w:t>
            </w:r>
          </w:p>
        </w:tc>
      </w:tr>
      <w:tr w:rsidR="00AC2B9B" w:rsidRPr="00F768C9" w:rsidTr="00AC2B9B">
        <w:trPr>
          <w:cantSplit/>
        </w:trPr>
        <w:tc>
          <w:tcPr>
            <w:tcW w:w="1084" w:type="dxa"/>
          </w:tcPr>
          <w:p w:rsidR="00AC2B9B" w:rsidRPr="007E5FF8" w:rsidRDefault="00AC2B9B" w:rsidP="00CA4659">
            <w:pPr>
              <w:tabs>
                <w:tab w:val="left" w:pos="4111"/>
              </w:tabs>
              <w:spacing w:before="10"/>
              <w:ind w:left="57"/>
              <w:rPr>
                <w:sz w:val="22"/>
                <w:szCs w:val="22"/>
              </w:rPr>
            </w:pPr>
            <w:r w:rsidRPr="007E5FF8">
              <w:rPr>
                <w:sz w:val="22"/>
                <w:szCs w:val="22"/>
              </w:rPr>
              <w:t>Tel.:</w:t>
            </w:r>
          </w:p>
        </w:tc>
        <w:tc>
          <w:tcPr>
            <w:tcW w:w="3161" w:type="dxa"/>
          </w:tcPr>
          <w:p w:rsidR="00AC2B9B" w:rsidRPr="007E5FF8" w:rsidRDefault="00AC2B9B" w:rsidP="00CA4659">
            <w:pPr>
              <w:tabs>
                <w:tab w:val="left" w:pos="4111"/>
              </w:tabs>
              <w:spacing w:before="0"/>
              <w:ind w:left="57"/>
              <w:rPr>
                <w:sz w:val="22"/>
                <w:szCs w:val="22"/>
              </w:rPr>
            </w:pPr>
            <w:r w:rsidRPr="007E5FF8">
              <w:rPr>
                <w:sz w:val="22"/>
                <w:szCs w:val="22"/>
              </w:rPr>
              <w:t>+41 22 730 6206</w:t>
            </w:r>
          </w:p>
        </w:tc>
        <w:tc>
          <w:tcPr>
            <w:tcW w:w="5394" w:type="dxa"/>
          </w:tcPr>
          <w:p w:rsidR="00AC2B9B" w:rsidRPr="007E5FF8" w:rsidRDefault="00AC2B9B" w:rsidP="00AC2B9B">
            <w:pPr>
              <w:tabs>
                <w:tab w:val="left" w:pos="4111"/>
              </w:tabs>
              <w:spacing w:before="10"/>
              <w:ind w:left="57"/>
              <w:rPr>
                <w:sz w:val="22"/>
                <w:szCs w:val="22"/>
              </w:rPr>
            </w:pPr>
            <w:r w:rsidRPr="007E5FF8">
              <w:rPr>
                <w:sz w:val="22"/>
                <w:szCs w:val="22"/>
              </w:rPr>
              <w:t>Tel.:</w:t>
            </w:r>
            <w:r w:rsidRPr="007E5FF8">
              <w:rPr>
                <w:sz w:val="22"/>
                <w:szCs w:val="22"/>
              </w:rPr>
              <w:tab/>
            </w:r>
            <w:r w:rsidRPr="007E5FF8">
              <w:rPr>
                <w:sz w:val="22"/>
                <w:szCs w:val="22"/>
              </w:rPr>
              <w:tab/>
              <w:t>+41 22 730 5323</w:t>
            </w:r>
          </w:p>
        </w:tc>
      </w:tr>
      <w:tr w:rsidR="00AC2B9B" w:rsidRPr="00F768C9" w:rsidTr="00AC2B9B">
        <w:trPr>
          <w:cantSplit/>
        </w:trPr>
        <w:tc>
          <w:tcPr>
            <w:tcW w:w="1084" w:type="dxa"/>
          </w:tcPr>
          <w:p w:rsidR="00AC2B9B" w:rsidRPr="007E5FF8" w:rsidRDefault="00AC2B9B" w:rsidP="00AC2B9B">
            <w:pPr>
              <w:tabs>
                <w:tab w:val="left" w:pos="4111"/>
              </w:tabs>
              <w:spacing w:before="10"/>
              <w:ind w:left="57"/>
              <w:rPr>
                <w:sz w:val="22"/>
                <w:szCs w:val="22"/>
              </w:rPr>
            </w:pPr>
            <w:r w:rsidRPr="007E5FF8">
              <w:rPr>
                <w:sz w:val="22"/>
                <w:szCs w:val="22"/>
              </w:rPr>
              <w:t>Fax:</w:t>
            </w:r>
          </w:p>
          <w:p w:rsidR="00AC2B9B" w:rsidRPr="007E5FF8" w:rsidRDefault="00AC2B9B" w:rsidP="00AC2B9B">
            <w:pPr>
              <w:tabs>
                <w:tab w:val="left" w:pos="4111"/>
              </w:tabs>
              <w:spacing w:before="10"/>
              <w:ind w:left="57"/>
              <w:rPr>
                <w:sz w:val="22"/>
                <w:szCs w:val="22"/>
              </w:rPr>
            </w:pPr>
            <w:r w:rsidRPr="007E5FF8">
              <w:rPr>
                <w:sz w:val="22"/>
                <w:szCs w:val="22"/>
              </w:rPr>
              <w:t>Correo-e:</w:t>
            </w:r>
          </w:p>
        </w:tc>
        <w:tc>
          <w:tcPr>
            <w:tcW w:w="3161" w:type="dxa"/>
          </w:tcPr>
          <w:p w:rsidR="00AC2B9B" w:rsidRPr="007E5FF8" w:rsidRDefault="00AC2B9B" w:rsidP="00AC2B9B">
            <w:pPr>
              <w:tabs>
                <w:tab w:val="left" w:pos="4111"/>
              </w:tabs>
              <w:spacing w:before="0"/>
              <w:ind w:left="57"/>
              <w:rPr>
                <w:sz w:val="22"/>
                <w:szCs w:val="22"/>
              </w:rPr>
            </w:pPr>
            <w:r w:rsidRPr="007E5FF8">
              <w:rPr>
                <w:sz w:val="22"/>
                <w:szCs w:val="22"/>
              </w:rPr>
              <w:t>+41 22 730 5853</w:t>
            </w:r>
          </w:p>
          <w:p w:rsidR="00AC2B9B" w:rsidRPr="007E5FF8" w:rsidRDefault="00D22D1A" w:rsidP="00AC2B9B">
            <w:pPr>
              <w:tabs>
                <w:tab w:val="left" w:pos="4111"/>
              </w:tabs>
              <w:spacing w:before="0"/>
              <w:ind w:left="57"/>
              <w:rPr>
                <w:sz w:val="22"/>
                <w:szCs w:val="22"/>
              </w:rPr>
            </w:pPr>
            <w:hyperlink r:id="rId9" w:history="1">
              <w:r w:rsidR="00AC2B9B" w:rsidRPr="007E5FF8">
                <w:rPr>
                  <w:rStyle w:val="Hyperlink"/>
                  <w:sz w:val="22"/>
                  <w:szCs w:val="22"/>
                </w:rPr>
                <w:t>Xiaoya.Yang@itu.int</w:t>
              </w:r>
            </w:hyperlink>
          </w:p>
        </w:tc>
        <w:tc>
          <w:tcPr>
            <w:tcW w:w="5394" w:type="dxa"/>
          </w:tcPr>
          <w:p w:rsidR="00AC2B9B" w:rsidRPr="007E5FF8" w:rsidRDefault="00AC2B9B" w:rsidP="00AC2B9B">
            <w:pPr>
              <w:tabs>
                <w:tab w:val="left" w:pos="4111"/>
              </w:tabs>
              <w:spacing w:before="10"/>
              <w:ind w:left="57"/>
              <w:rPr>
                <w:sz w:val="22"/>
                <w:szCs w:val="22"/>
              </w:rPr>
            </w:pPr>
            <w:r w:rsidRPr="007E5FF8">
              <w:rPr>
                <w:sz w:val="22"/>
                <w:szCs w:val="22"/>
              </w:rPr>
              <w:t>Fax:</w:t>
            </w:r>
            <w:r w:rsidRPr="007E5FF8">
              <w:rPr>
                <w:sz w:val="22"/>
                <w:szCs w:val="22"/>
              </w:rPr>
              <w:tab/>
            </w:r>
            <w:r w:rsidRPr="007E5FF8">
              <w:rPr>
                <w:sz w:val="22"/>
                <w:szCs w:val="22"/>
              </w:rPr>
              <w:tab/>
              <w:t>+41 22 730 5484</w:t>
            </w:r>
          </w:p>
          <w:p w:rsidR="00AC2B9B" w:rsidRPr="007E5FF8" w:rsidRDefault="00AC2B9B" w:rsidP="00AC2B9B">
            <w:pPr>
              <w:tabs>
                <w:tab w:val="left" w:pos="4111"/>
              </w:tabs>
              <w:spacing w:before="10"/>
              <w:ind w:left="57"/>
              <w:rPr>
                <w:sz w:val="22"/>
                <w:szCs w:val="22"/>
              </w:rPr>
            </w:pPr>
            <w:r w:rsidRPr="007E5FF8">
              <w:rPr>
                <w:sz w:val="22"/>
                <w:szCs w:val="22"/>
              </w:rPr>
              <w:t>Correo-e:</w:t>
            </w:r>
            <w:r w:rsidRPr="007E5FF8">
              <w:rPr>
                <w:sz w:val="22"/>
                <w:szCs w:val="22"/>
              </w:rPr>
              <w:tab/>
            </w:r>
            <w:hyperlink r:id="rId10" w:history="1">
              <w:r w:rsidRPr="007E5FF8">
                <w:rPr>
                  <w:rStyle w:val="Hyperlink"/>
                  <w:sz w:val="22"/>
                  <w:szCs w:val="22"/>
                </w:rPr>
                <w:t>Souheil.Marine@itu.int</w:t>
              </w:r>
            </w:hyperlink>
            <w:r w:rsidR="008359E5" w:rsidRPr="007E5FF8">
              <w:rPr>
                <w:sz w:val="22"/>
                <w:szCs w:val="22"/>
              </w:rPr>
              <w:t xml:space="preserve"> </w:t>
            </w:r>
          </w:p>
        </w:tc>
      </w:tr>
      <w:tr w:rsidR="00AC2B9B" w:rsidRPr="00F768C9" w:rsidTr="0092721D">
        <w:trPr>
          <w:cantSplit/>
          <w:trHeight w:val="397"/>
        </w:trPr>
        <w:tc>
          <w:tcPr>
            <w:tcW w:w="1084" w:type="dxa"/>
          </w:tcPr>
          <w:p w:rsidR="00AC2B9B" w:rsidRPr="00F768C9" w:rsidRDefault="00AC2B9B" w:rsidP="00CA4659">
            <w:pPr>
              <w:tabs>
                <w:tab w:val="left" w:pos="4111"/>
              </w:tabs>
              <w:spacing w:before="10"/>
              <w:ind w:left="57"/>
              <w:rPr>
                <w:sz w:val="22"/>
              </w:rPr>
            </w:pPr>
          </w:p>
        </w:tc>
        <w:tc>
          <w:tcPr>
            <w:tcW w:w="3161" w:type="dxa"/>
          </w:tcPr>
          <w:p w:rsidR="00AC2B9B" w:rsidRPr="00F768C9" w:rsidRDefault="00AC2B9B" w:rsidP="00CA4659">
            <w:pPr>
              <w:tabs>
                <w:tab w:val="left" w:pos="4111"/>
              </w:tabs>
              <w:spacing w:before="0"/>
              <w:ind w:left="57"/>
            </w:pPr>
          </w:p>
        </w:tc>
        <w:tc>
          <w:tcPr>
            <w:tcW w:w="5394" w:type="dxa"/>
          </w:tcPr>
          <w:p w:rsidR="00AC2B9B" w:rsidRPr="00F768C9" w:rsidRDefault="00AC2B9B" w:rsidP="00CA4659">
            <w:pPr>
              <w:tabs>
                <w:tab w:val="left" w:pos="4111"/>
              </w:tabs>
              <w:spacing w:before="0"/>
              <w:ind w:left="57"/>
            </w:pPr>
          </w:p>
        </w:tc>
      </w:tr>
      <w:tr w:rsidR="00AC2B9B" w:rsidRPr="00F768C9" w:rsidTr="00AC2B9B">
        <w:trPr>
          <w:cantSplit/>
        </w:trPr>
        <w:tc>
          <w:tcPr>
            <w:tcW w:w="1084" w:type="dxa"/>
          </w:tcPr>
          <w:p w:rsidR="00AC2B9B" w:rsidRPr="00F768C9" w:rsidRDefault="00AC2B9B" w:rsidP="00CA4659">
            <w:pPr>
              <w:tabs>
                <w:tab w:val="left" w:pos="4111"/>
              </w:tabs>
              <w:spacing w:before="10"/>
              <w:ind w:left="57"/>
              <w:rPr>
                <w:sz w:val="22"/>
              </w:rPr>
            </w:pPr>
          </w:p>
        </w:tc>
        <w:tc>
          <w:tcPr>
            <w:tcW w:w="3161" w:type="dxa"/>
          </w:tcPr>
          <w:p w:rsidR="00AC2B9B" w:rsidRPr="00F768C9" w:rsidRDefault="00AC2B9B" w:rsidP="00CA4659">
            <w:pPr>
              <w:tabs>
                <w:tab w:val="left" w:pos="4111"/>
              </w:tabs>
              <w:spacing w:before="0"/>
              <w:ind w:left="57"/>
            </w:pPr>
          </w:p>
        </w:tc>
        <w:tc>
          <w:tcPr>
            <w:tcW w:w="5394" w:type="dxa"/>
          </w:tcPr>
          <w:p w:rsidR="00AC2B9B" w:rsidRPr="00F768C9" w:rsidRDefault="00AC2B9B" w:rsidP="004E7A46">
            <w:pPr>
              <w:pStyle w:val="ListParagraph"/>
              <w:numPr>
                <w:ilvl w:val="0"/>
                <w:numId w:val="4"/>
              </w:numPr>
              <w:tabs>
                <w:tab w:val="clear" w:pos="794"/>
                <w:tab w:val="left" w:pos="4111"/>
              </w:tabs>
              <w:spacing w:before="0"/>
            </w:pPr>
            <w:r w:rsidRPr="00F768C9">
              <w:t xml:space="preserve">A las Administraciones de los Estados Miembros </w:t>
            </w:r>
            <w:r w:rsidR="004D41C5">
              <w:br/>
            </w:r>
            <w:r w:rsidRPr="00F768C9">
              <w:t>de la Unión</w:t>
            </w:r>
            <w:r w:rsidR="004E7A46" w:rsidRPr="00F768C9">
              <w:t>;</w:t>
            </w:r>
          </w:p>
          <w:p w:rsidR="00AC2B9B" w:rsidRPr="00F768C9" w:rsidRDefault="00AC2B9B" w:rsidP="00AC2B9B">
            <w:pPr>
              <w:pStyle w:val="ListParagraph"/>
              <w:numPr>
                <w:ilvl w:val="0"/>
                <w:numId w:val="4"/>
              </w:numPr>
              <w:tabs>
                <w:tab w:val="clear" w:pos="794"/>
                <w:tab w:val="left" w:pos="4111"/>
              </w:tabs>
              <w:spacing w:before="0"/>
            </w:pPr>
            <w:r w:rsidRPr="00F768C9">
              <w:t>a los Miembros de Sector del UIT</w:t>
            </w:r>
            <w:r w:rsidRPr="00F768C9">
              <w:noBreakHyphen/>
              <w:t>T y del UIT-D</w:t>
            </w:r>
            <w:r w:rsidR="004E7A46" w:rsidRPr="00F768C9">
              <w:t>;</w:t>
            </w:r>
          </w:p>
          <w:p w:rsidR="00AC2B9B" w:rsidRPr="00F768C9" w:rsidRDefault="00AC2B9B" w:rsidP="00AC2B9B">
            <w:pPr>
              <w:pStyle w:val="ListParagraph"/>
              <w:numPr>
                <w:ilvl w:val="0"/>
                <w:numId w:val="4"/>
              </w:numPr>
              <w:tabs>
                <w:tab w:val="clear" w:pos="794"/>
                <w:tab w:val="left" w:pos="4111"/>
              </w:tabs>
              <w:spacing w:before="0"/>
            </w:pPr>
            <w:r w:rsidRPr="00F768C9">
              <w:t>a los Asociados del UIT-T y del UIT-D</w:t>
            </w:r>
            <w:r w:rsidR="004D41C5">
              <w:t>.</w:t>
            </w:r>
          </w:p>
        </w:tc>
      </w:tr>
    </w:tbl>
    <w:p w:rsidR="0035277F" w:rsidRPr="00F768C9" w:rsidRDefault="0035277F" w:rsidP="00CA4659"/>
    <w:tbl>
      <w:tblPr>
        <w:tblW w:w="0" w:type="auto"/>
        <w:tblInd w:w="8" w:type="dxa"/>
        <w:tblLayout w:type="fixed"/>
        <w:tblCellMar>
          <w:left w:w="0" w:type="dxa"/>
          <w:right w:w="0" w:type="dxa"/>
        </w:tblCellMar>
        <w:tblLook w:val="0000" w:firstRow="0" w:lastRow="0" w:firstColumn="0" w:lastColumn="0" w:noHBand="0" w:noVBand="0"/>
      </w:tblPr>
      <w:tblGrid>
        <w:gridCol w:w="1070"/>
        <w:gridCol w:w="7711"/>
      </w:tblGrid>
      <w:tr w:rsidR="0035277F" w:rsidRPr="00F768C9" w:rsidTr="00AC2B9B">
        <w:trPr>
          <w:cantSplit/>
          <w:trHeight w:val="680"/>
        </w:trPr>
        <w:tc>
          <w:tcPr>
            <w:tcW w:w="1070" w:type="dxa"/>
          </w:tcPr>
          <w:p w:rsidR="0035277F" w:rsidRPr="00F768C9" w:rsidRDefault="0035277F" w:rsidP="00CA4659">
            <w:pPr>
              <w:tabs>
                <w:tab w:val="left" w:pos="4111"/>
              </w:tabs>
              <w:spacing w:before="10"/>
              <w:ind w:left="57"/>
              <w:rPr>
                <w:sz w:val="22"/>
              </w:rPr>
            </w:pPr>
            <w:r w:rsidRPr="00F768C9">
              <w:rPr>
                <w:sz w:val="22"/>
              </w:rPr>
              <w:t>Asunto:</w:t>
            </w:r>
          </w:p>
        </w:tc>
        <w:tc>
          <w:tcPr>
            <w:tcW w:w="7711" w:type="dxa"/>
          </w:tcPr>
          <w:p w:rsidR="00BA451B" w:rsidRPr="00F768C9" w:rsidRDefault="00AC2B9B" w:rsidP="00BA451B">
            <w:pPr>
              <w:tabs>
                <w:tab w:val="left" w:pos="4111"/>
              </w:tabs>
              <w:spacing w:before="0"/>
              <w:ind w:left="57"/>
              <w:rPr>
                <w:b/>
                <w:bCs/>
              </w:rPr>
            </w:pPr>
            <w:r w:rsidRPr="00F768C9">
              <w:rPr>
                <w:b/>
                <w:bCs/>
              </w:rPr>
              <w:t xml:space="preserve">Invitación a la </w:t>
            </w:r>
            <w:r w:rsidR="00BA451B" w:rsidRPr="00F768C9">
              <w:rPr>
                <w:b/>
                <w:bCs/>
              </w:rPr>
              <w:t>tercera</w:t>
            </w:r>
            <w:r w:rsidRPr="00F768C9">
              <w:rPr>
                <w:b/>
                <w:bCs/>
              </w:rPr>
              <w:t xml:space="preserve"> reunión del Grupo IPv6 de la UIT</w:t>
            </w:r>
          </w:p>
          <w:p w:rsidR="0035277F" w:rsidRPr="00F768C9" w:rsidRDefault="00BA451B" w:rsidP="00BA451B">
            <w:pPr>
              <w:tabs>
                <w:tab w:val="left" w:pos="4111"/>
              </w:tabs>
              <w:spacing w:before="0"/>
              <w:ind w:left="57"/>
              <w:rPr>
                <w:b/>
                <w:bCs/>
              </w:rPr>
            </w:pPr>
            <w:r w:rsidRPr="00F768C9">
              <w:rPr>
                <w:b/>
                <w:bCs/>
              </w:rPr>
              <w:t>7-8 de abril de 2011, Ginebra (Suiza)</w:t>
            </w:r>
          </w:p>
        </w:tc>
      </w:tr>
    </w:tbl>
    <w:p w:rsidR="0035277F" w:rsidRPr="00F768C9" w:rsidRDefault="0035277F" w:rsidP="0092721D">
      <w:pPr>
        <w:pStyle w:val="ITUintr"/>
        <w:tabs>
          <w:tab w:val="clear" w:pos="737"/>
          <w:tab w:val="clear" w:pos="1134"/>
          <w:tab w:val="left" w:pos="794"/>
        </w:tabs>
        <w:spacing w:before="400"/>
        <w:ind w:right="91"/>
        <w:rPr>
          <w:sz w:val="24"/>
        </w:rPr>
      </w:pPr>
      <w:r w:rsidRPr="00F768C9">
        <w:rPr>
          <w:sz w:val="24"/>
        </w:rPr>
        <w:t xml:space="preserve">Muy </w:t>
      </w:r>
      <w:r w:rsidR="00C10EC1" w:rsidRPr="00F768C9">
        <w:rPr>
          <w:sz w:val="24"/>
        </w:rPr>
        <w:t>S</w:t>
      </w:r>
      <w:r w:rsidRPr="00F768C9">
        <w:rPr>
          <w:sz w:val="24"/>
        </w:rPr>
        <w:t>eñor mío</w:t>
      </w:r>
      <w:r w:rsidR="005A2EE8" w:rsidRPr="00F768C9">
        <w:rPr>
          <w:sz w:val="24"/>
        </w:rPr>
        <w:t>/Muy Señora mía</w:t>
      </w:r>
      <w:r w:rsidRPr="00F768C9">
        <w:rPr>
          <w:sz w:val="24"/>
        </w:rPr>
        <w:t>:</w:t>
      </w:r>
    </w:p>
    <w:p w:rsidR="0035277F" w:rsidRPr="00F768C9" w:rsidRDefault="0035277F" w:rsidP="004D41C5">
      <w:r w:rsidRPr="00F768C9">
        <w:rPr>
          <w:bCs/>
        </w:rPr>
        <w:t>1</w:t>
      </w:r>
      <w:r w:rsidRPr="00F768C9">
        <w:tab/>
      </w:r>
      <w:r w:rsidR="00AC2B9B" w:rsidRPr="00F768C9">
        <w:t xml:space="preserve">Según el acuerdo alcanzado durante la </w:t>
      </w:r>
      <w:r w:rsidR="00BA451B" w:rsidRPr="00F768C9">
        <w:t>segunda</w:t>
      </w:r>
      <w:r w:rsidR="00AC2B9B" w:rsidRPr="00F768C9">
        <w:t xml:space="preserve"> reunión del Grupo IPv6 (Ginebra, </w:t>
      </w:r>
      <w:r w:rsidR="00BA451B" w:rsidRPr="00F768C9">
        <w:t>1</w:t>
      </w:r>
      <w:r w:rsidR="004D41C5">
        <w:noBreakHyphen/>
      </w:r>
      <w:r w:rsidR="00BA451B" w:rsidRPr="00F768C9">
        <w:t>2</w:t>
      </w:r>
      <w:r w:rsidR="004D41C5">
        <w:t> </w:t>
      </w:r>
      <w:r w:rsidR="00AC2B9B" w:rsidRPr="00F768C9">
        <w:t>de</w:t>
      </w:r>
      <w:r w:rsidR="004D41C5">
        <w:t> </w:t>
      </w:r>
      <w:r w:rsidR="00BA451B" w:rsidRPr="00F768C9">
        <w:t>septiembre</w:t>
      </w:r>
      <w:r w:rsidR="00AC2B9B" w:rsidRPr="00F768C9">
        <w:t xml:space="preserve"> de 2010), la </w:t>
      </w:r>
      <w:r w:rsidR="00BA451B" w:rsidRPr="00F768C9">
        <w:t>tercera</w:t>
      </w:r>
      <w:r w:rsidR="00AC2B9B" w:rsidRPr="00F768C9">
        <w:t xml:space="preserve"> reunión de dicho Grupo tendrá lugar en la Sede de la UIT en Ginebra, los días </w:t>
      </w:r>
      <w:r w:rsidR="00B60082" w:rsidRPr="00F768C9">
        <w:rPr>
          <w:b/>
          <w:bCs/>
        </w:rPr>
        <w:t>7</w:t>
      </w:r>
      <w:r w:rsidR="00B60082">
        <w:rPr>
          <w:b/>
          <w:bCs/>
        </w:rPr>
        <w:t xml:space="preserve"> </w:t>
      </w:r>
      <w:r w:rsidR="00B60082" w:rsidRPr="00F768C9">
        <w:rPr>
          <w:b/>
          <w:bCs/>
        </w:rPr>
        <w:t>y</w:t>
      </w:r>
      <w:r w:rsidR="004E7A46" w:rsidRPr="00F768C9">
        <w:rPr>
          <w:b/>
          <w:bCs/>
        </w:rPr>
        <w:t> </w:t>
      </w:r>
      <w:r w:rsidR="00BA451B" w:rsidRPr="00F768C9">
        <w:rPr>
          <w:b/>
          <w:bCs/>
        </w:rPr>
        <w:t>8</w:t>
      </w:r>
      <w:r w:rsidR="004E7A46" w:rsidRPr="00F768C9">
        <w:rPr>
          <w:b/>
          <w:bCs/>
        </w:rPr>
        <w:t> </w:t>
      </w:r>
      <w:r w:rsidR="00AC2B9B" w:rsidRPr="00F768C9">
        <w:rPr>
          <w:b/>
          <w:bCs/>
        </w:rPr>
        <w:t xml:space="preserve">de </w:t>
      </w:r>
      <w:r w:rsidR="00BA451B" w:rsidRPr="00F768C9">
        <w:rPr>
          <w:b/>
          <w:bCs/>
        </w:rPr>
        <w:t>abril</w:t>
      </w:r>
      <w:r w:rsidR="00AC2B9B" w:rsidRPr="00F768C9">
        <w:rPr>
          <w:b/>
          <w:bCs/>
        </w:rPr>
        <w:t xml:space="preserve"> de 201</w:t>
      </w:r>
      <w:r w:rsidR="00BA451B" w:rsidRPr="00F768C9">
        <w:rPr>
          <w:b/>
          <w:bCs/>
        </w:rPr>
        <w:t>1</w:t>
      </w:r>
      <w:r w:rsidR="00AC2B9B" w:rsidRPr="00F768C9">
        <w:t>, ambos inclusive. Al igual que en la reunión anterior, la participación está abierta a los Estados Miembros de la UIT y a los Miembros de Sector del UIT-T y del UIT-D.</w:t>
      </w:r>
    </w:p>
    <w:p w:rsidR="00B25BF0" w:rsidRPr="00F768C9" w:rsidRDefault="0035277F" w:rsidP="00BA451B">
      <w:r w:rsidRPr="00F768C9">
        <w:rPr>
          <w:bCs/>
        </w:rPr>
        <w:t>2</w:t>
      </w:r>
      <w:r w:rsidRPr="00F768C9">
        <w:tab/>
      </w:r>
      <w:r w:rsidR="00B25BF0" w:rsidRPr="00F768C9">
        <w:t>La reunión se llevará a cabo únicamente en inglés.</w:t>
      </w:r>
      <w:r w:rsidR="00BA451B" w:rsidRPr="00F768C9">
        <w:t xml:space="preserve"> </w:t>
      </w:r>
      <w:r w:rsidR="00B25BF0" w:rsidRPr="00F768C9">
        <w:t xml:space="preserve">La reunión comenzará a las 09.30 horas del </w:t>
      </w:r>
      <w:r w:rsidR="00BA451B" w:rsidRPr="00F768C9">
        <w:t>7</w:t>
      </w:r>
      <w:r w:rsidR="00B25BF0" w:rsidRPr="00F768C9">
        <w:t xml:space="preserve"> de </w:t>
      </w:r>
      <w:r w:rsidR="00BA451B" w:rsidRPr="00F768C9">
        <w:t>abril</w:t>
      </w:r>
      <w:r w:rsidR="00B25BF0" w:rsidRPr="00F768C9">
        <w:t xml:space="preserve"> de 201</w:t>
      </w:r>
      <w:r w:rsidR="00BA451B" w:rsidRPr="00F768C9">
        <w:t>1</w:t>
      </w:r>
      <w:r w:rsidR="00B25BF0" w:rsidRPr="00F768C9">
        <w:t xml:space="preserve">. En las pantallas situadas en las puertas de entrada de la Sede de la UIT se dará información detallada sobre las salas de reunión. En el </w:t>
      </w:r>
      <w:r w:rsidR="004D41C5" w:rsidRPr="00F768C9">
        <w:rPr>
          <w:b/>
        </w:rPr>
        <w:t xml:space="preserve">Anexo </w:t>
      </w:r>
      <w:r w:rsidR="00B25BF0" w:rsidRPr="00F768C9">
        <w:rPr>
          <w:b/>
        </w:rPr>
        <w:t>1</w:t>
      </w:r>
      <w:r w:rsidR="00B25BF0" w:rsidRPr="00F768C9">
        <w:t xml:space="preserve"> adjunto figura el proyecto de orden </w:t>
      </w:r>
      <w:r w:rsidR="00BA451B" w:rsidRPr="00F768C9">
        <w:t xml:space="preserve">del día </w:t>
      </w:r>
      <w:r w:rsidR="00B25BF0" w:rsidRPr="00F768C9">
        <w:t>de la reunión.</w:t>
      </w:r>
    </w:p>
    <w:p w:rsidR="0035277F" w:rsidRPr="00F768C9" w:rsidRDefault="00BA451B" w:rsidP="00B25BF0">
      <w:r w:rsidRPr="00F768C9">
        <w:t>3</w:t>
      </w:r>
      <w:r w:rsidR="0035277F" w:rsidRPr="00F768C9">
        <w:tab/>
      </w:r>
      <w:r w:rsidR="00B25BF0" w:rsidRPr="00F768C9">
        <w:t>Toda la información relativa a la reunión se publicará en su momento en el sitio web del Grupo IPv6 (</w:t>
      </w:r>
      <w:hyperlink r:id="rId11" w:history="1">
        <w:r w:rsidR="00B25BF0" w:rsidRPr="00F768C9">
          <w:rPr>
            <w:rStyle w:val="Hyperlink"/>
          </w:rPr>
          <w:t>http://www.itu.int/ITU-T/othergroups/ipv6</w:t>
        </w:r>
      </w:hyperlink>
      <w:r w:rsidR="00B25BF0" w:rsidRPr="00F768C9">
        <w:t>).</w:t>
      </w:r>
    </w:p>
    <w:p w:rsidR="00BA451B" w:rsidRPr="00F768C9" w:rsidRDefault="00BA451B" w:rsidP="004D41C5">
      <w:r w:rsidRPr="00F768C9">
        <w:t>4</w:t>
      </w:r>
      <w:r w:rsidRPr="00F768C9">
        <w:tab/>
        <w:t xml:space="preserve">Aprovechamos esta oportunidad para recordarle que la Conferencia de Plenipotenciarios adoptó una nueva Resolución 180 </w:t>
      </w:r>
      <w:r w:rsidR="00FA23EA" w:rsidRPr="00F768C9">
        <w:t>titulada</w:t>
      </w:r>
      <w:r w:rsidRPr="00F768C9">
        <w:t xml:space="preserve"> </w:t>
      </w:r>
      <w:r w:rsidR="004D41C5">
        <w:t>"</w:t>
      </w:r>
      <w:r w:rsidR="00FA23EA" w:rsidRPr="00F768C9">
        <w:t>Facilitar la transición de IPv4 a IPv6</w:t>
      </w:r>
      <w:r w:rsidR="004D41C5">
        <w:t>"</w:t>
      </w:r>
      <w:r w:rsidR="00FA23EA" w:rsidRPr="00F768C9">
        <w:t xml:space="preserve"> (que se adjunta en el </w:t>
      </w:r>
      <w:r w:rsidR="004D41C5" w:rsidRPr="004D41C5">
        <w:rPr>
          <w:b/>
          <w:bCs/>
        </w:rPr>
        <w:t xml:space="preserve">Anexo </w:t>
      </w:r>
      <w:r w:rsidR="00FA23EA" w:rsidRPr="004D41C5">
        <w:rPr>
          <w:b/>
          <w:bCs/>
        </w:rPr>
        <w:t>2</w:t>
      </w:r>
      <w:r w:rsidR="00FA23EA" w:rsidRPr="00F768C9">
        <w:t xml:space="preserve"> a la presente), por la que se resuelve, entre otras cosas, </w:t>
      </w:r>
      <w:r w:rsidR="004D41C5">
        <w:t>"</w:t>
      </w:r>
      <w:r w:rsidR="00FA23EA" w:rsidRPr="00F768C9">
        <w:t>que el Grupo IPv6 emprenda estudios detallados sobre la atribución de direcciones IP, tal y como lo ha solicitado el Grupo Especializado sobre cuestiones de política pública internacional relacionadas con Internet, tanto en lo referente a las direcciones IPv4 como a las direcciones IPv6</w:t>
      </w:r>
      <w:r w:rsidR="004D41C5">
        <w:t>"</w:t>
      </w:r>
      <w:r w:rsidR="00FA23EA" w:rsidRPr="00F768C9">
        <w:t>.</w:t>
      </w:r>
    </w:p>
    <w:p w:rsidR="0092721D" w:rsidRPr="00F768C9" w:rsidRDefault="0092721D">
      <w:pPr>
        <w:tabs>
          <w:tab w:val="clear" w:pos="794"/>
          <w:tab w:val="clear" w:pos="1191"/>
          <w:tab w:val="clear" w:pos="1588"/>
          <w:tab w:val="clear" w:pos="1985"/>
        </w:tabs>
        <w:spacing w:before="0"/>
        <w:rPr>
          <w:bCs/>
        </w:rPr>
      </w:pPr>
      <w:r w:rsidRPr="00F768C9">
        <w:rPr>
          <w:bCs/>
        </w:rPr>
        <w:br w:type="page"/>
      </w:r>
    </w:p>
    <w:p w:rsidR="0035277F" w:rsidRPr="00F768C9" w:rsidRDefault="00BA451B" w:rsidP="00FA23EA">
      <w:r w:rsidRPr="00F768C9">
        <w:rPr>
          <w:bCs/>
        </w:rPr>
        <w:lastRenderedPageBreak/>
        <w:t>5</w:t>
      </w:r>
      <w:r w:rsidR="0035277F" w:rsidRPr="00F768C9">
        <w:tab/>
      </w:r>
      <w:r w:rsidR="00B25BF0" w:rsidRPr="00F768C9">
        <w:t xml:space="preserve">Con arreglo a la práctica actual del UIT-T, las contribuciones al Grupo deben presentarse a más tardar el </w:t>
      </w:r>
      <w:r w:rsidR="00FA23EA" w:rsidRPr="00F768C9">
        <w:rPr>
          <w:b/>
          <w:bCs/>
        </w:rPr>
        <w:t>25</w:t>
      </w:r>
      <w:r w:rsidR="00B25BF0" w:rsidRPr="00F768C9">
        <w:rPr>
          <w:b/>
          <w:bCs/>
        </w:rPr>
        <w:t xml:space="preserve"> de </w:t>
      </w:r>
      <w:r w:rsidR="00FA23EA" w:rsidRPr="00F768C9">
        <w:rPr>
          <w:b/>
          <w:bCs/>
        </w:rPr>
        <w:t>marzo</w:t>
      </w:r>
      <w:r w:rsidR="00B25BF0" w:rsidRPr="00F768C9">
        <w:rPr>
          <w:b/>
          <w:bCs/>
        </w:rPr>
        <w:t xml:space="preserve"> </w:t>
      </w:r>
      <w:r w:rsidR="004E7A46" w:rsidRPr="00F768C9">
        <w:rPr>
          <w:b/>
          <w:bCs/>
        </w:rPr>
        <w:t>de 201</w:t>
      </w:r>
      <w:r w:rsidR="00FA23EA" w:rsidRPr="00F768C9">
        <w:rPr>
          <w:b/>
          <w:bCs/>
        </w:rPr>
        <w:t>1</w:t>
      </w:r>
      <w:r w:rsidR="004E7A46" w:rsidRPr="00F768C9">
        <w:t xml:space="preserve"> </w:t>
      </w:r>
      <w:r w:rsidR="00B25BF0" w:rsidRPr="00F768C9">
        <w:t xml:space="preserve">enviándolas a la siguiente dirección de correo-e: </w:t>
      </w:r>
      <w:hyperlink r:id="rId12" w:history="1">
        <w:r w:rsidR="00B25BF0" w:rsidRPr="00F768C9">
          <w:rPr>
            <w:rStyle w:val="Hyperlink"/>
          </w:rPr>
          <w:t>ipv6info@itu.int</w:t>
        </w:r>
      </w:hyperlink>
      <w:r w:rsidR="00B25BF0" w:rsidRPr="00F768C9">
        <w:t xml:space="preserve">. </w:t>
      </w:r>
      <w:r w:rsidR="001E5C6F" w:rsidRPr="00F768C9">
        <w:t>Las</w:t>
      </w:r>
      <w:r w:rsidR="00B25BF0" w:rsidRPr="00F768C9">
        <w:t xml:space="preserve"> contribuciones se publicarán en el sitio web antes mencionado.</w:t>
      </w:r>
    </w:p>
    <w:p w:rsidR="00B25BF0" w:rsidRPr="00F768C9" w:rsidRDefault="00B25BF0" w:rsidP="00110A23">
      <w:r w:rsidRPr="00F768C9">
        <w:t xml:space="preserve">Le recomendamos encarecidamente que utilice la </w:t>
      </w:r>
      <w:r w:rsidRPr="00F768C9">
        <w:rPr>
          <w:b/>
          <w:bCs/>
        </w:rPr>
        <w:t>plantilla básica del UIT-T</w:t>
      </w:r>
      <w:r w:rsidRPr="00F768C9">
        <w:t xml:space="preserve"> a fin de armonizar la presentación de los documentos del UIT-T y, al mismo tiempo, facilitar y hacer más eficaz su producción. Esta plantilla puede descargarse desde la página web del UIT-T en "Delegate resources" (</w:t>
      </w:r>
      <w:hyperlink r:id="rId13" w:history="1">
        <w:r w:rsidR="00110A23" w:rsidRPr="00F768C9">
          <w:rPr>
            <w:rStyle w:val="Hyperlink"/>
          </w:rPr>
          <w:t>http://www.itu.int/ITU-T/studygroups/templates/index.html</w:t>
        </w:r>
      </w:hyperlink>
      <w:r w:rsidRPr="00F768C9">
        <w:t>).</w:t>
      </w:r>
    </w:p>
    <w:p w:rsidR="00B25BF0" w:rsidRPr="00F768C9" w:rsidRDefault="00B25BF0" w:rsidP="00B25BF0">
      <w:r w:rsidRPr="00F768C9">
        <w:t xml:space="preserve">Para resolver todas las posibles cuestiones que se planteen en relación con las contribuciones, en adelante se indicará en las mismas el apellido de la persona encargada, sus números de telefax y de teléfono, así como su dirección de correo electrónico (e-mail). Para ello, le ruego indique esta información en la portada de </w:t>
      </w:r>
      <w:r w:rsidRPr="00F768C9">
        <w:rPr>
          <w:u w:val="single"/>
        </w:rPr>
        <w:t>todos</w:t>
      </w:r>
      <w:r w:rsidRPr="00F768C9">
        <w:t xml:space="preserve"> los documentos.</w:t>
      </w:r>
    </w:p>
    <w:p w:rsidR="00B25BF0" w:rsidRPr="00F768C9" w:rsidRDefault="0035277F" w:rsidP="00FA23EA">
      <w:r w:rsidRPr="00F768C9">
        <w:rPr>
          <w:bCs/>
        </w:rPr>
        <w:t>6</w:t>
      </w:r>
      <w:r w:rsidRPr="00F768C9">
        <w:tab/>
      </w:r>
      <w:r w:rsidR="00B25BF0" w:rsidRPr="00F768C9">
        <w:t xml:space="preserve">La inscripción a la reunión se efectuará exclusivamente </w:t>
      </w:r>
      <w:r w:rsidR="00B25BF0" w:rsidRPr="00F768C9">
        <w:rPr>
          <w:i/>
          <w:iCs/>
        </w:rPr>
        <w:t>en línea</w:t>
      </w:r>
      <w:r w:rsidR="00B25BF0" w:rsidRPr="00F768C9">
        <w:rPr>
          <w:b/>
          <w:bCs/>
        </w:rPr>
        <w:t xml:space="preserve"> </w:t>
      </w:r>
      <w:r w:rsidR="00B25BF0" w:rsidRPr="00F768C9">
        <w:t>a partir del sitio web del Grupo IPv6 (</w:t>
      </w:r>
      <w:hyperlink r:id="rId14" w:history="1">
        <w:r w:rsidR="00B25BF0" w:rsidRPr="00F768C9">
          <w:rPr>
            <w:rStyle w:val="Hyperlink"/>
          </w:rPr>
          <w:t>http://www.itu.int/ITU-T/othergroups/ipv6</w:t>
        </w:r>
      </w:hyperlink>
      <w:r w:rsidR="00B25BF0" w:rsidRPr="00F768C9">
        <w:t xml:space="preserve">) antes del </w:t>
      </w:r>
      <w:r w:rsidR="00FA23EA" w:rsidRPr="00F768C9">
        <w:rPr>
          <w:b/>
          <w:bCs/>
        </w:rPr>
        <w:t>31</w:t>
      </w:r>
      <w:r w:rsidR="00B25BF0" w:rsidRPr="00F768C9">
        <w:rPr>
          <w:b/>
          <w:bCs/>
        </w:rPr>
        <w:t xml:space="preserve"> de </w:t>
      </w:r>
      <w:r w:rsidR="00FA23EA" w:rsidRPr="00F768C9">
        <w:rPr>
          <w:b/>
          <w:bCs/>
        </w:rPr>
        <w:t>marzo</w:t>
      </w:r>
      <w:r w:rsidR="00B25BF0" w:rsidRPr="00F768C9">
        <w:rPr>
          <w:b/>
          <w:bCs/>
        </w:rPr>
        <w:t xml:space="preserve"> de 201</w:t>
      </w:r>
      <w:r w:rsidR="00FA23EA" w:rsidRPr="00F768C9">
        <w:rPr>
          <w:b/>
          <w:bCs/>
        </w:rPr>
        <w:t>1</w:t>
      </w:r>
      <w:r w:rsidR="00B25BF0" w:rsidRPr="00F768C9">
        <w:t xml:space="preserve">. </w:t>
      </w:r>
    </w:p>
    <w:p w:rsidR="00B25BF0" w:rsidRPr="00F768C9" w:rsidRDefault="00B25BF0" w:rsidP="00B25BF0">
      <w:pPr>
        <w:rPr>
          <w:szCs w:val="24"/>
        </w:rPr>
      </w:pPr>
      <w:r w:rsidRPr="00F768C9">
        <w:rPr>
          <w:szCs w:val="24"/>
        </w:rPr>
        <w:t>7</w:t>
      </w:r>
      <w:r w:rsidRPr="00F768C9">
        <w:rPr>
          <w:szCs w:val="24"/>
        </w:rPr>
        <w:tab/>
        <w:t>Se facilitarán las instalaciones necesarias para la participación a distancia. En concreto, la reunión se difundirá por la web. Las personas interesadas podrán acceder a la difusión web a partir del sitio web del Grupo. Además, los delegados inscritos podrán intervenir a distancia. Para ello, se enviarán las instrucciones pertinentes a los delegados inscritos que lo soliciten.</w:t>
      </w:r>
    </w:p>
    <w:p w:rsidR="00B25BF0" w:rsidRPr="00F768C9" w:rsidRDefault="00B25BF0" w:rsidP="00B25BF0">
      <w:r w:rsidRPr="00F768C9">
        <w:t>8</w:t>
      </w:r>
      <w:r w:rsidRPr="00F768C9">
        <w:tab/>
        <w:t xml:space="preserve">La reunión se celebrará sin </w:t>
      </w:r>
      <w:r w:rsidR="00FA23EA" w:rsidRPr="00F768C9">
        <w:t xml:space="preserve">documentos en </w:t>
      </w:r>
      <w:r w:rsidRPr="00F768C9">
        <w:t>papel. En el cibercafé ubicado en el segundo subsuelo del edificio de la Torre y en el segundo piso del edificio de Montbrillant se han puesto a disposición impresoras para los delegados que deseen imprimir sus documentos.</w:t>
      </w:r>
    </w:p>
    <w:p w:rsidR="00B25BF0" w:rsidRPr="00F768C9" w:rsidRDefault="00B25BF0" w:rsidP="00B25BF0">
      <w:r w:rsidRPr="00F768C9">
        <w:t>9</w:t>
      </w:r>
      <w:r w:rsidRPr="00F768C9">
        <w:tab/>
        <w:t>Los delegados disponen de instalaciones de red de área local inalámbrica en las zonas aledañas a las principales salas de conferencias de la UIT y en el Centro Internacional de Conferencias de Ginebra (CICG). El acceso alámbrico sigue estando disponible en el edificio Montbrillant de la UIT. En la dirección web del UIT-T (</w:t>
      </w:r>
      <w:hyperlink r:id="rId15" w:history="1">
        <w:r w:rsidRPr="00F768C9">
          <w:rPr>
            <w:rStyle w:val="Hyperlink"/>
          </w:rPr>
          <w:t>http://www.itu.int/ITU-T/edh/faqs-support.html</w:t>
        </w:r>
      </w:hyperlink>
      <w:r w:rsidRPr="00F768C9">
        <w:t>) se puede encontrar información más detallada al respecto.</w:t>
      </w:r>
    </w:p>
    <w:p w:rsidR="00B25BF0" w:rsidRPr="00F768C9" w:rsidRDefault="00B25BF0" w:rsidP="00FA23EA">
      <w:r w:rsidRPr="00F768C9">
        <w:t>10</w:t>
      </w:r>
      <w:r w:rsidRPr="00F768C9">
        <w:tab/>
        <w:t xml:space="preserve">Se adjunta a todos los efectos útiles como </w:t>
      </w:r>
      <w:r w:rsidR="004D41C5" w:rsidRPr="00F768C9">
        <w:rPr>
          <w:b/>
        </w:rPr>
        <w:t xml:space="preserve">Anexo </w:t>
      </w:r>
      <w:r w:rsidR="00FA23EA" w:rsidRPr="00F768C9">
        <w:rPr>
          <w:b/>
        </w:rPr>
        <w:t>3</w:t>
      </w:r>
      <w:r w:rsidRPr="00F768C9">
        <w:t xml:space="preserve"> un formulario de confirmación de hotel (véase </w:t>
      </w:r>
      <w:hyperlink r:id="rId16" w:history="1">
        <w:r w:rsidRPr="00F768C9">
          <w:rPr>
            <w:rStyle w:val="Hyperlink"/>
          </w:rPr>
          <w:t>http://www.itu.int/travel/</w:t>
        </w:r>
      </w:hyperlink>
      <w:r w:rsidRPr="00F768C9">
        <w:t xml:space="preserve"> para la lista de hoteles).</w:t>
      </w:r>
    </w:p>
    <w:p w:rsidR="00B25BF0" w:rsidRPr="00F768C9" w:rsidRDefault="00B25BF0" w:rsidP="00FA23EA">
      <w:r w:rsidRPr="00F768C9">
        <w:t>1</w:t>
      </w:r>
      <w:r w:rsidR="004E062D" w:rsidRPr="00F768C9">
        <w:t>1</w:t>
      </w:r>
      <w:r w:rsidRPr="00F768C9">
        <w:tab/>
        <w:t xml:space="preserve">Tenemos el placer de comunicarle que la UIT concederá un número limitado de becas parciales (es decir, alojamiento y dietas diarias para cubrir los gastos de comidas y otros gastos) con objeto de facilitar la participación de los países menos adelantados y los países en desarrollo con bajos ingresos. La solicitud debe ser autorizada por la Administración correspondiente del Estado Miembro de la UIT y se limita a una persona por país. El formulario de solicitud de beca, que figura en el </w:t>
      </w:r>
      <w:r w:rsidR="004D41C5" w:rsidRPr="00F768C9">
        <w:rPr>
          <w:b/>
        </w:rPr>
        <w:t>Anexo </w:t>
      </w:r>
      <w:r w:rsidR="00FA23EA" w:rsidRPr="00F768C9">
        <w:rPr>
          <w:b/>
        </w:rPr>
        <w:t>4</w:t>
      </w:r>
      <w:r w:rsidRPr="00F768C9">
        <w:t xml:space="preserve">, deberá </w:t>
      </w:r>
      <w:r w:rsidR="004E062D" w:rsidRPr="00F768C9">
        <w:t>remitirse a</w:t>
      </w:r>
      <w:r w:rsidRPr="00F768C9">
        <w:t xml:space="preserve"> la UIT </w:t>
      </w:r>
      <w:r w:rsidR="004E062D" w:rsidRPr="00F768C9">
        <w:t xml:space="preserve">(mediante correo-e a la dirección </w:t>
      </w:r>
      <w:hyperlink r:id="rId17" w:history="1">
        <w:r w:rsidR="004E062D" w:rsidRPr="00F768C9">
          <w:rPr>
            <w:rStyle w:val="Hyperlink"/>
          </w:rPr>
          <w:t>bdtfellowships@itu.int</w:t>
        </w:r>
      </w:hyperlink>
      <w:r w:rsidR="004E062D" w:rsidRPr="00F768C9">
        <w:t xml:space="preserve">) </w:t>
      </w:r>
      <w:r w:rsidRPr="00F768C9">
        <w:t xml:space="preserve">a más tardar el </w:t>
      </w:r>
      <w:r w:rsidR="00FA23EA" w:rsidRPr="00F768C9">
        <w:rPr>
          <w:b/>
          <w:bCs/>
        </w:rPr>
        <w:t>10</w:t>
      </w:r>
      <w:r w:rsidR="004E7A46" w:rsidRPr="00F768C9">
        <w:rPr>
          <w:b/>
          <w:bCs/>
        </w:rPr>
        <w:t> </w:t>
      </w:r>
      <w:r w:rsidRPr="00F768C9">
        <w:rPr>
          <w:b/>
          <w:bCs/>
        </w:rPr>
        <w:t>de</w:t>
      </w:r>
      <w:r w:rsidR="004E7A46" w:rsidRPr="00F768C9">
        <w:rPr>
          <w:b/>
          <w:bCs/>
        </w:rPr>
        <w:t> </w:t>
      </w:r>
      <w:r w:rsidR="00FA23EA" w:rsidRPr="00F768C9">
        <w:rPr>
          <w:b/>
          <w:bCs/>
        </w:rPr>
        <w:t>marzo</w:t>
      </w:r>
      <w:r w:rsidR="004E7A46" w:rsidRPr="00F768C9">
        <w:rPr>
          <w:b/>
          <w:bCs/>
        </w:rPr>
        <w:t> </w:t>
      </w:r>
      <w:r w:rsidRPr="00F768C9">
        <w:rPr>
          <w:b/>
          <w:bCs/>
        </w:rPr>
        <w:t>de</w:t>
      </w:r>
      <w:r w:rsidR="004E7A46" w:rsidRPr="00F768C9">
        <w:rPr>
          <w:b/>
          <w:bCs/>
        </w:rPr>
        <w:t> </w:t>
      </w:r>
      <w:r w:rsidRPr="00F768C9">
        <w:rPr>
          <w:b/>
          <w:bCs/>
        </w:rPr>
        <w:t>201</w:t>
      </w:r>
      <w:r w:rsidR="00FA23EA" w:rsidRPr="00F768C9">
        <w:rPr>
          <w:b/>
          <w:bCs/>
        </w:rPr>
        <w:t>1</w:t>
      </w:r>
      <w:r w:rsidRPr="00F768C9">
        <w:t>.</w:t>
      </w:r>
    </w:p>
    <w:p w:rsidR="00B25BF0" w:rsidRPr="00F768C9" w:rsidRDefault="00B25BF0" w:rsidP="004E062D">
      <w:r w:rsidRPr="00F768C9">
        <w:t>1</w:t>
      </w:r>
      <w:r w:rsidR="004E062D" w:rsidRPr="00F768C9">
        <w:t>2</w:t>
      </w:r>
      <w:r w:rsidRPr="00F768C9">
        <w:tab/>
        <w:t xml:space="preserve">Deseamos recordarle que los ciudadanos procedentes de ciertos países necesitan visado para entrar y permanecer en Suiza. </w:t>
      </w:r>
      <w:r w:rsidRPr="00F768C9">
        <w:rPr>
          <w:b/>
          <w:bCs/>
        </w:rPr>
        <w:t>Ese visado debe solicitarse al menos cuatro (4) semanas antes de la fecha de inicio de la reunión</w:t>
      </w:r>
      <w:r w:rsidRPr="00F768C9">
        <w:t xml:space="preserve"> en la oficina (embajada o consulado) que representa a Suiza en su país o, en su defecto, en la más próxima a su país de partida. </w:t>
      </w:r>
    </w:p>
    <w:p w:rsidR="0092721D" w:rsidRPr="00F768C9" w:rsidRDefault="00B25BF0" w:rsidP="00B25BF0">
      <w:r w:rsidRPr="00F768C9">
        <w:t xml:space="preserve">Si </w:t>
      </w:r>
      <w:r w:rsidRPr="00F768C9">
        <w:rPr>
          <w:b/>
          <w:bCs/>
        </w:rPr>
        <w:t xml:space="preserve">los Estados Miembros, los Miembros de Sector o los Asociados de la UIT </w:t>
      </w:r>
      <w:r w:rsidRPr="00F768C9">
        <w:t xml:space="preserve">tropiezan con problemas, la Unión puede, previa solicitud oficial de la Administración o la entidad que usted representa a la TSB, intervenir ante las autoridades suizas competentes para facilitar la expedición de ese visado pero solamente durante el mencionado periodo de cuatro semanas. Toda solicitud al respecto debe especificar el nombre y las funciones, la fecha de nacimiento, el número de pasaporte, con las fechas de expedición y </w:t>
      </w:r>
    </w:p>
    <w:p w:rsidR="0092721D" w:rsidRPr="00F768C9" w:rsidRDefault="0092721D">
      <w:pPr>
        <w:tabs>
          <w:tab w:val="clear" w:pos="794"/>
          <w:tab w:val="clear" w:pos="1191"/>
          <w:tab w:val="clear" w:pos="1588"/>
          <w:tab w:val="clear" w:pos="1985"/>
        </w:tabs>
        <w:spacing w:before="0"/>
      </w:pPr>
      <w:r w:rsidRPr="00F768C9">
        <w:br w:type="page"/>
      </w:r>
    </w:p>
    <w:p w:rsidR="00B25BF0" w:rsidRPr="00F768C9" w:rsidRDefault="00B25BF0" w:rsidP="00BC3FF5">
      <w:r w:rsidRPr="00F768C9">
        <w:lastRenderedPageBreak/>
        <w:t>expiración, de las personas para las que se solicita el visado y todo ello debe ir acompañado por una copia de la notificación de confirmación de inscripción aprobada para la reunión del UIT</w:t>
      </w:r>
      <w:r w:rsidRPr="00F768C9">
        <w:noBreakHyphen/>
        <w:t>T correspondiente, y remitirse a la TSB con la indicación "</w:t>
      </w:r>
      <w:r w:rsidRPr="00F768C9">
        <w:rPr>
          <w:b/>
        </w:rPr>
        <w:t>solicitud de visado</w:t>
      </w:r>
      <w:r w:rsidRPr="00F768C9">
        <w:t>", por fax (+41</w:t>
      </w:r>
      <w:r w:rsidR="00BC3FF5">
        <w:t> </w:t>
      </w:r>
      <w:r w:rsidRPr="00F768C9">
        <w:t>22</w:t>
      </w:r>
      <w:r w:rsidR="00BC3FF5">
        <w:t> </w:t>
      </w:r>
      <w:r w:rsidRPr="00F768C9">
        <w:t>730</w:t>
      </w:r>
      <w:r w:rsidR="00BC3FF5">
        <w:t> </w:t>
      </w:r>
      <w:bookmarkStart w:id="2" w:name="_GoBack"/>
      <w:bookmarkEnd w:id="2"/>
      <w:r w:rsidRPr="00F768C9">
        <w:t>5853) o correo electrónico (</w:t>
      </w:r>
      <w:hyperlink r:id="rId18" w:history="1">
        <w:r w:rsidRPr="00F768C9">
          <w:rPr>
            <w:rStyle w:val="Hyperlink"/>
          </w:rPr>
          <w:t>tsbreg@itu.int</w:t>
        </w:r>
      </w:hyperlink>
      <w:r w:rsidRPr="00F768C9">
        <w:t xml:space="preserve">). </w:t>
      </w:r>
      <w:r w:rsidRPr="00F768C9">
        <w:rPr>
          <w:b/>
          <w:bCs/>
          <w:u w:val="single"/>
        </w:rPr>
        <w:t>Téngase en cuenta que la UIT sólo puede brindar asistencia a los representantes de los Estados Miembros, los Miembros de Sector o los Asociados de la UIT</w:t>
      </w:r>
      <w:r w:rsidRPr="00F768C9">
        <w:t>.</w:t>
      </w:r>
    </w:p>
    <w:p w:rsidR="0035277F" w:rsidRPr="00F768C9" w:rsidRDefault="00917F29" w:rsidP="008132AF">
      <w:pPr>
        <w:pStyle w:val="Normalaftertitle"/>
      </w:pPr>
      <w:r w:rsidRPr="00F768C9">
        <w:t>Atentamente.</w:t>
      </w:r>
    </w:p>
    <w:tbl>
      <w:tblPr>
        <w:tblStyle w:val="TableGrid"/>
        <w:tblW w:w="10051" w:type="dxa"/>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4678"/>
      </w:tblGrid>
      <w:tr w:rsidR="004E062D" w:rsidRPr="00F768C9" w:rsidTr="0092721D">
        <w:tc>
          <w:tcPr>
            <w:tcW w:w="5373" w:type="dxa"/>
          </w:tcPr>
          <w:p w:rsidR="004E062D" w:rsidRPr="00F768C9" w:rsidRDefault="004E062D" w:rsidP="0092721D">
            <w:pPr>
              <w:spacing w:before="1200"/>
              <w:ind w:right="91"/>
            </w:pPr>
            <w:r w:rsidRPr="00F768C9">
              <w:t>Malcolm Johnson</w:t>
            </w:r>
            <w:r w:rsidR="0092721D" w:rsidRPr="00F768C9">
              <w:br/>
            </w:r>
            <w:r w:rsidRPr="00F768C9">
              <w:t xml:space="preserve">Director </w:t>
            </w:r>
            <w:r w:rsidR="0092721D" w:rsidRPr="00F768C9">
              <w:br/>
            </w:r>
            <w:r w:rsidRPr="00F768C9">
              <w:t xml:space="preserve">Oficina de Normalización de las </w:t>
            </w:r>
            <w:r w:rsidR="0092721D" w:rsidRPr="00F768C9">
              <w:br/>
            </w:r>
            <w:r w:rsidRPr="00F768C9">
              <w:t>Telecomunicaciones (TSB)</w:t>
            </w:r>
          </w:p>
        </w:tc>
        <w:tc>
          <w:tcPr>
            <w:tcW w:w="4678" w:type="dxa"/>
          </w:tcPr>
          <w:p w:rsidR="004E062D" w:rsidRPr="00F768C9" w:rsidRDefault="00FA23EA" w:rsidP="0092721D">
            <w:pPr>
              <w:spacing w:before="1200"/>
              <w:ind w:right="91"/>
            </w:pPr>
            <w:r w:rsidRPr="00F768C9">
              <w:t>Brahima Sanou</w:t>
            </w:r>
            <w:r w:rsidR="0092721D" w:rsidRPr="00F768C9">
              <w:br/>
            </w:r>
            <w:r w:rsidR="004E062D" w:rsidRPr="00F768C9">
              <w:t>Director</w:t>
            </w:r>
            <w:r w:rsidR="0092721D" w:rsidRPr="00F768C9">
              <w:br/>
            </w:r>
            <w:r w:rsidR="004E062D" w:rsidRPr="00F768C9">
              <w:t xml:space="preserve">Oficina de Desarrollo de las </w:t>
            </w:r>
            <w:r w:rsidR="0092721D" w:rsidRPr="00F768C9">
              <w:br/>
            </w:r>
            <w:r w:rsidR="004E062D" w:rsidRPr="00F768C9">
              <w:t>Telecomunicaciones (BDT)</w:t>
            </w:r>
          </w:p>
        </w:tc>
      </w:tr>
    </w:tbl>
    <w:p w:rsidR="0092721D" w:rsidRPr="00F768C9" w:rsidRDefault="0092721D" w:rsidP="0092721D"/>
    <w:p w:rsidR="0092721D" w:rsidRPr="00F768C9" w:rsidRDefault="0092721D" w:rsidP="0092721D"/>
    <w:p w:rsidR="0092721D" w:rsidRPr="00F768C9" w:rsidRDefault="0092721D" w:rsidP="0092721D"/>
    <w:p w:rsidR="0092721D" w:rsidRPr="00F768C9" w:rsidRDefault="0092721D" w:rsidP="0092721D"/>
    <w:p w:rsidR="0092721D" w:rsidRPr="00F768C9" w:rsidRDefault="0092721D" w:rsidP="0092721D"/>
    <w:p w:rsidR="0092721D" w:rsidRPr="00F768C9" w:rsidRDefault="0092721D" w:rsidP="0092721D"/>
    <w:p w:rsidR="0092721D" w:rsidRPr="00F768C9" w:rsidRDefault="0092721D" w:rsidP="0092721D"/>
    <w:p w:rsidR="0092721D" w:rsidRPr="00F768C9" w:rsidRDefault="0092721D" w:rsidP="0092721D"/>
    <w:p w:rsidR="0092721D" w:rsidRPr="00F768C9" w:rsidRDefault="0092721D" w:rsidP="0092721D"/>
    <w:p w:rsidR="0092721D" w:rsidRPr="00F768C9" w:rsidRDefault="0092721D" w:rsidP="0092721D"/>
    <w:p w:rsidR="0092721D" w:rsidRPr="00F768C9" w:rsidRDefault="0092721D" w:rsidP="0092721D"/>
    <w:p w:rsidR="0092721D" w:rsidRPr="00F768C9" w:rsidRDefault="0092721D" w:rsidP="0092721D"/>
    <w:p w:rsidR="0092721D" w:rsidRPr="00F768C9" w:rsidRDefault="0092721D" w:rsidP="0092721D"/>
    <w:p w:rsidR="0092721D" w:rsidRPr="00F768C9" w:rsidRDefault="0092721D" w:rsidP="0092721D"/>
    <w:p w:rsidR="0092721D" w:rsidRPr="00F768C9" w:rsidRDefault="0092721D" w:rsidP="0092721D"/>
    <w:p w:rsidR="0092721D" w:rsidRPr="00F768C9" w:rsidRDefault="0092721D" w:rsidP="0092721D"/>
    <w:p w:rsidR="0092721D" w:rsidRPr="00F768C9" w:rsidRDefault="0092721D" w:rsidP="0092721D"/>
    <w:p w:rsidR="0092721D" w:rsidRPr="00F768C9" w:rsidRDefault="0092721D" w:rsidP="0092721D"/>
    <w:p w:rsidR="0092721D" w:rsidRPr="00F768C9" w:rsidRDefault="0092721D" w:rsidP="0092721D"/>
    <w:p w:rsidR="0092721D" w:rsidRPr="00F768C9" w:rsidRDefault="0092721D" w:rsidP="0092721D"/>
    <w:p w:rsidR="0092721D" w:rsidRPr="00F768C9" w:rsidRDefault="0092721D" w:rsidP="0092721D"/>
    <w:p w:rsidR="0092721D" w:rsidRPr="00F768C9" w:rsidRDefault="0092721D" w:rsidP="0092721D"/>
    <w:p w:rsidR="00902FB6" w:rsidRPr="00F768C9" w:rsidRDefault="0035277F" w:rsidP="00FA23EA">
      <w:r w:rsidRPr="00F768C9">
        <w:rPr>
          <w:b/>
        </w:rPr>
        <w:t>Anexos</w:t>
      </w:r>
      <w:r w:rsidRPr="00F768C9">
        <w:t>:</w:t>
      </w:r>
      <w:r w:rsidR="004E062D" w:rsidRPr="00F768C9">
        <w:t xml:space="preserve"> </w:t>
      </w:r>
      <w:r w:rsidR="00FA23EA" w:rsidRPr="00F768C9">
        <w:t>4</w:t>
      </w:r>
    </w:p>
    <w:p w:rsidR="0092721D" w:rsidRDefault="0092721D">
      <w:pPr>
        <w:tabs>
          <w:tab w:val="clear" w:pos="794"/>
          <w:tab w:val="clear" w:pos="1191"/>
          <w:tab w:val="clear" w:pos="1588"/>
          <w:tab w:val="clear" w:pos="1985"/>
        </w:tabs>
        <w:spacing w:before="0"/>
      </w:pPr>
      <w:r>
        <w:br w:type="page"/>
      </w:r>
    </w:p>
    <w:p w:rsidR="00B0657C" w:rsidRPr="00B0657C" w:rsidRDefault="00B0657C" w:rsidP="00B0657C">
      <w:pPr>
        <w:pStyle w:val="LetterStart"/>
        <w:tabs>
          <w:tab w:val="clear" w:pos="1361"/>
          <w:tab w:val="clear" w:pos="1758"/>
          <w:tab w:val="clear" w:pos="2155"/>
          <w:tab w:val="clear" w:pos="2552"/>
          <w:tab w:val="center" w:pos="4962"/>
        </w:tabs>
        <w:spacing w:before="120" w:line="240" w:lineRule="atLeast"/>
        <w:ind w:left="0"/>
        <w:jc w:val="center"/>
        <w:rPr>
          <w:lang w:val="en-US"/>
        </w:rPr>
      </w:pPr>
      <w:r>
        <w:rPr>
          <w:lang w:val="en-US"/>
        </w:rPr>
        <w:lastRenderedPageBreak/>
        <w:t>ANNEX 1</w:t>
      </w:r>
      <w:r>
        <w:rPr>
          <w:lang w:val="en-US"/>
        </w:rPr>
        <w:br/>
      </w:r>
      <w:r w:rsidRPr="00B0657C">
        <w:rPr>
          <w:lang w:val="en-US"/>
        </w:rPr>
        <w:t>(to TSB Circular 162 – BDT/POL/CYB/Circular/001)</w:t>
      </w:r>
    </w:p>
    <w:p w:rsidR="00B0657C" w:rsidRDefault="00B0657C" w:rsidP="00B0657C">
      <w:pPr>
        <w:pStyle w:val="Title1"/>
        <w:rPr>
          <w:b/>
          <w:bCs/>
          <w:sz w:val="24"/>
          <w:szCs w:val="24"/>
        </w:rPr>
      </w:pPr>
    </w:p>
    <w:p w:rsidR="00B0657C" w:rsidRDefault="00B0657C" w:rsidP="00B0657C">
      <w:pPr>
        <w:pStyle w:val="Title1"/>
        <w:rPr>
          <w:b/>
          <w:bCs/>
          <w:sz w:val="24"/>
          <w:szCs w:val="24"/>
        </w:rPr>
      </w:pPr>
      <w:r w:rsidRPr="00D1197D">
        <w:rPr>
          <w:b/>
          <w:bCs/>
          <w:sz w:val="24"/>
          <w:szCs w:val="24"/>
        </w:rPr>
        <w:t>Draft Agenda</w:t>
      </w:r>
      <w:r>
        <w:rPr>
          <w:b/>
          <w:bCs/>
          <w:sz w:val="24"/>
          <w:szCs w:val="24"/>
        </w:rPr>
        <w:t xml:space="preserve"> of IPv6 Group meeting</w:t>
      </w:r>
    </w:p>
    <w:p w:rsidR="00B0657C" w:rsidRDefault="00B0657C" w:rsidP="00B0657C">
      <w:pPr>
        <w:jc w:val="center"/>
      </w:pPr>
      <w:r>
        <w:t>7</w:t>
      </w:r>
      <w:r w:rsidRPr="00492B90">
        <w:t>-</w:t>
      </w:r>
      <w:r>
        <w:t>8</w:t>
      </w:r>
      <w:r w:rsidRPr="00492B90">
        <w:t xml:space="preserve"> </w:t>
      </w:r>
      <w:r>
        <w:t>April</w:t>
      </w:r>
      <w:r w:rsidRPr="00492B90">
        <w:t xml:space="preserve"> 201</w:t>
      </w:r>
      <w:r>
        <w:t>1</w:t>
      </w:r>
      <w:r w:rsidRPr="00492B90">
        <w:t xml:space="preserve">, </w:t>
      </w:r>
      <w:smartTag w:uri="urn:schemas-microsoft-com:office:smarttags" w:element="place">
        <w:smartTag w:uri="urn:schemas-microsoft-com:office:smarttags" w:element="City">
          <w:r w:rsidRPr="00492B90">
            <w:t>Geneva</w:t>
          </w:r>
        </w:smartTag>
      </w:smartTag>
    </w:p>
    <w:p w:rsidR="00B0657C" w:rsidRDefault="00B0657C" w:rsidP="00B0657C">
      <w:pPr>
        <w:pStyle w:val="LetterStart"/>
        <w:tabs>
          <w:tab w:val="clear" w:pos="1361"/>
          <w:tab w:val="clear" w:pos="1758"/>
          <w:tab w:val="clear" w:pos="2155"/>
          <w:tab w:val="clear" w:pos="2552"/>
          <w:tab w:val="center" w:pos="4962"/>
        </w:tabs>
        <w:spacing w:before="120" w:line="240" w:lineRule="atLeast"/>
        <w:jc w:val="center"/>
      </w:pPr>
    </w:p>
    <w:p w:rsidR="00B0657C" w:rsidRDefault="00B0657C" w:rsidP="00B0657C">
      <w:pPr>
        <w:pStyle w:val="LetterStart"/>
        <w:tabs>
          <w:tab w:val="clear" w:pos="1361"/>
          <w:tab w:val="clear" w:pos="1758"/>
          <w:tab w:val="clear" w:pos="2155"/>
          <w:tab w:val="clear" w:pos="2552"/>
          <w:tab w:val="center" w:pos="4962"/>
        </w:tabs>
        <w:spacing w:before="120" w:line="240" w:lineRule="atLeast"/>
        <w:jc w:val="center"/>
      </w:pPr>
    </w:p>
    <w:p w:rsidR="00B0657C" w:rsidRDefault="00B0657C" w:rsidP="00B0657C">
      <w:pPr>
        <w:pStyle w:val="LetterStart"/>
        <w:tabs>
          <w:tab w:val="clear" w:pos="1361"/>
          <w:tab w:val="clear" w:pos="1758"/>
          <w:tab w:val="clear" w:pos="2155"/>
          <w:tab w:val="clear" w:pos="2552"/>
          <w:tab w:val="center" w:pos="4962"/>
        </w:tabs>
        <w:spacing w:before="120" w:line="240" w:lineRule="atLeast"/>
        <w:jc w:val="center"/>
      </w:pPr>
    </w:p>
    <w:p w:rsidR="00B0657C" w:rsidRDefault="00B0657C" w:rsidP="00B0657C">
      <w:pPr>
        <w:pStyle w:val="LetterStart"/>
        <w:numPr>
          <w:ilvl w:val="0"/>
          <w:numId w:val="5"/>
        </w:numPr>
        <w:tabs>
          <w:tab w:val="clear" w:pos="1361"/>
          <w:tab w:val="clear" w:pos="1758"/>
          <w:tab w:val="clear" w:pos="2155"/>
          <w:tab w:val="clear" w:pos="2552"/>
          <w:tab w:val="center" w:pos="4962"/>
        </w:tabs>
        <w:spacing w:before="120" w:line="240" w:lineRule="atLeast"/>
        <w:rPr>
          <w:color w:val="000000"/>
          <w:szCs w:val="22"/>
        </w:rPr>
      </w:pPr>
      <w:r w:rsidRPr="00D1197D">
        <w:rPr>
          <w:color w:val="000000"/>
          <w:szCs w:val="22"/>
        </w:rPr>
        <w:t>Opening</w:t>
      </w:r>
      <w:r w:rsidRPr="006C630B">
        <w:rPr>
          <w:color w:val="000000"/>
          <w:szCs w:val="22"/>
        </w:rPr>
        <w:t xml:space="preserve"> </w:t>
      </w:r>
    </w:p>
    <w:p w:rsidR="00B0657C" w:rsidRDefault="00B0657C" w:rsidP="00B0657C">
      <w:pPr>
        <w:pStyle w:val="LetterStart"/>
        <w:numPr>
          <w:ilvl w:val="0"/>
          <w:numId w:val="5"/>
        </w:numPr>
        <w:tabs>
          <w:tab w:val="clear" w:pos="1361"/>
          <w:tab w:val="clear" w:pos="1758"/>
          <w:tab w:val="clear" w:pos="2155"/>
          <w:tab w:val="clear" w:pos="2552"/>
          <w:tab w:val="center" w:pos="4962"/>
        </w:tabs>
        <w:spacing w:before="120" w:line="240" w:lineRule="atLeast"/>
        <w:rPr>
          <w:color w:val="000000"/>
          <w:szCs w:val="22"/>
        </w:rPr>
      </w:pPr>
      <w:r w:rsidRPr="006C630B">
        <w:rPr>
          <w:color w:val="000000"/>
          <w:szCs w:val="22"/>
        </w:rPr>
        <w:t>Adoption of the Agenda</w:t>
      </w:r>
    </w:p>
    <w:p w:rsidR="00B0657C" w:rsidRPr="00B0657C" w:rsidRDefault="00B0657C" w:rsidP="00B0657C">
      <w:pPr>
        <w:pStyle w:val="LetterStart"/>
        <w:numPr>
          <w:ilvl w:val="0"/>
          <w:numId w:val="5"/>
        </w:numPr>
        <w:tabs>
          <w:tab w:val="clear" w:pos="1361"/>
          <w:tab w:val="clear" w:pos="1758"/>
          <w:tab w:val="clear" w:pos="2155"/>
          <w:tab w:val="clear" w:pos="2552"/>
          <w:tab w:val="center" w:pos="4962"/>
        </w:tabs>
        <w:spacing w:before="120" w:line="240" w:lineRule="atLeast"/>
        <w:rPr>
          <w:szCs w:val="24"/>
          <w:lang w:val="en-US"/>
        </w:rPr>
      </w:pPr>
      <w:r w:rsidRPr="00B0657C">
        <w:rPr>
          <w:lang w:val="en-US"/>
        </w:rPr>
        <w:t>Adoption of the time management plan</w:t>
      </w:r>
    </w:p>
    <w:p w:rsidR="00B0657C" w:rsidRDefault="00B0657C" w:rsidP="00B0657C">
      <w:pPr>
        <w:pStyle w:val="LetterStart"/>
        <w:numPr>
          <w:ilvl w:val="0"/>
          <w:numId w:val="5"/>
        </w:numPr>
        <w:tabs>
          <w:tab w:val="clear" w:pos="1361"/>
          <w:tab w:val="clear" w:pos="1758"/>
          <w:tab w:val="clear" w:pos="2155"/>
          <w:tab w:val="clear" w:pos="2552"/>
          <w:tab w:val="center" w:pos="4962"/>
        </w:tabs>
        <w:spacing w:before="120" w:line="240" w:lineRule="atLeast"/>
      </w:pPr>
      <w:r>
        <w:t>Introduction of i</w:t>
      </w:r>
      <w:r w:rsidRPr="002B4306">
        <w:t>nput documents</w:t>
      </w:r>
    </w:p>
    <w:p w:rsidR="00B0657C" w:rsidRDefault="00B0657C" w:rsidP="00B0657C">
      <w:pPr>
        <w:pStyle w:val="LetterStart"/>
        <w:numPr>
          <w:ilvl w:val="0"/>
          <w:numId w:val="5"/>
        </w:numPr>
        <w:tabs>
          <w:tab w:val="clear" w:pos="1361"/>
          <w:tab w:val="clear" w:pos="1758"/>
          <w:tab w:val="clear" w:pos="2155"/>
          <w:tab w:val="clear" w:pos="2552"/>
          <w:tab w:val="center" w:pos="4962"/>
        </w:tabs>
        <w:spacing w:before="120" w:line="240" w:lineRule="atLeast"/>
      </w:pPr>
      <w:r>
        <w:t>Discussions</w:t>
      </w:r>
    </w:p>
    <w:p w:rsidR="00B0657C" w:rsidRDefault="00B0657C" w:rsidP="00B0657C">
      <w:pPr>
        <w:pStyle w:val="LetterStart"/>
        <w:numPr>
          <w:ilvl w:val="0"/>
          <w:numId w:val="5"/>
        </w:numPr>
        <w:tabs>
          <w:tab w:val="clear" w:pos="1361"/>
          <w:tab w:val="clear" w:pos="1758"/>
          <w:tab w:val="clear" w:pos="2155"/>
          <w:tab w:val="clear" w:pos="2552"/>
          <w:tab w:val="center" w:pos="4962"/>
        </w:tabs>
        <w:spacing w:before="120" w:line="240" w:lineRule="atLeast"/>
        <w:rPr>
          <w:color w:val="000000"/>
          <w:szCs w:val="22"/>
        </w:rPr>
      </w:pPr>
      <w:r>
        <w:rPr>
          <w:color w:val="000000"/>
          <w:szCs w:val="22"/>
        </w:rPr>
        <w:t>Future meetings</w:t>
      </w:r>
    </w:p>
    <w:p w:rsidR="00B0657C" w:rsidRDefault="00B0657C" w:rsidP="00B0657C">
      <w:pPr>
        <w:pStyle w:val="LetterStart"/>
        <w:numPr>
          <w:ilvl w:val="0"/>
          <w:numId w:val="5"/>
        </w:numPr>
        <w:tabs>
          <w:tab w:val="clear" w:pos="1361"/>
          <w:tab w:val="clear" w:pos="1758"/>
          <w:tab w:val="clear" w:pos="2155"/>
          <w:tab w:val="clear" w:pos="2552"/>
          <w:tab w:val="center" w:pos="4962"/>
        </w:tabs>
        <w:spacing w:before="120" w:line="240" w:lineRule="atLeast"/>
      </w:pPr>
      <w:r w:rsidRPr="006C630B">
        <w:rPr>
          <w:szCs w:val="22"/>
          <w:lang w:eastAsia="ru-RU"/>
        </w:rPr>
        <w:t>Other Business</w:t>
      </w:r>
      <w:r>
        <w:t xml:space="preserve"> </w:t>
      </w:r>
    </w:p>
    <w:p w:rsidR="00B0657C" w:rsidRDefault="00B0657C" w:rsidP="00B0657C">
      <w:pPr>
        <w:pStyle w:val="LetterStart"/>
        <w:numPr>
          <w:ilvl w:val="0"/>
          <w:numId w:val="5"/>
        </w:numPr>
        <w:tabs>
          <w:tab w:val="clear" w:pos="1361"/>
          <w:tab w:val="clear" w:pos="1758"/>
          <w:tab w:val="clear" w:pos="2155"/>
          <w:tab w:val="clear" w:pos="2552"/>
          <w:tab w:val="center" w:pos="4962"/>
        </w:tabs>
        <w:spacing w:before="120" w:line="240" w:lineRule="atLeast"/>
        <w:rPr>
          <w:color w:val="000000"/>
          <w:szCs w:val="22"/>
        </w:rPr>
      </w:pPr>
      <w:r w:rsidRPr="00D1197D">
        <w:rPr>
          <w:color w:val="000000"/>
          <w:szCs w:val="22"/>
        </w:rPr>
        <w:t xml:space="preserve">Draft </w:t>
      </w:r>
      <w:r>
        <w:rPr>
          <w:color w:val="000000"/>
          <w:szCs w:val="22"/>
        </w:rPr>
        <w:t xml:space="preserve">Chairman’s report </w:t>
      </w:r>
    </w:p>
    <w:p w:rsidR="00B0657C" w:rsidRDefault="00B0657C" w:rsidP="00B0657C">
      <w:pPr>
        <w:pStyle w:val="LetterStart"/>
        <w:tabs>
          <w:tab w:val="clear" w:pos="1361"/>
          <w:tab w:val="clear" w:pos="1758"/>
          <w:tab w:val="clear" w:pos="2155"/>
          <w:tab w:val="clear" w:pos="2552"/>
          <w:tab w:val="center" w:pos="4962"/>
        </w:tabs>
        <w:spacing w:before="0" w:line="240" w:lineRule="atLeast"/>
        <w:ind w:left="0"/>
        <w:jc w:val="center"/>
        <w:rPr>
          <w:lang w:val="en-US"/>
        </w:rPr>
        <w:sectPr w:rsidR="00B0657C" w:rsidSect="004D41C5">
          <w:headerReference w:type="even" r:id="rId19"/>
          <w:headerReference w:type="default" r:id="rId20"/>
          <w:footerReference w:type="even" r:id="rId21"/>
          <w:footerReference w:type="default" r:id="rId22"/>
          <w:footerReference w:type="first" r:id="rId23"/>
          <w:type w:val="oddPage"/>
          <w:pgSz w:w="11907" w:h="16839" w:code="9"/>
          <w:pgMar w:top="1134" w:right="1134" w:bottom="1134" w:left="1134" w:header="567" w:footer="567" w:gutter="0"/>
          <w:paperSrc w:first="15" w:other="15"/>
          <w:cols w:space="720"/>
          <w:titlePg/>
          <w:docGrid w:linePitch="326"/>
        </w:sectPr>
      </w:pPr>
    </w:p>
    <w:p w:rsidR="00B0657C" w:rsidRDefault="00B0657C" w:rsidP="00B0657C">
      <w:pPr>
        <w:pStyle w:val="LetterStart"/>
        <w:tabs>
          <w:tab w:val="clear" w:pos="1361"/>
          <w:tab w:val="clear" w:pos="1758"/>
          <w:tab w:val="clear" w:pos="2155"/>
          <w:tab w:val="clear" w:pos="2552"/>
          <w:tab w:val="center" w:pos="4962"/>
        </w:tabs>
        <w:spacing w:before="0" w:line="240" w:lineRule="atLeast"/>
        <w:ind w:left="0"/>
        <w:jc w:val="center"/>
        <w:rPr>
          <w:lang w:val="en-US"/>
        </w:rPr>
      </w:pPr>
    </w:p>
    <w:p w:rsidR="00B0657C" w:rsidRDefault="00B0657C" w:rsidP="00B0657C">
      <w:pPr>
        <w:pStyle w:val="LetterStart"/>
        <w:tabs>
          <w:tab w:val="clear" w:pos="1361"/>
          <w:tab w:val="clear" w:pos="1758"/>
          <w:tab w:val="clear" w:pos="2155"/>
          <w:tab w:val="clear" w:pos="2552"/>
          <w:tab w:val="center" w:pos="4962"/>
        </w:tabs>
        <w:spacing w:before="0" w:line="240" w:lineRule="atLeast"/>
        <w:ind w:left="0"/>
        <w:jc w:val="center"/>
        <w:rPr>
          <w:lang w:val="en-US"/>
        </w:rPr>
      </w:pPr>
      <w:r>
        <w:rPr>
          <w:lang w:val="en-US"/>
        </w:rPr>
        <w:t>ANNEX 2</w:t>
      </w:r>
    </w:p>
    <w:p w:rsidR="00B0657C" w:rsidRPr="00B0657C" w:rsidRDefault="00B0657C" w:rsidP="00B0657C">
      <w:pPr>
        <w:pStyle w:val="LetterStart"/>
        <w:tabs>
          <w:tab w:val="clear" w:pos="1361"/>
          <w:tab w:val="clear" w:pos="1758"/>
          <w:tab w:val="clear" w:pos="2155"/>
          <w:tab w:val="clear" w:pos="2552"/>
          <w:tab w:val="center" w:pos="4962"/>
        </w:tabs>
        <w:spacing w:before="120" w:line="240" w:lineRule="atLeast"/>
        <w:ind w:left="0"/>
        <w:jc w:val="center"/>
        <w:rPr>
          <w:lang w:val="en-US"/>
        </w:rPr>
      </w:pPr>
      <w:r w:rsidRPr="00B0657C">
        <w:rPr>
          <w:lang w:val="en-US"/>
        </w:rPr>
        <w:t>(to TSB Circular 162 – BDT/POL/CYB/Circular/001)</w:t>
      </w:r>
    </w:p>
    <w:p w:rsidR="00B0657C" w:rsidRDefault="00B0657C" w:rsidP="00B0657C">
      <w:pPr>
        <w:tabs>
          <w:tab w:val="clear" w:pos="794"/>
          <w:tab w:val="clear" w:pos="1191"/>
          <w:tab w:val="clear" w:pos="1588"/>
          <w:tab w:val="clear" w:pos="1985"/>
        </w:tabs>
        <w:autoSpaceDE w:val="0"/>
        <w:autoSpaceDN w:val="0"/>
        <w:adjustRightInd w:val="0"/>
        <w:spacing w:before="0"/>
        <w:jc w:val="center"/>
        <w:rPr>
          <w:sz w:val="28"/>
          <w:szCs w:val="28"/>
          <w:lang w:val="en-US" w:eastAsia="zh-CN"/>
        </w:rPr>
      </w:pPr>
    </w:p>
    <w:p w:rsidR="00B0657C" w:rsidRPr="00917B94" w:rsidRDefault="00B0657C" w:rsidP="00B0657C">
      <w:pPr>
        <w:tabs>
          <w:tab w:val="clear" w:pos="794"/>
          <w:tab w:val="clear" w:pos="1191"/>
          <w:tab w:val="clear" w:pos="1588"/>
          <w:tab w:val="clear" w:pos="1985"/>
        </w:tabs>
        <w:autoSpaceDE w:val="0"/>
        <w:autoSpaceDN w:val="0"/>
        <w:adjustRightInd w:val="0"/>
        <w:spacing w:before="0"/>
        <w:jc w:val="center"/>
        <w:rPr>
          <w:b/>
          <w:bCs/>
          <w:sz w:val="28"/>
          <w:szCs w:val="28"/>
          <w:lang w:val="en-US" w:eastAsia="zh-CN"/>
        </w:rPr>
      </w:pPr>
      <w:r w:rsidRPr="00917B94">
        <w:rPr>
          <w:b/>
          <w:bCs/>
          <w:sz w:val="28"/>
          <w:szCs w:val="28"/>
          <w:lang w:val="en-US" w:eastAsia="zh-CN"/>
        </w:rPr>
        <w:t>RESOLUTION 180 (Guadalajara, 2010)</w:t>
      </w:r>
    </w:p>
    <w:p w:rsidR="00B0657C" w:rsidRDefault="00B0657C" w:rsidP="00B0657C">
      <w:pPr>
        <w:tabs>
          <w:tab w:val="clear" w:pos="794"/>
          <w:tab w:val="clear" w:pos="1191"/>
          <w:tab w:val="clear" w:pos="1588"/>
          <w:tab w:val="clear" w:pos="1985"/>
        </w:tabs>
        <w:autoSpaceDE w:val="0"/>
        <w:autoSpaceDN w:val="0"/>
        <w:adjustRightInd w:val="0"/>
        <w:spacing w:before="0"/>
        <w:jc w:val="center"/>
        <w:rPr>
          <w:b/>
          <w:bCs/>
          <w:sz w:val="28"/>
          <w:szCs w:val="28"/>
          <w:lang w:val="en-US" w:eastAsia="zh-CN"/>
        </w:rPr>
      </w:pPr>
      <w:r w:rsidRPr="00917B94">
        <w:rPr>
          <w:b/>
          <w:bCs/>
          <w:sz w:val="28"/>
          <w:szCs w:val="28"/>
          <w:lang w:val="en-US" w:eastAsia="zh-CN"/>
        </w:rPr>
        <w:t>Facilitating the transition from IPv4 to IPv6</w:t>
      </w:r>
    </w:p>
    <w:p w:rsidR="00B0657C" w:rsidRDefault="00B0657C" w:rsidP="00B0657C">
      <w:pPr>
        <w:tabs>
          <w:tab w:val="clear" w:pos="794"/>
          <w:tab w:val="clear" w:pos="1191"/>
          <w:tab w:val="clear" w:pos="1588"/>
          <w:tab w:val="clear" w:pos="1985"/>
        </w:tabs>
        <w:autoSpaceDE w:val="0"/>
        <w:autoSpaceDN w:val="0"/>
        <w:adjustRightInd w:val="0"/>
        <w:spacing w:before="0"/>
        <w:jc w:val="center"/>
        <w:rPr>
          <w:b/>
          <w:bCs/>
          <w:sz w:val="28"/>
          <w:szCs w:val="28"/>
          <w:lang w:val="en-US" w:eastAsia="zh-CN"/>
        </w:rPr>
      </w:pPr>
    </w:p>
    <w:p w:rsidR="00B0657C" w:rsidRPr="00917B94" w:rsidRDefault="00B0657C" w:rsidP="00B0657C">
      <w:pPr>
        <w:tabs>
          <w:tab w:val="clear" w:pos="794"/>
          <w:tab w:val="clear" w:pos="1191"/>
          <w:tab w:val="clear" w:pos="1588"/>
          <w:tab w:val="clear" w:pos="1985"/>
        </w:tabs>
        <w:autoSpaceDE w:val="0"/>
        <w:autoSpaceDN w:val="0"/>
        <w:adjustRightInd w:val="0"/>
        <w:spacing w:before="0"/>
        <w:jc w:val="center"/>
        <w:rPr>
          <w:b/>
          <w:bCs/>
          <w:sz w:val="28"/>
          <w:szCs w:val="28"/>
          <w:lang w:val="en-US" w:eastAsia="zh-CN"/>
        </w:rPr>
      </w:pPr>
    </w:p>
    <w:p w:rsidR="00B0657C" w:rsidRDefault="00B0657C" w:rsidP="00B0657C">
      <w:pPr>
        <w:tabs>
          <w:tab w:val="clear" w:pos="794"/>
          <w:tab w:val="clear" w:pos="1191"/>
          <w:tab w:val="clear" w:pos="1588"/>
          <w:tab w:val="clear" w:pos="1985"/>
        </w:tabs>
        <w:autoSpaceDE w:val="0"/>
        <w:autoSpaceDN w:val="0"/>
        <w:adjustRightInd w:val="0"/>
        <w:spacing w:before="0" w:after="120"/>
        <w:rPr>
          <w:szCs w:val="24"/>
          <w:lang w:val="en-US" w:eastAsia="zh-CN"/>
        </w:rPr>
      </w:pPr>
      <w:r w:rsidRPr="00917B94">
        <w:rPr>
          <w:szCs w:val="24"/>
          <w:lang w:val="en-US" w:eastAsia="zh-CN"/>
        </w:rPr>
        <w:t>The Plenipotentiary Conference of the International Telecommunication Union (Guadalajara, 2010),</w:t>
      </w:r>
    </w:p>
    <w:p w:rsidR="00B0657C" w:rsidRPr="00917B94" w:rsidRDefault="00B0657C" w:rsidP="00B0657C">
      <w:pPr>
        <w:tabs>
          <w:tab w:val="clear" w:pos="794"/>
          <w:tab w:val="clear" w:pos="1191"/>
          <w:tab w:val="clear" w:pos="1588"/>
          <w:tab w:val="clear" w:pos="1985"/>
        </w:tabs>
        <w:autoSpaceDE w:val="0"/>
        <w:autoSpaceDN w:val="0"/>
        <w:adjustRightInd w:val="0"/>
        <w:spacing w:before="0" w:after="120"/>
        <w:rPr>
          <w:szCs w:val="24"/>
          <w:lang w:val="en-US" w:eastAsia="zh-CN"/>
        </w:rPr>
      </w:pPr>
    </w:p>
    <w:p w:rsidR="00B0657C" w:rsidRPr="00917B94" w:rsidRDefault="00B0657C" w:rsidP="00B0657C">
      <w:pPr>
        <w:tabs>
          <w:tab w:val="clear" w:pos="794"/>
          <w:tab w:val="clear" w:pos="1191"/>
          <w:tab w:val="clear" w:pos="1588"/>
          <w:tab w:val="clear" w:pos="1985"/>
        </w:tabs>
        <w:autoSpaceDE w:val="0"/>
        <w:autoSpaceDN w:val="0"/>
        <w:adjustRightInd w:val="0"/>
        <w:spacing w:before="0" w:after="120"/>
        <w:ind w:left="720"/>
        <w:rPr>
          <w:i/>
          <w:iCs/>
          <w:szCs w:val="24"/>
          <w:lang w:val="en-US" w:eastAsia="zh-CN"/>
        </w:rPr>
      </w:pPr>
      <w:r w:rsidRPr="00917B94">
        <w:rPr>
          <w:i/>
          <w:iCs/>
          <w:szCs w:val="24"/>
          <w:lang w:val="en-US" w:eastAsia="zh-CN"/>
        </w:rPr>
        <w:t>considering</w:t>
      </w:r>
    </w:p>
    <w:p w:rsidR="00B0657C" w:rsidRPr="00917B94" w:rsidRDefault="00B0657C" w:rsidP="00B0657C">
      <w:pPr>
        <w:pStyle w:val="ListParagraph"/>
        <w:numPr>
          <w:ilvl w:val="0"/>
          <w:numId w:val="6"/>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Resolution 64 (Johannesburg, 2008) of the World Telecommunication Standardization Assembly, which encourages the deployment of IPv6;</w:t>
      </w:r>
    </w:p>
    <w:p w:rsidR="00B0657C" w:rsidRPr="00917B94" w:rsidRDefault="00B0657C" w:rsidP="00B0657C">
      <w:pPr>
        <w:pStyle w:val="ListParagraph"/>
        <w:numPr>
          <w:ilvl w:val="0"/>
          <w:numId w:val="6"/>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Opinion 5 (Lisbon, 2009) of the World Telecommunication Policy Forum (WTPF), on capacity building in support of the adoption of IPv6;</w:t>
      </w:r>
    </w:p>
    <w:p w:rsidR="00B0657C" w:rsidRPr="00917B94" w:rsidRDefault="00B0657C" w:rsidP="00B0657C">
      <w:pPr>
        <w:pStyle w:val="ListParagraph"/>
        <w:numPr>
          <w:ilvl w:val="0"/>
          <w:numId w:val="6"/>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Resolution 63 (Hyderabad, 2010) of the World Telecommunication Development Conference, on IP address allocation and encouraging the deployment of IPv6 in the developing countries,</w:t>
      </w:r>
    </w:p>
    <w:p w:rsidR="00B0657C" w:rsidRPr="00917B94" w:rsidRDefault="00B0657C" w:rsidP="00B0657C">
      <w:pPr>
        <w:tabs>
          <w:tab w:val="clear" w:pos="794"/>
          <w:tab w:val="clear" w:pos="1191"/>
          <w:tab w:val="clear" w:pos="1588"/>
          <w:tab w:val="clear" w:pos="1985"/>
        </w:tabs>
        <w:autoSpaceDE w:val="0"/>
        <w:autoSpaceDN w:val="0"/>
        <w:adjustRightInd w:val="0"/>
        <w:spacing w:before="0" w:after="120"/>
        <w:ind w:left="720"/>
        <w:rPr>
          <w:i/>
          <w:iCs/>
          <w:szCs w:val="24"/>
          <w:lang w:val="en-US" w:eastAsia="zh-CN"/>
        </w:rPr>
      </w:pPr>
      <w:r w:rsidRPr="00917B94">
        <w:rPr>
          <w:i/>
          <w:iCs/>
          <w:szCs w:val="24"/>
          <w:lang w:val="en-US" w:eastAsia="zh-CN"/>
        </w:rPr>
        <w:t>considering further</w:t>
      </w:r>
    </w:p>
    <w:p w:rsidR="00B0657C" w:rsidRPr="00917B94" w:rsidRDefault="00B0657C" w:rsidP="00B0657C">
      <w:pPr>
        <w:pStyle w:val="ListParagraph"/>
        <w:numPr>
          <w:ilvl w:val="0"/>
          <w:numId w:val="7"/>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that the Internet has become a leading factor in social and economic development and a vital tool for communication and technological innovation, creating a major paradigm shift in the telecommunication and information technology sector;</w:t>
      </w:r>
    </w:p>
    <w:p w:rsidR="00B0657C" w:rsidRPr="00917B94" w:rsidRDefault="00B0657C" w:rsidP="00B0657C">
      <w:pPr>
        <w:pStyle w:val="ListParagraph"/>
        <w:numPr>
          <w:ilvl w:val="0"/>
          <w:numId w:val="7"/>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that in view of the imminent exhaustion of IPv4 addresses and in order to ensure the stability, growth and development of the Internet, specific actions must be defined for the transition to IPv6,</w:t>
      </w:r>
    </w:p>
    <w:p w:rsidR="00B0657C" w:rsidRPr="00917B94" w:rsidRDefault="00B0657C" w:rsidP="00B0657C">
      <w:pPr>
        <w:tabs>
          <w:tab w:val="clear" w:pos="794"/>
          <w:tab w:val="clear" w:pos="1191"/>
          <w:tab w:val="clear" w:pos="1588"/>
          <w:tab w:val="clear" w:pos="1985"/>
        </w:tabs>
        <w:autoSpaceDE w:val="0"/>
        <w:autoSpaceDN w:val="0"/>
        <w:adjustRightInd w:val="0"/>
        <w:spacing w:before="0" w:after="120"/>
        <w:ind w:left="720"/>
        <w:rPr>
          <w:i/>
          <w:iCs/>
          <w:szCs w:val="24"/>
          <w:lang w:val="en-US" w:eastAsia="zh-CN"/>
        </w:rPr>
      </w:pPr>
      <w:r w:rsidRPr="00917B94">
        <w:rPr>
          <w:i/>
          <w:iCs/>
          <w:szCs w:val="24"/>
          <w:lang w:val="en-US" w:eastAsia="zh-CN"/>
        </w:rPr>
        <w:t>noting</w:t>
      </w:r>
    </w:p>
    <w:p w:rsidR="00B0657C" w:rsidRPr="00917B94" w:rsidRDefault="00B0657C" w:rsidP="00B0657C">
      <w:pPr>
        <w:tabs>
          <w:tab w:val="clear" w:pos="794"/>
          <w:tab w:val="clear" w:pos="1191"/>
          <w:tab w:val="clear" w:pos="1588"/>
          <w:tab w:val="clear" w:pos="1985"/>
        </w:tabs>
        <w:autoSpaceDE w:val="0"/>
        <w:autoSpaceDN w:val="0"/>
        <w:adjustRightInd w:val="0"/>
        <w:spacing w:before="0" w:after="120"/>
        <w:rPr>
          <w:szCs w:val="24"/>
          <w:lang w:val="en-US" w:eastAsia="zh-CN"/>
        </w:rPr>
      </w:pPr>
      <w:r w:rsidRPr="00917B94">
        <w:rPr>
          <w:szCs w:val="24"/>
          <w:lang w:val="en-US" w:eastAsia="zh-CN"/>
        </w:rPr>
        <w:t>the decision taken by the Council at its 2009 session to set up an IPv6 working group (see Document CO9/93),</w:t>
      </w:r>
    </w:p>
    <w:p w:rsidR="00B0657C" w:rsidRPr="00917B94" w:rsidRDefault="00B0657C" w:rsidP="00B0657C">
      <w:pPr>
        <w:tabs>
          <w:tab w:val="clear" w:pos="794"/>
          <w:tab w:val="clear" w:pos="1191"/>
          <w:tab w:val="clear" w:pos="1588"/>
          <w:tab w:val="clear" w:pos="1985"/>
        </w:tabs>
        <w:autoSpaceDE w:val="0"/>
        <w:autoSpaceDN w:val="0"/>
        <w:adjustRightInd w:val="0"/>
        <w:spacing w:before="0" w:after="120"/>
        <w:ind w:left="720"/>
        <w:rPr>
          <w:i/>
          <w:iCs/>
          <w:szCs w:val="24"/>
          <w:lang w:val="en-US" w:eastAsia="zh-CN"/>
        </w:rPr>
      </w:pPr>
      <w:r w:rsidRPr="00917B94">
        <w:rPr>
          <w:i/>
          <w:iCs/>
          <w:szCs w:val="24"/>
          <w:lang w:val="en-US" w:eastAsia="zh-CN"/>
        </w:rPr>
        <w:t>recognizing</w:t>
      </w:r>
    </w:p>
    <w:p w:rsidR="00B0657C" w:rsidRPr="00917B94" w:rsidRDefault="00B0657C" w:rsidP="00B0657C">
      <w:pPr>
        <w:pStyle w:val="ListParagraph"/>
        <w:numPr>
          <w:ilvl w:val="0"/>
          <w:numId w:val="8"/>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that IPv6 deployment gives an opportunity for the development of information and communication technologies (ICT), and that its early adoption is the best way to avoid the scarcity of addresses and the consequences that exhaustion of IPv4 addresses may entail, including high costs;</w:t>
      </w:r>
    </w:p>
    <w:p w:rsidR="00B0657C" w:rsidRPr="00917B94" w:rsidRDefault="00B0657C" w:rsidP="00B0657C">
      <w:pPr>
        <w:pStyle w:val="ListParagraph"/>
        <w:numPr>
          <w:ilvl w:val="0"/>
          <w:numId w:val="8"/>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that governments play an important part as catalyst for the transition to IPv6,</w:t>
      </w:r>
    </w:p>
    <w:p w:rsidR="00B0657C" w:rsidRPr="00917B94" w:rsidRDefault="00B0657C" w:rsidP="00B0657C">
      <w:pPr>
        <w:tabs>
          <w:tab w:val="clear" w:pos="794"/>
          <w:tab w:val="clear" w:pos="1191"/>
          <w:tab w:val="clear" w:pos="1588"/>
          <w:tab w:val="clear" w:pos="1985"/>
        </w:tabs>
        <w:autoSpaceDE w:val="0"/>
        <w:autoSpaceDN w:val="0"/>
        <w:adjustRightInd w:val="0"/>
        <w:spacing w:before="0" w:after="120"/>
        <w:ind w:left="720"/>
        <w:rPr>
          <w:i/>
          <w:iCs/>
          <w:szCs w:val="24"/>
          <w:lang w:val="en-US" w:eastAsia="zh-CN"/>
        </w:rPr>
      </w:pPr>
      <w:r w:rsidRPr="00917B94">
        <w:rPr>
          <w:i/>
          <w:iCs/>
          <w:szCs w:val="24"/>
          <w:lang w:val="en-US" w:eastAsia="zh-CN"/>
        </w:rPr>
        <w:t>resolves</w:t>
      </w:r>
    </w:p>
    <w:p w:rsidR="00B0657C" w:rsidRPr="00917B94" w:rsidRDefault="00B0657C" w:rsidP="00B0657C">
      <w:pPr>
        <w:pStyle w:val="ListParagraph"/>
        <w:numPr>
          <w:ilvl w:val="0"/>
          <w:numId w:val="9"/>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 xml:space="preserve">to explore ways and means for greater collaboration and coordination between ITU and relevant organizations </w:t>
      </w:r>
      <w:r w:rsidRPr="00917B94">
        <w:rPr>
          <w:rStyle w:val="FootnoteReference"/>
          <w:szCs w:val="24"/>
          <w:lang w:val="en-US" w:eastAsia="zh-CN"/>
        </w:rPr>
        <w:footnoteReference w:id="1"/>
      </w:r>
      <w:r w:rsidRPr="00917B94">
        <w:rPr>
          <w:szCs w:val="24"/>
          <w:lang w:val="en-US" w:eastAsia="zh-CN"/>
        </w:rPr>
        <w:t xml:space="preserve"> involved in the development of IP-based networks and the future Internet, through cooperation agreements, as appropriate, in order to increase the role of ITU in Internet governance so as to ensure maximum benefits to the global community;</w:t>
      </w:r>
    </w:p>
    <w:p w:rsidR="00B0657C" w:rsidRPr="00917B94" w:rsidRDefault="00B0657C" w:rsidP="00B0657C">
      <w:pPr>
        <w:pStyle w:val="ListParagraph"/>
        <w:numPr>
          <w:ilvl w:val="0"/>
          <w:numId w:val="9"/>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to step up the exchange of experiences and information with all stakeholders regarding the adoption of IPv6, with the aim of creating opportunities for collaborative efforts, and to ensure that feedback exists to enrich efforts to support the transition to IPv6;</w:t>
      </w:r>
    </w:p>
    <w:p w:rsidR="00B0657C" w:rsidRPr="00917B94" w:rsidRDefault="00B0657C" w:rsidP="00B0657C">
      <w:pPr>
        <w:pStyle w:val="ListParagraph"/>
        <w:numPr>
          <w:ilvl w:val="0"/>
          <w:numId w:val="9"/>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lastRenderedPageBreak/>
        <w:t>to collaborate closely with the relevant international recognized partners, including the Internet community (e.g. regional Internet registries (RIRs), the Internet Engineering Task Force (IETF) and others), in order to encourage the deployment of IPv6 by raising awareness and through capacity building;</w:t>
      </w:r>
    </w:p>
    <w:p w:rsidR="00B0657C" w:rsidRPr="00917B94" w:rsidRDefault="00B0657C" w:rsidP="00B0657C">
      <w:pPr>
        <w:pStyle w:val="ListParagraph"/>
        <w:numPr>
          <w:ilvl w:val="0"/>
          <w:numId w:val="9"/>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to assist those Member States which, in accordance with the existing allocation policies, require support in the management and allocation of IPv6 resources, pursuant to relevant resolutions;</w:t>
      </w:r>
    </w:p>
    <w:p w:rsidR="00B0657C" w:rsidRPr="00917B94" w:rsidRDefault="00B0657C" w:rsidP="00B0657C">
      <w:pPr>
        <w:pStyle w:val="ListParagraph"/>
        <w:numPr>
          <w:ilvl w:val="0"/>
          <w:numId w:val="9"/>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that the IPv6 group undertake detailed studies of IP addresses allocation as requested by the Dedicated Group on Internet-related public policy issues, both for IPv4 addresses and for IPv6 addresses,</w:t>
      </w:r>
    </w:p>
    <w:p w:rsidR="00B0657C" w:rsidRPr="00917B94" w:rsidRDefault="00B0657C" w:rsidP="00B0657C">
      <w:pPr>
        <w:tabs>
          <w:tab w:val="clear" w:pos="794"/>
          <w:tab w:val="clear" w:pos="1191"/>
          <w:tab w:val="clear" w:pos="1588"/>
          <w:tab w:val="clear" w:pos="1985"/>
        </w:tabs>
        <w:autoSpaceDE w:val="0"/>
        <w:autoSpaceDN w:val="0"/>
        <w:adjustRightInd w:val="0"/>
        <w:spacing w:before="0" w:after="120"/>
        <w:ind w:left="360"/>
        <w:rPr>
          <w:i/>
          <w:iCs/>
          <w:szCs w:val="24"/>
          <w:lang w:val="en-US" w:eastAsia="zh-CN"/>
        </w:rPr>
      </w:pPr>
      <w:r w:rsidRPr="00917B94">
        <w:rPr>
          <w:i/>
          <w:iCs/>
          <w:szCs w:val="24"/>
          <w:lang w:val="en-US" w:eastAsia="zh-CN"/>
        </w:rPr>
        <w:t>instructs the Director of the Telecommunication Development Bureau, in coordination with the Director of Telecommunication Standardization Bureau</w:t>
      </w:r>
    </w:p>
    <w:p w:rsidR="00B0657C" w:rsidRPr="00917B94" w:rsidRDefault="00B0657C" w:rsidP="00B0657C">
      <w:pPr>
        <w:pStyle w:val="ListParagraph"/>
        <w:numPr>
          <w:ilvl w:val="0"/>
          <w:numId w:val="10"/>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 xml:space="preserve"> to undertake and facilitate activities on the above resolves in order that the relevant ITU-T study group can carry out the work;</w:t>
      </w:r>
    </w:p>
    <w:p w:rsidR="00B0657C" w:rsidRPr="00917B94" w:rsidRDefault="00B0657C" w:rsidP="00B0657C">
      <w:pPr>
        <w:pStyle w:val="ListParagraph"/>
        <w:numPr>
          <w:ilvl w:val="0"/>
          <w:numId w:val="10"/>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while assisting those Member States that require support in the management and allocation of IPv6 resources, to monitor the current allocation mechanisms (including the equitable distribution of addresses) for ITU Member States or Sector Members, and to identify and point out any underlying flaws in the current allocation mechanisms;</w:t>
      </w:r>
    </w:p>
    <w:p w:rsidR="00B0657C" w:rsidRPr="00917B94" w:rsidRDefault="00B0657C" w:rsidP="00B0657C">
      <w:pPr>
        <w:pStyle w:val="ListParagraph"/>
        <w:numPr>
          <w:ilvl w:val="0"/>
          <w:numId w:val="10"/>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to communicate proposals for changes to existing policies, if identified under the studies above, in accordance with the existing policy development process;</w:t>
      </w:r>
    </w:p>
    <w:p w:rsidR="00B0657C" w:rsidRPr="00917B94" w:rsidRDefault="00B0657C" w:rsidP="00B0657C">
      <w:pPr>
        <w:pStyle w:val="ListParagraph"/>
        <w:numPr>
          <w:ilvl w:val="0"/>
          <w:numId w:val="10"/>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to develop statistics on progress made with the transition, based on information that may be compiled regionally through collaboration with regional organizations,</w:t>
      </w:r>
    </w:p>
    <w:p w:rsidR="00B0657C" w:rsidRPr="00917B94" w:rsidRDefault="00B0657C" w:rsidP="00B0657C">
      <w:pPr>
        <w:tabs>
          <w:tab w:val="clear" w:pos="794"/>
          <w:tab w:val="clear" w:pos="1191"/>
          <w:tab w:val="clear" w:pos="1588"/>
          <w:tab w:val="clear" w:pos="1985"/>
        </w:tabs>
        <w:autoSpaceDE w:val="0"/>
        <w:autoSpaceDN w:val="0"/>
        <w:adjustRightInd w:val="0"/>
        <w:spacing w:before="0" w:after="120"/>
        <w:ind w:left="360"/>
        <w:rPr>
          <w:i/>
          <w:iCs/>
          <w:szCs w:val="24"/>
          <w:lang w:val="en-US" w:eastAsia="zh-CN"/>
        </w:rPr>
      </w:pPr>
      <w:r w:rsidRPr="00917B94">
        <w:rPr>
          <w:i/>
          <w:iCs/>
          <w:szCs w:val="24"/>
          <w:lang w:val="en-US" w:eastAsia="zh-CN"/>
        </w:rPr>
        <w:t>invites Member States</w:t>
      </w:r>
    </w:p>
    <w:p w:rsidR="00B0657C" w:rsidRPr="00917B94" w:rsidRDefault="00B0657C" w:rsidP="00B0657C">
      <w:pPr>
        <w:pStyle w:val="ListParagraph"/>
        <w:numPr>
          <w:ilvl w:val="0"/>
          <w:numId w:val="11"/>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through the knowledge gained in resolves 1, to promote specific initiatives at the national level, which foster interaction with governmental, private and academic entities and civil society for the purposes of the information exchange necessary for the deployment of IPv6 in their respective countries;</w:t>
      </w:r>
    </w:p>
    <w:p w:rsidR="00B0657C" w:rsidRPr="00917B94" w:rsidRDefault="00B0657C" w:rsidP="00B0657C">
      <w:pPr>
        <w:pStyle w:val="ListParagraph"/>
        <w:numPr>
          <w:ilvl w:val="0"/>
          <w:numId w:val="11"/>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to encourage, with support from the ITU regional offices, the regional Internet registries (RIRs) and other regional organizations in coordinating research, dissemination and training actions with participation by governments, industry and the academic community in order to facilitate the deployment of IPv6 within the countries and in the region, and to coordinate initiatives between regions to promote its deployment worldwide;</w:t>
      </w:r>
    </w:p>
    <w:p w:rsidR="00B0657C" w:rsidRPr="00917B94" w:rsidRDefault="00B0657C" w:rsidP="00B0657C">
      <w:pPr>
        <w:pStyle w:val="ListParagraph"/>
        <w:numPr>
          <w:ilvl w:val="0"/>
          <w:numId w:val="11"/>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to develop national policies to promote the technological update of systems in order to ensure that the public services provided utilizing the IP protocol and the communications infrastructure and relevant applications of the Member States are compatible with IPv6;</w:t>
      </w:r>
    </w:p>
    <w:p w:rsidR="00B0657C" w:rsidRPr="00917B94" w:rsidRDefault="00B0657C" w:rsidP="00B0657C">
      <w:pPr>
        <w:pStyle w:val="ListParagraph"/>
        <w:numPr>
          <w:ilvl w:val="0"/>
          <w:numId w:val="11"/>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to ensure, in the actions they carry out regarding communication and computer equipment, that the necessary measures are taken so that new equipment has IPv6 capacity, taking into consideration a necessary period for the transition from IPv4 to IPv6;</w:t>
      </w:r>
    </w:p>
    <w:p w:rsidR="00B0657C" w:rsidRPr="00917B94" w:rsidRDefault="00B0657C" w:rsidP="00B0657C">
      <w:pPr>
        <w:tabs>
          <w:tab w:val="clear" w:pos="794"/>
          <w:tab w:val="clear" w:pos="1191"/>
          <w:tab w:val="clear" w:pos="1588"/>
          <w:tab w:val="clear" w:pos="1985"/>
        </w:tabs>
        <w:autoSpaceDE w:val="0"/>
        <w:autoSpaceDN w:val="0"/>
        <w:adjustRightInd w:val="0"/>
        <w:spacing w:before="0" w:after="120"/>
        <w:ind w:left="360"/>
        <w:rPr>
          <w:i/>
          <w:iCs/>
          <w:szCs w:val="24"/>
          <w:lang w:val="en-US" w:eastAsia="zh-CN"/>
        </w:rPr>
      </w:pPr>
      <w:r w:rsidRPr="00917B94">
        <w:rPr>
          <w:i/>
          <w:iCs/>
          <w:szCs w:val="24"/>
          <w:lang w:val="en-US" w:eastAsia="zh-CN"/>
        </w:rPr>
        <w:t>instructs the Secretary-General</w:t>
      </w:r>
    </w:p>
    <w:p w:rsidR="00B0657C" w:rsidRPr="00B0657C" w:rsidRDefault="00B0657C" w:rsidP="00B0657C">
      <w:pPr>
        <w:tabs>
          <w:tab w:val="clear" w:pos="794"/>
          <w:tab w:val="clear" w:pos="1191"/>
          <w:tab w:val="clear" w:pos="1588"/>
          <w:tab w:val="clear" w:pos="1985"/>
        </w:tabs>
        <w:autoSpaceDE w:val="0"/>
        <w:autoSpaceDN w:val="0"/>
        <w:adjustRightInd w:val="0"/>
        <w:spacing w:before="0" w:after="120"/>
        <w:rPr>
          <w:lang w:val="en-US"/>
        </w:rPr>
      </w:pPr>
      <w:r w:rsidRPr="00917B94">
        <w:rPr>
          <w:szCs w:val="24"/>
          <w:lang w:val="en-US" w:eastAsia="zh-CN"/>
        </w:rPr>
        <w:t>to disseminate, as appropriate, to the ITU membership and the Internet community, information on the progress achieved on the implementation of this resolution.</w:t>
      </w:r>
      <w:r w:rsidRPr="00B0657C">
        <w:rPr>
          <w:lang w:val="en-US"/>
        </w:rPr>
        <w:br w:type="page"/>
      </w:r>
    </w:p>
    <w:p w:rsidR="00B0657C" w:rsidRDefault="00B0657C" w:rsidP="00B0657C">
      <w:pPr>
        <w:pStyle w:val="LetterStart"/>
        <w:tabs>
          <w:tab w:val="clear" w:pos="1361"/>
          <w:tab w:val="clear" w:pos="1758"/>
          <w:tab w:val="clear" w:pos="2155"/>
          <w:tab w:val="clear" w:pos="2552"/>
          <w:tab w:val="center" w:pos="4962"/>
        </w:tabs>
        <w:spacing w:before="0" w:line="240" w:lineRule="atLeast"/>
        <w:ind w:left="0"/>
        <w:jc w:val="center"/>
        <w:rPr>
          <w:lang w:val="en-US"/>
        </w:rPr>
      </w:pPr>
      <w:r>
        <w:rPr>
          <w:lang w:val="en-US"/>
        </w:rPr>
        <w:lastRenderedPageBreak/>
        <w:t>ANNEX 3</w:t>
      </w:r>
    </w:p>
    <w:p w:rsidR="00B0657C" w:rsidRPr="00B0657C" w:rsidRDefault="00B0657C" w:rsidP="00B0657C">
      <w:pPr>
        <w:pStyle w:val="LetterStart"/>
        <w:tabs>
          <w:tab w:val="clear" w:pos="1361"/>
          <w:tab w:val="clear" w:pos="1758"/>
          <w:tab w:val="clear" w:pos="2155"/>
          <w:tab w:val="clear" w:pos="2552"/>
          <w:tab w:val="center" w:pos="4962"/>
        </w:tabs>
        <w:spacing w:before="120" w:line="240" w:lineRule="atLeast"/>
        <w:ind w:left="0"/>
        <w:jc w:val="center"/>
        <w:rPr>
          <w:lang w:val="en-US"/>
        </w:rPr>
      </w:pPr>
      <w:r w:rsidRPr="00B0657C">
        <w:rPr>
          <w:lang w:val="en-US"/>
        </w:rPr>
        <w:t>(to TSB Circular 162 – BDT/POL/CYB/Circular/001)</w:t>
      </w:r>
    </w:p>
    <w:p w:rsidR="00B0657C" w:rsidRPr="00B0657C" w:rsidRDefault="00B0657C" w:rsidP="00B0657C">
      <w:pPr>
        <w:spacing w:before="0" w:line="240" w:lineRule="atLeast"/>
        <w:ind w:right="453"/>
        <w:rPr>
          <w:sz w:val="16"/>
          <w:lang w:val="en-US"/>
        </w:rPr>
      </w:pPr>
    </w:p>
    <w:tbl>
      <w:tblPr>
        <w:tblW w:w="0" w:type="auto"/>
        <w:jc w:val="center"/>
        <w:tblLayout w:type="fixed"/>
        <w:tblLook w:val="0000" w:firstRow="0" w:lastRow="0" w:firstColumn="0" w:lastColumn="0" w:noHBand="0" w:noVBand="0"/>
      </w:tblPr>
      <w:tblGrid>
        <w:gridCol w:w="9360"/>
      </w:tblGrid>
      <w:tr w:rsidR="00B0657C" w:rsidRPr="00B0657C" w:rsidTr="00867DC4">
        <w:trPr>
          <w:cantSplit/>
          <w:jc w:val="center"/>
        </w:trPr>
        <w:tc>
          <w:tcPr>
            <w:tcW w:w="9360" w:type="dxa"/>
            <w:tcBorders>
              <w:top w:val="single" w:sz="6" w:space="0" w:color="auto"/>
              <w:left w:val="single" w:sz="6" w:space="0" w:color="auto"/>
              <w:bottom w:val="single" w:sz="6" w:space="0" w:color="auto"/>
              <w:right w:val="single" w:sz="6" w:space="0" w:color="auto"/>
            </w:tcBorders>
          </w:tcPr>
          <w:p w:rsidR="00B0657C" w:rsidRPr="00B0657C" w:rsidRDefault="00B0657C" w:rsidP="00867DC4">
            <w:pPr>
              <w:tabs>
                <w:tab w:val="left" w:pos="1440"/>
                <w:tab w:val="left" w:pos="8647"/>
              </w:tabs>
              <w:spacing w:before="0" w:line="288" w:lineRule="atLeast"/>
              <w:ind w:right="133"/>
              <w:jc w:val="center"/>
              <w:rPr>
                <w:i/>
                <w:sz w:val="20"/>
                <w:lang w:val="en-US"/>
              </w:rPr>
            </w:pPr>
          </w:p>
          <w:p w:rsidR="00B0657C" w:rsidRPr="00B0657C" w:rsidRDefault="00B0657C" w:rsidP="00867DC4">
            <w:pPr>
              <w:tabs>
                <w:tab w:val="left" w:pos="1440"/>
                <w:tab w:val="left" w:pos="8647"/>
              </w:tabs>
              <w:spacing w:before="0" w:line="288" w:lineRule="atLeast"/>
              <w:ind w:right="133"/>
              <w:jc w:val="center"/>
              <w:rPr>
                <w:i/>
                <w:lang w:val="en-US"/>
              </w:rPr>
            </w:pPr>
            <w:r w:rsidRPr="00B0657C">
              <w:rPr>
                <w:i/>
                <w:lang w:val="en-US"/>
              </w:rPr>
              <w:t xml:space="preserve">This confirmation form </w:t>
            </w:r>
            <w:r w:rsidRPr="00B0657C">
              <w:rPr>
                <w:bCs/>
                <w:i/>
                <w:lang w:val="en-US"/>
              </w:rPr>
              <w:t xml:space="preserve">should </w:t>
            </w:r>
            <w:r w:rsidRPr="00B0657C">
              <w:rPr>
                <w:b/>
                <w:i/>
                <w:lang w:val="en-US"/>
              </w:rPr>
              <w:t xml:space="preserve">be sent direct to the hotel </w:t>
            </w:r>
            <w:r w:rsidRPr="00B0657C">
              <w:rPr>
                <w:i/>
                <w:lang w:val="en-US"/>
              </w:rPr>
              <w:t>of your choice</w:t>
            </w:r>
          </w:p>
          <w:p w:rsidR="00B0657C" w:rsidRPr="00C67AB9" w:rsidRDefault="00B0657C" w:rsidP="00867DC4">
            <w:pPr>
              <w:spacing w:before="0" w:line="288" w:lineRule="atLeast"/>
              <w:ind w:right="130"/>
              <w:jc w:val="center"/>
              <w:rPr>
                <w:sz w:val="20"/>
                <w:lang w:val="en-US"/>
              </w:rPr>
            </w:pPr>
          </w:p>
        </w:tc>
      </w:tr>
    </w:tbl>
    <w:p w:rsidR="00B0657C" w:rsidRPr="00C67AB9" w:rsidRDefault="00B0657C" w:rsidP="00B0657C">
      <w:pPr>
        <w:tabs>
          <w:tab w:val="center" w:pos="9639"/>
        </w:tabs>
        <w:spacing w:before="0"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B0657C" w:rsidTr="00867DC4">
        <w:trPr>
          <w:cantSplit/>
          <w:jc w:val="center"/>
        </w:trPr>
        <w:tc>
          <w:tcPr>
            <w:tcW w:w="1291" w:type="dxa"/>
          </w:tcPr>
          <w:p w:rsidR="00B0657C" w:rsidRDefault="00B0657C" w:rsidP="00867DC4">
            <w:pPr>
              <w:tabs>
                <w:tab w:val="center" w:pos="9639"/>
              </w:tabs>
              <w:spacing w:before="0" w:line="240" w:lineRule="atLeast"/>
              <w:ind w:right="-176"/>
              <w:jc w:val="center"/>
              <w:rPr>
                <w:sz w:val="28"/>
              </w:rPr>
            </w:pPr>
            <w:r>
              <w:rPr>
                <w:noProof/>
                <w:lang w:val="en-US" w:eastAsia="zh-CN"/>
              </w:rPr>
              <w:drawing>
                <wp:inline distT="0" distB="0" distL="0" distR="0">
                  <wp:extent cx="62865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B0657C" w:rsidRPr="00BA5866" w:rsidRDefault="00B0657C" w:rsidP="00867DC4">
            <w:pPr>
              <w:tabs>
                <w:tab w:val="center" w:pos="9639"/>
              </w:tabs>
              <w:spacing w:before="0" w:line="240" w:lineRule="atLeast"/>
              <w:ind w:right="-40"/>
              <w:jc w:val="center"/>
              <w:rPr>
                <w:b/>
                <w:bCs/>
                <w:sz w:val="28"/>
                <w:szCs w:val="28"/>
                <w:lang w:val="en-US"/>
              </w:rPr>
            </w:pPr>
            <w:r w:rsidRPr="00BA5866">
              <w:rPr>
                <w:sz w:val="26"/>
                <w:lang w:val="en-US"/>
              </w:rPr>
              <w:br/>
            </w:r>
            <w:r w:rsidRPr="00BA5866">
              <w:rPr>
                <w:b/>
                <w:bCs/>
                <w:sz w:val="28"/>
                <w:szCs w:val="28"/>
                <w:lang w:val="en-US"/>
              </w:rPr>
              <w:t xml:space="preserve">INTERNATIONAL TELECOMMUNICATION </w:t>
            </w:r>
            <w:smartTag w:uri="urn:schemas-microsoft-com:office:smarttags" w:element="place">
              <w:r w:rsidRPr="00BA5866">
                <w:rPr>
                  <w:b/>
                  <w:bCs/>
                  <w:sz w:val="28"/>
                  <w:szCs w:val="28"/>
                  <w:lang w:val="en-US"/>
                </w:rPr>
                <w:t>UNION</w:t>
              </w:r>
            </w:smartTag>
            <w:r w:rsidRPr="00BA5866">
              <w:rPr>
                <w:b/>
                <w:bCs/>
                <w:sz w:val="28"/>
                <w:szCs w:val="28"/>
                <w:lang w:val="en-US"/>
              </w:rPr>
              <w:br/>
            </w:r>
          </w:p>
        </w:tc>
        <w:tc>
          <w:tcPr>
            <w:tcW w:w="1400" w:type="dxa"/>
          </w:tcPr>
          <w:p w:rsidR="00B0657C" w:rsidRDefault="00B0657C" w:rsidP="00867DC4">
            <w:pPr>
              <w:tabs>
                <w:tab w:val="center" w:pos="9639"/>
              </w:tabs>
              <w:spacing w:before="0" w:line="240" w:lineRule="atLeast"/>
              <w:ind w:left="-142" w:right="-74"/>
              <w:jc w:val="center"/>
              <w:rPr>
                <w:sz w:val="28"/>
              </w:rPr>
            </w:pPr>
            <w:r>
              <w:rPr>
                <w:noProof/>
                <w:lang w:val="en-US" w:eastAsia="zh-CN"/>
              </w:rPr>
              <w:drawing>
                <wp:inline distT="0" distB="0" distL="0" distR="0">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B0657C" w:rsidRPr="0033329D" w:rsidRDefault="00B0657C" w:rsidP="00B0657C">
      <w:pPr>
        <w:tabs>
          <w:tab w:val="left" w:pos="1440"/>
        </w:tabs>
        <w:spacing w:before="0" w:line="240" w:lineRule="atLeast"/>
        <w:ind w:left="284" w:right="-143"/>
        <w:rPr>
          <w:sz w:val="20"/>
          <w:lang w:val="en-US"/>
        </w:rPr>
      </w:pPr>
    </w:p>
    <w:p w:rsidR="00B0657C" w:rsidRPr="00B0657C" w:rsidRDefault="00B0657C" w:rsidP="00B0657C">
      <w:pPr>
        <w:tabs>
          <w:tab w:val="left" w:pos="1440"/>
        </w:tabs>
        <w:spacing w:before="0" w:line="240" w:lineRule="atLeast"/>
        <w:ind w:left="284" w:right="515"/>
        <w:rPr>
          <w:b/>
          <w:bCs/>
          <w:i/>
          <w:sz w:val="20"/>
          <w:lang w:val="en-US"/>
        </w:rPr>
      </w:pPr>
      <w:r w:rsidRPr="00B0657C">
        <w:rPr>
          <w:b/>
          <w:bCs/>
          <w:i/>
          <w:sz w:val="20"/>
          <w:lang w:val="en-US"/>
        </w:rPr>
        <w:t>IPv6 Group meeting from 7 to 8 April 2011 in Geneva</w:t>
      </w:r>
    </w:p>
    <w:p w:rsidR="00B0657C" w:rsidRPr="00E20C97" w:rsidRDefault="00B0657C" w:rsidP="00B0657C">
      <w:pPr>
        <w:tabs>
          <w:tab w:val="left" w:pos="1440"/>
        </w:tabs>
        <w:spacing w:before="0" w:line="240" w:lineRule="atLeast"/>
        <w:ind w:left="284" w:right="515"/>
        <w:rPr>
          <w:sz w:val="20"/>
          <w:lang w:val="en-US"/>
        </w:rPr>
      </w:pPr>
    </w:p>
    <w:p w:rsidR="00B0657C" w:rsidRPr="00E20C97" w:rsidRDefault="00B0657C" w:rsidP="00B0657C">
      <w:pPr>
        <w:tabs>
          <w:tab w:val="left" w:pos="1440"/>
        </w:tabs>
        <w:spacing w:before="0" w:line="240" w:lineRule="atLeast"/>
        <w:ind w:left="284" w:right="515"/>
        <w:rPr>
          <w:sz w:val="20"/>
          <w:lang w:val="en-US"/>
        </w:rPr>
      </w:pPr>
    </w:p>
    <w:p w:rsidR="00B0657C" w:rsidRPr="00B0657C" w:rsidRDefault="00B0657C" w:rsidP="00B0657C">
      <w:pPr>
        <w:tabs>
          <w:tab w:val="left" w:pos="1440"/>
        </w:tabs>
        <w:spacing w:before="0" w:line="240" w:lineRule="atLeast"/>
        <w:ind w:left="284" w:right="515"/>
        <w:rPr>
          <w:i/>
          <w:sz w:val="20"/>
          <w:lang w:val="en-US"/>
        </w:rPr>
      </w:pPr>
      <w:r w:rsidRPr="00B0657C">
        <w:rPr>
          <w:i/>
          <w:sz w:val="20"/>
          <w:lang w:val="en-US"/>
        </w:rPr>
        <w:t>Confirmation of the reservation made on (date) --------------------------  with (hotel)   ------------------------</w:t>
      </w:r>
    </w:p>
    <w:p w:rsidR="00B0657C" w:rsidRPr="00B0657C" w:rsidRDefault="00B0657C" w:rsidP="00B0657C">
      <w:pPr>
        <w:tabs>
          <w:tab w:val="left" w:pos="1440"/>
        </w:tabs>
        <w:spacing w:before="0" w:line="240" w:lineRule="atLeast"/>
        <w:ind w:left="284" w:right="515"/>
        <w:rPr>
          <w:i/>
          <w:sz w:val="20"/>
          <w:lang w:val="en-US"/>
        </w:rPr>
      </w:pPr>
    </w:p>
    <w:p w:rsidR="00B0657C" w:rsidRPr="00E20C97" w:rsidRDefault="00B0657C" w:rsidP="00B0657C">
      <w:pPr>
        <w:tabs>
          <w:tab w:val="left" w:pos="1440"/>
        </w:tabs>
        <w:spacing w:before="0" w:line="240" w:lineRule="atLeast"/>
        <w:ind w:left="284" w:right="515"/>
        <w:rPr>
          <w:sz w:val="20"/>
          <w:lang w:val="en-US"/>
        </w:rPr>
      </w:pPr>
    </w:p>
    <w:p w:rsidR="00B0657C" w:rsidRPr="008B1814" w:rsidRDefault="00B0657C" w:rsidP="00B0657C">
      <w:pPr>
        <w:tabs>
          <w:tab w:val="left" w:pos="1440"/>
        </w:tabs>
        <w:spacing w:before="0" w:line="240" w:lineRule="atLeast"/>
        <w:ind w:left="284" w:right="515"/>
        <w:rPr>
          <w:u w:val="single"/>
          <w:lang w:val="en-US"/>
        </w:rPr>
      </w:pPr>
      <w:r w:rsidRPr="008B1814">
        <w:rPr>
          <w:b/>
          <w:i/>
          <w:u w:val="single"/>
          <w:lang w:val="en-US"/>
        </w:rPr>
        <w:t xml:space="preserve">at </w:t>
      </w:r>
      <w:r>
        <w:rPr>
          <w:b/>
          <w:i/>
          <w:u w:val="single"/>
          <w:lang w:val="en-US"/>
        </w:rPr>
        <w:t xml:space="preserve">the </w:t>
      </w:r>
      <w:r w:rsidRPr="008B1814">
        <w:rPr>
          <w:b/>
          <w:i/>
          <w:u w:val="single"/>
          <w:lang w:val="en-US"/>
        </w:rPr>
        <w:t xml:space="preserve">ITU preferential tariff </w:t>
      </w:r>
    </w:p>
    <w:p w:rsidR="00B0657C" w:rsidRPr="008B1814" w:rsidRDefault="00B0657C" w:rsidP="00B0657C">
      <w:pPr>
        <w:tabs>
          <w:tab w:val="left" w:pos="1440"/>
        </w:tabs>
        <w:spacing w:before="0" w:line="240" w:lineRule="atLeast"/>
        <w:ind w:left="284" w:right="515"/>
        <w:rPr>
          <w:sz w:val="20"/>
          <w:lang w:val="en-US"/>
        </w:rPr>
      </w:pPr>
    </w:p>
    <w:p w:rsidR="00B0657C" w:rsidRPr="008B1814" w:rsidRDefault="00B0657C" w:rsidP="00B0657C">
      <w:pPr>
        <w:tabs>
          <w:tab w:val="left" w:pos="1440"/>
        </w:tabs>
        <w:spacing w:before="0" w:line="240" w:lineRule="atLeast"/>
        <w:ind w:left="284" w:right="515"/>
        <w:rPr>
          <w:sz w:val="20"/>
          <w:lang w:val="en-US"/>
        </w:rPr>
      </w:pPr>
    </w:p>
    <w:p w:rsidR="00B0657C" w:rsidRPr="00B0657C" w:rsidRDefault="00B0657C" w:rsidP="00B0657C">
      <w:pPr>
        <w:tabs>
          <w:tab w:val="left" w:pos="1440"/>
        </w:tabs>
        <w:spacing w:before="0" w:line="240" w:lineRule="atLeast"/>
        <w:ind w:left="284" w:right="515"/>
        <w:rPr>
          <w:i/>
          <w:sz w:val="20"/>
          <w:lang w:val="en-US"/>
        </w:rPr>
      </w:pPr>
      <w:r w:rsidRPr="00B0657C">
        <w:rPr>
          <w:i/>
          <w:sz w:val="20"/>
          <w:lang w:val="en-US"/>
        </w:rPr>
        <w:t>------------ single/double room(s)</w:t>
      </w:r>
    </w:p>
    <w:p w:rsidR="00B0657C" w:rsidRPr="00B0657C" w:rsidRDefault="00B0657C" w:rsidP="00B0657C">
      <w:pPr>
        <w:tabs>
          <w:tab w:val="left" w:pos="1440"/>
        </w:tabs>
        <w:spacing w:before="0" w:line="240" w:lineRule="atLeast"/>
        <w:ind w:left="284" w:right="515"/>
        <w:rPr>
          <w:i/>
          <w:sz w:val="20"/>
          <w:lang w:val="en-US"/>
        </w:rPr>
      </w:pPr>
    </w:p>
    <w:p w:rsidR="00B0657C" w:rsidRPr="00B0657C" w:rsidRDefault="00B0657C" w:rsidP="00B0657C">
      <w:pPr>
        <w:tabs>
          <w:tab w:val="left" w:pos="1440"/>
        </w:tabs>
        <w:spacing w:before="0" w:line="240" w:lineRule="atLeast"/>
        <w:ind w:left="284" w:right="515"/>
        <w:rPr>
          <w:i/>
          <w:sz w:val="20"/>
          <w:lang w:val="en-US"/>
        </w:rPr>
      </w:pPr>
      <w:r w:rsidRPr="00B0657C">
        <w:rPr>
          <w:i/>
          <w:sz w:val="20"/>
          <w:lang w:val="en-US"/>
        </w:rPr>
        <w:t>arriving on (date)-----------------------------  at (time)  ------------- departing on (date)---------------------------</w:t>
      </w:r>
    </w:p>
    <w:p w:rsidR="00B0657C" w:rsidRPr="00B0657C" w:rsidRDefault="00B0657C" w:rsidP="00B0657C">
      <w:pPr>
        <w:tabs>
          <w:tab w:val="left" w:pos="1440"/>
        </w:tabs>
        <w:spacing w:before="0" w:line="240" w:lineRule="atLeast"/>
        <w:ind w:left="284" w:right="515"/>
        <w:rPr>
          <w:sz w:val="20"/>
          <w:lang w:val="en-US"/>
        </w:rPr>
      </w:pPr>
    </w:p>
    <w:p w:rsidR="00B0657C" w:rsidRPr="00B0657C" w:rsidRDefault="00B0657C" w:rsidP="00B0657C">
      <w:pPr>
        <w:tabs>
          <w:tab w:val="left" w:pos="1440"/>
        </w:tabs>
        <w:spacing w:before="0" w:line="240" w:lineRule="atLeast"/>
        <w:ind w:left="284" w:right="515"/>
        <w:rPr>
          <w:sz w:val="20"/>
          <w:lang w:val="en-US"/>
        </w:rPr>
      </w:pPr>
    </w:p>
    <w:p w:rsidR="00B0657C" w:rsidRPr="00542259" w:rsidRDefault="00B0657C" w:rsidP="00B0657C">
      <w:pPr>
        <w:spacing w:before="0"/>
        <w:ind w:left="284"/>
        <w:outlineLvl w:val="3"/>
        <w:rPr>
          <w:i/>
          <w:iCs/>
          <w:sz w:val="20"/>
          <w:lang w:val="en-US"/>
        </w:rPr>
      </w:pPr>
      <w:smartTag w:uri="urn:schemas-microsoft-com:office:smarttags" w:element="City">
        <w:r w:rsidRPr="00542259">
          <w:rPr>
            <w:b/>
            <w:bCs/>
            <w:i/>
            <w:iCs/>
            <w:sz w:val="20"/>
            <w:lang w:val="en-US"/>
          </w:rPr>
          <w:t>GENEVA</w:t>
        </w:r>
      </w:smartTag>
      <w:r w:rsidRPr="00542259">
        <w:rPr>
          <w:b/>
          <w:bCs/>
          <w:i/>
          <w:iCs/>
          <w:sz w:val="20"/>
          <w:lang w:val="en-US"/>
        </w:rPr>
        <w:t xml:space="preserve"> TRANSPORT CARD : </w:t>
      </w:r>
      <w:r w:rsidRPr="00542259">
        <w:rPr>
          <w:i/>
          <w:iCs/>
          <w:sz w:val="20"/>
          <w:lang w:val="en-US"/>
        </w:rPr>
        <w:t xml:space="preserve">Hotels and residences in the canton of </w:t>
      </w:r>
      <w:smartTag w:uri="urn:schemas-microsoft-com:office:smarttags" w:element="City">
        <w:r w:rsidRPr="00542259">
          <w:rPr>
            <w:i/>
            <w:iCs/>
            <w:sz w:val="20"/>
            <w:lang w:val="en-US"/>
          </w:rPr>
          <w:t>Geneva</w:t>
        </w:r>
      </w:smartTag>
      <w:r w:rsidRPr="00542259">
        <w:rPr>
          <w:i/>
          <w:iCs/>
          <w:sz w:val="20"/>
          <w:lang w:val="en-US"/>
        </w:rPr>
        <w:t xml:space="preserve"> now provide a free "</w:t>
      </w:r>
      <w:smartTag w:uri="urn:schemas-microsoft-com:office:smarttags" w:element="place">
        <w:smartTag w:uri="urn:schemas-microsoft-com:office:smarttags" w:element="City">
          <w:r w:rsidRPr="00542259">
            <w:rPr>
              <w:i/>
              <w:iCs/>
              <w:sz w:val="20"/>
              <w:lang w:val="en-US"/>
            </w:rPr>
            <w:t>Geneva</w:t>
          </w:r>
        </w:smartTag>
      </w:smartTag>
      <w:r w:rsidRPr="00542259">
        <w:rPr>
          <w:i/>
          <w:iCs/>
          <w:sz w:val="20"/>
          <w:lang w:val="en-US"/>
        </w:rPr>
        <w:t xml:space="preserve"> Transport Card" valid for the duration of the stay. This card will give you free access to </w:t>
      </w:r>
      <w:smartTag w:uri="urn:schemas-microsoft-com:office:smarttags" w:element="place">
        <w:smartTag w:uri="urn:schemas-microsoft-com:office:smarttags" w:element="City">
          <w:r w:rsidRPr="00542259">
            <w:rPr>
              <w:i/>
              <w:iCs/>
              <w:sz w:val="20"/>
              <w:lang w:val="en-US"/>
            </w:rPr>
            <w:t>Geneva</w:t>
          </w:r>
        </w:smartTag>
      </w:smartTag>
      <w:r w:rsidRPr="00542259">
        <w:rPr>
          <w:i/>
          <w:iCs/>
          <w:sz w:val="20"/>
          <w:lang w:val="en-US"/>
        </w:rPr>
        <w:t xml:space="preserve"> public transport, including buses, trams, boats and trains as far as Versoix and the airport. </w:t>
      </w:r>
    </w:p>
    <w:p w:rsidR="00B0657C" w:rsidRPr="00817F1B" w:rsidRDefault="00B0657C" w:rsidP="00B0657C">
      <w:pPr>
        <w:tabs>
          <w:tab w:val="left" w:pos="1440"/>
        </w:tabs>
        <w:spacing w:before="0" w:line="240" w:lineRule="atLeast"/>
        <w:ind w:left="284" w:right="515"/>
        <w:rPr>
          <w:sz w:val="20"/>
          <w:lang w:val="en-US"/>
        </w:rPr>
      </w:pPr>
    </w:p>
    <w:p w:rsidR="00B0657C" w:rsidRPr="00C67AB9" w:rsidRDefault="00B0657C" w:rsidP="00B0657C">
      <w:pPr>
        <w:tabs>
          <w:tab w:val="left" w:pos="1440"/>
        </w:tabs>
        <w:spacing w:before="0" w:line="240" w:lineRule="atLeast"/>
        <w:ind w:left="284" w:right="515"/>
        <w:rPr>
          <w:sz w:val="20"/>
          <w:lang w:val="en-US"/>
        </w:rPr>
      </w:pPr>
    </w:p>
    <w:p w:rsidR="00B0657C" w:rsidRPr="00C67AB9" w:rsidRDefault="00B0657C" w:rsidP="00B0657C">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B0657C" w:rsidRPr="00C67AB9" w:rsidRDefault="00B0657C" w:rsidP="00B0657C">
      <w:pPr>
        <w:tabs>
          <w:tab w:val="left" w:pos="1440"/>
        </w:tabs>
        <w:spacing w:before="0" w:line="240" w:lineRule="atLeast"/>
        <w:ind w:left="284" w:right="515"/>
        <w:rPr>
          <w:sz w:val="20"/>
          <w:lang w:val="en-US"/>
        </w:rPr>
      </w:pPr>
    </w:p>
    <w:p w:rsidR="00B0657C" w:rsidRPr="00C67AB9" w:rsidRDefault="00B0657C" w:rsidP="00B0657C">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B0657C" w:rsidRPr="00C67AB9" w:rsidRDefault="00B0657C" w:rsidP="00B0657C">
      <w:pPr>
        <w:tabs>
          <w:tab w:val="left" w:pos="1440"/>
        </w:tabs>
        <w:spacing w:before="0" w:line="240" w:lineRule="atLeast"/>
        <w:ind w:left="284" w:right="515"/>
        <w:rPr>
          <w:sz w:val="20"/>
          <w:lang w:val="en-US"/>
        </w:rPr>
      </w:pPr>
    </w:p>
    <w:p w:rsidR="00B0657C" w:rsidRDefault="00B0657C" w:rsidP="00B0657C">
      <w:pPr>
        <w:tabs>
          <w:tab w:val="left" w:pos="1440"/>
        </w:tabs>
        <w:spacing w:before="0" w:line="240" w:lineRule="atLeast"/>
        <w:ind w:left="284" w:right="515"/>
        <w:rPr>
          <w:sz w:val="20"/>
          <w:lang w:val="en-US"/>
        </w:rPr>
      </w:pPr>
    </w:p>
    <w:p w:rsidR="00B0657C" w:rsidRPr="00C67AB9" w:rsidRDefault="00B0657C" w:rsidP="00B0657C">
      <w:pPr>
        <w:tabs>
          <w:tab w:val="left" w:pos="1440"/>
        </w:tabs>
        <w:spacing w:before="0" w:line="240" w:lineRule="atLeast"/>
        <w:ind w:left="284" w:right="515"/>
        <w:rPr>
          <w:sz w:val="20"/>
          <w:lang w:val="en-US"/>
        </w:rPr>
      </w:pPr>
    </w:p>
    <w:p w:rsidR="00B0657C" w:rsidRPr="00C67AB9" w:rsidRDefault="00B0657C" w:rsidP="00B0657C">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w:t>
      </w:r>
      <w:r>
        <w:rPr>
          <w:i/>
          <w:iCs/>
          <w:sz w:val="20"/>
          <w:lang w:val="en-US"/>
        </w:rPr>
        <w:t>el: ---------------------------</w:t>
      </w:r>
    </w:p>
    <w:p w:rsidR="00B0657C" w:rsidRPr="00C67AB9" w:rsidRDefault="00B0657C" w:rsidP="00B0657C">
      <w:pPr>
        <w:tabs>
          <w:tab w:val="left" w:pos="1440"/>
        </w:tabs>
        <w:spacing w:before="0" w:line="240" w:lineRule="atLeast"/>
        <w:ind w:left="284" w:right="515"/>
        <w:rPr>
          <w:i/>
          <w:iCs/>
          <w:sz w:val="20"/>
          <w:lang w:val="en-US"/>
        </w:rPr>
      </w:pPr>
    </w:p>
    <w:p w:rsidR="00B0657C" w:rsidRPr="008B1814" w:rsidRDefault="00B0657C" w:rsidP="00B0657C">
      <w:pPr>
        <w:tabs>
          <w:tab w:val="left" w:pos="1440"/>
        </w:tabs>
        <w:spacing w:before="0" w:line="240" w:lineRule="atLeast"/>
        <w:ind w:left="284" w:right="515"/>
        <w:rPr>
          <w:i/>
          <w:iCs/>
          <w:sz w:val="20"/>
          <w:lang w:val="en-US"/>
        </w:rPr>
      </w:pPr>
      <w:r w:rsidRPr="008B1814">
        <w:rPr>
          <w:i/>
          <w:iCs/>
          <w:sz w:val="20"/>
          <w:lang w:val="en-US"/>
        </w:rPr>
        <w:t>-----------------------------------------------------------------------------------------         Fax: ----------------------------</w:t>
      </w:r>
    </w:p>
    <w:p w:rsidR="00B0657C" w:rsidRPr="008B1814" w:rsidRDefault="00B0657C" w:rsidP="00B0657C">
      <w:pPr>
        <w:tabs>
          <w:tab w:val="left" w:pos="1440"/>
        </w:tabs>
        <w:spacing w:before="0" w:line="240" w:lineRule="atLeast"/>
        <w:ind w:left="284" w:right="515"/>
        <w:rPr>
          <w:i/>
          <w:iCs/>
          <w:sz w:val="20"/>
          <w:lang w:val="en-US"/>
        </w:rPr>
      </w:pPr>
    </w:p>
    <w:p w:rsidR="00B0657C" w:rsidRPr="0033329D" w:rsidRDefault="00B0657C" w:rsidP="00B0657C">
      <w:pPr>
        <w:tabs>
          <w:tab w:val="left" w:pos="1440"/>
        </w:tabs>
        <w:spacing w:before="0" w:line="240" w:lineRule="atLeast"/>
        <w:ind w:left="284" w:right="515"/>
        <w:rPr>
          <w:sz w:val="20"/>
          <w:lang w:val="en-US"/>
        </w:rPr>
      </w:pPr>
      <w:r w:rsidRPr="0033329D">
        <w:rPr>
          <w:i/>
          <w:iCs/>
          <w:sz w:val="20"/>
          <w:lang w:val="en-US"/>
        </w:rPr>
        <w:t>-----------------------------------------------------------------------------------------      E-mail:</w:t>
      </w:r>
      <w:r>
        <w:rPr>
          <w:sz w:val="20"/>
          <w:lang w:val="en-US"/>
        </w:rPr>
        <w:t xml:space="preserve"> ---------------------------</w:t>
      </w:r>
    </w:p>
    <w:p w:rsidR="00B0657C" w:rsidRPr="0033329D" w:rsidRDefault="00B0657C" w:rsidP="00B0657C">
      <w:pPr>
        <w:tabs>
          <w:tab w:val="left" w:pos="1440"/>
        </w:tabs>
        <w:spacing w:before="0" w:line="240" w:lineRule="atLeast"/>
        <w:ind w:left="284" w:right="515"/>
        <w:rPr>
          <w:sz w:val="20"/>
          <w:lang w:val="en-US"/>
        </w:rPr>
      </w:pPr>
    </w:p>
    <w:p w:rsidR="00B0657C" w:rsidRPr="0033329D" w:rsidRDefault="00B0657C" w:rsidP="00B0657C">
      <w:pPr>
        <w:tabs>
          <w:tab w:val="left" w:pos="1440"/>
        </w:tabs>
        <w:spacing w:before="0" w:line="240" w:lineRule="atLeast"/>
        <w:ind w:left="284" w:right="515"/>
        <w:rPr>
          <w:sz w:val="20"/>
          <w:lang w:val="en-US"/>
        </w:rPr>
      </w:pPr>
    </w:p>
    <w:p w:rsidR="00B0657C" w:rsidRPr="0033329D" w:rsidRDefault="00B0657C" w:rsidP="00B0657C">
      <w:pPr>
        <w:tabs>
          <w:tab w:val="left" w:pos="1440"/>
        </w:tabs>
        <w:spacing w:before="0" w:line="240" w:lineRule="atLeast"/>
        <w:ind w:left="284" w:right="515"/>
        <w:rPr>
          <w:sz w:val="20"/>
          <w:lang w:val="en-US"/>
        </w:rPr>
      </w:pPr>
    </w:p>
    <w:p w:rsidR="00B0657C" w:rsidRPr="00C67AB9" w:rsidRDefault="00B0657C" w:rsidP="00B0657C">
      <w:pPr>
        <w:tabs>
          <w:tab w:val="left" w:pos="1440"/>
        </w:tabs>
        <w:spacing w:before="0" w:line="240" w:lineRule="atLeast"/>
        <w:ind w:left="284" w:right="515"/>
        <w:rPr>
          <w:sz w:val="20"/>
          <w:lang w:val="en-US"/>
        </w:rPr>
      </w:pPr>
      <w:r w:rsidRPr="00B0657C">
        <w:rPr>
          <w:i/>
          <w:sz w:val="20"/>
          <w:lang w:val="en-US"/>
        </w:rPr>
        <w:t>Credit card to guarantee this reservation</w:t>
      </w:r>
      <w:r w:rsidRPr="00B0657C">
        <w:rPr>
          <w:sz w:val="20"/>
          <w:lang w:val="en-US"/>
        </w:rPr>
        <w:t>:        AX/VISA/DINERS/EC  (</w:t>
      </w:r>
      <w:r w:rsidRPr="00B0657C">
        <w:rPr>
          <w:i/>
          <w:iCs/>
          <w:sz w:val="20"/>
          <w:lang w:val="en-US"/>
        </w:rPr>
        <w:t>or</w:t>
      </w:r>
      <w:r w:rsidRPr="00B0657C">
        <w:rPr>
          <w:sz w:val="20"/>
          <w:lang w:val="en-US"/>
        </w:rPr>
        <w:t xml:space="preserve"> </w:t>
      </w:r>
      <w:r w:rsidRPr="00C67AB9">
        <w:rPr>
          <w:i/>
          <w:sz w:val="20"/>
          <w:lang w:val="en-US"/>
        </w:rPr>
        <w:t>othe</w:t>
      </w:r>
      <w:r>
        <w:rPr>
          <w:i/>
          <w:sz w:val="20"/>
          <w:lang w:val="en-US"/>
        </w:rPr>
        <w:t>r) ---------------------------</w:t>
      </w:r>
    </w:p>
    <w:p w:rsidR="00B0657C" w:rsidRPr="00C67AB9" w:rsidRDefault="00B0657C" w:rsidP="00B0657C">
      <w:pPr>
        <w:tabs>
          <w:tab w:val="left" w:pos="1440"/>
        </w:tabs>
        <w:spacing w:before="0" w:line="240" w:lineRule="atLeast"/>
        <w:ind w:left="284" w:right="515"/>
        <w:rPr>
          <w:sz w:val="20"/>
          <w:lang w:val="en-US"/>
        </w:rPr>
      </w:pPr>
    </w:p>
    <w:p w:rsidR="00B0657C" w:rsidRPr="00C67AB9" w:rsidRDefault="00B0657C" w:rsidP="00B0657C">
      <w:pPr>
        <w:tabs>
          <w:tab w:val="left" w:pos="1440"/>
        </w:tabs>
        <w:spacing w:before="0" w:line="240" w:lineRule="atLeast"/>
        <w:ind w:left="284" w:right="515"/>
        <w:rPr>
          <w:sz w:val="20"/>
          <w:lang w:val="en-US"/>
        </w:rPr>
      </w:pPr>
    </w:p>
    <w:p w:rsidR="00B0657C" w:rsidRPr="00C67AB9" w:rsidRDefault="00B0657C" w:rsidP="00B0657C">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B0657C" w:rsidRPr="00C67AB9" w:rsidRDefault="00B0657C" w:rsidP="00B0657C">
      <w:pPr>
        <w:tabs>
          <w:tab w:val="left" w:pos="1440"/>
        </w:tabs>
        <w:spacing w:before="0" w:line="240" w:lineRule="atLeast"/>
        <w:ind w:right="515"/>
        <w:rPr>
          <w:sz w:val="20"/>
          <w:lang w:val="en-US"/>
        </w:rPr>
      </w:pPr>
    </w:p>
    <w:p w:rsidR="00B0657C" w:rsidRPr="00B0657C" w:rsidRDefault="00B0657C" w:rsidP="00B0657C">
      <w:pPr>
        <w:tabs>
          <w:tab w:val="left" w:pos="1440"/>
        </w:tabs>
        <w:spacing w:before="0" w:line="240" w:lineRule="atLeast"/>
        <w:ind w:left="284" w:right="515"/>
        <w:rPr>
          <w:lang w:val="en-US"/>
        </w:rPr>
        <w:sectPr w:rsidR="00B0657C" w:rsidRPr="00B0657C" w:rsidSect="00B0657C">
          <w:headerReference w:type="first" r:id="rId25"/>
          <w:footerReference w:type="first" r:id="rId26"/>
          <w:type w:val="oddPage"/>
          <w:pgSz w:w="11907" w:h="16839" w:code="9"/>
          <w:pgMar w:top="1134" w:right="507" w:bottom="1134" w:left="1134" w:header="567" w:footer="567" w:gutter="0"/>
          <w:paperSrc w:first="4" w:other="4"/>
          <w:cols w:space="720"/>
          <w:docGrid w:linePitch="326"/>
        </w:sectPr>
      </w:pPr>
      <w:r w:rsidRPr="00B0657C">
        <w:rPr>
          <w:i/>
          <w:sz w:val="20"/>
          <w:lang w:val="en-US"/>
        </w:rPr>
        <w:t>Date</w:t>
      </w:r>
      <w:r w:rsidRPr="00B0657C">
        <w:rPr>
          <w:sz w:val="20"/>
          <w:lang w:val="en-US"/>
        </w:rPr>
        <w:t xml:space="preserve"> ------------------------------------------------------      </w:t>
      </w:r>
      <w:r w:rsidRPr="00B0657C">
        <w:rPr>
          <w:i/>
          <w:sz w:val="20"/>
          <w:lang w:val="en-US"/>
        </w:rPr>
        <w:t xml:space="preserve">Signature </w:t>
      </w:r>
      <w:r w:rsidRPr="00B0657C">
        <w:rPr>
          <w:sz w:val="20"/>
          <w:lang w:val="en-US"/>
        </w:rPr>
        <w:t xml:space="preserve">       ----------------------------------------------</w:t>
      </w:r>
    </w:p>
    <w:p w:rsidR="00B0657C" w:rsidRPr="00B0657C" w:rsidRDefault="00B0657C" w:rsidP="00B0657C">
      <w:pPr>
        <w:pStyle w:val="LetterStart"/>
        <w:tabs>
          <w:tab w:val="clear" w:pos="1361"/>
          <w:tab w:val="clear" w:pos="1758"/>
          <w:tab w:val="clear" w:pos="2155"/>
          <w:tab w:val="clear" w:pos="2552"/>
          <w:tab w:val="center" w:pos="4962"/>
        </w:tabs>
        <w:spacing w:before="120" w:line="240" w:lineRule="atLeast"/>
        <w:ind w:left="0"/>
        <w:jc w:val="center"/>
        <w:rPr>
          <w:lang w:val="en-US"/>
        </w:rPr>
      </w:pPr>
      <w:r w:rsidRPr="00AE1FD2">
        <w:rPr>
          <w:lang w:val="en-US"/>
        </w:rPr>
        <w:lastRenderedPageBreak/>
        <w:t xml:space="preserve">ANNEX </w:t>
      </w:r>
      <w:r>
        <w:rPr>
          <w:lang w:val="en-US"/>
        </w:rPr>
        <w:t>4</w:t>
      </w:r>
      <w:r w:rsidRPr="00AE1FD2">
        <w:rPr>
          <w:lang w:val="en-US"/>
        </w:rPr>
        <w:br/>
      </w:r>
      <w:r w:rsidRPr="00B0657C">
        <w:rPr>
          <w:lang w:val="en-US"/>
        </w:rPr>
        <w:t>(to TSB Circular 162 – BDT/POL/CYB/Circular/001)</w:t>
      </w:r>
    </w:p>
    <w:p w:rsidR="00B0657C" w:rsidRPr="004F7D48" w:rsidRDefault="00B0657C" w:rsidP="00B0657C">
      <w:pPr>
        <w:spacing w:line="240" w:lineRule="atLeast"/>
        <w:jc w:val="center"/>
        <w:rPr>
          <w:b/>
          <w:bCs/>
          <w:i/>
          <w:iCs/>
          <w:sz w:val="28"/>
          <w:szCs w:val="28"/>
        </w:rPr>
      </w:pPr>
      <w:r w:rsidRPr="00AE1FD2">
        <w:rPr>
          <w:b/>
          <w:bCs/>
          <w:i/>
          <w:iCs/>
          <w:sz w:val="28"/>
          <w:szCs w:val="28"/>
        </w:rPr>
        <w:t>Fellowship request form</w:t>
      </w:r>
      <w:r>
        <w:rPr>
          <w:b/>
          <w:bCs/>
          <w:i/>
          <w:iCs/>
          <w:sz w:val="28"/>
          <w:szCs w:val="28"/>
        </w:rPr>
        <w:br/>
      </w:r>
    </w:p>
    <w:tbl>
      <w:tblPr>
        <w:tblW w:w="9508"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020"/>
        <w:gridCol w:w="10"/>
      </w:tblGrid>
      <w:tr w:rsidR="00B0657C" w:rsidRPr="00AE1FD2" w:rsidTr="00867DC4">
        <w:trPr>
          <w:gridBefore w:val="1"/>
          <w:wBefore w:w="27" w:type="dxa"/>
          <w:cantSplit/>
          <w:trHeight w:val="1124"/>
        </w:trPr>
        <w:tc>
          <w:tcPr>
            <w:tcW w:w="1150" w:type="dxa"/>
            <w:tcBorders>
              <w:top w:val="single" w:sz="6" w:space="0" w:color="auto"/>
              <w:left w:val="single" w:sz="6" w:space="0" w:color="auto"/>
              <w:bottom w:val="single" w:sz="6" w:space="0" w:color="auto"/>
            </w:tcBorders>
          </w:tcPr>
          <w:p w:rsidR="00B0657C" w:rsidRPr="00AE1FD2" w:rsidRDefault="00B0657C" w:rsidP="00867DC4">
            <w:r w:rsidRPr="00AE1FD2">
              <w:rPr>
                <w:sz w:val="16"/>
              </w:rPr>
              <w:fldChar w:fldCharType="begin"/>
            </w:r>
            <w:r w:rsidRPr="00AE1FD2">
              <w:rPr>
                <w:sz w:val="16"/>
              </w:rPr>
              <w:instrText>import R:\\ART\\TIF\\LGO_0UIT.TIF</w:instrText>
            </w:r>
            <w:r w:rsidRPr="00AE1FD2">
              <w:rPr>
                <w:sz w:val="16"/>
              </w:rPr>
              <w:fldChar w:fldCharType="separate"/>
            </w:r>
            <w:r>
              <w:rPr>
                <w:noProof/>
                <w:sz w:val="20"/>
                <w:lang w:val="en-US" w:eastAsia="zh-CN"/>
              </w:rPr>
              <w:drawing>
                <wp:inline distT="0" distB="0" distL="0" distR="0">
                  <wp:extent cx="561975" cy="590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1975" cy="590550"/>
                          </a:xfrm>
                          <a:prstGeom prst="rect">
                            <a:avLst/>
                          </a:prstGeom>
                          <a:noFill/>
                          <a:ln>
                            <a:noFill/>
                          </a:ln>
                        </pic:spPr>
                      </pic:pic>
                    </a:graphicData>
                  </a:graphic>
                </wp:inline>
              </w:drawing>
            </w:r>
            <w:r w:rsidRPr="00AE1FD2">
              <w:rPr>
                <w:sz w:val="16"/>
              </w:rPr>
              <w:fldChar w:fldCharType="end"/>
            </w:r>
          </w:p>
        </w:tc>
        <w:tc>
          <w:tcPr>
            <w:tcW w:w="7301" w:type="dxa"/>
            <w:gridSpan w:val="6"/>
            <w:tcBorders>
              <w:top w:val="single" w:sz="6" w:space="0" w:color="auto"/>
              <w:bottom w:val="single" w:sz="6" w:space="0" w:color="auto"/>
            </w:tcBorders>
          </w:tcPr>
          <w:p w:rsidR="00B0657C" w:rsidRPr="00B0657C" w:rsidRDefault="00B0657C" w:rsidP="00867DC4">
            <w:pPr>
              <w:spacing w:before="360"/>
              <w:jc w:val="center"/>
              <w:rPr>
                <w:b/>
                <w:bCs/>
                <w:sz w:val="28"/>
                <w:szCs w:val="28"/>
                <w:lang w:val="en-US"/>
              </w:rPr>
            </w:pPr>
            <w:r w:rsidRPr="00B0657C">
              <w:rPr>
                <w:b/>
                <w:bCs/>
                <w:sz w:val="28"/>
                <w:szCs w:val="28"/>
                <w:lang w:val="en-US"/>
              </w:rPr>
              <w:t>IPv6 Group Meeting</w:t>
            </w:r>
          </w:p>
          <w:p w:rsidR="00B0657C" w:rsidRPr="00B0657C" w:rsidRDefault="00B0657C" w:rsidP="00867DC4">
            <w:pPr>
              <w:jc w:val="center"/>
              <w:rPr>
                <w:rFonts w:ascii="Book Antiqua" w:hAnsi="Book Antiqua"/>
                <w:b/>
                <w:bCs/>
                <w:lang w:val="en-US"/>
              </w:rPr>
            </w:pPr>
            <w:r w:rsidRPr="00B0657C">
              <w:rPr>
                <w:b/>
                <w:bCs/>
                <w:sz w:val="28"/>
                <w:szCs w:val="28"/>
                <w:lang w:val="en-US"/>
              </w:rPr>
              <w:t>Geneva, Switzerland, 7-8 April 2011</w:t>
            </w:r>
            <w:r w:rsidRPr="00B0657C">
              <w:rPr>
                <w:rFonts w:ascii="Book Antiqua" w:hAnsi="Book Antiqua"/>
                <w:b/>
                <w:bCs/>
                <w:color w:val="FF0000"/>
                <w:lang w:val="en-US"/>
              </w:rPr>
              <w:t xml:space="preserve"> </w:t>
            </w:r>
          </w:p>
        </w:tc>
        <w:tc>
          <w:tcPr>
            <w:tcW w:w="1030" w:type="dxa"/>
            <w:gridSpan w:val="2"/>
            <w:tcBorders>
              <w:top w:val="single" w:sz="6" w:space="0" w:color="auto"/>
              <w:bottom w:val="single" w:sz="6" w:space="0" w:color="auto"/>
              <w:right w:val="single" w:sz="6" w:space="0" w:color="auto"/>
            </w:tcBorders>
          </w:tcPr>
          <w:p w:rsidR="00B0657C" w:rsidRPr="00AE1FD2" w:rsidRDefault="00B0657C" w:rsidP="00867DC4">
            <w:r>
              <w:fldChar w:fldCharType="begin"/>
            </w:r>
            <w:r>
              <w:instrText>import R:\\ART\\TIF\\LGO_0ITU.TIF</w:instrText>
            </w:r>
            <w:r>
              <w:fldChar w:fldCharType="separate"/>
            </w:r>
            <w:r>
              <w:rPr>
                <w:noProof/>
                <w:sz w:val="20"/>
                <w:lang w:val="en-US" w:eastAsia="zh-CN"/>
              </w:rPr>
              <w:drawing>
                <wp:inline distT="0" distB="0" distL="0" distR="0">
                  <wp:extent cx="5715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a:ln>
                            <a:noFill/>
                          </a:ln>
                        </pic:spPr>
                      </pic:pic>
                    </a:graphicData>
                  </a:graphic>
                </wp:inline>
              </w:drawing>
            </w:r>
            <w:r>
              <w:fldChar w:fldCharType="end"/>
            </w:r>
          </w:p>
          <w:p w:rsidR="00B0657C" w:rsidRPr="00AE1FD2" w:rsidRDefault="00B0657C" w:rsidP="00867DC4"/>
        </w:tc>
      </w:tr>
      <w:tr w:rsidR="00B0657C" w:rsidRPr="00AE1FD2" w:rsidTr="00867DC4">
        <w:trPr>
          <w:gridAfter w:val="1"/>
          <w:wAfter w:w="10" w:type="dxa"/>
          <w:trHeight w:val="746"/>
        </w:trPr>
        <w:tc>
          <w:tcPr>
            <w:tcW w:w="2694" w:type="dxa"/>
            <w:gridSpan w:val="3"/>
          </w:tcPr>
          <w:p w:rsidR="00B0657C" w:rsidRPr="00AE1FD2" w:rsidRDefault="00B0657C" w:rsidP="00867DC4">
            <w:pPr>
              <w:rPr>
                <w:b/>
                <w:bCs/>
                <w:iCs/>
                <w:sz w:val="20"/>
              </w:rPr>
            </w:pPr>
            <w:r w:rsidRPr="00AE1FD2">
              <w:rPr>
                <w:b/>
                <w:bCs/>
                <w:iCs/>
                <w:sz w:val="20"/>
              </w:rPr>
              <w:t>Please return to:</w:t>
            </w:r>
          </w:p>
        </w:tc>
        <w:tc>
          <w:tcPr>
            <w:tcW w:w="3118" w:type="dxa"/>
            <w:gridSpan w:val="2"/>
          </w:tcPr>
          <w:p w:rsidR="00B0657C" w:rsidRPr="00AE1FD2" w:rsidRDefault="00B0657C" w:rsidP="00867DC4">
            <w:pPr>
              <w:rPr>
                <w:b/>
                <w:bCs/>
                <w:iCs/>
                <w:sz w:val="20"/>
                <w:lang w:val="en-US"/>
              </w:rPr>
            </w:pPr>
            <w:r w:rsidRPr="00AE1FD2">
              <w:rPr>
                <w:b/>
                <w:bCs/>
                <w:sz w:val="20"/>
                <w:lang w:val="en-US"/>
              </w:rPr>
              <w:t xml:space="preserve">ITU/BDT </w:t>
            </w:r>
            <w:r>
              <w:rPr>
                <w:b/>
                <w:bCs/>
                <w:sz w:val="20"/>
                <w:lang w:val="en-US"/>
              </w:rPr>
              <w:br/>
            </w:r>
            <w:r w:rsidRPr="00AE1FD2">
              <w:rPr>
                <w:b/>
                <w:bCs/>
                <w:sz w:val="20"/>
                <w:lang w:val="en-US"/>
              </w:rPr>
              <w:t>Geneva (</w:t>
            </w:r>
            <w:smartTag w:uri="urn:schemas-microsoft-com:office:smarttags" w:element="place">
              <w:smartTag w:uri="urn:schemas-microsoft-com:office:smarttags" w:element="country-region">
                <w:r w:rsidRPr="00AE1FD2">
                  <w:rPr>
                    <w:b/>
                    <w:bCs/>
                    <w:sz w:val="20"/>
                    <w:lang w:val="en-US"/>
                  </w:rPr>
                  <w:t>Switzerland</w:t>
                </w:r>
              </w:smartTag>
            </w:smartTag>
            <w:r w:rsidRPr="00AE1FD2">
              <w:rPr>
                <w:b/>
                <w:bCs/>
                <w:sz w:val="20"/>
                <w:lang w:val="en-US"/>
              </w:rPr>
              <w:t>)</w:t>
            </w:r>
            <w:r>
              <w:rPr>
                <w:b/>
                <w:bCs/>
                <w:sz w:val="20"/>
                <w:lang w:val="en-US"/>
              </w:rPr>
              <w:br/>
            </w:r>
            <w:r w:rsidRPr="00D0036B">
              <w:rPr>
                <w:b/>
                <w:bCs/>
                <w:sz w:val="20"/>
                <w:lang w:val="it-IT"/>
              </w:rPr>
              <w:t xml:space="preserve">Tel: +41 22 730 5487 </w:t>
            </w:r>
            <w:r>
              <w:rPr>
                <w:b/>
                <w:bCs/>
                <w:sz w:val="20"/>
                <w:lang w:val="it-IT"/>
              </w:rPr>
              <w:br/>
            </w:r>
            <w:r w:rsidRPr="00917B94">
              <w:rPr>
                <w:b/>
                <w:bCs/>
                <w:sz w:val="20"/>
                <w:lang w:val="en-US"/>
              </w:rPr>
              <w:t>Fax: +41 22 730 5778</w:t>
            </w:r>
          </w:p>
        </w:tc>
        <w:tc>
          <w:tcPr>
            <w:tcW w:w="3686" w:type="dxa"/>
            <w:gridSpan w:val="4"/>
          </w:tcPr>
          <w:p w:rsidR="00B0657C" w:rsidRPr="00D0036B" w:rsidRDefault="00B0657C" w:rsidP="00867DC4">
            <w:pPr>
              <w:jc w:val="center"/>
              <w:rPr>
                <w:b/>
                <w:bCs/>
                <w:szCs w:val="22"/>
                <w:lang w:val="it-IT"/>
              </w:rPr>
            </w:pPr>
            <w:r>
              <w:rPr>
                <w:b/>
                <w:bCs/>
                <w:szCs w:val="22"/>
                <w:lang w:val="it-IT"/>
              </w:rPr>
              <w:br/>
            </w:r>
            <w:r w:rsidRPr="00D0036B">
              <w:rPr>
                <w:b/>
                <w:bCs/>
                <w:szCs w:val="22"/>
                <w:lang w:val="it-IT"/>
              </w:rPr>
              <w:t xml:space="preserve">E-mail : </w:t>
            </w:r>
            <w:hyperlink r:id="rId29" w:history="1">
              <w:r w:rsidRPr="00D0036B">
                <w:rPr>
                  <w:b/>
                  <w:bCs/>
                  <w:color w:val="0000FF"/>
                  <w:u w:val="single"/>
                  <w:lang w:val="it-IT"/>
                </w:rPr>
                <w:t>bdtfellowships@itu.int</w:t>
              </w:r>
            </w:hyperlink>
            <w:r w:rsidRPr="00D0036B">
              <w:rPr>
                <w:b/>
                <w:bCs/>
                <w:szCs w:val="22"/>
                <w:lang w:val="it-IT"/>
              </w:rPr>
              <w:t xml:space="preserve"> </w:t>
            </w:r>
          </w:p>
          <w:p w:rsidR="00B0657C" w:rsidRPr="00917B94" w:rsidRDefault="00B0657C" w:rsidP="00867DC4">
            <w:pPr>
              <w:jc w:val="center"/>
              <w:rPr>
                <w:b/>
                <w:bCs/>
                <w:sz w:val="20"/>
                <w:lang w:val="en-US"/>
              </w:rPr>
            </w:pPr>
          </w:p>
        </w:tc>
      </w:tr>
      <w:tr w:rsidR="00B0657C" w:rsidRPr="00B0657C" w:rsidTr="00867DC4">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481" w:type="dxa"/>
            <w:gridSpan w:val="9"/>
            <w:tcBorders>
              <w:top w:val="single" w:sz="12" w:space="0" w:color="auto"/>
              <w:bottom w:val="single" w:sz="12" w:space="0" w:color="auto"/>
            </w:tcBorders>
          </w:tcPr>
          <w:p w:rsidR="00B0657C" w:rsidRPr="00AE1FD2" w:rsidRDefault="00B0657C" w:rsidP="00867DC4">
            <w:pPr>
              <w:spacing w:after="120"/>
              <w:jc w:val="center"/>
              <w:rPr>
                <w:iCs/>
                <w:lang w:val="en-US"/>
              </w:rPr>
            </w:pPr>
            <w:r w:rsidRPr="00AE1FD2">
              <w:rPr>
                <w:b/>
                <w:iCs/>
                <w:lang w:val="en-US"/>
              </w:rPr>
              <w:t xml:space="preserve">Request for a partial fellowship to be submitted before </w:t>
            </w:r>
            <w:r>
              <w:rPr>
                <w:b/>
                <w:i/>
                <w:sz w:val="28"/>
                <w:szCs w:val="28"/>
                <w:u w:val="single"/>
                <w:lang w:val="en-US"/>
              </w:rPr>
              <w:t>10</w:t>
            </w:r>
            <w:r w:rsidRPr="00F03D9E">
              <w:rPr>
                <w:b/>
                <w:i/>
                <w:sz w:val="28"/>
                <w:szCs w:val="28"/>
                <w:u w:val="single"/>
                <w:lang w:val="en-US"/>
              </w:rPr>
              <w:t xml:space="preserve"> </w:t>
            </w:r>
            <w:r>
              <w:rPr>
                <w:b/>
                <w:i/>
                <w:sz w:val="28"/>
                <w:szCs w:val="28"/>
                <w:u w:val="single"/>
                <w:lang w:val="en-US"/>
              </w:rPr>
              <w:t xml:space="preserve">March </w:t>
            </w:r>
            <w:r w:rsidRPr="00F03D9E">
              <w:rPr>
                <w:b/>
                <w:i/>
                <w:sz w:val="28"/>
                <w:szCs w:val="28"/>
                <w:u w:val="single"/>
                <w:lang w:val="en-US"/>
              </w:rPr>
              <w:t>201</w:t>
            </w:r>
            <w:r>
              <w:rPr>
                <w:b/>
                <w:i/>
                <w:sz w:val="28"/>
                <w:szCs w:val="28"/>
                <w:u w:val="single"/>
                <w:lang w:val="en-US"/>
              </w:rPr>
              <w:t>1</w:t>
            </w:r>
            <w:r w:rsidRPr="00AE1FD2">
              <w:rPr>
                <w:b/>
                <w:iCs/>
                <w:lang w:val="en-US"/>
              </w:rPr>
              <w:t>  </w:t>
            </w:r>
          </w:p>
        </w:tc>
      </w:tr>
      <w:tr w:rsidR="00B0657C" w:rsidRPr="00B0657C" w:rsidTr="00867DC4">
        <w:tblPrEx>
          <w:tblCellMar>
            <w:left w:w="107" w:type="dxa"/>
            <w:right w:w="107" w:type="dxa"/>
          </w:tblCellMar>
        </w:tblPrEx>
        <w:trPr>
          <w:gridAfter w:val="1"/>
          <w:wAfter w:w="10" w:type="dxa"/>
        </w:trPr>
        <w:tc>
          <w:tcPr>
            <w:tcW w:w="2836" w:type="dxa"/>
            <w:gridSpan w:val="4"/>
          </w:tcPr>
          <w:p w:rsidR="00B0657C" w:rsidRPr="00AE1FD2" w:rsidRDefault="00B0657C" w:rsidP="00867DC4">
            <w:pP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0657C" w:rsidRPr="00AE1FD2" w:rsidRDefault="00B0657C" w:rsidP="00867DC4">
            <w:pPr>
              <w:jc w:val="center"/>
              <w:rPr>
                <w:iCs/>
                <w:lang w:val="en-US"/>
              </w:rPr>
            </w:pPr>
            <w:r w:rsidRPr="00AE1FD2">
              <w:rPr>
                <w:iCs/>
                <w:lang w:val="en-US"/>
              </w:rPr>
              <w:t>Participation of women is encouraged</w:t>
            </w:r>
          </w:p>
        </w:tc>
        <w:tc>
          <w:tcPr>
            <w:tcW w:w="3000" w:type="dxa"/>
            <w:gridSpan w:val="2"/>
            <w:tcBorders>
              <w:left w:val="nil"/>
            </w:tcBorders>
          </w:tcPr>
          <w:p w:rsidR="00B0657C" w:rsidRPr="00AE1FD2" w:rsidRDefault="00B0657C" w:rsidP="00867DC4">
            <w:pPr>
              <w:jc w:val="center"/>
              <w:rPr>
                <w:lang w:val="en-US"/>
              </w:rPr>
            </w:pPr>
          </w:p>
        </w:tc>
      </w:tr>
      <w:tr w:rsidR="00B0657C" w:rsidRPr="00AE1FD2" w:rsidTr="00867DC4">
        <w:trPr>
          <w:cantSplit/>
        </w:trPr>
        <w:tc>
          <w:tcPr>
            <w:tcW w:w="9508" w:type="dxa"/>
            <w:gridSpan w:val="10"/>
            <w:tcBorders>
              <w:top w:val="single" w:sz="6" w:space="0" w:color="auto"/>
              <w:left w:val="single" w:sz="6" w:space="0" w:color="auto"/>
              <w:right w:val="single" w:sz="6" w:space="0" w:color="auto"/>
            </w:tcBorders>
          </w:tcPr>
          <w:p w:rsidR="00B0657C" w:rsidRPr="00AE1FD2" w:rsidRDefault="00B0657C" w:rsidP="00867DC4">
            <w:pPr>
              <w:tabs>
                <w:tab w:val="left" w:pos="170"/>
                <w:tab w:val="left" w:pos="1701"/>
                <w:tab w:val="right" w:leader="underscore" w:pos="10773"/>
              </w:tabs>
              <w:rPr>
                <w:b/>
                <w:sz w:val="16"/>
                <w:lang w:val="en-US"/>
              </w:rPr>
            </w:pPr>
            <w:r w:rsidRPr="00AE1FD2">
              <w:rPr>
                <w:b/>
                <w:sz w:val="16"/>
                <w:lang w:val="en-US"/>
              </w:rPr>
              <w:t>Country: _____________________________________________________________________________________________________</w:t>
            </w:r>
          </w:p>
          <w:p w:rsidR="00B0657C" w:rsidRPr="00AE1FD2" w:rsidRDefault="00B0657C" w:rsidP="00867DC4">
            <w:pPr>
              <w:tabs>
                <w:tab w:val="left" w:pos="170"/>
                <w:tab w:val="left" w:pos="1701"/>
                <w:tab w:val="left" w:pos="3686"/>
                <w:tab w:val="right" w:leader="underscore" w:pos="10773"/>
              </w:tabs>
              <w:spacing w:before="240"/>
              <w:rPr>
                <w:b/>
                <w:sz w:val="16"/>
                <w:lang w:val="en-US"/>
              </w:rPr>
            </w:pPr>
            <w:r w:rsidRPr="00AE1FD2">
              <w:rPr>
                <w:b/>
                <w:sz w:val="16"/>
                <w:lang w:val="en-US"/>
              </w:rPr>
              <w:t>Name of the Administration or Organization: ______________________________________________________________________</w:t>
            </w:r>
          </w:p>
          <w:p w:rsidR="00B0657C" w:rsidRPr="00AE1FD2" w:rsidRDefault="00B0657C" w:rsidP="00867DC4">
            <w:pPr>
              <w:tabs>
                <w:tab w:val="left" w:pos="170"/>
                <w:tab w:val="left" w:pos="1701"/>
                <w:tab w:val="right" w:leader="underscore" w:pos="5954"/>
                <w:tab w:val="left" w:pos="6521"/>
                <w:tab w:val="right" w:leader="underscore" w:pos="10773"/>
              </w:tabs>
              <w:rPr>
                <w:b/>
                <w:sz w:val="16"/>
                <w:lang w:val="en-US"/>
              </w:rPr>
            </w:pPr>
            <w:r w:rsidRPr="00AE1FD2">
              <w:rPr>
                <w:b/>
                <w:sz w:val="16"/>
                <w:lang w:val="en-US"/>
              </w:rPr>
              <w:t>Mr / Ms.</w:t>
            </w:r>
            <w:r w:rsidRPr="00AE1FD2">
              <w:rPr>
                <w:b/>
                <w:sz w:val="16"/>
                <w:lang w:val="en-US"/>
              </w:rPr>
              <w:tab/>
              <w:t>_______________________________________(family name)</w:t>
            </w:r>
            <w:r w:rsidRPr="00AE1FD2">
              <w:rPr>
                <w:b/>
                <w:sz w:val="16"/>
                <w:lang w:val="en-US"/>
              </w:rPr>
              <w:tab/>
              <w:t>______________________________________(given name)</w:t>
            </w:r>
          </w:p>
          <w:p w:rsidR="00B0657C" w:rsidRPr="00AE1FD2" w:rsidRDefault="00B0657C" w:rsidP="00867DC4">
            <w:pPr>
              <w:tabs>
                <w:tab w:val="left" w:pos="170"/>
                <w:tab w:val="right" w:pos="4536"/>
                <w:tab w:val="right" w:leader="underscore" w:pos="10773"/>
              </w:tabs>
              <w:rPr>
                <w:b/>
                <w:sz w:val="16"/>
              </w:rPr>
            </w:pPr>
            <w:r w:rsidRPr="00AE1FD2">
              <w:rPr>
                <w:b/>
                <w:sz w:val="16"/>
              </w:rPr>
              <w:t>Title:</w:t>
            </w:r>
            <w:r w:rsidRPr="00AE1FD2">
              <w:rPr>
                <w:b/>
                <w:sz w:val="16"/>
              </w:rPr>
              <w:tab/>
              <w:t>____________________________________________________________________________________________________</w:t>
            </w:r>
          </w:p>
          <w:p w:rsidR="00B0657C" w:rsidRPr="00AE1FD2" w:rsidRDefault="00B0657C" w:rsidP="00867DC4">
            <w:pPr>
              <w:tabs>
                <w:tab w:val="left" w:pos="170"/>
                <w:tab w:val="left" w:pos="1701"/>
                <w:tab w:val="center" w:pos="3828"/>
                <w:tab w:val="center" w:pos="8647"/>
                <w:tab w:val="center" w:pos="9781"/>
                <w:tab w:val="right" w:leader="underscore" w:pos="10773"/>
              </w:tabs>
              <w:rPr>
                <w:b/>
                <w:sz w:val="16"/>
              </w:rPr>
            </w:pPr>
          </w:p>
        </w:tc>
      </w:tr>
      <w:tr w:rsidR="00B0657C" w:rsidRPr="00B0657C" w:rsidTr="00867DC4">
        <w:trPr>
          <w:cantSplit/>
        </w:trPr>
        <w:tc>
          <w:tcPr>
            <w:tcW w:w="9508" w:type="dxa"/>
            <w:gridSpan w:val="10"/>
            <w:tcBorders>
              <w:left w:val="single" w:sz="6" w:space="0" w:color="auto"/>
              <w:bottom w:val="single" w:sz="6" w:space="0" w:color="auto"/>
              <w:right w:val="single" w:sz="6" w:space="0" w:color="auto"/>
            </w:tcBorders>
          </w:tcPr>
          <w:p w:rsidR="00B0657C" w:rsidRPr="00B0657C" w:rsidRDefault="00B0657C" w:rsidP="00867DC4">
            <w:pPr>
              <w:tabs>
                <w:tab w:val="left" w:pos="170"/>
                <w:tab w:val="left" w:pos="1701"/>
                <w:tab w:val="right" w:leader="underscore" w:pos="5954"/>
                <w:tab w:val="left" w:pos="6521"/>
                <w:tab w:val="right" w:leader="underscore" w:pos="10773"/>
              </w:tabs>
              <w:rPr>
                <w:b/>
                <w:sz w:val="16"/>
                <w:lang w:val="en-US"/>
              </w:rPr>
            </w:pPr>
            <w:r w:rsidRPr="00B0657C">
              <w:rPr>
                <w:b/>
                <w:sz w:val="16"/>
                <w:lang w:val="en-US"/>
              </w:rPr>
              <w:t xml:space="preserve">Address: </w:t>
            </w:r>
            <w:r w:rsidRPr="00B0657C">
              <w:rPr>
                <w:b/>
                <w:sz w:val="16"/>
                <w:lang w:val="en-US"/>
              </w:rPr>
              <w:tab/>
              <w:t>____________________________________________________________________________________________________</w:t>
            </w:r>
          </w:p>
          <w:p w:rsidR="00B0657C" w:rsidRPr="00B0657C" w:rsidRDefault="00B0657C" w:rsidP="00867DC4">
            <w:pPr>
              <w:tabs>
                <w:tab w:val="left" w:pos="170"/>
                <w:tab w:val="left" w:pos="1701"/>
                <w:tab w:val="right" w:leader="underscore" w:pos="5954"/>
                <w:tab w:val="left" w:pos="6521"/>
                <w:tab w:val="right" w:leader="underscore" w:pos="10773"/>
              </w:tabs>
              <w:spacing w:before="240"/>
              <w:ind w:left="170" w:hanging="170"/>
              <w:rPr>
                <w:b/>
                <w:sz w:val="16"/>
                <w:lang w:val="en-US"/>
              </w:rPr>
            </w:pPr>
            <w:r w:rsidRPr="00B0657C">
              <w:rPr>
                <w:b/>
                <w:sz w:val="16"/>
                <w:lang w:val="en-US"/>
              </w:rPr>
              <w:t>______________________________________________________________________________________________________________</w:t>
            </w:r>
          </w:p>
          <w:p w:rsidR="00B0657C" w:rsidRPr="00B0657C" w:rsidRDefault="00B0657C" w:rsidP="00867DC4">
            <w:pPr>
              <w:tabs>
                <w:tab w:val="left" w:pos="170"/>
                <w:tab w:val="left" w:pos="1701"/>
                <w:tab w:val="right" w:leader="underscore" w:pos="5954"/>
                <w:tab w:val="left" w:pos="6521"/>
                <w:tab w:val="right" w:leader="underscore" w:pos="10773"/>
              </w:tabs>
              <w:ind w:left="170" w:hanging="170"/>
              <w:rPr>
                <w:b/>
                <w:sz w:val="16"/>
                <w:lang w:val="en-US"/>
              </w:rPr>
            </w:pPr>
          </w:p>
          <w:p w:rsidR="00B0657C" w:rsidRPr="00AE1FD2" w:rsidRDefault="00B0657C" w:rsidP="00867DC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6"/>
                <w:lang w:val="en-US"/>
              </w:rPr>
            </w:pPr>
            <w:r w:rsidRPr="00AE1FD2">
              <w:rPr>
                <w:b/>
                <w:sz w:val="16"/>
                <w:lang w:val="en-US"/>
              </w:rPr>
              <w:t>Tel.:</w:t>
            </w:r>
            <w:r w:rsidRPr="00AE1FD2">
              <w:rPr>
                <w:b/>
                <w:sz w:val="16"/>
                <w:lang w:val="en-US"/>
              </w:rPr>
              <w:tab/>
              <w:t>_________________________    Fax:</w:t>
            </w:r>
            <w:r w:rsidRPr="00AE1FD2">
              <w:rPr>
                <w:b/>
                <w:sz w:val="16"/>
                <w:lang w:val="en-US"/>
              </w:rPr>
              <w:tab/>
              <w:t>_________________________    E-Mail:______________________________________</w:t>
            </w:r>
          </w:p>
          <w:p w:rsidR="00B0657C" w:rsidRPr="00AE1FD2" w:rsidRDefault="00B0657C" w:rsidP="00867DC4">
            <w:pPr>
              <w:tabs>
                <w:tab w:val="left" w:pos="170"/>
                <w:tab w:val="left" w:pos="1701"/>
                <w:tab w:val="center" w:pos="3828"/>
                <w:tab w:val="center" w:pos="8647"/>
                <w:tab w:val="center" w:pos="9781"/>
                <w:tab w:val="right" w:leader="underscore" w:pos="10773"/>
              </w:tabs>
              <w:rPr>
                <w:b/>
                <w:sz w:val="16"/>
                <w:lang w:val="en-US"/>
              </w:rPr>
            </w:pPr>
          </w:p>
          <w:p w:rsidR="00B0657C" w:rsidRPr="00AE1FD2" w:rsidRDefault="00B0657C" w:rsidP="00867DC4">
            <w:pPr>
              <w:tabs>
                <w:tab w:val="left" w:pos="170"/>
                <w:tab w:val="left" w:pos="1701"/>
                <w:tab w:val="left" w:pos="5245"/>
                <w:tab w:val="left" w:pos="7230"/>
                <w:tab w:val="right" w:leader="underscore" w:pos="10773"/>
              </w:tabs>
              <w:rPr>
                <w:b/>
                <w:sz w:val="16"/>
                <w:lang w:val="en-US"/>
              </w:rPr>
            </w:pPr>
            <w:r w:rsidRPr="00AE1FD2">
              <w:rPr>
                <w:b/>
                <w:sz w:val="16"/>
                <w:lang w:val="en-US"/>
              </w:rPr>
              <w:t>PASSPORT INFORMATION :</w:t>
            </w:r>
          </w:p>
          <w:p w:rsidR="00B0657C" w:rsidRPr="00AE1FD2" w:rsidRDefault="00B0657C" w:rsidP="00867DC4">
            <w:pPr>
              <w:tabs>
                <w:tab w:val="left" w:pos="170"/>
                <w:tab w:val="left" w:pos="1701"/>
                <w:tab w:val="center" w:pos="3828"/>
                <w:tab w:val="center" w:pos="8647"/>
                <w:tab w:val="center" w:pos="9781"/>
                <w:tab w:val="right" w:leader="underscore" w:pos="10773"/>
              </w:tabs>
              <w:rPr>
                <w:b/>
                <w:sz w:val="16"/>
                <w:lang w:val="en-US"/>
              </w:rPr>
            </w:pPr>
            <w:r w:rsidRPr="00AE1FD2">
              <w:rPr>
                <w:b/>
                <w:sz w:val="16"/>
                <w:lang w:val="en-US"/>
              </w:rPr>
              <w:t>Date of birth:</w:t>
            </w:r>
            <w:r w:rsidRPr="00AE1FD2">
              <w:rPr>
                <w:b/>
                <w:sz w:val="16"/>
                <w:lang w:val="en-US"/>
              </w:rPr>
              <w:tab/>
              <w:t>_______________________________________________________________________________________________</w:t>
            </w:r>
          </w:p>
          <w:p w:rsidR="00B0657C" w:rsidRPr="00B0657C" w:rsidRDefault="00B0657C" w:rsidP="00867DC4">
            <w:pPr>
              <w:tabs>
                <w:tab w:val="left" w:pos="170"/>
                <w:tab w:val="left" w:pos="1701"/>
                <w:tab w:val="right" w:leader="underscore" w:pos="4820"/>
                <w:tab w:val="left" w:pos="5245"/>
                <w:tab w:val="left" w:pos="7230"/>
                <w:tab w:val="right" w:leader="underscore" w:pos="10773"/>
              </w:tabs>
              <w:rPr>
                <w:b/>
                <w:sz w:val="16"/>
                <w:lang w:val="en-US"/>
              </w:rPr>
            </w:pPr>
            <w:r w:rsidRPr="00B0657C">
              <w:rPr>
                <w:b/>
                <w:sz w:val="16"/>
                <w:lang w:val="en-US"/>
              </w:rPr>
              <w:t>Nationality: __________________________________________   Passport number: ________________________________________</w:t>
            </w:r>
          </w:p>
          <w:p w:rsidR="00B0657C" w:rsidRPr="00B0657C" w:rsidRDefault="00B0657C" w:rsidP="00867DC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B0657C">
              <w:rPr>
                <w:b/>
                <w:sz w:val="16"/>
                <w:lang w:val="en-US"/>
              </w:rPr>
              <w:t>Date of issue: ___________________   In (place)</w:t>
            </w:r>
            <w:r w:rsidRPr="00B0657C">
              <w:rPr>
                <w:b/>
                <w:sz w:val="16"/>
                <w:lang w:val="en-US"/>
              </w:rPr>
              <w:tab/>
              <w:t>: _____________________________Valid until (date): _______________________</w:t>
            </w:r>
          </w:p>
          <w:p w:rsidR="00B0657C" w:rsidRPr="00AE1FD2" w:rsidRDefault="00B0657C" w:rsidP="00867DC4">
            <w:pPr>
              <w:tabs>
                <w:tab w:val="left" w:pos="170"/>
                <w:tab w:val="left" w:pos="1850"/>
                <w:tab w:val="left" w:pos="3693"/>
                <w:tab w:val="left" w:pos="4543"/>
                <w:tab w:val="left" w:pos="7378"/>
                <w:tab w:val="left" w:pos="9079"/>
                <w:tab w:val="right" w:leader="underscore" w:pos="10773"/>
              </w:tabs>
              <w:rPr>
                <w:b/>
                <w:sz w:val="16"/>
                <w:lang w:val="en-US"/>
              </w:rPr>
            </w:pPr>
          </w:p>
        </w:tc>
      </w:tr>
      <w:tr w:rsidR="00B0657C" w:rsidRPr="00B0657C" w:rsidTr="00867DC4">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bottom w:val="nil"/>
            </w:tcBorders>
          </w:tcPr>
          <w:p w:rsidR="00B0657C" w:rsidRPr="00B0657C" w:rsidRDefault="00B0657C" w:rsidP="00867DC4">
            <w:pPr>
              <w:jc w:val="center"/>
              <w:rPr>
                <w:b/>
                <w:bCs/>
                <w:sz w:val="20"/>
                <w:lang w:val="en-US"/>
              </w:rPr>
            </w:pPr>
            <w:r w:rsidRPr="00B0657C">
              <w:rPr>
                <w:sz w:val="20"/>
                <w:lang w:val="en-US"/>
              </w:rPr>
              <w:t xml:space="preserve">CONDITIONS </w:t>
            </w:r>
            <w:r w:rsidRPr="00B0657C">
              <w:rPr>
                <w:b/>
                <w:bCs/>
                <w:sz w:val="20"/>
                <w:lang w:val="en-US"/>
              </w:rPr>
              <w:t>(Please select your preference in “condition” 2 below)</w:t>
            </w:r>
          </w:p>
        </w:tc>
      </w:tr>
      <w:tr w:rsidR="00B0657C" w:rsidRPr="00B0657C" w:rsidTr="00867DC4">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tcPr>
          <w:p w:rsidR="00B0657C" w:rsidRPr="00B0657C" w:rsidRDefault="00B0657C" w:rsidP="00B0657C">
            <w:pPr>
              <w:numPr>
                <w:ilvl w:val="0"/>
                <w:numId w:val="2"/>
              </w:numPr>
              <w:spacing w:beforeLines="40" w:before="96"/>
              <w:rPr>
                <w:sz w:val="20"/>
                <w:lang w:val="en-US"/>
              </w:rPr>
            </w:pPr>
            <w:r w:rsidRPr="00B0657C">
              <w:rPr>
                <w:sz w:val="20"/>
                <w:lang w:val="en-US"/>
              </w:rPr>
              <w:t xml:space="preserve">One </w:t>
            </w:r>
            <w:r w:rsidRPr="00B0657C">
              <w:rPr>
                <w:b/>
                <w:bCs/>
                <w:sz w:val="20"/>
                <w:u w:val="single"/>
                <w:lang w:val="en-US"/>
              </w:rPr>
              <w:t>partial</w:t>
            </w:r>
            <w:r w:rsidRPr="00B0657C">
              <w:rPr>
                <w:b/>
                <w:bCs/>
                <w:sz w:val="20"/>
                <w:lang w:val="en-US"/>
              </w:rPr>
              <w:t xml:space="preserve"> </w:t>
            </w:r>
            <w:r w:rsidRPr="00B0657C">
              <w:rPr>
                <w:sz w:val="20"/>
                <w:lang w:val="en-US"/>
              </w:rPr>
              <w:t>fellowship per eligible country.</w:t>
            </w:r>
          </w:p>
        </w:tc>
      </w:tr>
      <w:tr w:rsidR="00B0657C" w:rsidRPr="00B0657C" w:rsidTr="00867DC4">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tcPr>
          <w:p w:rsidR="00B0657C" w:rsidRPr="00B0657C" w:rsidRDefault="00B0657C" w:rsidP="00B0657C">
            <w:pPr>
              <w:numPr>
                <w:ilvl w:val="0"/>
                <w:numId w:val="2"/>
              </w:numPr>
              <w:spacing w:beforeLines="40" w:before="96"/>
              <w:rPr>
                <w:sz w:val="20"/>
                <w:lang w:val="en-US"/>
              </w:rPr>
            </w:pPr>
            <w:r w:rsidRPr="00B0657C">
              <w:rPr>
                <w:sz w:val="20"/>
                <w:lang w:val="en-US"/>
              </w:rPr>
              <w:t xml:space="preserve">ITU will cover either one of the following: </w:t>
            </w:r>
          </w:p>
        </w:tc>
      </w:tr>
      <w:tr w:rsidR="00B0657C" w:rsidRPr="00B0657C" w:rsidTr="00867DC4">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tcPr>
          <w:p w:rsidR="00B0657C" w:rsidRPr="00B0657C" w:rsidRDefault="00B0657C" w:rsidP="00867DC4">
            <w:pPr>
              <w:spacing w:beforeLines="40" w:before="96"/>
              <w:ind w:left="1425"/>
              <w:rPr>
                <w:b/>
                <w:bCs/>
                <w:sz w:val="20"/>
                <w:lang w:val="en-US"/>
              </w:rPr>
            </w:pPr>
            <w:r w:rsidRPr="00B0657C">
              <w:rPr>
                <w:sz w:val="20"/>
                <w:lang w:val="en-US"/>
              </w:rPr>
              <w:t xml:space="preserve">□ </w:t>
            </w:r>
            <w:r w:rsidRPr="00B0657C">
              <w:rPr>
                <w:b/>
                <w:bCs/>
                <w:sz w:val="20"/>
                <w:lang w:val="en-US"/>
              </w:rPr>
              <w:t>Economy class air ticket (duty station / Geneva / duty station).</w:t>
            </w:r>
          </w:p>
        </w:tc>
      </w:tr>
      <w:tr w:rsidR="00B0657C" w:rsidRPr="00B0657C" w:rsidTr="00867DC4">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single" w:sz="6" w:space="0" w:color="auto"/>
            </w:tcBorders>
          </w:tcPr>
          <w:p w:rsidR="00B0657C" w:rsidRPr="00B0657C" w:rsidRDefault="00B0657C" w:rsidP="00867DC4">
            <w:pPr>
              <w:spacing w:beforeLines="40" w:before="96"/>
              <w:ind w:left="1425"/>
              <w:rPr>
                <w:b/>
                <w:bCs/>
                <w:sz w:val="20"/>
                <w:lang w:val="en-US"/>
              </w:rPr>
            </w:pPr>
            <w:r w:rsidRPr="00B0657C">
              <w:rPr>
                <w:b/>
                <w:bCs/>
                <w:sz w:val="20"/>
                <w:lang w:val="en-US"/>
              </w:rPr>
              <w:t>□ Daily subsistence allowance intended to cover meals &amp; misc. expenses and accommodation booked and pre-paid by ITU.</w:t>
            </w:r>
          </w:p>
          <w:p w:rsidR="00B0657C" w:rsidRPr="00B0657C" w:rsidRDefault="00B0657C" w:rsidP="00B0657C">
            <w:pPr>
              <w:numPr>
                <w:ilvl w:val="0"/>
                <w:numId w:val="2"/>
              </w:numPr>
              <w:tabs>
                <w:tab w:val="clear" w:pos="794"/>
                <w:tab w:val="clear" w:pos="1191"/>
                <w:tab w:val="clear" w:pos="1588"/>
                <w:tab w:val="clear" w:pos="1985"/>
              </w:tabs>
              <w:spacing w:beforeLines="40" w:before="96"/>
              <w:rPr>
                <w:sz w:val="20"/>
                <w:lang w:val="en-US"/>
              </w:rPr>
            </w:pPr>
            <w:r w:rsidRPr="00B0657C">
              <w:rPr>
                <w:sz w:val="20"/>
                <w:lang w:val="en-US"/>
              </w:rPr>
              <w:t>It is imperative that fellows be present from the first day to the end of the meeting.</w:t>
            </w:r>
          </w:p>
        </w:tc>
      </w:tr>
      <w:tr w:rsidR="00B0657C" w:rsidRPr="00AE1FD2" w:rsidTr="00867DC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After w:val="1"/>
          <w:wAfter w:w="10" w:type="dxa"/>
        </w:trPr>
        <w:tc>
          <w:tcPr>
            <w:tcW w:w="6379" w:type="dxa"/>
            <w:gridSpan w:val="6"/>
          </w:tcPr>
          <w:p w:rsidR="00B0657C" w:rsidRPr="006B687E" w:rsidRDefault="00B0657C" w:rsidP="00867DC4">
            <w:pPr>
              <w:ind w:left="1415"/>
              <w:rPr>
                <w:sz w:val="16"/>
                <w:lang w:val="en-US"/>
              </w:rPr>
            </w:pPr>
            <w:r w:rsidRPr="006B687E">
              <w:rPr>
                <w:sz w:val="16"/>
                <w:lang w:val="en-US"/>
              </w:rPr>
              <w:t>Signature of fellowship candidate:</w:t>
            </w:r>
          </w:p>
          <w:p w:rsidR="00B0657C" w:rsidRPr="00AE1FD2" w:rsidRDefault="00B0657C" w:rsidP="00867DC4">
            <w:pPr>
              <w:ind w:left="1415"/>
            </w:pPr>
          </w:p>
        </w:tc>
        <w:tc>
          <w:tcPr>
            <w:tcW w:w="3119" w:type="dxa"/>
            <w:gridSpan w:val="3"/>
          </w:tcPr>
          <w:p w:rsidR="00B0657C" w:rsidRPr="00AE1FD2" w:rsidRDefault="00B0657C" w:rsidP="00867DC4">
            <w:pPr>
              <w:ind w:left="1415"/>
            </w:pPr>
            <w:r w:rsidRPr="006B687E">
              <w:rPr>
                <w:sz w:val="16"/>
                <w:lang w:val="en-US"/>
              </w:rPr>
              <w:t>Date:</w:t>
            </w:r>
          </w:p>
        </w:tc>
      </w:tr>
      <w:tr w:rsidR="00B0657C" w:rsidRPr="00B0657C" w:rsidTr="00867DC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 w:type="dxa"/>
        </w:trPr>
        <w:tc>
          <w:tcPr>
            <w:tcW w:w="9498" w:type="dxa"/>
            <w:gridSpan w:val="9"/>
          </w:tcPr>
          <w:p w:rsidR="00B0657C" w:rsidRPr="00917B94" w:rsidRDefault="00B0657C" w:rsidP="00867DC4">
            <w:pPr>
              <w:ind w:left="34"/>
              <w:rPr>
                <w:b/>
                <w:bCs/>
                <w:color w:val="000000"/>
                <w:lang w:val="en-US"/>
              </w:rPr>
            </w:pPr>
            <w:r w:rsidRPr="00917B94">
              <w:rPr>
                <w:b/>
                <w:bCs/>
                <w:color w:val="000000"/>
                <w:sz w:val="16"/>
                <w:lang w:val="en-US"/>
              </w:rPr>
              <w:t>TO VALIDATE FELLOWSHIP REQUEST, NAME, TITLE AND SIGNATURE OF CERTIFYING OFFICIAL DESIGNATING  PARTICIPANT MUST BE COMPLETED  BELOW  WITH OFFICIAL STAMP.</w:t>
            </w:r>
            <w:r>
              <w:rPr>
                <w:b/>
                <w:bCs/>
                <w:color w:val="000000"/>
                <w:sz w:val="16"/>
                <w:lang w:val="en-US"/>
              </w:rPr>
              <w:br/>
            </w:r>
          </w:p>
        </w:tc>
      </w:tr>
      <w:tr w:rsidR="00B0657C" w:rsidRPr="00AE1FD2" w:rsidTr="00867DC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After w:val="1"/>
          <w:wAfter w:w="10" w:type="dxa"/>
          <w:trHeight w:val="472"/>
        </w:trPr>
        <w:tc>
          <w:tcPr>
            <w:tcW w:w="6379" w:type="dxa"/>
            <w:gridSpan w:val="6"/>
          </w:tcPr>
          <w:p w:rsidR="00B0657C" w:rsidRPr="006B687E" w:rsidRDefault="00B0657C" w:rsidP="00867DC4">
            <w:pPr>
              <w:ind w:left="1415"/>
              <w:rPr>
                <w:sz w:val="16"/>
                <w:lang w:val="en-US"/>
              </w:rPr>
            </w:pPr>
            <w:r w:rsidRPr="006B687E">
              <w:rPr>
                <w:sz w:val="16"/>
                <w:lang w:val="en-US"/>
              </w:rPr>
              <w:t>Signature</w:t>
            </w:r>
          </w:p>
          <w:p w:rsidR="00B0657C" w:rsidRPr="00AE1FD2" w:rsidRDefault="00B0657C" w:rsidP="00867DC4">
            <w:pPr>
              <w:ind w:left="1415"/>
            </w:pPr>
          </w:p>
        </w:tc>
        <w:tc>
          <w:tcPr>
            <w:tcW w:w="3119" w:type="dxa"/>
            <w:gridSpan w:val="3"/>
          </w:tcPr>
          <w:p w:rsidR="00B0657C" w:rsidRPr="00AE1FD2" w:rsidRDefault="00B0657C" w:rsidP="00867DC4">
            <w:pPr>
              <w:ind w:left="1415"/>
            </w:pPr>
            <w:r w:rsidRPr="006B687E">
              <w:rPr>
                <w:sz w:val="16"/>
                <w:lang w:val="en-US"/>
              </w:rPr>
              <w:t>Date</w:t>
            </w:r>
          </w:p>
        </w:tc>
      </w:tr>
    </w:tbl>
    <w:p w:rsidR="00B0657C" w:rsidRDefault="00B0657C" w:rsidP="00B0657C">
      <w:pPr>
        <w:pStyle w:val="Index1"/>
        <w:spacing w:before="0"/>
        <w:rPr>
          <w:sz w:val="2"/>
          <w:lang w:val="fr-CH"/>
        </w:rPr>
      </w:pPr>
    </w:p>
    <w:sectPr w:rsidR="00B0657C" w:rsidSect="00B0657C">
      <w:headerReference w:type="default" r:id="rId30"/>
      <w:footerReference w:type="default" r:id="rId31"/>
      <w:footerReference w:type="first" r:id="rId32"/>
      <w:type w:val="oddPage"/>
      <w:pgSz w:w="11907" w:h="16839" w:code="9"/>
      <w:pgMar w:top="1134" w:right="507" w:bottom="1134" w:left="1134" w:header="567" w:footer="567" w:gutter="0"/>
      <w:paperSrc w:first="4" w:other="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CBC" w:rsidRDefault="001A6CBC">
      <w:r>
        <w:separator/>
      </w:r>
    </w:p>
  </w:endnote>
  <w:endnote w:type="continuationSeparator" w:id="0">
    <w:p w:rsidR="001A6CBC" w:rsidRDefault="001A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7C" w:rsidRPr="00FA5CAE" w:rsidRDefault="00B0657C" w:rsidP="00917B9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sz w:val="20"/>
        <w:lang w:val="fr-CH"/>
      </w:rPr>
    </w:pPr>
    <w:r>
      <w:rPr>
        <w:sz w:val="16"/>
        <w:szCs w:val="16"/>
        <w:lang w:val="fr-CH"/>
      </w:rPr>
      <w:t>ITU-T\BUREAU\CIRC\162</w:t>
    </w:r>
    <w:r w:rsidRPr="00447742">
      <w:rPr>
        <w:sz w:val="16"/>
        <w:szCs w:val="16"/>
        <w:lang w:val="fr-CH"/>
      </w:rPr>
      <w:t>E.DOC</w:t>
    </w:r>
  </w:p>
  <w:p w:rsidR="00B0657C" w:rsidRPr="00917B94" w:rsidRDefault="00B0657C" w:rsidP="00B905F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sz w:val="16"/>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7C" w:rsidRPr="00B0657C" w:rsidRDefault="00B0657C">
    <w:pPr>
      <w:pStyle w:val="Footer"/>
      <w:rPr>
        <w:sz w:val="16"/>
        <w:szCs w:val="16"/>
        <w:lang w:val="fr-CH"/>
      </w:rPr>
    </w:pPr>
    <w:r w:rsidRPr="00B0657C">
      <w:rPr>
        <w:sz w:val="16"/>
        <w:szCs w:val="16"/>
      </w:rPr>
      <w:fldChar w:fldCharType="begin"/>
    </w:r>
    <w:r w:rsidRPr="00B0657C">
      <w:rPr>
        <w:sz w:val="16"/>
        <w:szCs w:val="16"/>
        <w:lang w:val="fr-CH"/>
      </w:rPr>
      <w:instrText xml:space="preserve"> FILENAME \p  \* MERGEFORMAT </w:instrText>
    </w:r>
    <w:r w:rsidRPr="00B0657C">
      <w:rPr>
        <w:sz w:val="16"/>
        <w:szCs w:val="16"/>
      </w:rPr>
      <w:fldChar w:fldCharType="separate"/>
    </w:r>
    <w:r w:rsidR="00D22D1A">
      <w:rPr>
        <w:noProof/>
        <w:sz w:val="16"/>
        <w:szCs w:val="16"/>
        <w:lang w:val="fr-CH"/>
      </w:rPr>
      <w:t>P:\ESP\ITU-T\BUREAU\CIRC\100\162S.docx</w:t>
    </w:r>
    <w:r w:rsidRPr="00B0657C">
      <w:rPr>
        <w:noProof/>
        <w:sz w:val="16"/>
        <w:szCs w:val="16"/>
      </w:rPr>
      <w:fldChar w:fldCharType="end"/>
    </w:r>
    <w:r w:rsidRPr="00B0657C">
      <w:rPr>
        <w:noProof/>
        <w:sz w:val="16"/>
        <w:szCs w:val="16"/>
        <w:lang w:val="fr-CH"/>
      </w:rPr>
      <w:t xml:space="preserve"> (</w:t>
    </w:r>
    <w:r>
      <w:rPr>
        <w:noProof/>
        <w:sz w:val="16"/>
        <w:szCs w:val="16"/>
        <w:lang w:val="fr-CH"/>
      </w:rPr>
      <w:t>301386)</w:t>
    </w:r>
    <w:r w:rsidRPr="00B0657C">
      <w:rPr>
        <w:sz w:val="16"/>
        <w:szCs w:val="16"/>
        <w:lang w:val="fr-CH"/>
      </w:rPr>
      <w:tab/>
    </w:r>
    <w:r w:rsidRPr="00B0657C">
      <w:rPr>
        <w:sz w:val="16"/>
        <w:szCs w:val="16"/>
      </w:rPr>
      <w:fldChar w:fldCharType="begin"/>
    </w:r>
    <w:r w:rsidRPr="00B0657C">
      <w:rPr>
        <w:sz w:val="16"/>
        <w:szCs w:val="16"/>
      </w:rPr>
      <w:instrText xml:space="preserve"> SAVEDATE \@ DD.MM.YY </w:instrText>
    </w:r>
    <w:r w:rsidRPr="00B0657C">
      <w:rPr>
        <w:sz w:val="16"/>
        <w:szCs w:val="16"/>
      </w:rPr>
      <w:fldChar w:fldCharType="separate"/>
    </w:r>
    <w:r w:rsidR="00D22D1A">
      <w:rPr>
        <w:noProof/>
        <w:sz w:val="16"/>
        <w:szCs w:val="16"/>
      </w:rPr>
      <w:t>07.02.11</w:t>
    </w:r>
    <w:r w:rsidRPr="00B0657C">
      <w:rPr>
        <w:sz w:val="16"/>
        <w:szCs w:val="16"/>
      </w:rPr>
      <w:fldChar w:fldCharType="end"/>
    </w:r>
    <w:r w:rsidRPr="00B0657C">
      <w:rPr>
        <w:sz w:val="16"/>
        <w:szCs w:val="16"/>
        <w:lang w:val="fr-CH"/>
      </w:rPr>
      <w:tab/>
    </w:r>
    <w:r w:rsidRPr="00B0657C">
      <w:rPr>
        <w:sz w:val="16"/>
        <w:szCs w:val="16"/>
      </w:rPr>
      <w:fldChar w:fldCharType="begin"/>
    </w:r>
    <w:r w:rsidRPr="00B0657C">
      <w:rPr>
        <w:sz w:val="16"/>
        <w:szCs w:val="16"/>
      </w:rPr>
      <w:instrText xml:space="preserve"> PRINTDATE \@ DD.MM.YY </w:instrText>
    </w:r>
    <w:r w:rsidRPr="00B0657C">
      <w:rPr>
        <w:sz w:val="16"/>
        <w:szCs w:val="16"/>
      </w:rPr>
      <w:fldChar w:fldCharType="separate"/>
    </w:r>
    <w:r w:rsidR="00D22D1A">
      <w:rPr>
        <w:noProof/>
        <w:sz w:val="16"/>
        <w:szCs w:val="16"/>
      </w:rPr>
      <w:t>07.02.11</w:t>
    </w:r>
    <w:r w:rsidRPr="00B0657C">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B0657C" w:rsidRPr="00B0657C">
      <w:trPr>
        <w:cantSplit/>
      </w:trPr>
      <w:tc>
        <w:tcPr>
          <w:tcW w:w="1062" w:type="pct"/>
          <w:tcBorders>
            <w:top w:val="single" w:sz="6" w:space="0" w:color="auto"/>
          </w:tcBorders>
          <w:tcMar>
            <w:top w:w="57" w:type="dxa"/>
          </w:tcMar>
        </w:tcPr>
        <w:p w:rsidR="00B0657C" w:rsidRDefault="00B0657C">
          <w:pPr>
            <w:pStyle w:val="itu"/>
          </w:pPr>
          <w:r>
            <w:t>Place des Nations</w:t>
          </w:r>
        </w:p>
      </w:tc>
      <w:tc>
        <w:tcPr>
          <w:tcW w:w="1584" w:type="pct"/>
          <w:tcBorders>
            <w:top w:val="single" w:sz="6" w:space="0" w:color="auto"/>
          </w:tcBorders>
          <w:tcMar>
            <w:top w:w="57" w:type="dxa"/>
          </w:tcMar>
        </w:tcPr>
        <w:p w:rsidR="00B0657C" w:rsidRDefault="00B0657C">
          <w:pPr>
            <w:pStyle w:val="itu"/>
          </w:pPr>
          <w:r>
            <w:t xml:space="preserve">Teléfono </w:t>
          </w:r>
          <w:r>
            <w:tab/>
          </w:r>
          <w:r>
            <w:tab/>
            <w:t>+41 22 730 51 11</w:t>
          </w:r>
        </w:p>
      </w:tc>
      <w:tc>
        <w:tcPr>
          <w:tcW w:w="1223" w:type="pct"/>
          <w:tcBorders>
            <w:top w:val="single" w:sz="6" w:space="0" w:color="auto"/>
          </w:tcBorders>
          <w:tcMar>
            <w:top w:w="57" w:type="dxa"/>
          </w:tcMar>
        </w:tcPr>
        <w:p w:rsidR="00B0657C" w:rsidRDefault="00B0657C">
          <w:pPr>
            <w:pStyle w:val="itu"/>
          </w:pPr>
          <w:r>
            <w:t>Télex 421 000 uit ch</w:t>
          </w:r>
        </w:p>
      </w:tc>
      <w:tc>
        <w:tcPr>
          <w:tcW w:w="1131" w:type="pct"/>
          <w:tcBorders>
            <w:top w:val="single" w:sz="6" w:space="0" w:color="auto"/>
          </w:tcBorders>
          <w:tcMar>
            <w:top w:w="57" w:type="dxa"/>
          </w:tcMar>
        </w:tcPr>
        <w:p w:rsidR="00B0657C" w:rsidRDefault="00B0657C">
          <w:pPr>
            <w:pStyle w:val="itu"/>
          </w:pPr>
          <w:r>
            <w:t>E-mail:</w:t>
          </w:r>
          <w:r>
            <w:tab/>
            <w:t>itumail@itu.int</w:t>
          </w:r>
        </w:p>
      </w:tc>
    </w:tr>
    <w:tr w:rsidR="00B0657C">
      <w:trPr>
        <w:cantSplit/>
      </w:trPr>
      <w:tc>
        <w:tcPr>
          <w:tcW w:w="1062" w:type="pct"/>
        </w:tcPr>
        <w:p w:rsidR="00B0657C" w:rsidRDefault="00B0657C">
          <w:pPr>
            <w:pStyle w:val="itu"/>
          </w:pPr>
          <w:r>
            <w:t>CH-1211 Ginebra 20</w:t>
          </w:r>
        </w:p>
      </w:tc>
      <w:tc>
        <w:tcPr>
          <w:tcW w:w="1584" w:type="pct"/>
        </w:tcPr>
        <w:p w:rsidR="00B0657C" w:rsidRDefault="00B0657C">
          <w:pPr>
            <w:pStyle w:val="itu"/>
          </w:pPr>
          <w:r>
            <w:t>Telefax</w:t>
          </w:r>
          <w:r>
            <w:tab/>
            <w:t>Gr3:</w:t>
          </w:r>
          <w:r>
            <w:tab/>
            <w:t>+41 22 733 72 56</w:t>
          </w:r>
        </w:p>
      </w:tc>
      <w:tc>
        <w:tcPr>
          <w:tcW w:w="1223" w:type="pct"/>
        </w:tcPr>
        <w:p w:rsidR="00B0657C" w:rsidRDefault="00B0657C">
          <w:pPr>
            <w:pStyle w:val="itu"/>
          </w:pPr>
          <w:r>
            <w:t>Telegrama ITU GENEVE</w:t>
          </w:r>
        </w:p>
      </w:tc>
      <w:tc>
        <w:tcPr>
          <w:tcW w:w="1131" w:type="pct"/>
        </w:tcPr>
        <w:p w:rsidR="00B0657C" w:rsidRDefault="00B0657C">
          <w:pPr>
            <w:pStyle w:val="itu"/>
          </w:pPr>
          <w:r>
            <w:tab/>
            <w:t>www.itu.int</w:t>
          </w:r>
        </w:p>
      </w:tc>
    </w:tr>
    <w:tr w:rsidR="00B0657C">
      <w:trPr>
        <w:cantSplit/>
      </w:trPr>
      <w:tc>
        <w:tcPr>
          <w:tcW w:w="1062" w:type="pct"/>
        </w:tcPr>
        <w:p w:rsidR="00B0657C" w:rsidRDefault="00B0657C">
          <w:pPr>
            <w:pStyle w:val="itu"/>
          </w:pPr>
          <w:r>
            <w:t>Suiza</w:t>
          </w:r>
        </w:p>
      </w:tc>
      <w:tc>
        <w:tcPr>
          <w:tcW w:w="1584" w:type="pct"/>
        </w:tcPr>
        <w:p w:rsidR="00B0657C" w:rsidRDefault="00B0657C">
          <w:pPr>
            <w:pStyle w:val="itu"/>
          </w:pPr>
          <w:r>
            <w:tab/>
            <w:t>Gr4:</w:t>
          </w:r>
          <w:r>
            <w:tab/>
            <w:t>+41 22 730 65 00</w:t>
          </w:r>
        </w:p>
      </w:tc>
      <w:tc>
        <w:tcPr>
          <w:tcW w:w="1223" w:type="pct"/>
        </w:tcPr>
        <w:p w:rsidR="00B0657C" w:rsidRDefault="00B0657C">
          <w:pPr>
            <w:pStyle w:val="itu"/>
          </w:pPr>
        </w:p>
      </w:tc>
      <w:tc>
        <w:tcPr>
          <w:tcW w:w="1131" w:type="pct"/>
        </w:tcPr>
        <w:p w:rsidR="00B0657C" w:rsidRDefault="00B0657C">
          <w:pPr>
            <w:pStyle w:val="itu"/>
          </w:pPr>
        </w:p>
      </w:tc>
    </w:tr>
  </w:tbl>
  <w:p w:rsidR="00B0657C" w:rsidRPr="00B0657C" w:rsidRDefault="00B0657C" w:rsidP="00B0657C">
    <w:pPr>
      <w:pStyle w:val="Footer"/>
      <w:rPr>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7C" w:rsidRPr="00FA5CAE" w:rsidRDefault="00B0657C" w:rsidP="00917B9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sz w:val="20"/>
        <w:lang w:val="fr-CH"/>
      </w:rPr>
    </w:pPr>
    <w:r>
      <w:rPr>
        <w:sz w:val="16"/>
        <w:szCs w:val="16"/>
        <w:lang w:val="fr-CH"/>
      </w:rPr>
      <w:t>ITU-T\BUREAU\CIRC\162</w:t>
    </w:r>
    <w:r w:rsidRPr="00447742">
      <w:rPr>
        <w:sz w:val="16"/>
        <w:szCs w:val="16"/>
        <w:lang w:val="fr-CH"/>
      </w:rPr>
      <w:t>E.DOC</w:t>
    </w:r>
  </w:p>
  <w:p w:rsidR="00B0657C" w:rsidRPr="00917B94" w:rsidRDefault="00B0657C" w:rsidP="00917B94">
    <w:pPr>
      <w:pStyle w:val="Footer"/>
      <w:rPr>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21D" w:rsidRPr="0092721D" w:rsidRDefault="0092721D">
    <w:pPr>
      <w:pStyle w:val="Footer"/>
      <w:rPr>
        <w:sz w:val="16"/>
        <w:szCs w:val="16"/>
        <w:lang w:val="fr-CH"/>
      </w:rPr>
    </w:pPr>
    <w:r w:rsidRPr="0092721D">
      <w:rPr>
        <w:sz w:val="16"/>
        <w:szCs w:val="16"/>
      </w:rPr>
      <w:fldChar w:fldCharType="begin"/>
    </w:r>
    <w:r w:rsidRPr="0092721D">
      <w:rPr>
        <w:sz w:val="16"/>
        <w:szCs w:val="16"/>
        <w:lang w:val="fr-CH"/>
      </w:rPr>
      <w:instrText xml:space="preserve"> FILENAME \p  \* MERGEFORMAT </w:instrText>
    </w:r>
    <w:r w:rsidRPr="0092721D">
      <w:rPr>
        <w:sz w:val="16"/>
        <w:szCs w:val="16"/>
      </w:rPr>
      <w:fldChar w:fldCharType="separate"/>
    </w:r>
    <w:r w:rsidR="00D22D1A">
      <w:rPr>
        <w:noProof/>
        <w:sz w:val="16"/>
        <w:szCs w:val="16"/>
        <w:lang w:val="fr-CH"/>
      </w:rPr>
      <w:t>P:\ESP\ITU-T\BUREAU\CIRC\100\162S.docx</w:t>
    </w:r>
    <w:r w:rsidRPr="0092721D">
      <w:rPr>
        <w:noProof/>
        <w:sz w:val="16"/>
        <w:szCs w:val="16"/>
      </w:rPr>
      <w:fldChar w:fldCharType="end"/>
    </w:r>
    <w:r w:rsidRPr="0092721D">
      <w:rPr>
        <w:noProof/>
        <w:sz w:val="16"/>
        <w:szCs w:val="16"/>
        <w:lang w:val="fr-CH"/>
      </w:rPr>
      <w:t xml:space="preserve"> (301386)</w:t>
    </w:r>
    <w:r w:rsidRPr="0092721D">
      <w:rPr>
        <w:sz w:val="16"/>
        <w:szCs w:val="16"/>
        <w:lang w:val="fr-CH"/>
      </w:rPr>
      <w:tab/>
    </w:r>
    <w:r w:rsidRPr="0092721D">
      <w:rPr>
        <w:sz w:val="16"/>
        <w:szCs w:val="16"/>
      </w:rPr>
      <w:fldChar w:fldCharType="begin"/>
    </w:r>
    <w:r w:rsidRPr="0092721D">
      <w:rPr>
        <w:sz w:val="16"/>
        <w:szCs w:val="16"/>
      </w:rPr>
      <w:instrText xml:space="preserve"> SAVEDATE \@ DD.MM.YY </w:instrText>
    </w:r>
    <w:r w:rsidRPr="0092721D">
      <w:rPr>
        <w:sz w:val="16"/>
        <w:szCs w:val="16"/>
      </w:rPr>
      <w:fldChar w:fldCharType="separate"/>
    </w:r>
    <w:r w:rsidR="00D22D1A">
      <w:rPr>
        <w:noProof/>
        <w:sz w:val="16"/>
        <w:szCs w:val="16"/>
      </w:rPr>
      <w:t>07.02.11</w:t>
    </w:r>
    <w:r w:rsidRPr="0092721D">
      <w:rPr>
        <w:sz w:val="16"/>
        <w:szCs w:val="16"/>
      </w:rPr>
      <w:fldChar w:fldCharType="end"/>
    </w:r>
    <w:r w:rsidRPr="0092721D">
      <w:rPr>
        <w:sz w:val="16"/>
        <w:szCs w:val="16"/>
        <w:lang w:val="fr-CH"/>
      </w:rPr>
      <w:tab/>
    </w:r>
    <w:r w:rsidRPr="0092721D">
      <w:rPr>
        <w:sz w:val="16"/>
        <w:szCs w:val="16"/>
      </w:rPr>
      <w:fldChar w:fldCharType="begin"/>
    </w:r>
    <w:r w:rsidRPr="0092721D">
      <w:rPr>
        <w:sz w:val="16"/>
        <w:szCs w:val="16"/>
      </w:rPr>
      <w:instrText xml:space="preserve"> PRINTDATE \@ DD.MM.YY </w:instrText>
    </w:r>
    <w:r w:rsidRPr="0092721D">
      <w:rPr>
        <w:sz w:val="16"/>
        <w:szCs w:val="16"/>
      </w:rPr>
      <w:fldChar w:fldCharType="separate"/>
    </w:r>
    <w:r w:rsidR="00D22D1A">
      <w:rPr>
        <w:noProof/>
        <w:sz w:val="16"/>
        <w:szCs w:val="16"/>
      </w:rPr>
      <w:t>07.02.11</w:t>
    </w:r>
    <w:r w:rsidRPr="0092721D">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226"/>
      <w:gridCol w:w="3320"/>
      <w:gridCol w:w="2563"/>
      <w:gridCol w:w="2371"/>
    </w:tblGrid>
    <w:tr w:rsidR="0092721D" w:rsidRPr="0092721D">
      <w:trPr>
        <w:cantSplit/>
      </w:trPr>
      <w:tc>
        <w:tcPr>
          <w:tcW w:w="1062" w:type="pct"/>
          <w:tcBorders>
            <w:top w:val="single" w:sz="6" w:space="0" w:color="auto"/>
          </w:tcBorders>
          <w:tcMar>
            <w:top w:w="57" w:type="dxa"/>
          </w:tcMar>
        </w:tcPr>
        <w:p w:rsidR="0092721D" w:rsidRDefault="0092721D">
          <w:pPr>
            <w:pStyle w:val="itu"/>
          </w:pPr>
          <w:r>
            <w:t>Place des Nations</w:t>
          </w:r>
        </w:p>
      </w:tc>
      <w:tc>
        <w:tcPr>
          <w:tcW w:w="1584" w:type="pct"/>
          <w:tcBorders>
            <w:top w:val="single" w:sz="6" w:space="0" w:color="auto"/>
          </w:tcBorders>
          <w:tcMar>
            <w:top w:w="57" w:type="dxa"/>
          </w:tcMar>
        </w:tcPr>
        <w:p w:rsidR="0092721D" w:rsidRDefault="0092721D">
          <w:pPr>
            <w:pStyle w:val="itu"/>
          </w:pPr>
          <w:r>
            <w:t xml:space="preserve">Teléfono </w:t>
          </w:r>
          <w:r>
            <w:tab/>
          </w:r>
          <w:r>
            <w:tab/>
            <w:t>+41 22 730 51 11</w:t>
          </w:r>
        </w:p>
      </w:tc>
      <w:tc>
        <w:tcPr>
          <w:tcW w:w="1223" w:type="pct"/>
          <w:tcBorders>
            <w:top w:val="single" w:sz="6" w:space="0" w:color="auto"/>
          </w:tcBorders>
          <w:tcMar>
            <w:top w:w="57" w:type="dxa"/>
          </w:tcMar>
        </w:tcPr>
        <w:p w:rsidR="0092721D" w:rsidRDefault="0092721D">
          <w:pPr>
            <w:pStyle w:val="itu"/>
          </w:pPr>
          <w:r>
            <w:t>Télex 421 000 uit ch</w:t>
          </w:r>
        </w:p>
      </w:tc>
      <w:tc>
        <w:tcPr>
          <w:tcW w:w="1131" w:type="pct"/>
          <w:tcBorders>
            <w:top w:val="single" w:sz="6" w:space="0" w:color="auto"/>
          </w:tcBorders>
          <w:tcMar>
            <w:top w:w="57" w:type="dxa"/>
          </w:tcMar>
        </w:tcPr>
        <w:p w:rsidR="0092721D" w:rsidRDefault="0092721D">
          <w:pPr>
            <w:pStyle w:val="itu"/>
          </w:pPr>
          <w:r>
            <w:t>E-mail:</w:t>
          </w:r>
          <w:r>
            <w:tab/>
            <w:t>itumail@itu.int</w:t>
          </w:r>
        </w:p>
      </w:tc>
    </w:tr>
    <w:tr w:rsidR="0092721D">
      <w:trPr>
        <w:cantSplit/>
      </w:trPr>
      <w:tc>
        <w:tcPr>
          <w:tcW w:w="1062" w:type="pct"/>
        </w:tcPr>
        <w:p w:rsidR="0092721D" w:rsidRDefault="0092721D">
          <w:pPr>
            <w:pStyle w:val="itu"/>
          </w:pPr>
          <w:r>
            <w:t>CH-1211 Ginebra 20</w:t>
          </w:r>
        </w:p>
      </w:tc>
      <w:tc>
        <w:tcPr>
          <w:tcW w:w="1584" w:type="pct"/>
        </w:tcPr>
        <w:p w:rsidR="0092721D" w:rsidRDefault="0092721D">
          <w:pPr>
            <w:pStyle w:val="itu"/>
          </w:pPr>
          <w:r>
            <w:t>Telefax</w:t>
          </w:r>
          <w:r>
            <w:tab/>
            <w:t>Gr3:</w:t>
          </w:r>
          <w:r>
            <w:tab/>
            <w:t>+41 22 733 72 56</w:t>
          </w:r>
        </w:p>
      </w:tc>
      <w:tc>
        <w:tcPr>
          <w:tcW w:w="1223" w:type="pct"/>
        </w:tcPr>
        <w:p w:rsidR="0092721D" w:rsidRDefault="0092721D">
          <w:pPr>
            <w:pStyle w:val="itu"/>
          </w:pPr>
          <w:r>
            <w:t>Telegrama ITU GENEVE</w:t>
          </w:r>
        </w:p>
      </w:tc>
      <w:tc>
        <w:tcPr>
          <w:tcW w:w="1131" w:type="pct"/>
        </w:tcPr>
        <w:p w:rsidR="0092721D" w:rsidRDefault="0092721D">
          <w:pPr>
            <w:pStyle w:val="itu"/>
          </w:pPr>
          <w:r>
            <w:tab/>
            <w:t>www.itu.int</w:t>
          </w:r>
        </w:p>
      </w:tc>
    </w:tr>
    <w:tr w:rsidR="0092721D">
      <w:trPr>
        <w:cantSplit/>
      </w:trPr>
      <w:tc>
        <w:tcPr>
          <w:tcW w:w="1062" w:type="pct"/>
        </w:tcPr>
        <w:p w:rsidR="0092721D" w:rsidRDefault="0092721D">
          <w:pPr>
            <w:pStyle w:val="itu"/>
          </w:pPr>
          <w:r>
            <w:t>Suiza</w:t>
          </w:r>
        </w:p>
      </w:tc>
      <w:tc>
        <w:tcPr>
          <w:tcW w:w="1584" w:type="pct"/>
        </w:tcPr>
        <w:p w:rsidR="0092721D" w:rsidRDefault="0092721D">
          <w:pPr>
            <w:pStyle w:val="itu"/>
          </w:pPr>
          <w:r>
            <w:tab/>
            <w:t>Gr4:</w:t>
          </w:r>
          <w:r>
            <w:tab/>
            <w:t>+41 22 730 65 00</w:t>
          </w:r>
        </w:p>
      </w:tc>
      <w:tc>
        <w:tcPr>
          <w:tcW w:w="1223" w:type="pct"/>
        </w:tcPr>
        <w:p w:rsidR="0092721D" w:rsidRDefault="0092721D">
          <w:pPr>
            <w:pStyle w:val="itu"/>
          </w:pPr>
        </w:p>
      </w:tc>
      <w:tc>
        <w:tcPr>
          <w:tcW w:w="1131" w:type="pct"/>
        </w:tcPr>
        <w:p w:rsidR="0092721D" w:rsidRDefault="0092721D">
          <w:pPr>
            <w:pStyle w:val="itu"/>
          </w:pPr>
        </w:p>
      </w:tc>
    </w:tr>
  </w:tbl>
  <w:p w:rsidR="001A6CBC" w:rsidRPr="0092721D" w:rsidRDefault="001A6CBC" w:rsidP="0092721D">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CBC" w:rsidRDefault="001A6CBC">
      <w:r>
        <w:t>____________________</w:t>
      </w:r>
    </w:p>
  </w:footnote>
  <w:footnote w:type="continuationSeparator" w:id="0">
    <w:p w:rsidR="001A6CBC" w:rsidRDefault="001A6CBC">
      <w:r>
        <w:continuationSeparator/>
      </w:r>
    </w:p>
  </w:footnote>
  <w:footnote w:id="1">
    <w:p w:rsidR="00B0657C" w:rsidRPr="00EB51F3" w:rsidRDefault="00B0657C" w:rsidP="00B0657C">
      <w:pPr>
        <w:pStyle w:val="FootnoteText"/>
        <w:rPr>
          <w:lang w:val="en-US"/>
        </w:rPr>
      </w:pPr>
      <w:r>
        <w:rPr>
          <w:rStyle w:val="FootnoteReference"/>
        </w:rPr>
        <w:footnoteRef/>
      </w:r>
      <w:r w:rsidRPr="00B0657C">
        <w:rPr>
          <w:lang w:val="en-US"/>
        </w:rPr>
        <w:t xml:space="preserve"> </w:t>
      </w:r>
      <w:r w:rsidRPr="00EB51F3">
        <w:rPr>
          <w:lang w:val="en-US"/>
        </w:rPr>
        <w:t>Including, but not limited to ICANN, the RIRs, the IETF, ISOC and W3C,</w:t>
      </w:r>
      <w:r w:rsidRPr="00EB51F3">
        <w:rPr>
          <w:rFonts w:ascii="Calibri" w:hAnsi="Calibri" w:cs="Calibri"/>
          <w:szCs w:val="24"/>
          <w:lang w:val="en-US" w:eastAsia="zh-CN"/>
        </w:rPr>
        <w:t xml:space="preserve"> </w:t>
      </w:r>
      <w:r w:rsidRPr="00EB51F3">
        <w:rPr>
          <w:lang w:val="en-US"/>
        </w:rPr>
        <w:t>on the basis of reciprocity</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7C" w:rsidRDefault="00B0657C">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D22D1A">
      <w:rPr>
        <w:rStyle w:val="PageNumber"/>
        <w:noProof/>
      </w:rPr>
      <w:t>3</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7C" w:rsidRDefault="00B0657C">
    <w:pPr>
      <w:pStyle w:val="Header"/>
      <w:rPr>
        <w:rStyle w:val="PageNumber"/>
        <w:sz w:val="18"/>
        <w:szCs w:val="18"/>
      </w:rPr>
    </w:pPr>
    <w:r w:rsidRPr="00B0657C">
      <w:rPr>
        <w:rStyle w:val="PageNumber"/>
        <w:sz w:val="18"/>
        <w:szCs w:val="18"/>
      </w:rPr>
      <w:t xml:space="preserve">- </w:t>
    </w:r>
    <w:r w:rsidRPr="00B0657C">
      <w:rPr>
        <w:rStyle w:val="PageNumber"/>
        <w:sz w:val="18"/>
        <w:szCs w:val="18"/>
      </w:rPr>
      <w:fldChar w:fldCharType="begin"/>
    </w:r>
    <w:r w:rsidRPr="00B0657C">
      <w:rPr>
        <w:rStyle w:val="PageNumber"/>
        <w:sz w:val="18"/>
        <w:szCs w:val="18"/>
      </w:rPr>
      <w:instrText xml:space="preserve"> PAGE </w:instrText>
    </w:r>
    <w:r w:rsidRPr="00B0657C">
      <w:rPr>
        <w:rStyle w:val="PageNumber"/>
        <w:sz w:val="18"/>
        <w:szCs w:val="18"/>
      </w:rPr>
      <w:fldChar w:fldCharType="separate"/>
    </w:r>
    <w:r w:rsidR="00D22D1A">
      <w:rPr>
        <w:rStyle w:val="PageNumber"/>
        <w:noProof/>
        <w:sz w:val="18"/>
        <w:szCs w:val="18"/>
      </w:rPr>
      <w:t>3</w:t>
    </w:r>
    <w:r w:rsidRPr="00B0657C">
      <w:rPr>
        <w:rStyle w:val="PageNumber"/>
        <w:sz w:val="18"/>
        <w:szCs w:val="18"/>
      </w:rPr>
      <w:fldChar w:fldCharType="end"/>
    </w:r>
    <w:r w:rsidRPr="00B0657C">
      <w:rPr>
        <w:rStyle w:val="PageNumber"/>
        <w:sz w:val="18"/>
        <w:szCs w:val="18"/>
      </w:rPr>
      <w:t xml:space="preserve"> -</w:t>
    </w:r>
  </w:p>
  <w:p w:rsidR="004B0A66" w:rsidRPr="004B0A66" w:rsidRDefault="004B0A66" w:rsidP="004B0A66">
    <w:pPr>
      <w:rPr>
        <w:rStyle w:val="PageNumber"/>
        <w:sz w:val="18"/>
        <w:szCs w:val="18"/>
      </w:rPr>
    </w:pPr>
  </w:p>
  <w:p w:rsidR="004B0A66" w:rsidRPr="004B0A66" w:rsidRDefault="004B0A66" w:rsidP="004B0A66">
    <w:pP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7C" w:rsidRDefault="00B0657C" w:rsidP="00ED13EA">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D22D1A">
      <w:rPr>
        <w:rStyle w:val="PageNumber"/>
        <w:noProof/>
      </w:rPr>
      <w:t>3</w:t>
    </w:r>
    <w:r>
      <w:rPr>
        <w:rStyle w:val="PageNumber"/>
      </w:rPr>
      <w:fldChar w:fldCharType="end"/>
    </w:r>
    <w:r>
      <w:rPr>
        <w:rStyle w:val="PageNumber"/>
      </w:rPr>
      <w:t xml:space="preserve"> -</w:t>
    </w:r>
  </w:p>
  <w:p w:rsidR="00B0657C" w:rsidRDefault="00B0657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052" w:rsidRDefault="00213052">
    <w:pPr>
      <w:pStyle w:val="Header"/>
      <w:rPr>
        <w:rStyle w:val="PageNumber"/>
        <w:sz w:val="18"/>
        <w:szCs w:val="18"/>
      </w:rPr>
    </w:pPr>
    <w:r w:rsidRPr="00B0657C">
      <w:rPr>
        <w:rStyle w:val="PageNumber"/>
        <w:sz w:val="18"/>
        <w:szCs w:val="18"/>
      </w:rPr>
      <w:t xml:space="preserve">- </w:t>
    </w:r>
    <w:r w:rsidRPr="00B0657C">
      <w:rPr>
        <w:rStyle w:val="PageNumber"/>
        <w:sz w:val="18"/>
        <w:szCs w:val="18"/>
      </w:rPr>
      <w:fldChar w:fldCharType="begin"/>
    </w:r>
    <w:r w:rsidRPr="00B0657C">
      <w:rPr>
        <w:rStyle w:val="PageNumber"/>
        <w:sz w:val="18"/>
        <w:szCs w:val="18"/>
      </w:rPr>
      <w:instrText xml:space="preserve"> PAGE </w:instrText>
    </w:r>
    <w:r w:rsidRPr="00B0657C">
      <w:rPr>
        <w:rStyle w:val="PageNumber"/>
        <w:sz w:val="18"/>
        <w:szCs w:val="18"/>
      </w:rPr>
      <w:fldChar w:fldCharType="separate"/>
    </w:r>
    <w:r w:rsidR="00D22D1A">
      <w:rPr>
        <w:rStyle w:val="PageNumber"/>
        <w:noProof/>
        <w:sz w:val="18"/>
        <w:szCs w:val="18"/>
      </w:rPr>
      <w:t>9</w:t>
    </w:r>
    <w:r w:rsidRPr="00B0657C">
      <w:rPr>
        <w:rStyle w:val="PageNumber"/>
        <w:sz w:val="18"/>
        <w:szCs w:val="18"/>
      </w:rPr>
      <w:fldChar w:fldCharType="end"/>
    </w:r>
    <w:r w:rsidRPr="00B0657C">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B71A9"/>
    <w:multiLevelType w:val="hybridMultilevel"/>
    <w:tmpl w:val="D200DA6C"/>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48F43BD"/>
    <w:multiLevelType w:val="hybridMultilevel"/>
    <w:tmpl w:val="81F298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6CA46B9"/>
    <w:multiLevelType w:val="hybridMultilevel"/>
    <w:tmpl w:val="CE4AA680"/>
    <w:lvl w:ilvl="0" w:tplc="C850393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9C3542F"/>
    <w:multiLevelType w:val="hybridMultilevel"/>
    <w:tmpl w:val="D200DA6C"/>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BBA48E7"/>
    <w:multiLevelType w:val="hybridMultilevel"/>
    <w:tmpl w:val="3694183E"/>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nsid w:val="2C43444D"/>
    <w:multiLevelType w:val="hybridMultilevel"/>
    <w:tmpl w:val="81F298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42120FF"/>
    <w:multiLevelType w:val="hybridMultilevel"/>
    <w:tmpl w:val="502AC7AA"/>
    <w:lvl w:ilvl="0" w:tplc="BC00F442">
      <w:start w:val="8"/>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4B7268"/>
    <w:multiLevelType w:val="hybridMultilevel"/>
    <w:tmpl w:val="81F298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2C70B51"/>
    <w:multiLevelType w:val="hybridMultilevel"/>
    <w:tmpl w:val="CB00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4D746E7"/>
    <w:multiLevelType w:val="hybridMultilevel"/>
    <w:tmpl w:val="D200DA6C"/>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8"/>
  </w:num>
  <w:num w:numId="4">
    <w:abstractNumId w:val="2"/>
  </w:num>
  <w:num w:numId="5">
    <w:abstractNumId w:val="4"/>
  </w:num>
  <w:num w:numId="6">
    <w:abstractNumId w:val="7"/>
  </w:num>
  <w:num w:numId="7">
    <w:abstractNumId w:val="1"/>
  </w:num>
  <w:num w:numId="8">
    <w:abstractNumId w:val="5"/>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_tradnl" w:vendorID="9" w:dllVersion="512"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D8"/>
    <w:rsid w:val="00004EDF"/>
    <w:rsid w:val="00006D80"/>
    <w:rsid w:val="00011446"/>
    <w:rsid w:val="00015FFB"/>
    <w:rsid w:val="00034183"/>
    <w:rsid w:val="00034B58"/>
    <w:rsid w:val="0003556A"/>
    <w:rsid w:val="00037991"/>
    <w:rsid w:val="00041EF5"/>
    <w:rsid w:val="00043383"/>
    <w:rsid w:val="00053E93"/>
    <w:rsid w:val="00060219"/>
    <w:rsid w:val="0006076C"/>
    <w:rsid w:val="00066895"/>
    <w:rsid w:val="000A0D82"/>
    <w:rsid w:val="000A4FD8"/>
    <w:rsid w:val="000C5B36"/>
    <w:rsid w:val="000D21A0"/>
    <w:rsid w:val="000D2F72"/>
    <w:rsid w:val="00105E3B"/>
    <w:rsid w:val="00110A23"/>
    <w:rsid w:val="00111DE2"/>
    <w:rsid w:val="00125F9F"/>
    <w:rsid w:val="00130661"/>
    <w:rsid w:val="0013154B"/>
    <w:rsid w:val="00135A95"/>
    <w:rsid w:val="00135B7A"/>
    <w:rsid w:val="00142707"/>
    <w:rsid w:val="00165232"/>
    <w:rsid w:val="00173620"/>
    <w:rsid w:val="00175057"/>
    <w:rsid w:val="00182821"/>
    <w:rsid w:val="001A6CBC"/>
    <w:rsid w:val="001B7725"/>
    <w:rsid w:val="001C2D02"/>
    <w:rsid w:val="001C5229"/>
    <w:rsid w:val="001C590E"/>
    <w:rsid w:val="001D4E19"/>
    <w:rsid w:val="001E5C6F"/>
    <w:rsid w:val="002007B1"/>
    <w:rsid w:val="002048FF"/>
    <w:rsid w:val="00204EA6"/>
    <w:rsid w:val="00213052"/>
    <w:rsid w:val="00222765"/>
    <w:rsid w:val="00225DE7"/>
    <w:rsid w:val="00262AF1"/>
    <w:rsid w:val="00276670"/>
    <w:rsid w:val="00277F9C"/>
    <w:rsid w:val="0028361E"/>
    <w:rsid w:val="002841C5"/>
    <w:rsid w:val="002A2E69"/>
    <w:rsid w:val="002B5E5E"/>
    <w:rsid w:val="002D2A88"/>
    <w:rsid w:val="002D46E4"/>
    <w:rsid w:val="002D6F69"/>
    <w:rsid w:val="002E6CC2"/>
    <w:rsid w:val="002F03B9"/>
    <w:rsid w:val="00307C81"/>
    <w:rsid w:val="00340184"/>
    <w:rsid w:val="003479F5"/>
    <w:rsid w:val="0035277F"/>
    <w:rsid w:val="00361B21"/>
    <w:rsid w:val="003712E9"/>
    <w:rsid w:val="003900CA"/>
    <w:rsid w:val="00390F78"/>
    <w:rsid w:val="003929EE"/>
    <w:rsid w:val="0039436F"/>
    <w:rsid w:val="003A3D21"/>
    <w:rsid w:val="003D395D"/>
    <w:rsid w:val="003D5DA0"/>
    <w:rsid w:val="003E5CEE"/>
    <w:rsid w:val="003F2EBB"/>
    <w:rsid w:val="004006A7"/>
    <w:rsid w:val="00400C0C"/>
    <w:rsid w:val="00406A08"/>
    <w:rsid w:val="0043194F"/>
    <w:rsid w:val="00432711"/>
    <w:rsid w:val="00434D36"/>
    <w:rsid w:val="00455B41"/>
    <w:rsid w:val="00456675"/>
    <w:rsid w:val="00464956"/>
    <w:rsid w:val="004651AD"/>
    <w:rsid w:val="00466431"/>
    <w:rsid w:val="00472AFD"/>
    <w:rsid w:val="004772D8"/>
    <w:rsid w:val="00486766"/>
    <w:rsid w:val="00495E4A"/>
    <w:rsid w:val="004A4FAC"/>
    <w:rsid w:val="004B0A66"/>
    <w:rsid w:val="004B7092"/>
    <w:rsid w:val="004C50E7"/>
    <w:rsid w:val="004D41C5"/>
    <w:rsid w:val="004E062D"/>
    <w:rsid w:val="004E395C"/>
    <w:rsid w:val="004E7A46"/>
    <w:rsid w:val="004E7FFB"/>
    <w:rsid w:val="004F121F"/>
    <w:rsid w:val="004F2A4E"/>
    <w:rsid w:val="004F5CD6"/>
    <w:rsid w:val="004F6EFE"/>
    <w:rsid w:val="0050287A"/>
    <w:rsid w:val="00514CE9"/>
    <w:rsid w:val="0053242E"/>
    <w:rsid w:val="00540436"/>
    <w:rsid w:val="00551B49"/>
    <w:rsid w:val="00563A29"/>
    <w:rsid w:val="005945A4"/>
    <w:rsid w:val="005A2EE8"/>
    <w:rsid w:val="005A2F31"/>
    <w:rsid w:val="005A5BDE"/>
    <w:rsid w:val="005B25E8"/>
    <w:rsid w:val="005C571E"/>
    <w:rsid w:val="005D3B67"/>
    <w:rsid w:val="005D4CA3"/>
    <w:rsid w:val="005F5B5C"/>
    <w:rsid w:val="00611350"/>
    <w:rsid w:val="0061306C"/>
    <w:rsid w:val="00614B5D"/>
    <w:rsid w:val="0062423B"/>
    <w:rsid w:val="00695E45"/>
    <w:rsid w:val="006C26C8"/>
    <w:rsid w:val="006D150D"/>
    <w:rsid w:val="006D1DCB"/>
    <w:rsid w:val="006D4BD7"/>
    <w:rsid w:val="006E4204"/>
    <w:rsid w:val="006F7877"/>
    <w:rsid w:val="00734BF8"/>
    <w:rsid w:val="0074468F"/>
    <w:rsid w:val="00751A04"/>
    <w:rsid w:val="00781670"/>
    <w:rsid w:val="007A2F02"/>
    <w:rsid w:val="007A6D04"/>
    <w:rsid w:val="007A757C"/>
    <w:rsid w:val="007B2081"/>
    <w:rsid w:val="007E17FF"/>
    <w:rsid w:val="007E50A5"/>
    <w:rsid w:val="007E5FF8"/>
    <w:rsid w:val="008053D2"/>
    <w:rsid w:val="008132AF"/>
    <w:rsid w:val="008138A1"/>
    <w:rsid w:val="00820500"/>
    <w:rsid w:val="008359E5"/>
    <w:rsid w:val="00841A7B"/>
    <w:rsid w:val="0084530B"/>
    <w:rsid w:val="0086304B"/>
    <w:rsid w:val="008970E6"/>
    <w:rsid w:val="008A37B8"/>
    <w:rsid w:val="008E6798"/>
    <w:rsid w:val="00902FB6"/>
    <w:rsid w:val="0091161A"/>
    <w:rsid w:val="0091726B"/>
    <w:rsid w:val="00917F29"/>
    <w:rsid w:val="00920F28"/>
    <w:rsid w:val="0092721D"/>
    <w:rsid w:val="00932C67"/>
    <w:rsid w:val="009474C2"/>
    <w:rsid w:val="0095375A"/>
    <w:rsid w:val="00960F55"/>
    <w:rsid w:val="009720F9"/>
    <w:rsid w:val="00987882"/>
    <w:rsid w:val="009878D6"/>
    <w:rsid w:val="00993EBA"/>
    <w:rsid w:val="00997824"/>
    <w:rsid w:val="009A489E"/>
    <w:rsid w:val="009B6925"/>
    <w:rsid w:val="009B782B"/>
    <w:rsid w:val="009C4BF9"/>
    <w:rsid w:val="009C7F03"/>
    <w:rsid w:val="009D3BE5"/>
    <w:rsid w:val="009D617A"/>
    <w:rsid w:val="009D6F8F"/>
    <w:rsid w:val="009F070F"/>
    <w:rsid w:val="00A06AFB"/>
    <w:rsid w:val="00A10F5A"/>
    <w:rsid w:val="00A17835"/>
    <w:rsid w:val="00A24374"/>
    <w:rsid w:val="00A24990"/>
    <w:rsid w:val="00A30100"/>
    <w:rsid w:val="00A31386"/>
    <w:rsid w:val="00A340F1"/>
    <w:rsid w:val="00A36F7C"/>
    <w:rsid w:val="00A379ED"/>
    <w:rsid w:val="00A45923"/>
    <w:rsid w:val="00A577E2"/>
    <w:rsid w:val="00A76B3E"/>
    <w:rsid w:val="00A93433"/>
    <w:rsid w:val="00AA43CF"/>
    <w:rsid w:val="00AC2B9B"/>
    <w:rsid w:val="00AC52A5"/>
    <w:rsid w:val="00AD5867"/>
    <w:rsid w:val="00AD7598"/>
    <w:rsid w:val="00AD77E8"/>
    <w:rsid w:val="00AF760C"/>
    <w:rsid w:val="00B0657C"/>
    <w:rsid w:val="00B14915"/>
    <w:rsid w:val="00B25BF0"/>
    <w:rsid w:val="00B32FE4"/>
    <w:rsid w:val="00B33D30"/>
    <w:rsid w:val="00B60082"/>
    <w:rsid w:val="00B7206F"/>
    <w:rsid w:val="00B81562"/>
    <w:rsid w:val="00B815CE"/>
    <w:rsid w:val="00B977E0"/>
    <w:rsid w:val="00BA451B"/>
    <w:rsid w:val="00BA549B"/>
    <w:rsid w:val="00BB3D2F"/>
    <w:rsid w:val="00BC3FF5"/>
    <w:rsid w:val="00BD10EF"/>
    <w:rsid w:val="00BE34FA"/>
    <w:rsid w:val="00BE6D03"/>
    <w:rsid w:val="00BF35F3"/>
    <w:rsid w:val="00C10EC1"/>
    <w:rsid w:val="00C125F0"/>
    <w:rsid w:val="00C5350A"/>
    <w:rsid w:val="00C64C63"/>
    <w:rsid w:val="00C92255"/>
    <w:rsid w:val="00C93BA0"/>
    <w:rsid w:val="00CA4659"/>
    <w:rsid w:val="00CA489A"/>
    <w:rsid w:val="00CB7F7B"/>
    <w:rsid w:val="00D0002D"/>
    <w:rsid w:val="00D15041"/>
    <w:rsid w:val="00D21092"/>
    <w:rsid w:val="00D22D1A"/>
    <w:rsid w:val="00D33A8C"/>
    <w:rsid w:val="00D36DD7"/>
    <w:rsid w:val="00D51DC8"/>
    <w:rsid w:val="00D56BAC"/>
    <w:rsid w:val="00D61DB5"/>
    <w:rsid w:val="00D8148E"/>
    <w:rsid w:val="00D92E6B"/>
    <w:rsid w:val="00D93186"/>
    <w:rsid w:val="00D9777D"/>
    <w:rsid w:val="00DB75CF"/>
    <w:rsid w:val="00DC4642"/>
    <w:rsid w:val="00DC6CC0"/>
    <w:rsid w:val="00DE2482"/>
    <w:rsid w:val="00DE5B66"/>
    <w:rsid w:val="00DE732A"/>
    <w:rsid w:val="00DF50B0"/>
    <w:rsid w:val="00E124AD"/>
    <w:rsid w:val="00E442F9"/>
    <w:rsid w:val="00E50B9E"/>
    <w:rsid w:val="00E51E00"/>
    <w:rsid w:val="00E854F5"/>
    <w:rsid w:val="00E9458D"/>
    <w:rsid w:val="00E96DC5"/>
    <w:rsid w:val="00EA302C"/>
    <w:rsid w:val="00EB31D2"/>
    <w:rsid w:val="00EB7DA2"/>
    <w:rsid w:val="00EC3EA0"/>
    <w:rsid w:val="00ED3683"/>
    <w:rsid w:val="00ED4EFD"/>
    <w:rsid w:val="00EE01BE"/>
    <w:rsid w:val="00EF736C"/>
    <w:rsid w:val="00EF75EC"/>
    <w:rsid w:val="00F0073F"/>
    <w:rsid w:val="00F029BE"/>
    <w:rsid w:val="00F05B9F"/>
    <w:rsid w:val="00F1516B"/>
    <w:rsid w:val="00F1732C"/>
    <w:rsid w:val="00F235DB"/>
    <w:rsid w:val="00F33617"/>
    <w:rsid w:val="00F478A4"/>
    <w:rsid w:val="00F7437E"/>
    <w:rsid w:val="00F75D3D"/>
    <w:rsid w:val="00F768C9"/>
    <w:rsid w:val="00F873C4"/>
    <w:rsid w:val="00F92665"/>
    <w:rsid w:val="00FA23EA"/>
    <w:rsid w:val="00FA7BD5"/>
    <w:rsid w:val="00FB04E4"/>
    <w:rsid w:val="00FB2ADB"/>
    <w:rsid w:val="00FB44D5"/>
    <w:rsid w:val="00FC1E55"/>
    <w:rsid w:val="00FC7521"/>
    <w:rsid w:val="00FD4332"/>
    <w:rsid w:val="00FF59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446"/>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basedOn w:val="Normal"/>
    <w:next w:val="Normal"/>
    <w:qFormat/>
    <w:rsid w:val="000114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11446"/>
    <w:pPr>
      <w:spacing w:before="320"/>
      <w:outlineLvl w:val="1"/>
    </w:pPr>
  </w:style>
  <w:style w:type="paragraph" w:styleId="Heading3">
    <w:name w:val="heading 3"/>
    <w:basedOn w:val="Heading1"/>
    <w:next w:val="Normal"/>
    <w:qFormat/>
    <w:rsid w:val="00011446"/>
    <w:pPr>
      <w:spacing w:before="200"/>
      <w:outlineLvl w:val="2"/>
    </w:pPr>
  </w:style>
  <w:style w:type="paragraph" w:styleId="Heading4">
    <w:name w:val="heading 4"/>
    <w:basedOn w:val="Heading3"/>
    <w:next w:val="Normal"/>
    <w:qFormat/>
    <w:rsid w:val="00011446"/>
    <w:pPr>
      <w:tabs>
        <w:tab w:val="clear" w:pos="794"/>
        <w:tab w:val="left" w:pos="1191"/>
      </w:tabs>
      <w:ind w:left="993" w:hanging="993"/>
      <w:outlineLvl w:val="3"/>
    </w:pPr>
  </w:style>
  <w:style w:type="paragraph" w:styleId="Heading5">
    <w:name w:val="heading 5"/>
    <w:basedOn w:val="Heading3"/>
    <w:next w:val="Normal"/>
    <w:qFormat/>
    <w:rsid w:val="00011446"/>
    <w:pPr>
      <w:tabs>
        <w:tab w:val="clear" w:pos="794"/>
        <w:tab w:val="left" w:pos="1191"/>
      </w:tabs>
      <w:outlineLvl w:val="4"/>
    </w:pPr>
  </w:style>
  <w:style w:type="paragraph" w:styleId="Heading6">
    <w:name w:val="heading 6"/>
    <w:basedOn w:val="Heading3"/>
    <w:next w:val="Normal"/>
    <w:qFormat/>
    <w:rsid w:val="00011446"/>
    <w:pPr>
      <w:tabs>
        <w:tab w:val="clear" w:pos="794"/>
        <w:tab w:val="left" w:pos="1191"/>
      </w:tabs>
      <w:outlineLvl w:val="5"/>
    </w:pPr>
  </w:style>
  <w:style w:type="paragraph" w:styleId="Heading7">
    <w:name w:val="heading 7"/>
    <w:basedOn w:val="Heading3"/>
    <w:next w:val="Normal"/>
    <w:qFormat/>
    <w:rsid w:val="00011446"/>
    <w:pPr>
      <w:tabs>
        <w:tab w:val="clear" w:pos="794"/>
        <w:tab w:val="left" w:pos="1191"/>
      </w:tabs>
      <w:outlineLvl w:val="6"/>
    </w:pPr>
  </w:style>
  <w:style w:type="paragraph" w:styleId="Heading8">
    <w:name w:val="heading 8"/>
    <w:basedOn w:val="Heading3"/>
    <w:next w:val="Normal"/>
    <w:qFormat/>
    <w:rsid w:val="00011446"/>
    <w:pPr>
      <w:tabs>
        <w:tab w:val="clear" w:pos="794"/>
        <w:tab w:val="left" w:pos="1191"/>
      </w:tabs>
      <w:outlineLvl w:val="7"/>
    </w:pPr>
  </w:style>
  <w:style w:type="paragraph" w:styleId="Heading9">
    <w:name w:val="heading 9"/>
    <w:basedOn w:val="Heading3"/>
    <w:next w:val="Normal"/>
    <w:qFormat/>
    <w:rsid w:val="000114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11446"/>
  </w:style>
  <w:style w:type="paragraph" w:styleId="TOC7">
    <w:name w:val="toc 7"/>
    <w:basedOn w:val="TOC3"/>
    <w:semiHidden/>
    <w:rsid w:val="00011446"/>
  </w:style>
  <w:style w:type="paragraph" w:styleId="TOC6">
    <w:name w:val="toc 6"/>
    <w:basedOn w:val="TOC3"/>
    <w:semiHidden/>
    <w:rsid w:val="00011446"/>
  </w:style>
  <w:style w:type="paragraph" w:styleId="TOC5">
    <w:name w:val="toc 5"/>
    <w:basedOn w:val="TOC3"/>
    <w:semiHidden/>
    <w:rsid w:val="00011446"/>
  </w:style>
  <w:style w:type="paragraph" w:styleId="TOC4">
    <w:name w:val="toc 4"/>
    <w:basedOn w:val="TOC3"/>
    <w:semiHidden/>
    <w:rsid w:val="00011446"/>
  </w:style>
  <w:style w:type="paragraph" w:styleId="TOC3">
    <w:name w:val="toc 3"/>
    <w:basedOn w:val="TOC2"/>
    <w:semiHidden/>
    <w:rsid w:val="00011446"/>
    <w:pPr>
      <w:spacing w:before="80"/>
    </w:pPr>
  </w:style>
  <w:style w:type="paragraph" w:styleId="TOC2">
    <w:name w:val="toc 2"/>
    <w:basedOn w:val="TOC1"/>
    <w:semiHidden/>
    <w:rsid w:val="00011446"/>
    <w:pPr>
      <w:spacing w:before="120"/>
    </w:pPr>
  </w:style>
  <w:style w:type="paragraph" w:styleId="TOC1">
    <w:name w:val="toc 1"/>
    <w:basedOn w:val="Normal"/>
    <w:semiHidden/>
    <w:rsid w:val="00011446"/>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011446"/>
    <w:pPr>
      <w:ind w:left="1698"/>
    </w:pPr>
  </w:style>
  <w:style w:type="paragraph" w:styleId="Index6">
    <w:name w:val="index 6"/>
    <w:basedOn w:val="Normal"/>
    <w:next w:val="Normal"/>
    <w:semiHidden/>
    <w:rsid w:val="00011446"/>
    <w:pPr>
      <w:ind w:left="1415"/>
    </w:pPr>
  </w:style>
  <w:style w:type="paragraph" w:styleId="Index5">
    <w:name w:val="index 5"/>
    <w:basedOn w:val="Normal"/>
    <w:next w:val="Normal"/>
    <w:semiHidden/>
    <w:rsid w:val="00011446"/>
    <w:pPr>
      <w:ind w:left="1132"/>
    </w:pPr>
  </w:style>
  <w:style w:type="paragraph" w:styleId="Index4">
    <w:name w:val="index 4"/>
    <w:basedOn w:val="Normal"/>
    <w:next w:val="Normal"/>
    <w:semiHidden/>
    <w:rsid w:val="00011446"/>
    <w:pPr>
      <w:ind w:left="849"/>
    </w:pPr>
  </w:style>
  <w:style w:type="paragraph" w:styleId="Index3">
    <w:name w:val="index 3"/>
    <w:basedOn w:val="Normal"/>
    <w:next w:val="Normal"/>
    <w:semiHidden/>
    <w:rsid w:val="00011446"/>
    <w:pPr>
      <w:ind w:left="566"/>
    </w:pPr>
  </w:style>
  <w:style w:type="paragraph" w:styleId="Index2">
    <w:name w:val="index 2"/>
    <w:basedOn w:val="Normal"/>
    <w:next w:val="Normal"/>
    <w:semiHidden/>
    <w:rsid w:val="00011446"/>
    <w:pPr>
      <w:ind w:left="283"/>
    </w:pPr>
  </w:style>
  <w:style w:type="paragraph" w:styleId="Index1">
    <w:name w:val="index 1"/>
    <w:basedOn w:val="Normal"/>
    <w:next w:val="Normal"/>
    <w:semiHidden/>
    <w:rsid w:val="00011446"/>
  </w:style>
  <w:style w:type="character" w:styleId="LineNumber">
    <w:name w:val="line number"/>
    <w:basedOn w:val="DefaultParagraphFont"/>
    <w:rsid w:val="00011446"/>
  </w:style>
  <w:style w:type="paragraph" w:styleId="IndexHeading">
    <w:name w:val="index heading"/>
    <w:basedOn w:val="Normal"/>
    <w:next w:val="Index1"/>
    <w:semiHidden/>
    <w:rsid w:val="00011446"/>
  </w:style>
  <w:style w:type="paragraph" w:styleId="Footer">
    <w:name w:val="footer"/>
    <w:basedOn w:val="Normal"/>
    <w:link w:val="FooterChar"/>
    <w:rsid w:val="0001144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rsid w:val="0001144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011446"/>
    <w:rPr>
      <w:position w:val="6"/>
      <w:sz w:val="16"/>
    </w:rPr>
  </w:style>
  <w:style w:type="paragraph" w:styleId="FootnoteText">
    <w:name w:val="footnote text"/>
    <w:basedOn w:val="Normal"/>
    <w:semiHidden/>
    <w:rsid w:val="00011446"/>
    <w:pPr>
      <w:keepLines/>
      <w:tabs>
        <w:tab w:val="left" w:pos="256"/>
      </w:tabs>
      <w:ind w:left="256" w:hanging="256"/>
    </w:pPr>
  </w:style>
  <w:style w:type="paragraph" w:styleId="NormalIndent">
    <w:name w:val="Normal Indent"/>
    <w:basedOn w:val="Normal"/>
    <w:rsid w:val="00011446"/>
    <w:pPr>
      <w:ind w:left="794"/>
    </w:pPr>
  </w:style>
  <w:style w:type="paragraph" w:customStyle="1" w:styleId="TableLegend">
    <w:name w:val="Table_Legend"/>
    <w:basedOn w:val="TableText"/>
    <w:rsid w:val="00011446"/>
    <w:pPr>
      <w:spacing w:before="120"/>
    </w:pPr>
  </w:style>
  <w:style w:type="paragraph" w:customStyle="1" w:styleId="TableText">
    <w:name w:val="Table_Text"/>
    <w:basedOn w:val="Normal"/>
    <w:rsid w:val="000114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11446"/>
    <w:pPr>
      <w:keepLines/>
      <w:spacing w:before="0"/>
    </w:pPr>
    <w:rPr>
      <w:b/>
      <w:caps w:val="0"/>
    </w:rPr>
  </w:style>
  <w:style w:type="paragraph" w:customStyle="1" w:styleId="Table">
    <w:name w:val="Table_#"/>
    <w:basedOn w:val="Normal"/>
    <w:next w:val="TableTitle"/>
    <w:rsid w:val="00011446"/>
    <w:pPr>
      <w:keepNext/>
      <w:spacing w:before="560" w:after="120"/>
      <w:jc w:val="center"/>
    </w:pPr>
    <w:rPr>
      <w:caps/>
    </w:rPr>
  </w:style>
  <w:style w:type="paragraph" w:customStyle="1" w:styleId="enumlev1">
    <w:name w:val="enumlev1"/>
    <w:basedOn w:val="Normal"/>
    <w:rsid w:val="00011446"/>
    <w:pPr>
      <w:spacing w:before="80"/>
      <w:ind w:left="794" w:hanging="794"/>
    </w:pPr>
  </w:style>
  <w:style w:type="paragraph" w:customStyle="1" w:styleId="enumlev2">
    <w:name w:val="enumlev2"/>
    <w:basedOn w:val="enumlev1"/>
    <w:rsid w:val="00011446"/>
    <w:pPr>
      <w:ind w:left="1191" w:hanging="397"/>
    </w:pPr>
  </w:style>
  <w:style w:type="paragraph" w:customStyle="1" w:styleId="enumlev3">
    <w:name w:val="enumlev3"/>
    <w:basedOn w:val="enumlev2"/>
    <w:rsid w:val="00011446"/>
    <w:pPr>
      <w:ind w:left="1588"/>
    </w:pPr>
  </w:style>
  <w:style w:type="paragraph" w:customStyle="1" w:styleId="TableHead">
    <w:name w:val="Table_Head"/>
    <w:basedOn w:val="TableText"/>
    <w:rsid w:val="00011446"/>
    <w:pPr>
      <w:keepNext/>
      <w:spacing w:before="80" w:after="80"/>
      <w:jc w:val="center"/>
    </w:pPr>
    <w:rPr>
      <w:b/>
    </w:rPr>
  </w:style>
  <w:style w:type="paragraph" w:customStyle="1" w:styleId="FigureLegend">
    <w:name w:val="Figure_Legend"/>
    <w:basedOn w:val="Normal"/>
    <w:rsid w:val="000114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11446"/>
    <w:pPr>
      <w:spacing w:before="480"/>
    </w:pPr>
  </w:style>
  <w:style w:type="paragraph" w:customStyle="1" w:styleId="FigureTitle">
    <w:name w:val="Figure_Title"/>
    <w:basedOn w:val="TableTitle"/>
    <w:next w:val="Normal"/>
    <w:rsid w:val="00011446"/>
    <w:pPr>
      <w:keepNext w:val="0"/>
      <w:spacing w:after="480"/>
    </w:pPr>
  </w:style>
  <w:style w:type="paragraph" w:customStyle="1" w:styleId="Annex">
    <w:name w:val="Annex_#"/>
    <w:basedOn w:val="Normal"/>
    <w:next w:val="AnnexRef"/>
    <w:rsid w:val="00011446"/>
    <w:pPr>
      <w:keepNext/>
      <w:keepLines/>
      <w:spacing w:before="480" w:after="80"/>
      <w:jc w:val="center"/>
    </w:pPr>
    <w:rPr>
      <w:caps/>
    </w:rPr>
  </w:style>
  <w:style w:type="paragraph" w:customStyle="1" w:styleId="AnnexRef">
    <w:name w:val="Annex_Ref"/>
    <w:basedOn w:val="Normal"/>
    <w:next w:val="AnnexTitle"/>
    <w:rsid w:val="00011446"/>
    <w:pPr>
      <w:keepNext/>
      <w:keepLines/>
      <w:jc w:val="center"/>
    </w:pPr>
  </w:style>
  <w:style w:type="paragraph" w:customStyle="1" w:styleId="AnnexTitle">
    <w:name w:val="Annex_Title"/>
    <w:basedOn w:val="Normal"/>
    <w:next w:val="Normal"/>
    <w:rsid w:val="00011446"/>
    <w:pPr>
      <w:keepNext/>
      <w:keepLines/>
      <w:spacing w:before="240" w:after="280"/>
      <w:jc w:val="center"/>
    </w:pPr>
    <w:rPr>
      <w:b/>
    </w:rPr>
  </w:style>
  <w:style w:type="paragraph" w:customStyle="1" w:styleId="Appendix">
    <w:name w:val="Appendix_#"/>
    <w:basedOn w:val="Annex"/>
    <w:next w:val="AppendixRef"/>
    <w:rsid w:val="00011446"/>
  </w:style>
  <w:style w:type="paragraph" w:customStyle="1" w:styleId="AppendixRef">
    <w:name w:val="Appendix_Ref"/>
    <w:basedOn w:val="AnnexRef"/>
    <w:next w:val="AppendixTitle"/>
    <w:rsid w:val="00011446"/>
  </w:style>
  <w:style w:type="paragraph" w:customStyle="1" w:styleId="AppendixTitle">
    <w:name w:val="Appendix_Title"/>
    <w:basedOn w:val="AnnexTitle"/>
    <w:next w:val="Normal"/>
    <w:rsid w:val="00011446"/>
  </w:style>
  <w:style w:type="paragraph" w:customStyle="1" w:styleId="RefTitle">
    <w:name w:val="Ref_Title"/>
    <w:basedOn w:val="Normal"/>
    <w:next w:val="RefText"/>
    <w:rsid w:val="00011446"/>
    <w:pPr>
      <w:spacing w:before="480"/>
      <w:jc w:val="center"/>
    </w:pPr>
    <w:rPr>
      <w:caps/>
    </w:rPr>
  </w:style>
  <w:style w:type="paragraph" w:customStyle="1" w:styleId="RefText">
    <w:name w:val="Ref_Text"/>
    <w:basedOn w:val="Normal"/>
    <w:rsid w:val="00011446"/>
    <w:pPr>
      <w:ind w:left="794" w:hanging="794"/>
    </w:pPr>
  </w:style>
  <w:style w:type="paragraph" w:customStyle="1" w:styleId="Equation">
    <w:name w:val="Equation"/>
    <w:basedOn w:val="Normal"/>
    <w:rsid w:val="00011446"/>
    <w:pPr>
      <w:tabs>
        <w:tab w:val="clear" w:pos="1191"/>
        <w:tab w:val="clear" w:pos="1588"/>
        <w:tab w:val="clear" w:pos="1985"/>
        <w:tab w:val="center" w:pos="4876"/>
        <w:tab w:val="right" w:pos="9752"/>
      </w:tabs>
    </w:pPr>
  </w:style>
  <w:style w:type="paragraph" w:customStyle="1" w:styleId="Head">
    <w:name w:val="Head"/>
    <w:basedOn w:val="Normal"/>
    <w:rsid w:val="000114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11446"/>
    <w:pPr>
      <w:keepNext/>
      <w:keepLines/>
      <w:spacing w:before="240"/>
      <w:jc w:val="center"/>
    </w:pPr>
    <w:rPr>
      <w:b/>
      <w:caps/>
    </w:rPr>
  </w:style>
  <w:style w:type="paragraph" w:customStyle="1" w:styleId="Normalaftertitle">
    <w:name w:val="Normal after title"/>
    <w:basedOn w:val="Normal"/>
    <w:next w:val="Normal"/>
    <w:rsid w:val="00011446"/>
    <w:pPr>
      <w:spacing w:before="320"/>
    </w:pPr>
  </w:style>
  <w:style w:type="paragraph" w:customStyle="1" w:styleId="call">
    <w:name w:val="call"/>
    <w:basedOn w:val="Normal"/>
    <w:next w:val="Normal"/>
    <w:rsid w:val="00011446"/>
    <w:pPr>
      <w:keepNext/>
      <w:keepLines/>
      <w:spacing w:before="160"/>
      <w:ind w:left="794"/>
    </w:pPr>
    <w:rPr>
      <w:i/>
    </w:rPr>
  </w:style>
  <w:style w:type="paragraph" w:customStyle="1" w:styleId="Rec">
    <w:name w:val="Rec_#"/>
    <w:basedOn w:val="Normal"/>
    <w:next w:val="RecTitle"/>
    <w:rsid w:val="00011446"/>
    <w:pPr>
      <w:keepNext/>
      <w:keepLines/>
      <w:spacing w:before="480"/>
      <w:jc w:val="center"/>
    </w:pPr>
    <w:rPr>
      <w:caps/>
    </w:rPr>
  </w:style>
  <w:style w:type="paragraph" w:customStyle="1" w:styleId="toc0">
    <w:name w:val="toc 0"/>
    <w:basedOn w:val="Normal"/>
    <w:next w:val="TOC1"/>
    <w:rsid w:val="00011446"/>
    <w:pPr>
      <w:tabs>
        <w:tab w:val="clear" w:pos="794"/>
        <w:tab w:val="clear" w:pos="1191"/>
        <w:tab w:val="clear" w:pos="1588"/>
        <w:tab w:val="clear" w:pos="1985"/>
        <w:tab w:val="right" w:pos="9781"/>
      </w:tabs>
    </w:pPr>
    <w:rPr>
      <w:b/>
    </w:rPr>
  </w:style>
  <w:style w:type="paragraph" w:styleId="List">
    <w:name w:val="List"/>
    <w:basedOn w:val="Normal"/>
    <w:rsid w:val="000114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114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114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114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11446"/>
    <w:pPr>
      <w:spacing w:before="160"/>
      <w:ind w:left="0" w:firstLine="0"/>
      <w:outlineLvl w:val="9"/>
    </w:pPr>
  </w:style>
  <w:style w:type="paragraph" w:customStyle="1" w:styleId="Keywords">
    <w:name w:val="Keywords"/>
    <w:basedOn w:val="Normal"/>
    <w:rsid w:val="00011446"/>
    <w:pPr>
      <w:tabs>
        <w:tab w:val="clear" w:pos="1191"/>
        <w:tab w:val="clear" w:pos="1588"/>
      </w:tabs>
      <w:ind w:left="794" w:hanging="794"/>
    </w:pPr>
  </w:style>
  <w:style w:type="paragraph" w:customStyle="1" w:styleId="ASN1">
    <w:name w:val="ASN.1"/>
    <w:basedOn w:val="Normal"/>
    <w:rsid w:val="000114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114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11446"/>
    <w:pPr>
      <w:tabs>
        <w:tab w:val="clear" w:pos="794"/>
        <w:tab w:val="clear" w:pos="1191"/>
        <w:tab w:val="clear" w:pos="1588"/>
        <w:tab w:val="clear" w:pos="1985"/>
      </w:tabs>
      <w:spacing w:before="480"/>
      <w:ind w:left="4961"/>
    </w:pPr>
  </w:style>
  <w:style w:type="paragraph" w:customStyle="1" w:styleId="meeting">
    <w:name w:val="meeting"/>
    <w:basedOn w:val="Head"/>
    <w:next w:val="Head"/>
    <w:rsid w:val="00011446"/>
    <w:pPr>
      <w:tabs>
        <w:tab w:val="left" w:pos="7371"/>
      </w:tabs>
      <w:spacing w:after="560"/>
    </w:pPr>
  </w:style>
  <w:style w:type="paragraph" w:customStyle="1" w:styleId="BodyText">
    <w:name w:val="BodyText"/>
    <w:basedOn w:val="Normal"/>
    <w:rsid w:val="00011446"/>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rsid w:val="0001144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01144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1144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11446"/>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01144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1144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11446"/>
  </w:style>
  <w:style w:type="paragraph" w:customStyle="1" w:styleId="ITUbureau">
    <w:name w:val="ITU_bureau"/>
    <w:basedOn w:val="Normal"/>
    <w:rsid w:val="0001144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01144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01144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1144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11446"/>
    <w:pPr>
      <w:tabs>
        <w:tab w:val="left" w:pos="1418"/>
        <w:tab w:val="left" w:pos="1985"/>
        <w:tab w:val="left" w:pos="2268"/>
      </w:tabs>
      <w:ind w:firstLine="1304"/>
    </w:pPr>
  </w:style>
  <w:style w:type="paragraph" w:customStyle="1" w:styleId="Tiret">
    <w:name w:val="Tiret"/>
    <w:basedOn w:val="Normal"/>
    <w:rsid w:val="00011446"/>
    <w:pPr>
      <w:tabs>
        <w:tab w:val="clear" w:pos="794"/>
        <w:tab w:val="clear" w:pos="1191"/>
        <w:tab w:val="clear" w:pos="1588"/>
        <w:tab w:val="clear" w:pos="1985"/>
      </w:tabs>
      <w:ind w:left="-680"/>
    </w:pPr>
  </w:style>
  <w:style w:type="paragraph" w:customStyle="1" w:styleId="NormFoot">
    <w:name w:val="Norm_Foot"/>
    <w:basedOn w:val="Normal"/>
    <w:rsid w:val="0001144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011446"/>
    <w:pPr>
      <w:spacing w:before="160"/>
      <w:ind w:left="0" w:firstLine="0"/>
      <w:outlineLvl w:val="9"/>
    </w:pPr>
    <w:rPr>
      <w:b w:val="0"/>
      <w:i/>
    </w:rPr>
  </w:style>
  <w:style w:type="paragraph" w:customStyle="1" w:styleId="listitem">
    <w:name w:val="listitem"/>
    <w:basedOn w:val="Normal"/>
    <w:rsid w:val="00011446"/>
    <w:pPr>
      <w:keepLines/>
      <w:tabs>
        <w:tab w:val="left" w:pos="1361"/>
        <w:tab w:val="left" w:pos="1758"/>
        <w:tab w:val="left" w:pos="2155"/>
        <w:tab w:val="left" w:pos="2552"/>
      </w:tabs>
      <w:ind w:left="567"/>
    </w:pPr>
  </w:style>
  <w:style w:type="character" w:styleId="PageNumber">
    <w:name w:val="page number"/>
    <w:basedOn w:val="DefaultParagraphFont"/>
    <w:rsid w:val="00011446"/>
  </w:style>
  <w:style w:type="paragraph" w:customStyle="1" w:styleId="details">
    <w:name w:val="details"/>
    <w:basedOn w:val="Normal"/>
    <w:next w:val="Tiret"/>
    <w:rsid w:val="0001144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0114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11446"/>
    <w:pPr>
      <w:tabs>
        <w:tab w:val="left" w:pos="397"/>
      </w:tabs>
    </w:pPr>
  </w:style>
  <w:style w:type="paragraph" w:customStyle="1" w:styleId="FirstFooter">
    <w:name w:val="FirstFooter"/>
    <w:basedOn w:val="Footer"/>
    <w:rsid w:val="00011446"/>
    <w:pPr>
      <w:tabs>
        <w:tab w:val="clear" w:pos="5954"/>
        <w:tab w:val="clear" w:pos="9639"/>
      </w:tabs>
    </w:pPr>
    <w:rPr>
      <w:caps w:val="0"/>
    </w:rPr>
  </w:style>
  <w:style w:type="paragraph" w:styleId="TOC9">
    <w:name w:val="toc 9"/>
    <w:basedOn w:val="TOC3"/>
    <w:semiHidden/>
    <w:rsid w:val="00011446"/>
  </w:style>
  <w:style w:type="paragraph" w:styleId="BodyText0">
    <w:name w:val="Body Text"/>
    <w:basedOn w:val="Normal"/>
    <w:rsid w:val="00011446"/>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rsid w:val="00011446"/>
    <w:rPr>
      <w:color w:val="0000FF"/>
      <w:u w:val="single"/>
    </w:rPr>
  </w:style>
  <w:style w:type="character" w:styleId="FollowedHyperlink">
    <w:name w:val="FollowedHyperlink"/>
    <w:basedOn w:val="DefaultParagraphFont"/>
    <w:rsid w:val="00011446"/>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1EF5"/>
    <w:rPr>
      <w:rFonts w:ascii="Tahoma" w:hAnsi="Tahoma" w:cs="Tahoma"/>
      <w:sz w:val="16"/>
      <w:szCs w:val="16"/>
    </w:rPr>
  </w:style>
  <w:style w:type="character" w:customStyle="1" w:styleId="FooterChar">
    <w:name w:val="Footer Char"/>
    <w:basedOn w:val="DefaultParagraphFont"/>
    <w:link w:val="Footer"/>
    <w:rsid w:val="00EB7DA2"/>
    <w:rPr>
      <w:rFonts w:ascii="Times New Roman" w:hAnsi="Times New Roman"/>
      <w:caps/>
      <w:sz w:val="18"/>
      <w:lang w:val="es-ES_tradnl" w:eastAsia="en-US"/>
    </w:rPr>
  </w:style>
  <w:style w:type="paragraph" w:styleId="ListParagraph">
    <w:name w:val="List Paragraph"/>
    <w:basedOn w:val="Normal"/>
    <w:uiPriority w:val="34"/>
    <w:qFormat/>
    <w:rsid w:val="00AC2B9B"/>
    <w:pPr>
      <w:ind w:left="720"/>
      <w:contextualSpacing/>
    </w:pPr>
  </w:style>
  <w:style w:type="character" w:customStyle="1" w:styleId="HeaderChar">
    <w:name w:val="Header Char"/>
    <w:aliases w:val="encabezado Char,Page No Char"/>
    <w:basedOn w:val="DefaultParagraphFont"/>
    <w:link w:val="Header"/>
    <w:uiPriority w:val="99"/>
    <w:rsid w:val="00997824"/>
    <w:rPr>
      <w:rFonts w:ascii="Times New Roman" w:hAnsi="Times New Roman"/>
      <w:sz w:val="22"/>
      <w:lang w:val="es-ES_tradnl" w:eastAsia="en-US"/>
    </w:rPr>
  </w:style>
  <w:style w:type="paragraph" w:customStyle="1" w:styleId="Title1">
    <w:name w:val="Title 1"/>
    <w:basedOn w:val="Normal"/>
    <w:next w:val="Normal"/>
    <w:rsid w:val="00997824"/>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caps/>
      <w:sz w:val="28"/>
      <w:lang w:val="en-GB"/>
    </w:rPr>
  </w:style>
  <w:style w:type="character" w:customStyle="1" w:styleId="FooterChar1">
    <w:name w:val="Footer Char1"/>
    <w:basedOn w:val="DefaultParagraphFont"/>
    <w:rsid w:val="00997824"/>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446"/>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basedOn w:val="Normal"/>
    <w:next w:val="Normal"/>
    <w:qFormat/>
    <w:rsid w:val="000114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11446"/>
    <w:pPr>
      <w:spacing w:before="320"/>
      <w:outlineLvl w:val="1"/>
    </w:pPr>
  </w:style>
  <w:style w:type="paragraph" w:styleId="Heading3">
    <w:name w:val="heading 3"/>
    <w:basedOn w:val="Heading1"/>
    <w:next w:val="Normal"/>
    <w:qFormat/>
    <w:rsid w:val="00011446"/>
    <w:pPr>
      <w:spacing w:before="200"/>
      <w:outlineLvl w:val="2"/>
    </w:pPr>
  </w:style>
  <w:style w:type="paragraph" w:styleId="Heading4">
    <w:name w:val="heading 4"/>
    <w:basedOn w:val="Heading3"/>
    <w:next w:val="Normal"/>
    <w:qFormat/>
    <w:rsid w:val="00011446"/>
    <w:pPr>
      <w:tabs>
        <w:tab w:val="clear" w:pos="794"/>
        <w:tab w:val="left" w:pos="1191"/>
      </w:tabs>
      <w:ind w:left="993" w:hanging="993"/>
      <w:outlineLvl w:val="3"/>
    </w:pPr>
  </w:style>
  <w:style w:type="paragraph" w:styleId="Heading5">
    <w:name w:val="heading 5"/>
    <w:basedOn w:val="Heading3"/>
    <w:next w:val="Normal"/>
    <w:qFormat/>
    <w:rsid w:val="00011446"/>
    <w:pPr>
      <w:tabs>
        <w:tab w:val="clear" w:pos="794"/>
        <w:tab w:val="left" w:pos="1191"/>
      </w:tabs>
      <w:outlineLvl w:val="4"/>
    </w:pPr>
  </w:style>
  <w:style w:type="paragraph" w:styleId="Heading6">
    <w:name w:val="heading 6"/>
    <w:basedOn w:val="Heading3"/>
    <w:next w:val="Normal"/>
    <w:qFormat/>
    <w:rsid w:val="00011446"/>
    <w:pPr>
      <w:tabs>
        <w:tab w:val="clear" w:pos="794"/>
        <w:tab w:val="left" w:pos="1191"/>
      </w:tabs>
      <w:outlineLvl w:val="5"/>
    </w:pPr>
  </w:style>
  <w:style w:type="paragraph" w:styleId="Heading7">
    <w:name w:val="heading 7"/>
    <w:basedOn w:val="Heading3"/>
    <w:next w:val="Normal"/>
    <w:qFormat/>
    <w:rsid w:val="00011446"/>
    <w:pPr>
      <w:tabs>
        <w:tab w:val="clear" w:pos="794"/>
        <w:tab w:val="left" w:pos="1191"/>
      </w:tabs>
      <w:outlineLvl w:val="6"/>
    </w:pPr>
  </w:style>
  <w:style w:type="paragraph" w:styleId="Heading8">
    <w:name w:val="heading 8"/>
    <w:basedOn w:val="Heading3"/>
    <w:next w:val="Normal"/>
    <w:qFormat/>
    <w:rsid w:val="00011446"/>
    <w:pPr>
      <w:tabs>
        <w:tab w:val="clear" w:pos="794"/>
        <w:tab w:val="left" w:pos="1191"/>
      </w:tabs>
      <w:outlineLvl w:val="7"/>
    </w:pPr>
  </w:style>
  <w:style w:type="paragraph" w:styleId="Heading9">
    <w:name w:val="heading 9"/>
    <w:basedOn w:val="Heading3"/>
    <w:next w:val="Normal"/>
    <w:qFormat/>
    <w:rsid w:val="000114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11446"/>
  </w:style>
  <w:style w:type="paragraph" w:styleId="TOC7">
    <w:name w:val="toc 7"/>
    <w:basedOn w:val="TOC3"/>
    <w:semiHidden/>
    <w:rsid w:val="00011446"/>
  </w:style>
  <w:style w:type="paragraph" w:styleId="TOC6">
    <w:name w:val="toc 6"/>
    <w:basedOn w:val="TOC3"/>
    <w:semiHidden/>
    <w:rsid w:val="00011446"/>
  </w:style>
  <w:style w:type="paragraph" w:styleId="TOC5">
    <w:name w:val="toc 5"/>
    <w:basedOn w:val="TOC3"/>
    <w:semiHidden/>
    <w:rsid w:val="00011446"/>
  </w:style>
  <w:style w:type="paragraph" w:styleId="TOC4">
    <w:name w:val="toc 4"/>
    <w:basedOn w:val="TOC3"/>
    <w:semiHidden/>
    <w:rsid w:val="00011446"/>
  </w:style>
  <w:style w:type="paragraph" w:styleId="TOC3">
    <w:name w:val="toc 3"/>
    <w:basedOn w:val="TOC2"/>
    <w:semiHidden/>
    <w:rsid w:val="00011446"/>
    <w:pPr>
      <w:spacing w:before="80"/>
    </w:pPr>
  </w:style>
  <w:style w:type="paragraph" w:styleId="TOC2">
    <w:name w:val="toc 2"/>
    <w:basedOn w:val="TOC1"/>
    <w:semiHidden/>
    <w:rsid w:val="00011446"/>
    <w:pPr>
      <w:spacing w:before="120"/>
    </w:pPr>
  </w:style>
  <w:style w:type="paragraph" w:styleId="TOC1">
    <w:name w:val="toc 1"/>
    <w:basedOn w:val="Normal"/>
    <w:semiHidden/>
    <w:rsid w:val="00011446"/>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011446"/>
    <w:pPr>
      <w:ind w:left="1698"/>
    </w:pPr>
  </w:style>
  <w:style w:type="paragraph" w:styleId="Index6">
    <w:name w:val="index 6"/>
    <w:basedOn w:val="Normal"/>
    <w:next w:val="Normal"/>
    <w:semiHidden/>
    <w:rsid w:val="00011446"/>
    <w:pPr>
      <w:ind w:left="1415"/>
    </w:pPr>
  </w:style>
  <w:style w:type="paragraph" w:styleId="Index5">
    <w:name w:val="index 5"/>
    <w:basedOn w:val="Normal"/>
    <w:next w:val="Normal"/>
    <w:semiHidden/>
    <w:rsid w:val="00011446"/>
    <w:pPr>
      <w:ind w:left="1132"/>
    </w:pPr>
  </w:style>
  <w:style w:type="paragraph" w:styleId="Index4">
    <w:name w:val="index 4"/>
    <w:basedOn w:val="Normal"/>
    <w:next w:val="Normal"/>
    <w:semiHidden/>
    <w:rsid w:val="00011446"/>
    <w:pPr>
      <w:ind w:left="849"/>
    </w:pPr>
  </w:style>
  <w:style w:type="paragraph" w:styleId="Index3">
    <w:name w:val="index 3"/>
    <w:basedOn w:val="Normal"/>
    <w:next w:val="Normal"/>
    <w:semiHidden/>
    <w:rsid w:val="00011446"/>
    <w:pPr>
      <w:ind w:left="566"/>
    </w:pPr>
  </w:style>
  <w:style w:type="paragraph" w:styleId="Index2">
    <w:name w:val="index 2"/>
    <w:basedOn w:val="Normal"/>
    <w:next w:val="Normal"/>
    <w:semiHidden/>
    <w:rsid w:val="00011446"/>
    <w:pPr>
      <w:ind w:left="283"/>
    </w:pPr>
  </w:style>
  <w:style w:type="paragraph" w:styleId="Index1">
    <w:name w:val="index 1"/>
    <w:basedOn w:val="Normal"/>
    <w:next w:val="Normal"/>
    <w:semiHidden/>
    <w:rsid w:val="00011446"/>
  </w:style>
  <w:style w:type="character" w:styleId="LineNumber">
    <w:name w:val="line number"/>
    <w:basedOn w:val="DefaultParagraphFont"/>
    <w:rsid w:val="00011446"/>
  </w:style>
  <w:style w:type="paragraph" w:styleId="IndexHeading">
    <w:name w:val="index heading"/>
    <w:basedOn w:val="Normal"/>
    <w:next w:val="Index1"/>
    <w:semiHidden/>
    <w:rsid w:val="00011446"/>
  </w:style>
  <w:style w:type="paragraph" w:styleId="Footer">
    <w:name w:val="footer"/>
    <w:basedOn w:val="Normal"/>
    <w:link w:val="FooterChar"/>
    <w:rsid w:val="0001144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rsid w:val="0001144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011446"/>
    <w:rPr>
      <w:position w:val="6"/>
      <w:sz w:val="16"/>
    </w:rPr>
  </w:style>
  <w:style w:type="paragraph" w:styleId="FootnoteText">
    <w:name w:val="footnote text"/>
    <w:basedOn w:val="Normal"/>
    <w:semiHidden/>
    <w:rsid w:val="00011446"/>
    <w:pPr>
      <w:keepLines/>
      <w:tabs>
        <w:tab w:val="left" w:pos="256"/>
      </w:tabs>
      <w:ind w:left="256" w:hanging="256"/>
    </w:pPr>
  </w:style>
  <w:style w:type="paragraph" w:styleId="NormalIndent">
    <w:name w:val="Normal Indent"/>
    <w:basedOn w:val="Normal"/>
    <w:rsid w:val="00011446"/>
    <w:pPr>
      <w:ind w:left="794"/>
    </w:pPr>
  </w:style>
  <w:style w:type="paragraph" w:customStyle="1" w:styleId="TableLegend">
    <w:name w:val="Table_Legend"/>
    <w:basedOn w:val="TableText"/>
    <w:rsid w:val="00011446"/>
    <w:pPr>
      <w:spacing w:before="120"/>
    </w:pPr>
  </w:style>
  <w:style w:type="paragraph" w:customStyle="1" w:styleId="TableText">
    <w:name w:val="Table_Text"/>
    <w:basedOn w:val="Normal"/>
    <w:rsid w:val="000114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11446"/>
    <w:pPr>
      <w:keepLines/>
      <w:spacing w:before="0"/>
    </w:pPr>
    <w:rPr>
      <w:b/>
      <w:caps w:val="0"/>
    </w:rPr>
  </w:style>
  <w:style w:type="paragraph" w:customStyle="1" w:styleId="Table">
    <w:name w:val="Table_#"/>
    <w:basedOn w:val="Normal"/>
    <w:next w:val="TableTitle"/>
    <w:rsid w:val="00011446"/>
    <w:pPr>
      <w:keepNext/>
      <w:spacing w:before="560" w:after="120"/>
      <w:jc w:val="center"/>
    </w:pPr>
    <w:rPr>
      <w:caps/>
    </w:rPr>
  </w:style>
  <w:style w:type="paragraph" w:customStyle="1" w:styleId="enumlev1">
    <w:name w:val="enumlev1"/>
    <w:basedOn w:val="Normal"/>
    <w:rsid w:val="00011446"/>
    <w:pPr>
      <w:spacing w:before="80"/>
      <w:ind w:left="794" w:hanging="794"/>
    </w:pPr>
  </w:style>
  <w:style w:type="paragraph" w:customStyle="1" w:styleId="enumlev2">
    <w:name w:val="enumlev2"/>
    <w:basedOn w:val="enumlev1"/>
    <w:rsid w:val="00011446"/>
    <w:pPr>
      <w:ind w:left="1191" w:hanging="397"/>
    </w:pPr>
  </w:style>
  <w:style w:type="paragraph" w:customStyle="1" w:styleId="enumlev3">
    <w:name w:val="enumlev3"/>
    <w:basedOn w:val="enumlev2"/>
    <w:rsid w:val="00011446"/>
    <w:pPr>
      <w:ind w:left="1588"/>
    </w:pPr>
  </w:style>
  <w:style w:type="paragraph" w:customStyle="1" w:styleId="TableHead">
    <w:name w:val="Table_Head"/>
    <w:basedOn w:val="TableText"/>
    <w:rsid w:val="00011446"/>
    <w:pPr>
      <w:keepNext/>
      <w:spacing w:before="80" w:after="80"/>
      <w:jc w:val="center"/>
    </w:pPr>
    <w:rPr>
      <w:b/>
    </w:rPr>
  </w:style>
  <w:style w:type="paragraph" w:customStyle="1" w:styleId="FigureLegend">
    <w:name w:val="Figure_Legend"/>
    <w:basedOn w:val="Normal"/>
    <w:rsid w:val="000114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11446"/>
    <w:pPr>
      <w:spacing w:before="480"/>
    </w:pPr>
  </w:style>
  <w:style w:type="paragraph" w:customStyle="1" w:styleId="FigureTitle">
    <w:name w:val="Figure_Title"/>
    <w:basedOn w:val="TableTitle"/>
    <w:next w:val="Normal"/>
    <w:rsid w:val="00011446"/>
    <w:pPr>
      <w:keepNext w:val="0"/>
      <w:spacing w:after="480"/>
    </w:pPr>
  </w:style>
  <w:style w:type="paragraph" w:customStyle="1" w:styleId="Annex">
    <w:name w:val="Annex_#"/>
    <w:basedOn w:val="Normal"/>
    <w:next w:val="AnnexRef"/>
    <w:rsid w:val="00011446"/>
    <w:pPr>
      <w:keepNext/>
      <w:keepLines/>
      <w:spacing w:before="480" w:after="80"/>
      <w:jc w:val="center"/>
    </w:pPr>
    <w:rPr>
      <w:caps/>
    </w:rPr>
  </w:style>
  <w:style w:type="paragraph" w:customStyle="1" w:styleId="AnnexRef">
    <w:name w:val="Annex_Ref"/>
    <w:basedOn w:val="Normal"/>
    <w:next w:val="AnnexTitle"/>
    <w:rsid w:val="00011446"/>
    <w:pPr>
      <w:keepNext/>
      <w:keepLines/>
      <w:jc w:val="center"/>
    </w:pPr>
  </w:style>
  <w:style w:type="paragraph" w:customStyle="1" w:styleId="AnnexTitle">
    <w:name w:val="Annex_Title"/>
    <w:basedOn w:val="Normal"/>
    <w:next w:val="Normal"/>
    <w:rsid w:val="00011446"/>
    <w:pPr>
      <w:keepNext/>
      <w:keepLines/>
      <w:spacing w:before="240" w:after="280"/>
      <w:jc w:val="center"/>
    </w:pPr>
    <w:rPr>
      <w:b/>
    </w:rPr>
  </w:style>
  <w:style w:type="paragraph" w:customStyle="1" w:styleId="Appendix">
    <w:name w:val="Appendix_#"/>
    <w:basedOn w:val="Annex"/>
    <w:next w:val="AppendixRef"/>
    <w:rsid w:val="00011446"/>
  </w:style>
  <w:style w:type="paragraph" w:customStyle="1" w:styleId="AppendixRef">
    <w:name w:val="Appendix_Ref"/>
    <w:basedOn w:val="AnnexRef"/>
    <w:next w:val="AppendixTitle"/>
    <w:rsid w:val="00011446"/>
  </w:style>
  <w:style w:type="paragraph" w:customStyle="1" w:styleId="AppendixTitle">
    <w:name w:val="Appendix_Title"/>
    <w:basedOn w:val="AnnexTitle"/>
    <w:next w:val="Normal"/>
    <w:rsid w:val="00011446"/>
  </w:style>
  <w:style w:type="paragraph" w:customStyle="1" w:styleId="RefTitle">
    <w:name w:val="Ref_Title"/>
    <w:basedOn w:val="Normal"/>
    <w:next w:val="RefText"/>
    <w:rsid w:val="00011446"/>
    <w:pPr>
      <w:spacing w:before="480"/>
      <w:jc w:val="center"/>
    </w:pPr>
    <w:rPr>
      <w:caps/>
    </w:rPr>
  </w:style>
  <w:style w:type="paragraph" w:customStyle="1" w:styleId="RefText">
    <w:name w:val="Ref_Text"/>
    <w:basedOn w:val="Normal"/>
    <w:rsid w:val="00011446"/>
    <w:pPr>
      <w:ind w:left="794" w:hanging="794"/>
    </w:pPr>
  </w:style>
  <w:style w:type="paragraph" w:customStyle="1" w:styleId="Equation">
    <w:name w:val="Equation"/>
    <w:basedOn w:val="Normal"/>
    <w:rsid w:val="00011446"/>
    <w:pPr>
      <w:tabs>
        <w:tab w:val="clear" w:pos="1191"/>
        <w:tab w:val="clear" w:pos="1588"/>
        <w:tab w:val="clear" w:pos="1985"/>
        <w:tab w:val="center" w:pos="4876"/>
        <w:tab w:val="right" w:pos="9752"/>
      </w:tabs>
    </w:pPr>
  </w:style>
  <w:style w:type="paragraph" w:customStyle="1" w:styleId="Head">
    <w:name w:val="Head"/>
    <w:basedOn w:val="Normal"/>
    <w:rsid w:val="000114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11446"/>
    <w:pPr>
      <w:keepNext/>
      <w:keepLines/>
      <w:spacing w:before="240"/>
      <w:jc w:val="center"/>
    </w:pPr>
    <w:rPr>
      <w:b/>
      <w:caps/>
    </w:rPr>
  </w:style>
  <w:style w:type="paragraph" w:customStyle="1" w:styleId="Normalaftertitle">
    <w:name w:val="Normal after title"/>
    <w:basedOn w:val="Normal"/>
    <w:next w:val="Normal"/>
    <w:rsid w:val="00011446"/>
    <w:pPr>
      <w:spacing w:before="320"/>
    </w:pPr>
  </w:style>
  <w:style w:type="paragraph" w:customStyle="1" w:styleId="call">
    <w:name w:val="call"/>
    <w:basedOn w:val="Normal"/>
    <w:next w:val="Normal"/>
    <w:rsid w:val="00011446"/>
    <w:pPr>
      <w:keepNext/>
      <w:keepLines/>
      <w:spacing w:before="160"/>
      <w:ind w:left="794"/>
    </w:pPr>
    <w:rPr>
      <w:i/>
    </w:rPr>
  </w:style>
  <w:style w:type="paragraph" w:customStyle="1" w:styleId="Rec">
    <w:name w:val="Rec_#"/>
    <w:basedOn w:val="Normal"/>
    <w:next w:val="RecTitle"/>
    <w:rsid w:val="00011446"/>
    <w:pPr>
      <w:keepNext/>
      <w:keepLines/>
      <w:spacing w:before="480"/>
      <w:jc w:val="center"/>
    </w:pPr>
    <w:rPr>
      <w:caps/>
    </w:rPr>
  </w:style>
  <w:style w:type="paragraph" w:customStyle="1" w:styleId="toc0">
    <w:name w:val="toc 0"/>
    <w:basedOn w:val="Normal"/>
    <w:next w:val="TOC1"/>
    <w:rsid w:val="00011446"/>
    <w:pPr>
      <w:tabs>
        <w:tab w:val="clear" w:pos="794"/>
        <w:tab w:val="clear" w:pos="1191"/>
        <w:tab w:val="clear" w:pos="1588"/>
        <w:tab w:val="clear" w:pos="1985"/>
        <w:tab w:val="right" w:pos="9781"/>
      </w:tabs>
    </w:pPr>
    <w:rPr>
      <w:b/>
    </w:rPr>
  </w:style>
  <w:style w:type="paragraph" w:styleId="List">
    <w:name w:val="List"/>
    <w:basedOn w:val="Normal"/>
    <w:rsid w:val="000114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114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114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114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11446"/>
    <w:pPr>
      <w:spacing w:before="160"/>
      <w:ind w:left="0" w:firstLine="0"/>
      <w:outlineLvl w:val="9"/>
    </w:pPr>
  </w:style>
  <w:style w:type="paragraph" w:customStyle="1" w:styleId="Keywords">
    <w:name w:val="Keywords"/>
    <w:basedOn w:val="Normal"/>
    <w:rsid w:val="00011446"/>
    <w:pPr>
      <w:tabs>
        <w:tab w:val="clear" w:pos="1191"/>
        <w:tab w:val="clear" w:pos="1588"/>
      </w:tabs>
      <w:ind w:left="794" w:hanging="794"/>
    </w:pPr>
  </w:style>
  <w:style w:type="paragraph" w:customStyle="1" w:styleId="ASN1">
    <w:name w:val="ASN.1"/>
    <w:basedOn w:val="Normal"/>
    <w:rsid w:val="000114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114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11446"/>
    <w:pPr>
      <w:tabs>
        <w:tab w:val="clear" w:pos="794"/>
        <w:tab w:val="clear" w:pos="1191"/>
        <w:tab w:val="clear" w:pos="1588"/>
        <w:tab w:val="clear" w:pos="1985"/>
      </w:tabs>
      <w:spacing w:before="480"/>
      <w:ind w:left="4961"/>
    </w:pPr>
  </w:style>
  <w:style w:type="paragraph" w:customStyle="1" w:styleId="meeting">
    <w:name w:val="meeting"/>
    <w:basedOn w:val="Head"/>
    <w:next w:val="Head"/>
    <w:rsid w:val="00011446"/>
    <w:pPr>
      <w:tabs>
        <w:tab w:val="left" w:pos="7371"/>
      </w:tabs>
      <w:spacing w:after="560"/>
    </w:pPr>
  </w:style>
  <w:style w:type="paragraph" w:customStyle="1" w:styleId="BodyText">
    <w:name w:val="BodyText"/>
    <w:basedOn w:val="Normal"/>
    <w:rsid w:val="00011446"/>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rsid w:val="0001144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01144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1144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11446"/>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01144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1144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11446"/>
  </w:style>
  <w:style w:type="paragraph" w:customStyle="1" w:styleId="ITUbureau">
    <w:name w:val="ITU_bureau"/>
    <w:basedOn w:val="Normal"/>
    <w:rsid w:val="0001144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01144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01144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1144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11446"/>
    <w:pPr>
      <w:tabs>
        <w:tab w:val="left" w:pos="1418"/>
        <w:tab w:val="left" w:pos="1985"/>
        <w:tab w:val="left" w:pos="2268"/>
      </w:tabs>
      <w:ind w:firstLine="1304"/>
    </w:pPr>
  </w:style>
  <w:style w:type="paragraph" w:customStyle="1" w:styleId="Tiret">
    <w:name w:val="Tiret"/>
    <w:basedOn w:val="Normal"/>
    <w:rsid w:val="00011446"/>
    <w:pPr>
      <w:tabs>
        <w:tab w:val="clear" w:pos="794"/>
        <w:tab w:val="clear" w:pos="1191"/>
        <w:tab w:val="clear" w:pos="1588"/>
        <w:tab w:val="clear" w:pos="1985"/>
      </w:tabs>
      <w:ind w:left="-680"/>
    </w:pPr>
  </w:style>
  <w:style w:type="paragraph" w:customStyle="1" w:styleId="NormFoot">
    <w:name w:val="Norm_Foot"/>
    <w:basedOn w:val="Normal"/>
    <w:rsid w:val="0001144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011446"/>
    <w:pPr>
      <w:spacing w:before="160"/>
      <w:ind w:left="0" w:firstLine="0"/>
      <w:outlineLvl w:val="9"/>
    </w:pPr>
    <w:rPr>
      <w:b w:val="0"/>
      <w:i/>
    </w:rPr>
  </w:style>
  <w:style w:type="paragraph" w:customStyle="1" w:styleId="listitem">
    <w:name w:val="listitem"/>
    <w:basedOn w:val="Normal"/>
    <w:rsid w:val="00011446"/>
    <w:pPr>
      <w:keepLines/>
      <w:tabs>
        <w:tab w:val="left" w:pos="1361"/>
        <w:tab w:val="left" w:pos="1758"/>
        <w:tab w:val="left" w:pos="2155"/>
        <w:tab w:val="left" w:pos="2552"/>
      </w:tabs>
      <w:ind w:left="567"/>
    </w:pPr>
  </w:style>
  <w:style w:type="character" w:styleId="PageNumber">
    <w:name w:val="page number"/>
    <w:basedOn w:val="DefaultParagraphFont"/>
    <w:rsid w:val="00011446"/>
  </w:style>
  <w:style w:type="paragraph" w:customStyle="1" w:styleId="details">
    <w:name w:val="details"/>
    <w:basedOn w:val="Normal"/>
    <w:next w:val="Tiret"/>
    <w:rsid w:val="0001144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0114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11446"/>
    <w:pPr>
      <w:tabs>
        <w:tab w:val="left" w:pos="397"/>
      </w:tabs>
    </w:pPr>
  </w:style>
  <w:style w:type="paragraph" w:customStyle="1" w:styleId="FirstFooter">
    <w:name w:val="FirstFooter"/>
    <w:basedOn w:val="Footer"/>
    <w:rsid w:val="00011446"/>
    <w:pPr>
      <w:tabs>
        <w:tab w:val="clear" w:pos="5954"/>
        <w:tab w:val="clear" w:pos="9639"/>
      </w:tabs>
    </w:pPr>
    <w:rPr>
      <w:caps w:val="0"/>
    </w:rPr>
  </w:style>
  <w:style w:type="paragraph" w:styleId="TOC9">
    <w:name w:val="toc 9"/>
    <w:basedOn w:val="TOC3"/>
    <w:semiHidden/>
    <w:rsid w:val="00011446"/>
  </w:style>
  <w:style w:type="paragraph" w:styleId="BodyText0">
    <w:name w:val="Body Text"/>
    <w:basedOn w:val="Normal"/>
    <w:rsid w:val="00011446"/>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rsid w:val="00011446"/>
    <w:rPr>
      <w:color w:val="0000FF"/>
      <w:u w:val="single"/>
    </w:rPr>
  </w:style>
  <w:style w:type="character" w:styleId="FollowedHyperlink">
    <w:name w:val="FollowedHyperlink"/>
    <w:basedOn w:val="DefaultParagraphFont"/>
    <w:rsid w:val="00011446"/>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1EF5"/>
    <w:rPr>
      <w:rFonts w:ascii="Tahoma" w:hAnsi="Tahoma" w:cs="Tahoma"/>
      <w:sz w:val="16"/>
      <w:szCs w:val="16"/>
    </w:rPr>
  </w:style>
  <w:style w:type="character" w:customStyle="1" w:styleId="FooterChar">
    <w:name w:val="Footer Char"/>
    <w:basedOn w:val="DefaultParagraphFont"/>
    <w:link w:val="Footer"/>
    <w:rsid w:val="00EB7DA2"/>
    <w:rPr>
      <w:rFonts w:ascii="Times New Roman" w:hAnsi="Times New Roman"/>
      <w:caps/>
      <w:sz w:val="18"/>
      <w:lang w:val="es-ES_tradnl" w:eastAsia="en-US"/>
    </w:rPr>
  </w:style>
  <w:style w:type="paragraph" w:styleId="ListParagraph">
    <w:name w:val="List Paragraph"/>
    <w:basedOn w:val="Normal"/>
    <w:uiPriority w:val="34"/>
    <w:qFormat/>
    <w:rsid w:val="00AC2B9B"/>
    <w:pPr>
      <w:ind w:left="720"/>
      <w:contextualSpacing/>
    </w:pPr>
  </w:style>
  <w:style w:type="character" w:customStyle="1" w:styleId="HeaderChar">
    <w:name w:val="Header Char"/>
    <w:aliases w:val="encabezado Char,Page No Char"/>
    <w:basedOn w:val="DefaultParagraphFont"/>
    <w:link w:val="Header"/>
    <w:uiPriority w:val="99"/>
    <w:rsid w:val="00997824"/>
    <w:rPr>
      <w:rFonts w:ascii="Times New Roman" w:hAnsi="Times New Roman"/>
      <w:sz w:val="22"/>
      <w:lang w:val="es-ES_tradnl" w:eastAsia="en-US"/>
    </w:rPr>
  </w:style>
  <w:style w:type="paragraph" w:customStyle="1" w:styleId="Title1">
    <w:name w:val="Title 1"/>
    <w:basedOn w:val="Normal"/>
    <w:next w:val="Normal"/>
    <w:rsid w:val="00997824"/>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caps/>
      <w:sz w:val="28"/>
      <w:lang w:val="en-GB"/>
    </w:rPr>
  </w:style>
  <w:style w:type="character" w:customStyle="1" w:styleId="FooterChar1">
    <w:name w:val="Footer Char1"/>
    <w:basedOn w:val="DefaultParagraphFont"/>
    <w:rsid w:val="00997824"/>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435024">
      <w:bodyDiv w:val="1"/>
      <w:marLeft w:val="0"/>
      <w:marRight w:val="0"/>
      <w:marTop w:val="0"/>
      <w:marBottom w:val="0"/>
      <w:divBdr>
        <w:top w:val="none" w:sz="0" w:space="0" w:color="auto"/>
        <w:left w:val="none" w:sz="0" w:space="0" w:color="auto"/>
        <w:bottom w:val="none" w:sz="0" w:space="0" w:color="auto"/>
        <w:right w:val="none" w:sz="0" w:space="0" w:color="auto"/>
      </w:divBdr>
    </w:div>
    <w:div w:id="1101996349">
      <w:bodyDiv w:val="1"/>
      <w:marLeft w:val="0"/>
      <w:marRight w:val="0"/>
      <w:marTop w:val="0"/>
      <w:marBottom w:val="0"/>
      <w:divBdr>
        <w:top w:val="none" w:sz="0" w:space="0" w:color="auto"/>
        <w:left w:val="none" w:sz="0" w:space="0" w:color="auto"/>
        <w:bottom w:val="none" w:sz="0" w:space="0" w:color="auto"/>
        <w:right w:val="none" w:sz="0" w:space="0" w:color="auto"/>
      </w:divBdr>
    </w:div>
    <w:div w:id="2139254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ITU-T/studygroups/templates/index.html" TargetMode="External"/><Relationship Id="rId18" Type="http://schemas.openxmlformats.org/officeDocument/2006/relationships/hyperlink" Target="mailto:tsbreg@itu.int" TargetMode="External"/><Relationship Id="rId26"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pv6info@itu.int" TargetMode="External"/><Relationship Id="rId17" Type="http://schemas.openxmlformats.org/officeDocument/2006/relationships/hyperlink" Target="mailto:bdtfellowships@itu.int"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u.int/travel/" TargetMode="External"/><Relationship Id="rId20" Type="http://schemas.openxmlformats.org/officeDocument/2006/relationships/header" Target="header2.xml"/><Relationship Id="rId29" Type="http://schemas.openxmlformats.org/officeDocument/2006/relationships/hyperlink" Target="mailto:bdtfellowships@itu.i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ITU-T/othergroups/ipv6" TargetMode="External"/><Relationship Id="rId24" Type="http://schemas.openxmlformats.org/officeDocument/2006/relationships/image" Target="media/image2.wmf"/><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footer" Target="footer3.xml"/><Relationship Id="rId28" Type="http://schemas.openxmlformats.org/officeDocument/2006/relationships/image" Target="media/image4.png"/><Relationship Id="rId10" Type="http://schemas.openxmlformats.org/officeDocument/2006/relationships/hyperlink" Target="mailto:Souheil.Marine@itu.int" TargetMode="Externa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Xiaoya.Yang@itu.int" TargetMode="External"/><Relationship Id="rId14" Type="http://schemas.openxmlformats.org/officeDocument/2006/relationships/hyperlink" Target="http://www.itu.int/ITU-T/othergroups/ipv6" TargetMode="External"/><Relationship Id="rId22" Type="http://schemas.openxmlformats.org/officeDocument/2006/relationships/footer" Target="footer2.xml"/><Relationship Id="rId27" Type="http://schemas.openxmlformats.org/officeDocument/2006/relationships/image" Target="media/image3.png"/><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9</Pages>
  <Words>2261</Words>
  <Characters>14869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17096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1048577</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4128824</vt:i4>
      </vt:variant>
      <vt:variant>
        <vt:i4>3</vt:i4>
      </vt:variant>
      <vt:variant>
        <vt:i4>0</vt:i4>
      </vt:variant>
      <vt:variant>
        <vt:i4>5</vt:i4>
      </vt:variant>
      <vt:variant>
        <vt:lpwstr>http://www.itu.int/ITU/studygroups/templates/index.html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DE LEON</cp:lastModifiedBy>
  <cp:revision>17</cp:revision>
  <cp:lastPrinted>2011-02-07T12:11:00Z</cp:lastPrinted>
  <dcterms:created xsi:type="dcterms:W3CDTF">2011-02-07T11:21:00Z</dcterms:created>
  <dcterms:modified xsi:type="dcterms:W3CDTF">2011-02-07T12:13:00Z</dcterms:modified>
</cp:coreProperties>
</file>