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C56944" w:rsidRPr="00617BE4">
        <w:trPr>
          <w:cantSplit/>
        </w:trPr>
        <w:tc>
          <w:tcPr>
            <w:tcW w:w="3827" w:type="dxa"/>
            <w:vAlign w:val="center"/>
          </w:tcPr>
          <w:p w:rsidR="00C56944" w:rsidRPr="00617BE4" w:rsidRDefault="009D3962" w:rsidP="00C56944">
            <w:pPr>
              <w:spacing w:before="0" w:line="240" w:lineRule="atLeast"/>
              <w:jc w:val="left"/>
              <w:rPr>
                <w:b/>
                <w:smallCaps/>
                <w:szCs w:val="24"/>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6096" w:type="dxa"/>
            <w:gridSpan w:val="2"/>
            <w:vAlign w:val="center"/>
          </w:tcPr>
          <w:p w:rsidR="00C56944" w:rsidRPr="00C56944" w:rsidRDefault="009D3962" w:rsidP="00FB3A15">
            <w:pPr>
              <w:jc w:val="right"/>
              <w:rPr>
                <w:rFonts w:eastAsia="SimSun"/>
                <w:b/>
                <w:bCs/>
                <w:sz w:val="44"/>
                <w:szCs w:val="44"/>
                <w:lang w:eastAsia="zh-CN" w:bidi="ar-EG"/>
              </w:rPr>
            </w:pPr>
            <w:r w:rsidRPr="009D3962">
              <w:rPr>
                <w:rFonts w:eastAsia="SimSun"/>
                <w:b/>
                <w:bCs/>
                <w:noProof/>
                <w:sz w:val="44"/>
                <w:szCs w:val="44"/>
                <w:rtl/>
                <w:lang w:eastAsia="zh-CN"/>
              </w:rPr>
              <w:drawing>
                <wp:inline distT="0" distB="0" distL="0" distR="0">
                  <wp:extent cx="1821180" cy="75438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21180" cy="754380"/>
                          </a:xfrm>
                          <a:prstGeom prst="rect">
                            <a:avLst/>
                          </a:prstGeom>
                          <a:noFill/>
                          <a:ln w="9525">
                            <a:noFill/>
                            <a:miter lim="800000"/>
                            <a:headEnd/>
                            <a:tailEnd/>
                          </a:ln>
                        </pic:spPr>
                      </pic:pic>
                    </a:graphicData>
                  </a:graphic>
                </wp:inline>
              </w:drawing>
            </w:r>
          </w:p>
        </w:tc>
      </w:tr>
      <w:tr w:rsidR="00C56944" w:rsidRPr="00617BE4">
        <w:trPr>
          <w:cantSplit/>
        </w:trPr>
        <w:tc>
          <w:tcPr>
            <w:tcW w:w="6803" w:type="dxa"/>
            <w:gridSpan w:val="2"/>
          </w:tcPr>
          <w:p w:rsidR="00C56944" w:rsidRPr="00617BE4" w:rsidRDefault="00C56944" w:rsidP="00C56944">
            <w:pPr>
              <w:spacing w:before="0" w:after="48" w:line="240" w:lineRule="atLeast"/>
              <w:rPr>
                <w:b/>
                <w:smallCaps/>
                <w:szCs w:val="24"/>
                <w:lang w:bidi="ar-EG"/>
              </w:rPr>
            </w:pPr>
          </w:p>
        </w:tc>
        <w:tc>
          <w:tcPr>
            <w:tcW w:w="3120" w:type="dxa"/>
          </w:tcPr>
          <w:p w:rsidR="00C56944" w:rsidRPr="00617BE4" w:rsidRDefault="00C56944" w:rsidP="00C56944">
            <w:pPr>
              <w:spacing w:before="0" w:line="240" w:lineRule="atLeast"/>
              <w:rPr>
                <w:rFonts w:ascii="Verdana" w:hAnsi="Verdana"/>
                <w:szCs w:val="24"/>
              </w:rPr>
            </w:pPr>
          </w:p>
        </w:tc>
      </w:tr>
    </w:tbl>
    <w:p w:rsidR="00C56944" w:rsidRDefault="00C56944"/>
    <w:tbl>
      <w:tblPr>
        <w:bidiVisual/>
        <w:tblW w:w="9633" w:type="dxa"/>
        <w:tblInd w:w="8" w:type="dxa"/>
        <w:tblLayout w:type="fixed"/>
        <w:tblCellMar>
          <w:left w:w="0" w:type="dxa"/>
          <w:right w:w="0" w:type="dxa"/>
        </w:tblCellMar>
        <w:tblLook w:val="0000"/>
      </w:tblPr>
      <w:tblGrid>
        <w:gridCol w:w="1533"/>
        <w:gridCol w:w="3340"/>
        <w:gridCol w:w="4760"/>
      </w:tblGrid>
      <w:tr w:rsidR="009F4B09">
        <w:trPr>
          <w:cantSplit/>
          <w:trHeight w:val="340"/>
        </w:trPr>
        <w:tc>
          <w:tcPr>
            <w:tcW w:w="1533" w:type="dxa"/>
          </w:tcPr>
          <w:p w:rsidR="009F4B09" w:rsidRDefault="009F4B09">
            <w:pPr>
              <w:tabs>
                <w:tab w:val="left" w:pos="4111"/>
              </w:tabs>
              <w:spacing w:before="20" w:after="60" w:line="300" w:lineRule="exact"/>
              <w:ind w:left="57"/>
              <w:rPr>
                <w:sz w:val="21"/>
                <w:szCs w:val="28"/>
              </w:rPr>
            </w:pPr>
            <w:bookmarkStart w:id="0" w:name="dtemplate"/>
            <w:bookmarkEnd w:id="0"/>
          </w:p>
        </w:tc>
        <w:tc>
          <w:tcPr>
            <w:tcW w:w="3340" w:type="dxa"/>
          </w:tcPr>
          <w:p w:rsidR="009F4B09" w:rsidRDefault="009F4B09">
            <w:pPr>
              <w:tabs>
                <w:tab w:val="left" w:pos="4111"/>
              </w:tabs>
              <w:spacing w:before="20" w:after="60" w:line="300" w:lineRule="exact"/>
              <w:ind w:left="57"/>
              <w:rPr>
                <w:b/>
                <w:sz w:val="21"/>
                <w:szCs w:val="28"/>
              </w:rPr>
            </w:pPr>
          </w:p>
        </w:tc>
        <w:tc>
          <w:tcPr>
            <w:tcW w:w="4760" w:type="dxa"/>
          </w:tcPr>
          <w:p w:rsidR="009F4B09" w:rsidRDefault="00064EC5" w:rsidP="005D7B56">
            <w:pPr>
              <w:tabs>
                <w:tab w:val="left" w:pos="4111"/>
              </w:tabs>
              <w:spacing w:after="60" w:line="300" w:lineRule="exact"/>
              <w:ind w:left="57"/>
              <w:rPr>
                <w:sz w:val="21"/>
                <w:szCs w:val="28"/>
                <w:lang w:bidi="ar-EG"/>
              </w:rPr>
            </w:pPr>
            <w:r>
              <w:rPr>
                <w:rFonts w:hint="cs"/>
                <w:sz w:val="21"/>
                <w:szCs w:val="28"/>
                <w:rtl/>
              </w:rPr>
              <w:t>جنيف،</w:t>
            </w:r>
            <w:r w:rsidR="001A2BDF">
              <w:rPr>
                <w:rFonts w:hint="cs"/>
                <w:sz w:val="21"/>
                <w:szCs w:val="28"/>
                <w:rtl/>
                <w:lang w:bidi="ar-EG"/>
              </w:rPr>
              <w:t xml:space="preserve"> </w:t>
            </w:r>
            <w:r w:rsidR="005D7B56">
              <w:rPr>
                <w:sz w:val="21"/>
                <w:szCs w:val="28"/>
                <w:lang w:bidi="ar-EG"/>
              </w:rPr>
              <w:t>7</w:t>
            </w:r>
            <w:r w:rsidR="001A2BDF">
              <w:rPr>
                <w:rFonts w:hint="cs"/>
                <w:sz w:val="21"/>
                <w:szCs w:val="28"/>
                <w:rtl/>
                <w:lang w:bidi="ar-EG"/>
              </w:rPr>
              <w:t xml:space="preserve"> </w:t>
            </w:r>
            <w:r w:rsidR="005D7B56">
              <w:rPr>
                <w:rFonts w:hint="cs"/>
                <w:sz w:val="21"/>
                <w:szCs w:val="28"/>
                <w:rtl/>
                <w:lang w:bidi="ar-EG"/>
              </w:rPr>
              <w:t>يناير</w:t>
            </w:r>
            <w:r w:rsidR="001A2BDF">
              <w:rPr>
                <w:rFonts w:hint="cs"/>
                <w:sz w:val="21"/>
                <w:szCs w:val="28"/>
                <w:rtl/>
                <w:lang w:bidi="ar-EG"/>
              </w:rPr>
              <w:t xml:space="preserve"> </w:t>
            </w:r>
            <w:r w:rsidR="005D7B56">
              <w:rPr>
                <w:sz w:val="21"/>
                <w:szCs w:val="28"/>
                <w:lang w:bidi="ar-EG"/>
              </w:rPr>
              <w:t>2011</w:t>
            </w:r>
          </w:p>
          <w:p w:rsidR="009F4B09" w:rsidRDefault="009F4B09">
            <w:pPr>
              <w:tabs>
                <w:tab w:val="left" w:pos="4111"/>
              </w:tabs>
              <w:spacing w:before="20" w:after="60" w:line="300" w:lineRule="exact"/>
              <w:ind w:left="57"/>
              <w:rPr>
                <w:sz w:val="21"/>
                <w:szCs w:val="28"/>
              </w:rPr>
            </w:pPr>
          </w:p>
        </w:tc>
      </w:tr>
      <w:tr w:rsidR="009F4B09">
        <w:trPr>
          <w:cantSplit/>
          <w:trHeight w:val="340"/>
        </w:trPr>
        <w:tc>
          <w:tcPr>
            <w:tcW w:w="1533" w:type="dxa"/>
          </w:tcPr>
          <w:p w:rsidR="009F4B09" w:rsidRDefault="009F4B09">
            <w:pPr>
              <w:tabs>
                <w:tab w:val="left" w:pos="4111"/>
              </w:tabs>
              <w:spacing w:before="20" w:after="60" w:line="300" w:lineRule="exact"/>
              <w:ind w:left="57"/>
              <w:rPr>
                <w:sz w:val="21"/>
                <w:szCs w:val="28"/>
                <w:rtl/>
                <w:lang w:bidi="ar-EG"/>
              </w:rPr>
            </w:pPr>
            <w:r>
              <w:rPr>
                <w:rFonts w:hint="cs"/>
                <w:sz w:val="21"/>
                <w:szCs w:val="28"/>
                <w:rtl/>
              </w:rPr>
              <w:t>المرجع:</w:t>
            </w:r>
          </w:p>
        </w:tc>
        <w:tc>
          <w:tcPr>
            <w:tcW w:w="3340" w:type="dxa"/>
          </w:tcPr>
          <w:p w:rsidR="009F4B09" w:rsidRDefault="009F4B09" w:rsidP="00550096">
            <w:pPr>
              <w:tabs>
                <w:tab w:val="left" w:pos="4111"/>
              </w:tabs>
              <w:spacing w:before="20" w:line="300" w:lineRule="exact"/>
              <w:ind w:left="57"/>
              <w:rPr>
                <w:b/>
                <w:sz w:val="21"/>
                <w:szCs w:val="28"/>
                <w:rtl/>
                <w:lang w:bidi="ar-EG"/>
              </w:rPr>
            </w:pPr>
            <w:r>
              <w:rPr>
                <w:b/>
                <w:sz w:val="21"/>
                <w:szCs w:val="28"/>
              </w:rPr>
              <w:t>TSB Circular</w:t>
            </w:r>
            <w:r w:rsidR="00C25DAB">
              <w:rPr>
                <w:b/>
                <w:sz w:val="21"/>
                <w:szCs w:val="28"/>
              </w:rPr>
              <w:t xml:space="preserve"> </w:t>
            </w:r>
            <w:r w:rsidR="00550096">
              <w:rPr>
                <w:b/>
                <w:sz w:val="21"/>
                <w:szCs w:val="28"/>
              </w:rPr>
              <w:t>158</w:t>
            </w:r>
          </w:p>
          <w:p w:rsidR="009F4B09" w:rsidRDefault="009F4B09" w:rsidP="00550096">
            <w:pPr>
              <w:tabs>
                <w:tab w:val="right" w:pos="1113"/>
                <w:tab w:val="left" w:pos="4111"/>
              </w:tabs>
              <w:spacing w:before="0" w:after="60" w:line="300" w:lineRule="exact"/>
              <w:ind w:left="57"/>
              <w:rPr>
                <w:bCs/>
                <w:sz w:val="21"/>
                <w:szCs w:val="28"/>
              </w:rPr>
            </w:pPr>
            <w:r>
              <w:rPr>
                <w:bCs/>
                <w:sz w:val="21"/>
                <w:szCs w:val="28"/>
              </w:rPr>
              <w:t>COM</w:t>
            </w:r>
            <w:r w:rsidR="00173D0D">
              <w:rPr>
                <w:bCs/>
                <w:sz w:val="21"/>
                <w:szCs w:val="28"/>
              </w:rPr>
              <w:t xml:space="preserve"> </w:t>
            </w:r>
            <w:r w:rsidR="00C25DAB">
              <w:rPr>
                <w:bCs/>
                <w:sz w:val="21"/>
                <w:szCs w:val="28"/>
              </w:rPr>
              <w:t>17</w:t>
            </w:r>
            <w:r>
              <w:rPr>
                <w:bCs/>
                <w:sz w:val="21"/>
                <w:szCs w:val="28"/>
              </w:rPr>
              <w:t>/</w:t>
            </w:r>
            <w:r w:rsidR="00550096">
              <w:rPr>
                <w:bCs/>
                <w:sz w:val="21"/>
                <w:szCs w:val="28"/>
              </w:rPr>
              <w:t>MEU</w:t>
            </w:r>
          </w:p>
        </w:tc>
        <w:tc>
          <w:tcPr>
            <w:tcW w:w="4760" w:type="dxa"/>
          </w:tcPr>
          <w:p w:rsidR="009F4B09" w:rsidRDefault="009F4B09">
            <w:pPr>
              <w:tabs>
                <w:tab w:val="left" w:pos="284"/>
                <w:tab w:val="left" w:pos="4111"/>
              </w:tabs>
              <w:spacing w:before="20" w:line="300" w:lineRule="exact"/>
              <w:ind w:left="284" w:hanging="227"/>
              <w:rPr>
                <w:sz w:val="21"/>
                <w:szCs w:val="28"/>
                <w:rtl/>
              </w:rPr>
            </w:pPr>
            <w:r>
              <w:rPr>
                <w:rFonts w:hint="cs"/>
                <w:sz w:val="21"/>
                <w:szCs w:val="28"/>
                <w:rtl/>
              </w:rPr>
              <w:t>-</w:t>
            </w:r>
            <w:r>
              <w:rPr>
                <w:sz w:val="21"/>
                <w:szCs w:val="28"/>
                <w:rtl/>
              </w:rPr>
              <w:tab/>
            </w:r>
            <w:r>
              <w:rPr>
                <w:rFonts w:hint="cs"/>
                <w:sz w:val="21"/>
                <w:szCs w:val="28"/>
                <w:rtl/>
              </w:rPr>
              <w:t>إلى إدارات الدول الأعضاء في الاتحاد</w:t>
            </w:r>
          </w:p>
          <w:p w:rsidR="009F4B09" w:rsidRDefault="009F4B09">
            <w:pPr>
              <w:tabs>
                <w:tab w:val="left" w:pos="284"/>
                <w:tab w:val="left" w:pos="4111"/>
              </w:tabs>
              <w:spacing w:before="0" w:after="120" w:line="300" w:lineRule="exact"/>
              <w:ind w:left="284" w:hanging="227"/>
              <w:rPr>
                <w:sz w:val="21"/>
                <w:szCs w:val="28"/>
              </w:rPr>
            </w:pPr>
          </w:p>
        </w:tc>
      </w:tr>
      <w:tr w:rsidR="009F4B09">
        <w:trPr>
          <w:cantSplit/>
        </w:trPr>
        <w:tc>
          <w:tcPr>
            <w:tcW w:w="1533" w:type="dxa"/>
          </w:tcPr>
          <w:p w:rsidR="009F4B09" w:rsidRDefault="009F4B09" w:rsidP="00A858F8">
            <w:pPr>
              <w:spacing w:before="20" w:line="300" w:lineRule="exact"/>
              <w:ind w:left="57"/>
              <w:rPr>
                <w:sz w:val="21"/>
                <w:szCs w:val="28"/>
                <w:rtl/>
              </w:rPr>
            </w:pPr>
            <w:r>
              <w:rPr>
                <w:rFonts w:hint="cs"/>
                <w:sz w:val="21"/>
                <w:szCs w:val="28"/>
                <w:rtl/>
                <w:lang w:bidi="ar-SY"/>
              </w:rPr>
              <w:t>الهاتف</w:t>
            </w:r>
            <w:r>
              <w:rPr>
                <w:rFonts w:hint="cs"/>
                <w:sz w:val="21"/>
                <w:szCs w:val="28"/>
                <w:rtl/>
              </w:rPr>
              <w:t>:</w:t>
            </w:r>
          </w:p>
          <w:p w:rsidR="009F4B09" w:rsidRDefault="009F4B09" w:rsidP="00A858F8">
            <w:pPr>
              <w:spacing w:before="20" w:line="300" w:lineRule="exact"/>
              <w:ind w:left="57"/>
              <w:rPr>
                <w:sz w:val="21"/>
                <w:szCs w:val="28"/>
              </w:rPr>
            </w:pPr>
            <w:r>
              <w:rPr>
                <w:rFonts w:hint="cs"/>
                <w:sz w:val="21"/>
                <w:szCs w:val="28"/>
                <w:rtl/>
              </w:rPr>
              <w:t>الفاكس:</w:t>
            </w:r>
          </w:p>
          <w:p w:rsidR="009F4B09" w:rsidRDefault="009F4B09" w:rsidP="00A858F8">
            <w:pPr>
              <w:spacing w:before="20" w:line="300" w:lineRule="exact"/>
              <w:ind w:left="57"/>
              <w:jc w:val="left"/>
              <w:rPr>
                <w:sz w:val="21"/>
                <w:szCs w:val="28"/>
              </w:rPr>
            </w:pPr>
            <w:r>
              <w:rPr>
                <w:rFonts w:hint="cs"/>
                <w:sz w:val="21"/>
                <w:szCs w:val="28"/>
                <w:rtl/>
              </w:rPr>
              <w:t>البريد الإلكتروني:</w:t>
            </w:r>
          </w:p>
        </w:tc>
        <w:tc>
          <w:tcPr>
            <w:tcW w:w="3340" w:type="dxa"/>
          </w:tcPr>
          <w:p w:rsidR="00661969" w:rsidRDefault="00661969" w:rsidP="00A858F8">
            <w:pPr>
              <w:tabs>
                <w:tab w:val="left" w:pos="4111"/>
              </w:tabs>
              <w:spacing w:before="20" w:line="300" w:lineRule="exact"/>
              <w:ind w:left="57"/>
              <w:jc w:val="left"/>
              <w:rPr>
                <w:sz w:val="21"/>
                <w:szCs w:val="28"/>
                <w:lang w:val="fr-FR" w:bidi="ar-EG"/>
              </w:rPr>
            </w:pPr>
            <w:r w:rsidRPr="00661969">
              <w:rPr>
                <w:sz w:val="21"/>
                <w:szCs w:val="28"/>
                <w:lang w:val="fr-FR" w:bidi="ar-EG"/>
              </w:rPr>
              <w:t>+41 22 730 5</w:t>
            </w:r>
            <w:r w:rsidR="00550096">
              <w:rPr>
                <w:sz w:val="21"/>
                <w:szCs w:val="28"/>
                <w:lang w:val="fr-FR" w:bidi="ar-EG"/>
              </w:rPr>
              <w:t>866</w:t>
            </w:r>
          </w:p>
          <w:p w:rsidR="009F4B09" w:rsidRDefault="009F4B09" w:rsidP="00A858F8">
            <w:pPr>
              <w:tabs>
                <w:tab w:val="left" w:pos="4111"/>
              </w:tabs>
              <w:spacing w:before="20" w:line="300" w:lineRule="exact"/>
              <w:ind w:left="57"/>
              <w:jc w:val="left"/>
              <w:rPr>
                <w:sz w:val="21"/>
                <w:szCs w:val="28"/>
                <w:rtl/>
              </w:rPr>
            </w:pPr>
            <w:r>
              <w:rPr>
                <w:sz w:val="21"/>
                <w:szCs w:val="28"/>
              </w:rPr>
              <w:t>+41 22 730 5853</w:t>
            </w:r>
          </w:p>
          <w:p w:rsidR="009F4B09" w:rsidRDefault="00473754" w:rsidP="00A858F8">
            <w:pPr>
              <w:tabs>
                <w:tab w:val="left" w:pos="4111"/>
              </w:tabs>
              <w:spacing w:before="20" w:line="300" w:lineRule="exact"/>
              <w:ind w:left="57"/>
              <w:jc w:val="left"/>
              <w:rPr>
                <w:sz w:val="21"/>
                <w:szCs w:val="28"/>
              </w:rPr>
            </w:pPr>
            <w:hyperlink r:id="rId8" w:history="1">
              <w:r w:rsidR="00661969" w:rsidRPr="00661969">
                <w:rPr>
                  <w:rStyle w:val="Hyperlink"/>
                  <w:sz w:val="21"/>
                  <w:szCs w:val="28"/>
                  <w:lang w:val="fr-FR"/>
                </w:rPr>
                <w:t>tsbsg17@itu.int</w:t>
              </w:r>
            </w:hyperlink>
          </w:p>
        </w:tc>
        <w:tc>
          <w:tcPr>
            <w:tcW w:w="4760" w:type="dxa"/>
          </w:tcPr>
          <w:p w:rsidR="004067A6" w:rsidRPr="004067A6" w:rsidRDefault="004067A6">
            <w:pPr>
              <w:tabs>
                <w:tab w:val="left" w:pos="284"/>
                <w:tab w:val="left" w:pos="4111"/>
              </w:tabs>
              <w:spacing w:before="20" w:after="60" w:line="300" w:lineRule="exact"/>
              <w:ind w:left="284" w:hanging="227"/>
              <w:rPr>
                <w:sz w:val="21"/>
                <w:szCs w:val="28"/>
                <w:rtl/>
              </w:rPr>
            </w:pPr>
          </w:p>
          <w:p w:rsidR="004067A6" w:rsidRPr="004067A6" w:rsidRDefault="004067A6">
            <w:pPr>
              <w:tabs>
                <w:tab w:val="left" w:pos="284"/>
                <w:tab w:val="left" w:pos="4111"/>
              </w:tabs>
              <w:spacing w:before="20" w:after="60" w:line="300" w:lineRule="exact"/>
              <w:ind w:left="284" w:hanging="227"/>
              <w:rPr>
                <w:sz w:val="21"/>
                <w:szCs w:val="28"/>
                <w:rtl/>
              </w:rPr>
            </w:pPr>
          </w:p>
          <w:p w:rsidR="009F4B09" w:rsidRDefault="009F4B09">
            <w:pPr>
              <w:tabs>
                <w:tab w:val="left" w:pos="284"/>
                <w:tab w:val="left" w:pos="4111"/>
              </w:tabs>
              <w:spacing w:before="20" w:after="60" w:line="300" w:lineRule="exact"/>
              <w:ind w:left="284" w:hanging="227"/>
              <w:rPr>
                <w:b/>
                <w:bCs/>
                <w:sz w:val="21"/>
                <w:szCs w:val="28"/>
                <w:rtl/>
              </w:rPr>
            </w:pPr>
            <w:r>
              <w:rPr>
                <w:rFonts w:hint="cs"/>
                <w:b/>
                <w:bCs/>
                <w:sz w:val="21"/>
                <w:szCs w:val="28"/>
                <w:rtl/>
              </w:rPr>
              <w:t>نسخة إلى:</w:t>
            </w:r>
          </w:p>
          <w:p w:rsidR="009F4B09" w:rsidRDefault="009F4B09" w:rsidP="00B7558A">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Pr>
                <w:rFonts w:hint="cs"/>
                <w:sz w:val="21"/>
                <w:szCs w:val="28"/>
                <w:rtl/>
              </w:rPr>
              <w:t xml:space="preserve">أعضاء قطاع </w:t>
            </w:r>
            <w:proofErr w:type="spellStart"/>
            <w:r>
              <w:rPr>
                <w:rFonts w:hint="cs"/>
                <w:sz w:val="21"/>
                <w:szCs w:val="28"/>
                <w:rtl/>
              </w:rPr>
              <w:t>تقييس</w:t>
            </w:r>
            <w:proofErr w:type="spellEnd"/>
            <w:r>
              <w:rPr>
                <w:rFonts w:hint="cs"/>
                <w:sz w:val="21"/>
                <w:szCs w:val="28"/>
                <w:rtl/>
              </w:rPr>
              <w:t xml:space="preserve"> الاتصالات؛</w:t>
            </w:r>
          </w:p>
          <w:p w:rsidR="009F4B09" w:rsidRDefault="009F4B09" w:rsidP="00CC30F9">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t xml:space="preserve">المنتسبين </w:t>
            </w:r>
            <w:r w:rsidR="00CC30F9">
              <w:rPr>
                <w:rFonts w:hint="cs"/>
                <w:sz w:val="21"/>
                <w:szCs w:val="28"/>
                <w:rtl/>
              </w:rPr>
              <w:t>إلى</w:t>
            </w:r>
            <w:r>
              <w:rPr>
                <w:sz w:val="21"/>
                <w:szCs w:val="28"/>
                <w:rtl/>
              </w:rPr>
              <w:t xml:space="preserve"> قطاع </w:t>
            </w:r>
            <w:proofErr w:type="spellStart"/>
            <w:r>
              <w:rPr>
                <w:sz w:val="21"/>
                <w:szCs w:val="28"/>
                <w:rtl/>
              </w:rPr>
              <w:t>تقييس</w:t>
            </w:r>
            <w:proofErr w:type="spellEnd"/>
            <w:r>
              <w:rPr>
                <w:sz w:val="21"/>
                <w:szCs w:val="28"/>
                <w:rtl/>
              </w:rPr>
              <w:t xml:space="preserve"> الاتصالات</w:t>
            </w:r>
            <w:r>
              <w:rPr>
                <w:rFonts w:hint="cs"/>
                <w:sz w:val="21"/>
                <w:szCs w:val="28"/>
                <w:rtl/>
              </w:rPr>
              <w:t>؛</w:t>
            </w:r>
          </w:p>
          <w:p w:rsidR="009F4B09" w:rsidRDefault="009F4B09" w:rsidP="00F62A87">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Pr>
                <w:rFonts w:hint="cs"/>
                <w:sz w:val="21"/>
                <w:szCs w:val="28"/>
                <w:rtl/>
              </w:rPr>
              <w:t>رئيس لجنة الدراسات</w:t>
            </w:r>
            <w:r w:rsidR="008E4CCA">
              <w:rPr>
                <w:rFonts w:hint="cs"/>
                <w:sz w:val="21"/>
                <w:szCs w:val="28"/>
                <w:rtl/>
              </w:rPr>
              <w:t xml:space="preserve"> </w:t>
            </w:r>
            <w:r w:rsidR="008E4CCA">
              <w:rPr>
                <w:sz w:val="21"/>
                <w:szCs w:val="28"/>
                <w:lang w:bidi="ar-EG"/>
              </w:rPr>
              <w:t>17</w:t>
            </w:r>
            <w:r w:rsidR="00CC30F9">
              <w:rPr>
                <w:rFonts w:hint="cs"/>
                <w:sz w:val="21"/>
                <w:szCs w:val="28"/>
                <w:rtl/>
              </w:rPr>
              <w:t xml:space="preserve"> ونوابه</w:t>
            </w:r>
            <w:r>
              <w:rPr>
                <w:rFonts w:hint="cs"/>
                <w:sz w:val="21"/>
                <w:szCs w:val="28"/>
                <w:rtl/>
              </w:rPr>
              <w:t>؛</w:t>
            </w:r>
          </w:p>
          <w:p w:rsidR="009F4B09" w:rsidRDefault="009F4B09" w:rsidP="00B7558A">
            <w:pPr>
              <w:tabs>
                <w:tab w:val="left" w:pos="284"/>
                <w:tab w:val="left" w:pos="4111"/>
              </w:tabs>
              <w:spacing w:before="0" w:line="300" w:lineRule="exact"/>
              <w:ind w:left="284" w:hanging="227"/>
              <w:rPr>
                <w:sz w:val="21"/>
                <w:szCs w:val="28"/>
                <w:rtl/>
                <w:lang w:bidi="ar-EG"/>
              </w:rPr>
            </w:pPr>
            <w:r>
              <w:rPr>
                <w:rFonts w:hint="cs"/>
                <w:sz w:val="21"/>
                <w:szCs w:val="28"/>
                <w:rtl/>
              </w:rPr>
              <w:t>-</w:t>
            </w:r>
            <w:r>
              <w:rPr>
                <w:sz w:val="21"/>
                <w:szCs w:val="28"/>
                <w:rtl/>
              </w:rPr>
              <w:tab/>
              <w:t>مدير مكتب تنمية الاتصالات</w:t>
            </w:r>
            <w:r>
              <w:rPr>
                <w:rFonts w:hint="cs"/>
                <w:sz w:val="21"/>
                <w:szCs w:val="28"/>
                <w:rtl/>
              </w:rPr>
              <w:t>؛</w:t>
            </w:r>
          </w:p>
          <w:p w:rsidR="009F4B09" w:rsidRDefault="009F4B09">
            <w:pPr>
              <w:tabs>
                <w:tab w:val="left" w:pos="284"/>
                <w:tab w:val="left" w:pos="4111"/>
              </w:tabs>
              <w:spacing w:before="0" w:after="60" w:line="300" w:lineRule="exact"/>
              <w:ind w:left="284" w:hanging="227"/>
              <w:rPr>
                <w:sz w:val="21"/>
                <w:szCs w:val="28"/>
                <w:rtl/>
              </w:rPr>
            </w:pPr>
            <w:r>
              <w:rPr>
                <w:rFonts w:hint="cs"/>
                <w:sz w:val="21"/>
                <w:szCs w:val="28"/>
                <w:rtl/>
              </w:rPr>
              <w:t>-</w:t>
            </w:r>
            <w:r>
              <w:rPr>
                <w:sz w:val="21"/>
                <w:szCs w:val="28"/>
                <w:rtl/>
              </w:rPr>
              <w:tab/>
              <w:t xml:space="preserve">مدير مكتب الاتصالات </w:t>
            </w:r>
            <w:proofErr w:type="spellStart"/>
            <w:r>
              <w:rPr>
                <w:sz w:val="21"/>
                <w:szCs w:val="28"/>
                <w:rtl/>
              </w:rPr>
              <w:t>الراديوية</w:t>
            </w:r>
            <w:proofErr w:type="spellEnd"/>
          </w:p>
        </w:tc>
      </w:tr>
    </w:tbl>
    <w:p w:rsidR="009F4B09" w:rsidRPr="004067A6" w:rsidRDefault="009F4B09" w:rsidP="00F62A87">
      <w:pPr>
        <w:spacing w:before="240"/>
        <w:ind w:left="924" w:hanging="924"/>
        <w:rPr>
          <w:rtl/>
          <w:lang w:bidi="ar-EG"/>
        </w:rPr>
      </w:pPr>
      <w:r w:rsidRPr="005F33FD">
        <w:rPr>
          <w:rFonts w:hint="cs"/>
          <w:rtl/>
        </w:rPr>
        <w:t>الموضوع:</w:t>
      </w:r>
      <w:r w:rsidRPr="005F33FD">
        <w:rPr>
          <w:rtl/>
        </w:rPr>
        <w:tab/>
      </w:r>
      <w:r w:rsidR="004067A6">
        <w:rPr>
          <w:rFonts w:hint="cs"/>
          <w:b/>
          <w:bCs/>
          <w:rtl/>
        </w:rPr>
        <w:t>اجتماع لجنة الدراسات</w:t>
      </w:r>
      <w:r w:rsidR="00C8258A">
        <w:rPr>
          <w:rFonts w:hint="eastAsia"/>
          <w:b/>
          <w:bCs/>
          <w:rtl/>
          <w:lang w:bidi="ar-EG"/>
        </w:rPr>
        <w:t> </w:t>
      </w:r>
      <w:r w:rsidR="00734DF0">
        <w:rPr>
          <w:b/>
          <w:bCs/>
          <w:lang w:bidi="ar-EG"/>
        </w:rPr>
        <w:t>17</w:t>
      </w:r>
      <w:r w:rsidR="00734DF0">
        <w:rPr>
          <w:rFonts w:hint="cs"/>
          <w:b/>
          <w:bCs/>
          <w:rtl/>
          <w:lang w:bidi="ar-EG"/>
        </w:rPr>
        <w:t xml:space="preserve"> </w:t>
      </w:r>
      <w:r w:rsidR="004067A6">
        <w:rPr>
          <w:rFonts w:hint="cs"/>
          <w:b/>
          <w:bCs/>
          <w:rtl/>
          <w:lang w:bidi="ar-EG"/>
        </w:rPr>
        <w:t xml:space="preserve">بهدف الموافقة على </w:t>
      </w:r>
      <w:r w:rsidR="00550096">
        <w:rPr>
          <w:rFonts w:hint="cs"/>
          <w:b/>
          <w:bCs/>
          <w:rtl/>
          <w:lang w:bidi="ar-EG"/>
        </w:rPr>
        <w:t>مشاريع</w:t>
      </w:r>
      <w:r w:rsidR="006D49AD" w:rsidRPr="006D49AD">
        <w:rPr>
          <w:rFonts w:hint="cs"/>
          <w:b/>
          <w:bCs/>
          <w:rtl/>
          <w:lang w:bidi="ar-EG"/>
        </w:rPr>
        <w:t xml:space="preserve"> </w:t>
      </w:r>
      <w:r w:rsidR="00173D0D">
        <w:rPr>
          <w:rFonts w:hint="cs"/>
          <w:b/>
          <w:bCs/>
          <w:rtl/>
          <w:lang w:bidi="ar-EG"/>
        </w:rPr>
        <w:t>ال</w:t>
      </w:r>
      <w:r w:rsidR="00734DF0">
        <w:rPr>
          <w:rFonts w:hint="cs"/>
          <w:b/>
          <w:bCs/>
          <w:rtl/>
          <w:lang w:bidi="ar-EG"/>
        </w:rPr>
        <w:t xml:space="preserve">توصيات </w:t>
      </w:r>
      <w:r w:rsidR="00173D0D">
        <w:rPr>
          <w:rFonts w:hint="cs"/>
          <w:b/>
          <w:bCs/>
          <w:rtl/>
          <w:lang w:bidi="ar-EG"/>
        </w:rPr>
        <w:t>ال</w:t>
      </w:r>
      <w:r w:rsidR="00734DF0">
        <w:rPr>
          <w:rFonts w:hint="cs"/>
          <w:b/>
          <w:bCs/>
          <w:rtl/>
          <w:lang w:bidi="ar-EG"/>
        </w:rPr>
        <w:t>جديدة</w:t>
      </w:r>
      <w:r w:rsidR="00F62A87">
        <w:rPr>
          <w:rFonts w:hint="cs"/>
          <w:b/>
          <w:bCs/>
          <w:rtl/>
          <w:lang w:bidi="ar-EG"/>
        </w:rPr>
        <w:t xml:space="preserve"> </w:t>
      </w:r>
      <w:r w:rsidR="00BA2CE3">
        <w:rPr>
          <w:b/>
          <w:bCs/>
          <w:lang w:val="fr-FR" w:bidi="ar-EG"/>
        </w:rPr>
        <w:t>ITU</w:t>
      </w:r>
      <w:r w:rsidR="00397C1C">
        <w:rPr>
          <w:b/>
          <w:bCs/>
          <w:lang w:bidi="ar-EG"/>
        </w:rPr>
        <w:t>-</w:t>
      </w:r>
      <w:r w:rsidR="00BA2CE3">
        <w:rPr>
          <w:b/>
          <w:bCs/>
          <w:lang w:val="fr-FR" w:bidi="ar-EG"/>
        </w:rPr>
        <w:t>T</w:t>
      </w:r>
      <w:r w:rsidR="00C8258A">
        <w:rPr>
          <w:b/>
          <w:bCs/>
          <w:lang w:val="fr-FR" w:bidi="ar-EG"/>
        </w:rPr>
        <w:t> </w:t>
      </w:r>
      <w:r w:rsidR="00BA2CE3">
        <w:rPr>
          <w:b/>
          <w:bCs/>
          <w:lang w:val="fr-FR" w:bidi="ar-EG"/>
        </w:rPr>
        <w:t>X.</w:t>
      </w:r>
      <w:r w:rsidR="00550096">
        <w:rPr>
          <w:b/>
          <w:bCs/>
          <w:lang w:val="fr-FR" w:bidi="ar-EG"/>
        </w:rPr>
        <w:t>1261</w:t>
      </w:r>
      <w:r w:rsidR="00734DF0">
        <w:rPr>
          <w:rFonts w:hint="cs"/>
          <w:b/>
          <w:bCs/>
          <w:rtl/>
          <w:lang w:bidi="ar-EG"/>
        </w:rPr>
        <w:t xml:space="preserve"> و</w:t>
      </w:r>
      <w:r w:rsidR="00734DF0" w:rsidRPr="00734DF0">
        <w:rPr>
          <w:b/>
          <w:bCs/>
          <w:lang w:val="fr-FR" w:bidi="ar-EG"/>
        </w:rPr>
        <w:t>X.1</w:t>
      </w:r>
      <w:r w:rsidR="00550096">
        <w:rPr>
          <w:b/>
          <w:bCs/>
          <w:lang w:val="fr-FR" w:bidi="ar-EG"/>
        </w:rPr>
        <w:t>500</w:t>
      </w:r>
      <w:r w:rsidR="00C8258A">
        <w:rPr>
          <w:rFonts w:hint="cs"/>
          <w:b/>
          <w:bCs/>
          <w:rtl/>
          <w:lang w:val="fr-FR" w:bidi="ar-EG"/>
        </w:rPr>
        <w:t xml:space="preserve"> </w:t>
      </w:r>
      <w:r w:rsidR="00FF6D39">
        <w:rPr>
          <w:rFonts w:hint="cs"/>
          <w:b/>
          <w:bCs/>
          <w:rtl/>
          <w:lang w:bidi="ar-EG"/>
        </w:rPr>
        <w:t>و</w:t>
      </w:r>
      <w:r w:rsidR="00FF6D39" w:rsidRPr="00734DF0">
        <w:rPr>
          <w:b/>
          <w:bCs/>
          <w:lang w:val="fr-FR" w:bidi="ar-EG"/>
        </w:rPr>
        <w:t>X.1</w:t>
      </w:r>
      <w:r w:rsidR="00550096">
        <w:rPr>
          <w:b/>
          <w:bCs/>
          <w:lang w:val="fr-FR" w:bidi="ar-EG"/>
        </w:rPr>
        <w:t>520</w:t>
      </w:r>
      <w:r w:rsidR="00E131C3">
        <w:rPr>
          <w:rFonts w:hint="cs"/>
          <w:b/>
          <w:bCs/>
          <w:rtl/>
          <w:lang w:bidi="ar-EG"/>
        </w:rPr>
        <w:t xml:space="preserve"> </w:t>
      </w:r>
      <w:r w:rsidR="00734DF0">
        <w:rPr>
          <w:rFonts w:hint="cs"/>
          <w:b/>
          <w:bCs/>
          <w:rtl/>
          <w:lang w:bidi="ar-EG"/>
        </w:rPr>
        <w:t>و</w:t>
      </w:r>
      <w:r w:rsidR="00734DF0" w:rsidRPr="00734DF0">
        <w:rPr>
          <w:b/>
          <w:bCs/>
          <w:lang w:val="fr-FR" w:bidi="ar-EG"/>
        </w:rPr>
        <w:t>X.1</w:t>
      </w:r>
      <w:r w:rsidR="00550096">
        <w:rPr>
          <w:b/>
          <w:bCs/>
          <w:lang w:val="fr-FR" w:bidi="ar-EG"/>
        </w:rPr>
        <w:t>521</w:t>
      </w:r>
      <w:r w:rsidR="00550096">
        <w:rPr>
          <w:rFonts w:hint="cs"/>
          <w:b/>
          <w:bCs/>
          <w:rtl/>
          <w:lang w:bidi="ar-EG"/>
        </w:rPr>
        <w:t xml:space="preserve"> </w:t>
      </w:r>
      <w:r w:rsidR="004067A6">
        <w:rPr>
          <w:rFonts w:hint="cs"/>
          <w:b/>
          <w:bCs/>
          <w:rtl/>
          <w:lang w:bidi="ar-EG"/>
        </w:rPr>
        <w:t xml:space="preserve">عملاً بأحكام </w:t>
      </w:r>
      <w:r w:rsidR="005D488B">
        <w:rPr>
          <w:rFonts w:hint="cs"/>
          <w:b/>
          <w:bCs/>
          <w:rtl/>
          <w:lang w:bidi="ar-EG"/>
        </w:rPr>
        <w:t>القسم</w:t>
      </w:r>
      <w:r w:rsidR="00C8258A">
        <w:rPr>
          <w:rFonts w:hint="eastAsia"/>
          <w:b/>
          <w:bCs/>
          <w:rtl/>
          <w:lang w:bidi="ar-EG"/>
        </w:rPr>
        <w:t> </w:t>
      </w:r>
      <w:r w:rsidR="004067A6">
        <w:rPr>
          <w:b/>
          <w:bCs/>
          <w:lang w:bidi="ar-EG"/>
        </w:rPr>
        <w:t>9</w:t>
      </w:r>
      <w:r w:rsidR="004067A6">
        <w:rPr>
          <w:rFonts w:hint="cs"/>
          <w:b/>
          <w:bCs/>
          <w:rtl/>
          <w:lang w:bidi="ar-EG"/>
        </w:rPr>
        <w:t xml:space="preserve"> من القرار</w:t>
      </w:r>
      <w:r w:rsidR="00C8258A">
        <w:rPr>
          <w:rFonts w:hint="eastAsia"/>
          <w:b/>
          <w:bCs/>
          <w:rtl/>
          <w:lang w:bidi="ar-EG"/>
        </w:rPr>
        <w:t> </w:t>
      </w:r>
      <w:r w:rsidR="004067A6">
        <w:rPr>
          <w:b/>
          <w:bCs/>
          <w:lang w:bidi="ar-EG"/>
        </w:rPr>
        <w:t>1</w:t>
      </w:r>
      <w:r w:rsidR="004067A6">
        <w:rPr>
          <w:rFonts w:hint="cs"/>
          <w:b/>
          <w:bCs/>
          <w:rtl/>
          <w:lang w:bidi="ar-EG"/>
        </w:rPr>
        <w:t xml:space="preserve"> الصادر عن الجمعية العالمية </w:t>
      </w:r>
      <w:proofErr w:type="spellStart"/>
      <w:r w:rsidR="004067A6">
        <w:rPr>
          <w:rFonts w:hint="cs"/>
          <w:b/>
          <w:bCs/>
          <w:rtl/>
          <w:lang w:bidi="ar-EG"/>
        </w:rPr>
        <w:t>لتقييس</w:t>
      </w:r>
      <w:proofErr w:type="spellEnd"/>
      <w:r w:rsidR="004067A6">
        <w:rPr>
          <w:rFonts w:hint="cs"/>
          <w:b/>
          <w:bCs/>
          <w:rtl/>
          <w:lang w:bidi="ar-EG"/>
        </w:rPr>
        <w:t xml:space="preserve"> الاتصالات</w:t>
      </w:r>
      <w:r w:rsidR="0054515F">
        <w:rPr>
          <w:rFonts w:hint="cs"/>
          <w:b/>
          <w:bCs/>
          <w:rtl/>
          <w:lang w:bidi="ar-EG"/>
        </w:rPr>
        <w:t xml:space="preserve"> </w:t>
      </w:r>
      <w:r w:rsidR="004067A6">
        <w:rPr>
          <w:rFonts w:hint="cs"/>
          <w:b/>
          <w:bCs/>
          <w:rtl/>
          <w:lang w:bidi="ar-EG"/>
        </w:rPr>
        <w:t>(</w:t>
      </w:r>
      <w:proofErr w:type="spellStart"/>
      <w:r w:rsidR="00E131C3">
        <w:rPr>
          <w:rFonts w:hint="cs"/>
          <w:b/>
          <w:bCs/>
          <w:rtl/>
          <w:lang w:bidi="ar-EG"/>
        </w:rPr>
        <w:t>جوهانسبرغ</w:t>
      </w:r>
      <w:proofErr w:type="spellEnd"/>
      <w:r w:rsidR="00E131C3">
        <w:rPr>
          <w:rFonts w:hint="cs"/>
          <w:b/>
          <w:bCs/>
          <w:rtl/>
          <w:lang w:bidi="ar-EG"/>
        </w:rPr>
        <w:t>،</w:t>
      </w:r>
      <w:r w:rsidR="00C8258A">
        <w:rPr>
          <w:rFonts w:hint="eastAsia"/>
          <w:b/>
          <w:bCs/>
          <w:rtl/>
          <w:lang w:bidi="ar-EG"/>
        </w:rPr>
        <w:t> </w:t>
      </w:r>
      <w:r w:rsidR="004067A6">
        <w:rPr>
          <w:b/>
          <w:bCs/>
          <w:lang w:bidi="ar-EG"/>
        </w:rPr>
        <w:t>200</w:t>
      </w:r>
      <w:r w:rsidR="00E131C3">
        <w:rPr>
          <w:b/>
          <w:bCs/>
          <w:lang w:bidi="ar-EG"/>
        </w:rPr>
        <w:t>8</w:t>
      </w:r>
      <w:r w:rsidR="004067A6">
        <w:rPr>
          <w:rFonts w:hint="cs"/>
          <w:b/>
          <w:bCs/>
          <w:rtl/>
          <w:lang w:bidi="ar-EG"/>
        </w:rPr>
        <w:t>)</w:t>
      </w:r>
      <w:r w:rsidR="00F124E1">
        <w:rPr>
          <w:rFonts w:hint="cs"/>
          <w:b/>
          <w:bCs/>
          <w:rtl/>
          <w:lang w:bidi="ar-EG"/>
        </w:rPr>
        <w:t xml:space="preserve">، </w:t>
      </w:r>
      <w:r w:rsidR="004067A6">
        <w:rPr>
          <w:rFonts w:hint="cs"/>
          <w:b/>
          <w:bCs/>
          <w:rtl/>
          <w:lang w:bidi="ar-EG"/>
        </w:rPr>
        <w:t xml:space="preserve">جنيف، </w:t>
      </w:r>
      <w:r w:rsidR="009312D0">
        <w:rPr>
          <w:b/>
          <w:bCs/>
          <w:lang w:bidi="ar-EG"/>
        </w:rPr>
        <w:t>20</w:t>
      </w:r>
      <w:r w:rsidR="00C8258A">
        <w:rPr>
          <w:rFonts w:hint="eastAsia"/>
          <w:b/>
          <w:bCs/>
          <w:rtl/>
          <w:lang w:bidi="ar-EG"/>
        </w:rPr>
        <w:t> </w:t>
      </w:r>
      <w:r w:rsidR="009312D0">
        <w:rPr>
          <w:rFonts w:hint="cs"/>
          <w:b/>
          <w:bCs/>
          <w:rtl/>
          <w:lang w:bidi="ar-EG"/>
        </w:rPr>
        <w:t>أبريل</w:t>
      </w:r>
      <w:r w:rsidR="00C8258A">
        <w:rPr>
          <w:rFonts w:hint="eastAsia"/>
          <w:b/>
          <w:bCs/>
          <w:rtl/>
          <w:lang w:bidi="ar-EG"/>
        </w:rPr>
        <w:t> </w:t>
      </w:r>
      <w:r w:rsidR="009312D0">
        <w:rPr>
          <w:b/>
          <w:bCs/>
          <w:lang w:bidi="ar-EG"/>
        </w:rPr>
        <w:t>2011</w:t>
      </w:r>
    </w:p>
    <w:p w:rsidR="009F4B09" w:rsidRPr="005F33FD" w:rsidRDefault="009F4B09" w:rsidP="0082673E">
      <w:pPr>
        <w:spacing w:before="480"/>
        <w:rPr>
          <w:rtl/>
        </w:rPr>
      </w:pPr>
      <w:proofErr w:type="spellStart"/>
      <w:r w:rsidRPr="005F33FD">
        <w:rPr>
          <w:rFonts w:hint="cs"/>
          <w:rtl/>
        </w:rPr>
        <w:t>حضرات</w:t>
      </w:r>
      <w:proofErr w:type="spellEnd"/>
      <w:r w:rsidRPr="005F33FD">
        <w:rPr>
          <w:rFonts w:hint="cs"/>
          <w:rtl/>
        </w:rPr>
        <w:t xml:space="preserve"> </w:t>
      </w:r>
      <w:r w:rsidR="005D488B">
        <w:rPr>
          <w:rFonts w:hint="cs"/>
          <w:rtl/>
        </w:rPr>
        <w:t>السادة</w:t>
      </w:r>
      <w:r w:rsidR="0010144A" w:rsidRPr="0010144A">
        <w:rPr>
          <w:rFonts w:hint="cs"/>
          <w:rtl/>
        </w:rPr>
        <w:t xml:space="preserve"> </w:t>
      </w:r>
      <w:r w:rsidR="005D488B">
        <w:rPr>
          <w:rFonts w:hint="cs"/>
          <w:rtl/>
        </w:rPr>
        <w:t>والسيدات</w:t>
      </w:r>
      <w:r w:rsidRPr="005F33FD">
        <w:rPr>
          <w:rFonts w:hint="cs"/>
          <w:rtl/>
        </w:rPr>
        <w:t>،</w:t>
      </w:r>
    </w:p>
    <w:p w:rsidR="009F4B09" w:rsidRPr="005F33FD" w:rsidRDefault="004067A6" w:rsidP="000C00E7">
      <w:pPr>
        <w:rPr>
          <w:rtl/>
        </w:rPr>
      </w:pPr>
      <w:r>
        <w:rPr>
          <w:rFonts w:hint="cs"/>
          <w:rtl/>
        </w:rPr>
        <w:t>تحية طيبة وبعد</w:t>
      </w:r>
      <w:r w:rsidR="000C00E7">
        <w:rPr>
          <w:rFonts w:hint="cs"/>
          <w:rtl/>
        </w:rPr>
        <w:t>،</w:t>
      </w:r>
    </w:p>
    <w:p w:rsidR="009F4B09" w:rsidRDefault="009F4B09" w:rsidP="00473B0F">
      <w:pPr>
        <w:rPr>
          <w:rtl/>
          <w:lang w:bidi="ar-EG"/>
        </w:rPr>
      </w:pPr>
      <w:r w:rsidRPr="005F33FD">
        <w:t>1</w:t>
      </w:r>
      <w:r w:rsidR="00A26EA0" w:rsidRPr="005F33FD">
        <w:tab/>
      </w:r>
      <w:r w:rsidR="00A26EA0">
        <w:rPr>
          <w:rFonts w:hint="cs"/>
          <w:rtl/>
        </w:rPr>
        <w:t>بناءً على طلب رئيس لجنة الدراسات</w:t>
      </w:r>
      <w:r w:rsidR="00C8258A">
        <w:rPr>
          <w:rFonts w:hint="eastAsia"/>
          <w:b/>
          <w:bCs/>
          <w:rtl/>
          <w:lang w:bidi="ar-EG"/>
        </w:rPr>
        <w:t> </w:t>
      </w:r>
      <w:r w:rsidR="00105B0B">
        <w:t>17</w:t>
      </w:r>
      <w:r w:rsidR="00A26EA0">
        <w:rPr>
          <w:rFonts w:hint="cs"/>
          <w:rtl/>
          <w:lang w:bidi="ar-EG"/>
        </w:rPr>
        <w:t xml:space="preserve"> المعنية </w:t>
      </w:r>
      <w:r w:rsidR="00105B0B" w:rsidRPr="00105B0B">
        <w:rPr>
          <w:rFonts w:hint="cs"/>
          <w:i/>
          <w:iCs/>
          <w:rtl/>
        </w:rPr>
        <w:t>بالأمن</w:t>
      </w:r>
      <w:r w:rsidR="00A26EA0">
        <w:rPr>
          <w:rFonts w:hint="cs"/>
          <w:rtl/>
          <w:lang w:bidi="ar-EG"/>
        </w:rPr>
        <w:t>، أتشرف بأن أعلمكم أن لجنة الدراسات هذه، التي ستجتمع من</w:t>
      </w:r>
      <w:r w:rsidR="00C8258A">
        <w:rPr>
          <w:rFonts w:hint="eastAsia"/>
          <w:b/>
          <w:bCs/>
          <w:rtl/>
          <w:lang w:bidi="ar-EG"/>
        </w:rPr>
        <w:t> </w:t>
      </w:r>
      <w:r w:rsidR="00D9465A">
        <w:rPr>
          <w:lang w:bidi="ar-EG"/>
        </w:rPr>
        <w:t>11</w:t>
      </w:r>
      <w:r w:rsidR="00A26EA0">
        <w:rPr>
          <w:rFonts w:hint="cs"/>
          <w:rtl/>
          <w:lang w:bidi="ar-EG"/>
        </w:rPr>
        <w:t xml:space="preserve"> إلى</w:t>
      </w:r>
      <w:r w:rsidR="00C8258A">
        <w:rPr>
          <w:rFonts w:hint="eastAsia"/>
          <w:b/>
          <w:bCs/>
          <w:rtl/>
          <w:lang w:bidi="ar-EG"/>
        </w:rPr>
        <w:t> </w:t>
      </w:r>
      <w:r w:rsidR="00D9465A">
        <w:rPr>
          <w:lang w:bidi="ar-EG"/>
        </w:rPr>
        <w:t>20</w:t>
      </w:r>
      <w:r w:rsidR="00105B0B">
        <w:rPr>
          <w:rFonts w:hint="cs"/>
          <w:rtl/>
          <w:lang w:bidi="ar-EG"/>
        </w:rPr>
        <w:t xml:space="preserve"> </w:t>
      </w:r>
      <w:r w:rsidR="00D9465A">
        <w:rPr>
          <w:rFonts w:hint="cs"/>
          <w:rtl/>
          <w:lang w:bidi="ar-EG"/>
        </w:rPr>
        <w:t>أبريل</w:t>
      </w:r>
      <w:r w:rsidR="00C8258A">
        <w:rPr>
          <w:rFonts w:hint="eastAsia"/>
          <w:b/>
          <w:bCs/>
          <w:rtl/>
          <w:lang w:bidi="ar-EG"/>
        </w:rPr>
        <w:t> </w:t>
      </w:r>
      <w:r w:rsidR="00D9465A">
        <w:rPr>
          <w:lang w:bidi="ar-EG"/>
        </w:rPr>
        <w:t>2011</w:t>
      </w:r>
      <w:r w:rsidR="00A26EA0">
        <w:rPr>
          <w:rFonts w:hint="cs"/>
          <w:rtl/>
          <w:lang w:bidi="ar-EG"/>
        </w:rPr>
        <w:t>، تنوي تطبيق الإجراءات الموصوفة في القسم</w:t>
      </w:r>
      <w:r w:rsidR="00C8258A">
        <w:rPr>
          <w:rFonts w:hint="eastAsia"/>
          <w:b/>
          <w:bCs/>
          <w:rtl/>
          <w:lang w:bidi="ar-EG"/>
        </w:rPr>
        <w:t> </w:t>
      </w:r>
      <w:r w:rsidR="00A26EA0">
        <w:rPr>
          <w:lang w:bidi="ar-EG"/>
        </w:rPr>
        <w:t>9</w:t>
      </w:r>
      <w:r w:rsidR="00A26EA0">
        <w:rPr>
          <w:rFonts w:hint="cs"/>
          <w:rtl/>
          <w:lang w:bidi="ar-EG"/>
        </w:rPr>
        <w:t xml:space="preserve"> من القرار</w:t>
      </w:r>
      <w:r w:rsidR="00C8258A">
        <w:rPr>
          <w:rFonts w:hint="eastAsia"/>
          <w:b/>
          <w:bCs/>
          <w:rtl/>
          <w:lang w:bidi="ar-EG"/>
        </w:rPr>
        <w:t> </w:t>
      </w:r>
      <w:r w:rsidR="00A26EA0">
        <w:rPr>
          <w:lang w:bidi="ar-EG"/>
        </w:rPr>
        <w:t>1</w:t>
      </w:r>
      <w:r w:rsidR="00A26EA0">
        <w:rPr>
          <w:rFonts w:hint="cs"/>
          <w:rtl/>
          <w:lang w:bidi="ar-EG"/>
        </w:rPr>
        <w:t xml:space="preserve"> الصادر عن الجمعية العالمية </w:t>
      </w:r>
      <w:proofErr w:type="spellStart"/>
      <w:r w:rsidR="00A26EA0">
        <w:rPr>
          <w:rFonts w:hint="cs"/>
          <w:rtl/>
          <w:lang w:bidi="ar-EG"/>
        </w:rPr>
        <w:t>لتقييس</w:t>
      </w:r>
      <w:proofErr w:type="spellEnd"/>
      <w:r w:rsidR="00A26EA0">
        <w:rPr>
          <w:rFonts w:hint="cs"/>
          <w:rtl/>
          <w:lang w:bidi="ar-EG"/>
        </w:rPr>
        <w:t xml:space="preserve"> الاتصالات (</w:t>
      </w:r>
      <w:proofErr w:type="spellStart"/>
      <w:r w:rsidR="00CE51A0">
        <w:rPr>
          <w:rFonts w:hint="cs"/>
          <w:rtl/>
          <w:lang w:bidi="ar-EG"/>
        </w:rPr>
        <w:t>جوهانسبرغ</w:t>
      </w:r>
      <w:proofErr w:type="spellEnd"/>
      <w:r w:rsidR="00A26EA0">
        <w:rPr>
          <w:rFonts w:hint="cs"/>
          <w:rtl/>
          <w:lang w:bidi="ar-EG"/>
        </w:rPr>
        <w:t>،</w:t>
      </w:r>
      <w:r w:rsidR="00C8258A">
        <w:rPr>
          <w:rFonts w:hint="eastAsia"/>
          <w:b/>
          <w:bCs/>
          <w:rtl/>
          <w:lang w:bidi="ar-EG"/>
        </w:rPr>
        <w:t> </w:t>
      </w:r>
      <w:r w:rsidR="00CE51A0">
        <w:rPr>
          <w:lang w:bidi="ar-EG"/>
        </w:rPr>
        <w:t>2008</w:t>
      </w:r>
      <w:r w:rsidR="00A26EA0">
        <w:rPr>
          <w:rFonts w:hint="cs"/>
          <w:rtl/>
          <w:lang w:bidi="ar-EG"/>
        </w:rPr>
        <w:t xml:space="preserve">) وذلك من أجل الموافقة على </w:t>
      </w:r>
      <w:r w:rsidR="00D9465A">
        <w:rPr>
          <w:rFonts w:hint="cs"/>
          <w:rtl/>
          <w:lang w:bidi="ar-EG"/>
        </w:rPr>
        <w:t>مشاريع</w:t>
      </w:r>
      <w:r w:rsidR="00A26EA0">
        <w:rPr>
          <w:rFonts w:hint="cs"/>
          <w:rtl/>
          <w:lang w:bidi="ar-EG"/>
        </w:rPr>
        <w:t xml:space="preserve"> التوصيات </w:t>
      </w:r>
      <w:r w:rsidR="00473B0F" w:rsidRPr="00B84E5D">
        <w:rPr>
          <w:rFonts w:hint="cs"/>
          <w:rtl/>
          <w:lang w:bidi="ar-EG"/>
        </w:rPr>
        <w:t>الجديدة</w:t>
      </w:r>
      <w:r w:rsidR="00473B0F">
        <w:rPr>
          <w:rFonts w:hint="cs"/>
          <w:rtl/>
          <w:lang w:bidi="ar-EG"/>
        </w:rPr>
        <w:t xml:space="preserve"> </w:t>
      </w:r>
      <w:r w:rsidR="00A26EA0">
        <w:rPr>
          <w:rFonts w:hint="cs"/>
          <w:rtl/>
          <w:lang w:bidi="ar-EG"/>
        </w:rPr>
        <w:t>المذكورة</w:t>
      </w:r>
      <w:r w:rsidR="00473B0F">
        <w:rPr>
          <w:rFonts w:hint="eastAsia"/>
          <w:rtl/>
          <w:lang w:bidi="ar-EG"/>
        </w:rPr>
        <w:t> </w:t>
      </w:r>
      <w:r w:rsidR="00A26EA0">
        <w:rPr>
          <w:rFonts w:hint="cs"/>
          <w:rtl/>
          <w:lang w:bidi="ar-EG"/>
        </w:rPr>
        <w:t>أعلاه.</w:t>
      </w:r>
    </w:p>
    <w:p w:rsidR="004067A6" w:rsidRDefault="004067A6" w:rsidP="00455978">
      <w:pPr>
        <w:rPr>
          <w:rtl/>
          <w:lang w:bidi="ar-EG"/>
        </w:rPr>
      </w:pPr>
      <w:r>
        <w:rPr>
          <w:lang w:bidi="ar-EG"/>
        </w:rPr>
        <w:t>2</w:t>
      </w:r>
      <w:r w:rsidR="00A26EA0">
        <w:rPr>
          <w:rFonts w:hint="cs"/>
          <w:rtl/>
          <w:lang w:bidi="ar-EG"/>
        </w:rPr>
        <w:tab/>
        <w:t xml:space="preserve">ويشتمل </w:t>
      </w:r>
      <w:r w:rsidR="00A26EA0">
        <w:rPr>
          <w:rFonts w:hint="cs"/>
          <w:b/>
          <w:bCs/>
          <w:rtl/>
          <w:lang w:bidi="ar-EG"/>
        </w:rPr>
        <w:t>الملحق</w:t>
      </w:r>
      <w:r w:rsidR="00C8258A">
        <w:rPr>
          <w:rFonts w:hint="eastAsia"/>
          <w:b/>
          <w:bCs/>
          <w:rtl/>
          <w:lang w:bidi="ar-EG"/>
        </w:rPr>
        <w:t> </w:t>
      </w:r>
      <w:r w:rsidR="00A26EA0">
        <w:rPr>
          <w:b/>
          <w:bCs/>
          <w:lang w:bidi="ar-EG"/>
        </w:rPr>
        <w:t>1</w:t>
      </w:r>
      <w:r w:rsidR="00A26EA0">
        <w:rPr>
          <w:rFonts w:hint="cs"/>
          <w:rtl/>
          <w:lang w:bidi="ar-EG"/>
        </w:rPr>
        <w:t xml:space="preserve"> بهذه الرسالة على </w:t>
      </w:r>
      <w:r w:rsidR="0008582E">
        <w:rPr>
          <w:rFonts w:hint="cs"/>
          <w:rtl/>
          <w:lang w:bidi="ar-EG"/>
        </w:rPr>
        <w:t>عناوين و</w:t>
      </w:r>
      <w:r w:rsidR="00A26EA0">
        <w:rPr>
          <w:rFonts w:hint="cs"/>
          <w:rtl/>
          <w:lang w:bidi="ar-EG"/>
        </w:rPr>
        <w:t>ملخص</w:t>
      </w:r>
      <w:r w:rsidR="009535B1">
        <w:rPr>
          <w:rFonts w:hint="cs"/>
          <w:rtl/>
          <w:lang w:bidi="ar-EG"/>
        </w:rPr>
        <w:t>ات</w:t>
      </w:r>
      <w:r w:rsidR="00A26EA0">
        <w:rPr>
          <w:rFonts w:hint="cs"/>
          <w:rtl/>
          <w:lang w:bidi="ar-EG"/>
        </w:rPr>
        <w:t xml:space="preserve"> </w:t>
      </w:r>
      <w:r w:rsidR="0008582E">
        <w:rPr>
          <w:rFonts w:hint="cs"/>
          <w:rtl/>
          <w:lang w:bidi="ar-EG"/>
        </w:rPr>
        <w:t xml:space="preserve">مشاريع توصيات قطاع </w:t>
      </w:r>
      <w:proofErr w:type="spellStart"/>
      <w:r w:rsidR="0008582E">
        <w:rPr>
          <w:rFonts w:hint="cs"/>
          <w:rtl/>
          <w:lang w:bidi="ar-EG"/>
        </w:rPr>
        <w:t>تقييس</w:t>
      </w:r>
      <w:proofErr w:type="spellEnd"/>
      <w:r w:rsidR="0008582E">
        <w:rPr>
          <w:rFonts w:hint="cs"/>
          <w:rtl/>
          <w:lang w:bidi="ar-EG"/>
        </w:rPr>
        <w:t xml:space="preserve"> الاتصالات الجديدة المقترح </w:t>
      </w:r>
      <w:r w:rsidR="00455978">
        <w:rPr>
          <w:rFonts w:hint="cs"/>
          <w:rtl/>
          <w:lang w:bidi="ar-EG"/>
        </w:rPr>
        <w:t>الموافقة</w:t>
      </w:r>
      <w:r w:rsidR="009535B1">
        <w:rPr>
          <w:rFonts w:hint="cs"/>
          <w:rtl/>
          <w:lang w:bidi="ar-EG"/>
        </w:rPr>
        <w:t xml:space="preserve"> عليها </w:t>
      </w:r>
      <w:r w:rsidR="0008582E">
        <w:rPr>
          <w:rFonts w:hint="cs"/>
          <w:rtl/>
          <w:lang w:bidi="ar-EG"/>
        </w:rPr>
        <w:t>والوثائق التي ترد</w:t>
      </w:r>
      <w:r w:rsidR="00C8258A">
        <w:rPr>
          <w:rFonts w:hint="eastAsia"/>
          <w:b/>
          <w:bCs/>
          <w:rtl/>
          <w:lang w:bidi="ar-EG"/>
        </w:rPr>
        <w:t> </w:t>
      </w:r>
      <w:r w:rsidR="0008582E">
        <w:rPr>
          <w:rFonts w:hint="cs"/>
          <w:rtl/>
          <w:lang w:bidi="ar-EG"/>
        </w:rPr>
        <w:t>فيها.</w:t>
      </w:r>
    </w:p>
    <w:p w:rsidR="00CC30F9" w:rsidRDefault="004067A6" w:rsidP="003461D3">
      <w:pPr>
        <w:rPr>
          <w:rtl/>
          <w:lang w:bidi="ar-EG"/>
        </w:rPr>
      </w:pPr>
      <w:r>
        <w:rPr>
          <w:lang w:bidi="ar-EG"/>
        </w:rPr>
        <w:t>3</w:t>
      </w:r>
      <w:r w:rsidR="00A26EA0">
        <w:rPr>
          <w:rFonts w:hint="cs"/>
          <w:rtl/>
          <w:lang w:bidi="ar-EG"/>
        </w:rPr>
        <w:tab/>
      </w:r>
      <w:r w:rsidR="00A26EA0" w:rsidRPr="00CC30F9">
        <w:rPr>
          <w:rFonts w:hint="cs"/>
          <w:spacing w:val="-2"/>
          <w:rtl/>
          <w:lang w:bidi="ar-EG"/>
        </w:rPr>
        <w:t>يرجى من أي دولة عضو في الاتحاد أو عضو في القطاع أو منتسب إليه يعلم بوجود براءة اختراع في حيازته أو</w:t>
      </w:r>
      <w:r w:rsidR="003461D3">
        <w:rPr>
          <w:rFonts w:hint="eastAsia"/>
          <w:spacing w:val="-2"/>
          <w:rtl/>
          <w:lang w:bidi="ar-EG"/>
        </w:rPr>
        <w:t> </w:t>
      </w:r>
      <w:r w:rsidR="00A26EA0" w:rsidRPr="00CC30F9">
        <w:rPr>
          <w:rFonts w:hint="cs"/>
          <w:spacing w:val="-2"/>
          <w:rtl/>
          <w:lang w:bidi="ar-EG"/>
        </w:rPr>
        <w:t>في</w:t>
      </w:r>
      <w:r w:rsidR="003461D3">
        <w:rPr>
          <w:rFonts w:hint="eastAsia"/>
          <w:spacing w:val="-2"/>
          <w:rtl/>
          <w:lang w:bidi="ar-EG"/>
        </w:rPr>
        <w:t> </w:t>
      </w:r>
      <w:r w:rsidR="00A26EA0" w:rsidRPr="00CC30F9">
        <w:rPr>
          <w:rFonts w:hint="cs"/>
          <w:spacing w:val="-2"/>
          <w:rtl/>
          <w:lang w:bidi="ar-EG"/>
        </w:rPr>
        <w:t xml:space="preserve">حيازة الغير من شأنها أن تشمل كلياً أو جزئياً عناصر من </w:t>
      </w:r>
      <w:r w:rsidR="007C6F3F">
        <w:rPr>
          <w:rFonts w:hint="cs"/>
          <w:spacing w:val="-2"/>
          <w:rtl/>
          <w:lang w:bidi="ar-EG"/>
        </w:rPr>
        <w:t>مشاريع</w:t>
      </w:r>
      <w:r w:rsidR="00A26EA0" w:rsidRPr="00CC30F9">
        <w:rPr>
          <w:rFonts w:hint="cs"/>
          <w:spacing w:val="-2"/>
          <w:rtl/>
          <w:lang w:bidi="ar-EG"/>
        </w:rPr>
        <w:t xml:space="preserve"> التوصيات المقترح الموافقة عليها أن يكشف عن مثل هذه المعلومات لمكتب </w:t>
      </w:r>
      <w:proofErr w:type="spellStart"/>
      <w:r w:rsidR="00A26EA0" w:rsidRPr="00CC30F9">
        <w:rPr>
          <w:rFonts w:hint="cs"/>
          <w:spacing w:val="-2"/>
          <w:rtl/>
          <w:lang w:bidi="ar-EG"/>
        </w:rPr>
        <w:t>تقييس</w:t>
      </w:r>
      <w:proofErr w:type="spellEnd"/>
      <w:r w:rsidR="00A26EA0" w:rsidRPr="00CC30F9">
        <w:rPr>
          <w:rFonts w:hint="cs"/>
          <w:spacing w:val="-2"/>
          <w:rtl/>
          <w:lang w:bidi="ar-EG"/>
        </w:rPr>
        <w:t xml:space="preserve"> الاتصالات، عملاً بالسياسة المشتركة </w:t>
      </w:r>
      <w:proofErr w:type="spellStart"/>
      <w:r w:rsidR="00A26EA0" w:rsidRPr="00CC30F9">
        <w:rPr>
          <w:rFonts w:hint="cs"/>
          <w:spacing w:val="-2"/>
          <w:rtl/>
          <w:lang w:bidi="ar-EG"/>
        </w:rPr>
        <w:t>للبراءات</w:t>
      </w:r>
      <w:proofErr w:type="spellEnd"/>
      <w:r w:rsidR="00A26EA0" w:rsidRPr="00CC30F9">
        <w:rPr>
          <w:rFonts w:hint="cs"/>
          <w:spacing w:val="-2"/>
          <w:rtl/>
          <w:lang w:bidi="ar-EG"/>
        </w:rPr>
        <w:t xml:space="preserve"> المعتمدة لدى قطاع </w:t>
      </w:r>
      <w:proofErr w:type="spellStart"/>
      <w:r w:rsidR="00A26EA0" w:rsidRPr="00CC30F9">
        <w:rPr>
          <w:rFonts w:hint="cs"/>
          <w:spacing w:val="-2"/>
          <w:rtl/>
          <w:lang w:bidi="ar-EG"/>
        </w:rPr>
        <w:t>تقييس</w:t>
      </w:r>
      <w:proofErr w:type="spellEnd"/>
      <w:r w:rsidR="00A26EA0" w:rsidRPr="00CC30F9">
        <w:rPr>
          <w:rFonts w:hint="cs"/>
          <w:spacing w:val="-2"/>
          <w:rtl/>
          <w:lang w:bidi="ar-EG"/>
        </w:rPr>
        <w:t xml:space="preserve"> الاتصالات/قطاع الاتصالات </w:t>
      </w:r>
      <w:proofErr w:type="spellStart"/>
      <w:r w:rsidR="00A26EA0" w:rsidRPr="00CC30F9">
        <w:rPr>
          <w:rFonts w:hint="cs"/>
          <w:spacing w:val="-2"/>
          <w:rtl/>
          <w:lang w:bidi="ar-EG"/>
        </w:rPr>
        <w:t>الراديوية</w:t>
      </w:r>
      <w:proofErr w:type="spellEnd"/>
      <w:r w:rsidR="00A26EA0" w:rsidRPr="00CC30F9">
        <w:rPr>
          <w:rFonts w:hint="cs"/>
          <w:spacing w:val="-2"/>
          <w:rtl/>
          <w:lang w:bidi="ar-EG"/>
        </w:rPr>
        <w:t xml:space="preserve">/المنظمة الدولية للتوحيد القياسي/اللجنة </w:t>
      </w:r>
      <w:proofErr w:type="spellStart"/>
      <w:r w:rsidR="00A26EA0" w:rsidRPr="00CC30F9">
        <w:rPr>
          <w:rFonts w:hint="cs"/>
          <w:spacing w:val="-2"/>
          <w:rtl/>
          <w:lang w:bidi="ar-EG"/>
        </w:rPr>
        <w:t>الكهرتقنية</w:t>
      </w:r>
      <w:proofErr w:type="spellEnd"/>
      <w:r w:rsidR="00A26EA0" w:rsidRPr="00CC30F9">
        <w:rPr>
          <w:rFonts w:hint="cs"/>
          <w:spacing w:val="-2"/>
          <w:rtl/>
          <w:lang w:bidi="ar-EG"/>
        </w:rPr>
        <w:t xml:space="preserve"> الدولية </w:t>
      </w:r>
      <w:r w:rsidR="00A26EA0" w:rsidRPr="00CC30F9">
        <w:rPr>
          <w:spacing w:val="-2"/>
          <w:lang w:bidi="ar-EG"/>
        </w:rPr>
        <w:t>(ITU</w:t>
      </w:r>
      <w:r w:rsidR="00C8258A">
        <w:rPr>
          <w:spacing w:val="-2"/>
          <w:lang w:bidi="ar-EG"/>
        </w:rPr>
        <w:noBreakHyphen/>
      </w:r>
      <w:r w:rsidR="00A26EA0" w:rsidRPr="00CC30F9">
        <w:rPr>
          <w:spacing w:val="-2"/>
          <w:lang w:bidi="ar-EG"/>
        </w:rPr>
        <w:t>T/ITU</w:t>
      </w:r>
      <w:r w:rsidR="00C8258A">
        <w:rPr>
          <w:spacing w:val="-2"/>
          <w:lang w:bidi="ar-EG"/>
        </w:rPr>
        <w:noBreakHyphen/>
      </w:r>
      <w:r w:rsidR="00A26EA0" w:rsidRPr="00CC30F9">
        <w:rPr>
          <w:spacing w:val="-2"/>
          <w:lang w:bidi="ar-EG"/>
        </w:rPr>
        <w:t>R/ISO/IEC)</w:t>
      </w:r>
      <w:r w:rsidR="001D39B3">
        <w:rPr>
          <w:rFonts w:hint="cs"/>
          <w:rtl/>
          <w:lang w:bidi="ar-EG"/>
        </w:rPr>
        <w:t>.</w:t>
      </w:r>
    </w:p>
    <w:p w:rsidR="00A858F8" w:rsidRPr="001D39B3" w:rsidRDefault="00A858F8" w:rsidP="00A858F8">
      <w:pPr>
        <w:keepNext/>
        <w:keepLines/>
        <w:rPr>
          <w:rtl/>
          <w:lang w:bidi="ar-EG"/>
        </w:rPr>
      </w:pPr>
      <w:r>
        <w:rPr>
          <w:rFonts w:hint="cs"/>
          <w:rtl/>
          <w:lang w:bidi="ar-EG"/>
        </w:rPr>
        <w:t xml:space="preserve">ويمكن الاطلاع على معلومات براءات الاختراع المتاحة مباشرة على الخط من الموقع الإلكتروني للقطاع، </w:t>
      </w:r>
      <w:r>
        <w:rPr>
          <w:lang w:bidi="ar-EG"/>
        </w:rPr>
        <w:t>(</w:t>
      </w:r>
      <w:hyperlink r:id="rId9" w:history="1">
        <w:r w:rsidRPr="00547F02">
          <w:rPr>
            <w:rStyle w:val="Hyperlink"/>
            <w:lang w:val="ru-RU"/>
          </w:rPr>
          <w:t>www.itu.int/ITU-T/ipr/</w:t>
        </w:r>
      </w:hyperlink>
      <w:r>
        <w:rPr>
          <w:lang w:bidi="ar-EG"/>
        </w:rPr>
        <w:t>)</w:t>
      </w:r>
      <w:r>
        <w:rPr>
          <w:rFonts w:hint="cs"/>
          <w:rtl/>
          <w:lang w:bidi="ar-EG"/>
        </w:rPr>
        <w:t>.</w:t>
      </w:r>
    </w:p>
    <w:p w:rsidR="00A858F8" w:rsidRDefault="00A858F8" w:rsidP="00C8258A">
      <w:pPr>
        <w:rPr>
          <w:rtl/>
          <w:lang w:bidi="ar-EG"/>
        </w:rPr>
      </w:pPr>
    </w:p>
    <w:p w:rsidR="004067A6" w:rsidRDefault="0082673E" w:rsidP="003461D3">
      <w:pPr>
        <w:keepNext/>
        <w:keepLines/>
        <w:rPr>
          <w:rtl/>
          <w:lang w:bidi="ar-EG"/>
        </w:rPr>
      </w:pPr>
      <w:r>
        <w:rPr>
          <w:lang w:bidi="ar-EG"/>
        </w:rPr>
        <w:lastRenderedPageBreak/>
        <w:t>4</w:t>
      </w:r>
      <w:r w:rsidR="00A26EA0">
        <w:rPr>
          <w:rFonts w:hint="cs"/>
          <w:rtl/>
          <w:lang w:bidi="ar-EG"/>
        </w:rPr>
        <w:tab/>
        <w:t>وتبعاً لأحكام القسم</w:t>
      </w:r>
      <w:r w:rsidR="00D0469A">
        <w:rPr>
          <w:rFonts w:hint="eastAsia"/>
          <w:rtl/>
          <w:lang w:bidi="ar-EG"/>
        </w:rPr>
        <w:t> </w:t>
      </w:r>
      <w:r w:rsidR="00A26EA0">
        <w:rPr>
          <w:lang w:bidi="ar-EG"/>
        </w:rPr>
        <w:t>9</w:t>
      </w:r>
      <w:r w:rsidR="00A26EA0">
        <w:rPr>
          <w:rFonts w:hint="cs"/>
          <w:rtl/>
          <w:lang w:bidi="ar-EG"/>
        </w:rPr>
        <w:t xml:space="preserve"> من القرار</w:t>
      </w:r>
      <w:r w:rsidR="00D0469A">
        <w:rPr>
          <w:rFonts w:hint="eastAsia"/>
          <w:rtl/>
          <w:lang w:bidi="ar-EG"/>
        </w:rPr>
        <w:t> </w:t>
      </w:r>
      <w:r w:rsidR="00A26EA0">
        <w:rPr>
          <w:lang w:bidi="ar-EG"/>
        </w:rPr>
        <w:t>1</w:t>
      </w:r>
      <w:r w:rsidR="000C00E7">
        <w:rPr>
          <w:rFonts w:hint="cs"/>
          <w:rtl/>
          <w:lang w:bidi="ar-EG"/>
        </w:rPr>
        <w:t>،</w:t>
      </w:r>
      <w:r w:rsidR="00A26EA0">
        <w:rPr>
          <w:rFonts w:hint="cs"/>
          <w:rtl/>
          <w:lang w:bidi="ar-EG"/>
        </w:rPr>
        <w:t xml:space="preserve"> سأكون ممتناً لو تفضلتم بإعلامي في موعد أقصاه منتصف الليل بالتوقيت العالمي المنسَّق </w:t>
      </w:r>
      <w:r w:rsidR="00A26EA0">
        <w:rPr>
          <w:rFonts w:hint="cs"/>
          <w:b/>
          <w:bCs/>
          <w:rtl/>
          <w:lang w:bidi="ar-EG"/>
        </w:rPr>
        <w:t xml:space="preserve">في </w:t>
      </w:r>
      <w:r w:rsidR="005206E2" w:rsidRPr="00070529">
        <w:rPr>
          <w:rFonts w:hint="cs"/>
          <w:b/>
          <w:bCs/>
          <w:rtl/>
          <w:lang w:bidi="ar-EG"/>
        </w:rPr>
        <w:t>يوم</w:t>
      </w:r>
      <w:r w:rsidR="00D0469A">
        <w:rPr>
          <w:rFonts w:hint="eastAsia"/>
          <w:rtl/>
          <w:lang w:bidi="ar-EG"/>
        </w:rPr>
        <w:t> </w:t>
      </w:r>
      <w:r w:rsidR="007C6F3F">
        <w:rPr>
          <w:b/>
          <w:bCs/>
          <w:lang w:bidi="ar-EG"/>
        </w:rPr>
        <w:t>30</w:t>
      </w:r>
      <w:r w:rsidR="005206E2" w:rsidRPr="00AA1A6E">
        <w:rPr>
          <w:rFonts w:hint="cs"/>
          <w:b/>
          <w:bCs/>
          <w:rtl/>
          <w:lang w:bidi="ar-EG"/>
        </w:rPr>
        <w:t xml:space="preserve"> </w:t>
      </w:r>
      <w:r w:rsidR="007C6F3F">
        <w:rPr>
          <w:rFonts w:hint="cs"/>
          <w:b/>
          <w:bCs/>
          <w:rtl/>
          <w:lang w:bidi="ar-EG"/>
        </w:rPr>
        <w:t>مارس</w:t>
      </w:r>
      <w:r w:rsidR="00D0469A">
        <w:rPr>
          <w:rFonts w:hint="eastAsia"/>
          <w:rtl/>
          <w:lang w:bidi="ar-EG"/>
        </w:rPr>
        <w:t> </w:t>
      </w:r>
      <w:r w:rsidR="005206E2" w:rsidRPr="00AA1A6E">
        <w:rPr>
          <w:b/>
          <w:bCs/>
          <w:lang w:bidi="ar-EG"/>
        </w:rPr>
        <w:t>201</w:t>
      </w:r>
      <w:r w:rsidR="003461D3">
        <w:rPr>
          <w:b/>
          <w:bCs/>
          <w:lang w:bidi="ar-EG"/>
        </w:rPr>
        <w:t>1</w:t>
      </w:r>
      <w:r w:rsidR="005206E2">
        <w:rPr>
          <w:rFonts w:hint="cs"/>
          <w:i/>
          <w:iCs/>
          <w:rtl/>
          <w:lang w:bidi="ar-EG"/>
        </w:rPr>
        <w:t xml:space="preserve"> </w:t>
      </w:r>
      <w:r w:rsidR="008C2DFB">
        <w:rPr>
          <w:rFonts w:hint="cs"/>
          <w:rtl/>
          <w:lang w:bidi="ar-EG"/>
        </w:rPr>
        <w:t>ما </w:t>
      </w:r>
      <w:r w:rsidR="00A26EA0">
        <w:rPr>
          <w:rFonts w:hint="cs"/>
          <w:rtl/>
          <w:lang w:bidi="ar-EG"/>
        </w:rPr>
        <w:t>إذا كانت إدارتكم تفوِّض السلطة إلى لجنة الدراسات</w:t>
      </w:r>
      <w:r w:rsidR="00D0469A">
        <w:rPr>
          <w:rFonts w:hint="eastAsia"/>
          <w:rtl/>
          <w:lang w:bidi="ar-EG"/>
        </w:rPr>
        <w:t> </w:t>
      </w:r>
      <w:r w:rsidR="00AA1A6E">
        <w:rPr>
          <w:lang w:bidi="ar-EG"/>
        </w:rPr>
        <w:t>17</w:t>
      </w:r>
      <w:r w:rsidR="00AA1A6E">
        <w:rPr>
          <w:rFonts w:hint="cs"/>
          <w:rtl/>
          <w:lang w:bidi="ar-EG"/>
        </w:rPr>
        <w:t xml:space="preserve"> </w:t>
      </w:r>
      <w:r w:rsidR="00A26EA0">
        <w:rPr>
          <w:rFonts w:hint="cs"/>
          <w:rtl/>
          <w:lang w:bidi="ar-EG"/>
        </w:rPr>
        <w:t xml:space="preserve">للنظر في </w:t>
      </w:r>
      <w:r w:rsidR="00BD7C09">
        <w:rPr>
          <w:rFonts w:hint="cs"/>
          <w:rtl/>
          <w:lang w:bidi="ar-EG"/>
        </w:rPr>
        <w:t>مشاريع</w:t>
      </w:r>
      <w:r w:rsidR="00A26EA0">
        <w:rPr>
          <w:rFonts w:hint="cs"/>
          <w:rtl/>
          <w:lang w:bidi="ar-EG"/>
        </w:rPr>
        <w:t xml:space="preserve"> التوصيات الجديدة بغرض الموافقة عليها في اجتماع لجنة</w:t>
      </w:r>
      <w:r w:rsidR="00D0469A">
        <w:rPr>
          <w:rFonts w:hint="eastAsia"/>
          <w:rtl/>
          <w:lang w:bidi="ar-EG"/>
        </w:rPr>
        <w:t> </w:t>
      </w:r>
      <w:r w:rsidR="00A26EA0">
        <w:rPr>
          <w:rFonts w:hint="cs"/>
          <w:rtl/>
          <w:lang w:bidi="ar-EG"/>
        </w:rPr>
        <w:t>الدراسات.</w:t>
      </w:r>
    </w:p>
    <w:p w:rsidR="004067A6" w:rsidRDefault="00A26EA0" w:rsidP="003461D3">
      <w:pPr>
        <w:rPr>
          <w:rtl/>
          <w:lang w:bidi="ar-EG"/>
        </w:rPr>
      </w:pPr>
      <w:r>
        <w:rPr>
          <w:rFonts w:hint="cs"/>
          <w:rtl/>
          <w:lang w:bidi="ar-EG"/>
        </w:rPr>
        <w:t>وإذا رأت أي دولة عضو أن عملية النظر بغرض الموافقة ينبغي أ</w:t>
      </w:r>
      <w:r w:rsidR="008C2DFB">
        <w:rPr>
          <w:rFonts w:hint="cs"/>
          <w:rtl/>
          <w:lang w:bidi="ar-EG"/>
        </w:rPr>
        <w:t>لا </w:t>
      </w:r>
      <w:r>
        <w:rPr>
          <w:rFonts w:hint="cs"/>
          <w:rtl/>
          <w:lang w:bidi="ar-EG"/>
        </w:rPr>
        <w:t>تستمر</w:t>
      </w:r>
      <w:r w:rsidR="000C00E7">
        <w:rPr>
          <w:rFonts w:hint="cs"/>
          <w:rtl/>
          <w:lang w:bidi="ar-EG"/>
        </w:rPr>
        <w:t>،</w:t>
      </w:r>
      <w:r>
        <w:rPr>
          <w:rFonts w:hint="cs"/>
          <w:rtl/>
          <w:lang w:bidi="ar-EG"/>
        </w:rPr>
        <w:t xml:space="preserve"> فعليها أن تبيّن أسباب ذلك الاعتراض وأن تشير إلى</w:t>
      </w:r>
      <w:r w:rsidR="003461D3">
        <w:rPr>
          <w:rFonts w:hint="eastAsia"/>
          <w:lang w:bidi="ar-EG"/>
        </w:rPr>
        <w:t> </w:t>
      </w:r>
      <w:r>
        <w:rPr>
          <w:rFonts w:hint="cs"/>
          <w:rtl/>
          <w:lang w:bidi="ar-EG"/>
        </w:rPr>
        <w:t>التغييرات الممكنة التي من شأنها تيسير مواصلة النظر في مشاريع التوصيات الجديدة والموافقة</w:t>
      </w:r>
      <w:r w:rsidR="00D0469A">
        <w:rPr>
          <w:rFonts w:hint="eastAsia"/>
          <w:rtl/>
          <w:lang w:bidi="ar-EG"/>
        </w:rPr>
        <w:t> </w:t>
      </w:r>
      <w:r>
        <w:rPr>
          <w:rFonts w:hint="cs"/>
          <w:rtl/>
          <w:lang w:bidi="ar-EG"/>
        </w:rPr>
        <w:t>عليها.</w:t>
      </w:r>
    </w:p>
    <w:p w:rsidR="004067A6" w:rsidRDefault="004E1059" w:rsidP="006A6739">
      <w:pPr>
        <w:rPr>
          <w:rtl/>
          <w:lang w:bidi="ar-EG"/>
        </w:rPr>
      </w:pPr>
      <w:r>
        <w:rPr>
          <w:lang w:bidi="ar-EG"/>
        </w:rPr>
        <w:t>5</w:t>
      </w:r>
      <w:r w:rsidR="007A66C2">
        <w:rPr>
          <w:rFonts w:hint="cs"/>
          <w:rtl/>
          <w:lang w:bidi="ar-EG"/>
        </w:rPr>
        <w:tab/>
        <w:t>فإذا كان</w:t>
      </w:r>
      <w:r w:rsidR="00D0469A">
        <w:rPr>
          <w:rFonts w:hint="eastAsia"/>
          <w:rtl/>
          <w:lang w:bidi="ar-EG"/>
        </w:rPr>
        <w:t> </w:t>
      </w:r>
      <w:r w:rsidR="007A66C2">
        <w:rPr>
          <w:lang w:bidi="ar-EG"/>
        </w:rPr>
        <w:t>70</w:t>
      </w:r>
      <w:r w:rsidR="007A66C2">
        <w:rPr>
          <w:rFonts w:hint="cs"/>
          <w:rtl/>
          <w:lang w:bidi="ar-EG"/>
        </w:rPr>
        <w:t xml:space="preserve"> في المائة أو أكثر من الردود الواردة من الدول الأعضاء تؤيد النظر في مشاريع التوصيات الجديدة هذه بغرض الموافقة عليها في اجتماع لجنة الدراسات</w:t>
      </w:r>
      <w:r w:rsidR="000C00E7">
        <w:rPr>
          <w:rFonts w:hint="cs"/>
          <w:rtl/>
          <w:lang w:bidi="ar-EG"/>
        </w:rPr>
        <w:t>،</w:t>
      </w:r>
      <w:r w:rsidR="007A66C2">
        <w:rPr>
          <w:rFonts w:hint="cs"/>
          <w:rtl/>
          <w:lang w:bidi="ar-EG"/>
        </w:rPr>
        <w:t xml:space="preserve"> عندئذ سوف تكرَّس جلسة عامة </w:t>
      </w:r>
      <w:r w:rsidR="007A66C2">
        <w:rPr>
          <w:rFonts w:hint="cs"/>
          <w:b/>
          <w:bCs/>
          <w:rtl/>
          <w:lang w:bidi="ar-EG"/>
        </w:rPr>
        <w:t>في</w:t>
      </w:r>
      <w:r w:rsidR="00D0469A">
        <w:rPr>
          <w:rFonts w:hint="eastAsia"/>
          <w:rtl/>
          <w:lang w:bidi="ar-EG"/>
        </w:rPr>
        <w:t> </w:t>
      </w:r>
      <w:r w:rsidR="006A6739">
        <w:rPr>
          <w:b/>
          <w:bCs/>
          <w:lang w:bidi="ar-EG"/>
        </w:rPr>
        <w:t>20</w:t>
      </w:r>
      <w:r w:rsidR="007E36E3">
        <w:rPr>
          <w:rFonts w:hint="cs"/>
          <w:b/>
          <w:bCs/>
          <w:rtl/>
          <w:lang w:bidi="ar-EG"/>
        </w:rPr>
        <w:t xml:space="preserve"> </w:t>
      </w:r>
      <w:r w:rsidR="006A6739">
        <w:rPr>
          <w:rFonts w:hint="cs"/>
          <w:b/>
          <w:bCs/>
          <w:rtl/>
          <w:lang w:bidi="ar-EG"/>
        </w:rPr>
        <w:t>أبريل</w:t>
      </w:r>
      <w:r w:rsidR="00D0469A">
        <w:rPr>
          <w:rFonts w:hint="eastAsia"/>
          <w:rtl/>
          <w:lang w:bidi="ar-EG"/>
        </w:rPr>
        <w:t> </w:t>
      </w:r>
      <w:r w:rsidR="006A6739">
        <w:rPr>
          <w:b/>
          <w:bCs/>
          <w:lang w:bidi="ar-EG"/>
        </w:rPr>
        <w:t>2011</w:t>
      </w:r>
      <w:r w:rsidR="007E36E3">
        <w:rPr>
          <w:rFonts w:hint="cs"/>
          <w:b/>
          <w:bCs/>
          <w:rtl/>
          <w:lang w:bidi="ar-EG"/>
        </w:rPr>
        <w:t xml:space="preserve"> </w:t>
      </w:r>
      <w:r w:rsidR="007A66C2" w:rsidRPr="00F0698D">
        <w:rPr>
          <w:rFonts w:hint="cs"/>
          <w:rtl/>
          <w:lang w:bidi="ar-EG"/>
        </w:rPr>
        <w:t>لتطبيق إجراءات</w:t>
      </w:r>
      <w:r w:rsidR="00D0469A">
        <w:rPr>
          <w:rFonts w:hint="eastAsia"/>
          <w:rtl/>
          <w:lang w:bidi="ar-EG"/>
        </w:rPr>
        <w:t> </w:t>
      </w:r>
      <w:r w:rsidR="007A66C2" w:rsidRPr="00F0698D">
        <w:rPr>
          <w:rFonts w:hint="cs"/>
          <w:rtl/>
          <w:lang w:bidi="ar-EG"/>
        </w:rPr>
        <w:t>الموافقة.</w:t>
      </w:r>
    </w:p>
    <w:p w:rsidR="00B85152" w:rsidRPr="00F11BC4" w:rsidRDefault="007A66C2" w:rsidP="003461D3">
      <w:pPr>
        <w:rPr>
          <w:spacing w:val="2"/>
          <w:rtl/>
          <w:lang w:bidi="ar-EG"/>
        </w:rPr>
      </w:pPr>
      <w:r w:rsidRPr="00F11BC4">
        <w:rPr>
          <w:rFonts w:hint="cs"/>
          <w:spacing w:val="2"/>
          <w:rtl/>
          <w:lang w:bidi="ar-EG"/>
        </w:rPr>
        <w:t xml:space="preserve">ولذلك فإنني أدعو إدارتكم إلى إرسال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عندئذ يتعين إبلاغ </w:t>
      </w:r>
      <w:r w:rsidR="00A22904">
        <w:rPr>
          <w:rFonts w:hint="cs"/>
          <w:spacing w:val="2"/>
          <w:rtl/>
          <w:lang w:bidi="ar-EG"/>
        </w:rPr>
        <w:t>المدير</w:t>
      </w:r>
      <w:r w:rsidRPr="00F11BC4">
        <w:rPr>
          <w:rFonts w:hint="cs"/>
          <w:spacing w:val="2"/>
          <w:rtl/>
          <w:lang w:bidi="ar-EG"/>
        </w:rPr>
        <w:t xml:space="preserve"> بذلك طبقاً لأحكام الرقم</w:t>
      </w:r>
      <w:r w:rsidR="00D0469A">
        <w:rPr>
          <w:rFonts w:hint="eastAsia"/>
          <w:rtl/>
          <w:lang w:bidi="ar-EG"/>
        </w:rPr>
        <w:t> </w:t>
      </w:r>
      <w:r w:rsidRPr="00F11BC4">
        <w:rPr>
          <w:spacing w:val="2"/>
          <w:lang w:bidi="ar-EG"/>
        </w:rPr>
        <w:t>239</w:t>
      </w:r>
      <w:r w:rsidRPr="00F11BC4">
        <w:rPr>
          <w:rFonts w:hint="cs"/>
          <w:spacing w:val="2"/>
          <w:rtl/>
          <w:lang w:bidi="ar-EG"/>
        </w:rPr>
        <w:t xml:space="preserve"> من المادة</w:t>
      </w:r>
      <w:r w:rsidR="00D0469A">
        <w:rPr>
          <w:rFonts w:hint="eastAsia"/>
          <w:rtl/>
          <w:lang w:bidi="ar-EG"/>
        </w:rPr>
        <w:t> </w:t>
      </w:r>
      <w:r w:rsidRPr="00F11BC4">
        <w:rPr>
          <w:spacing w:val="2"/>
          <w:lang w:bidi="ar-EG"/>
        </w:rPr>
        <w:t>19</w:t>
      </w:r>
      <w:r w:rsidRPr="00F11BC4">
        <w:rPr>
          <w:rFonts w:hint="cs"/>
          <w:spacing w:val="2"/>
          <w:rtl/>
          <w:lang w:bidi="ar-EG"/>
        </w:rPr>
        <w:t xml:space="preserve"> من</w:t>
      </w:r>
      <w:r w:rsidR="003461D3">
        <w:rPr>
          <w:rFonts w:hint="eastAsia"/>
          <w:spacing w:val="2"/>
          <w:lang w:bidi="ar-EG"/>
        </w:rPr>
        <w:t> </w:t>
      </w:r>
      <w:r w:rsidRPr="00F11BC4">
        <w:rPr>
          <w:rFonts w:hint="cs"/>
          <w:spacing w:val="2"/>
          <w:rtl/>
          <w:lang w:bidi="ar-EG"/>
        </w:rPr>
        <w:t>اتفاقية</w:t>
      </w:r>
      <w:r w:rsidR="00D0469A">
        <w:rPr>
          <w:rFonts w:hint="eastAsia"/>
          <w:rtl/>
          <w:lang w:bidi="ar-EG"/>
        </w:rPr>
        <w:t> </w:t>
      </w:r>
      <w:r w:rsidRPr="00F11BC4">
        <w:rPr>
          <w:rFonts w:hint="cs"/>
          <w:spacing w:val="2"/>
          <w:rtl/>
          <w:lang w:bidi="ar-EG"/>
        </w:rPr>
        <w:t>الاتحاد.</w:t>
      </w:r>
    </w:p>
    <w:p w:rsidR="00B85152" w:rsidRPr="008F5F35" w:rsidRDefault="007A66C2" w:rsidP="003461D3">
      <w:pPr>
        <w:rPr>
          <w:rtl/>
          <w:lang w:bidi="ar-EG"/>
        </w:rPr>
      </w:pPr>
      <w:r>
        <w:rPr>
          <w:lang w:bidi="ar-EG"/>
        </w:rPr>
        <w:t>6</w:t>
      </w:r>
      <w:r>
        <w:rPr>
          <w:rFonts w:hint="cs"/>
          <w:rtl/>
          <w:lang w:bidi="ar-EG"/>
        </w:rPr>
        <w:tab/>
        <w:t>ويمكن الاطلاع على جدول الأعمال وجميع المعلومات ذات الصلة في</w:t>
      </w:r>
      <w:r w:rsidR="008C2DFB">
        <w:rPr>
          <w:rFonts w:hint="cs"/>
          <w:rtl/>
          <w:lang w:bidi="ar-EG"/>
        </w:rPr>
        <w:t>ما </w:t>
      </w:r>
      <w:r>
        <w:rPr>
          <w:rFonts w:hint="cs"/>
          <w:rtl/>
          <w:lang w:bidi="ar-EG"/>
        </w:rPr>
        <w:t>يتعلق باجتماع لجنة الدراسات</w:t>
      </w:r>
      <w:r w:rsidR="00D0469A">
        <w:rPr>
          <w:rFonts w:hint="eastAsia"/>
          <w:rtl/>
          <w:lang w:bidi="ar-EG"/>
        </w:rPr>
        <w:t> </w:t>
      </w:r>
      <w:r w:rsidR="008F5F35">
        <w:rPr>
          <w:lang w:bidi="ar-EG"/>
        </w:rPr>
        <w:t>17</w:t>
      </w:r>
      <w:r w:rsidR="008F5F35">
        <w:rPr>
          <w:rFonts w:hint="cs"/>
          <w:rtl/>
          <w:lang w:bidi="ar-EG"/>
        </w:rPr>
        <w:t xml:space="preserve"> </w:t>
      </w:r>
      <w:r>
        <w:rPr>
          <w:rFonts w:hint="cs"/>
          <w:rtl/>
          <w:lang w:bidi="ar-EG"/>
        </w:rPr>
        <w:t>في</w:t>
      </w:r>
      <w:r w:rsidR="003461D3">
        <w:rPr>
          <w:rFonts w:hint="eastAsia"/>
          <w:lang w:bidi="ar-EG"/>
        </w:rPr>
        <w:t> </w:t>
      </w:r>
      <w:r>
        <w:rPr>
          <w:rFonts w:hint="cs"/>
          <w:rtl/>
          <w:lang w:bidi="ar-EG"/>
        </w:rPr>
        <w:t>الرسالة الجماعية</w:t>
      </w:r>
      <w:r w:rsidR="00D0469A">
        <w:rPr>
          <w:rFonts w:hint="eastAsia"/>
          <w:rtl/>
          <w:lang w:bidi="ar-EG"/>
        </w:rPr>
        <w:t> </w:t>
      </w:r>
      <w:r w:rsidR="009B27D3">
        <w:rPr>
          <w:lang w:bidi="ar-EG"/>
        </w:rPr>
        <w:t>5</w:t>
      </w:r>
      <w:r w:rsidR="00BD2DA0">
        <w:rPr>
          <w:lang w:bidi="ar-EG"/>
        </w:rPr>
        <w:t>/</w:t>
      </w:r>
      <w:r w:rsidR="008F5F35">
        <w:rPr>
          <w:lang w:bidi="ar-EG"/>
        </w:rPr>
        <w:t>17</w:t>
      </w:r>
      <w:r w:rsidR="008F5F35">
        <w:rPr>
          <w:rFonts w:hint="cs"/>
          <w:rtl/>
          <w:lang w:bidi="ar-EG"/>
        </w:rPr>
        <w:t>.</w:t>
      </w:r>
    </w:p>
    <w:p w:rsidR="004579B5" w:rsidRPr="004579B5" w:rsidRDefault="004E1059" w:rsidP="009B27D3">
      <w:pPr>
        <w:rPr>
          <w:rtl/>
          <w:lang w:bidi="ar-EG"/>
        </w:rPr>
      </w:pPr>
      <w:r>
        <w:rPr>
          <w:lang w:bidi="ar-EG"/>
        </w:rPr>
        <w:t>7</w:t>
      </w:r>
      <w:r w:rsidR="007A66C2" w:rsidRPr="007A66C2">
        <w:rPr>
          <w:rFonts w:hint="cs"/>
          <w:rtl/>
          <w:lang w:bidi="ar-EG"/>
        </w:rPr>
        <w:t xml:space="preserve"> </w:t>
      </w:r>
      <w:r w:rsidR="007A66C2">
        <w:rPr>
          <w:rFonts w:hint="cs"/>
          <w:rtl/>
          <w:lang w:bidi="ar-EG"/>
        </w:rPr>
        <w:tab/>
        <w:t xml:space="preserve">وفي أعقاب الاجتماع سوف يعلن مدير مكتب </w:t>
      </w:r>
      <w:proofErr w:type="spellStart"/>
      <w:r w:rsidR="007A66C2">
        <w:rPr>
          <w:rFonts w:hint="cs"/>
          <w:rtl/>
          <w:lang w:bidi="ar-EG"/>
        </w:rPr>
        <w:t>تقييس</w:t>
      </w:r>
      <w:proofErr w:type="spellEnd"/>
      <w:r w:rsidR="007A66C2">
        <w:rPr>
          <w:rFonts w:hint="cs"/>
          <w:rtl/>
          <w:lang w:bidi="ar-EG"/>
        </w:rPr>
        <w:t xml:space="preserve"> الاتصالات، في نشرة معممة، عن القرار المتخذ بشأن هذه التوصيات. ولسوف تُنشر هذه المعلومات أيضاً في النشرة التشغيلية</w:t>
      </w:r>
      <w:r w:rsidR="00D0469A">
        <w:rPr>
          <w:rFonts w:hint="eastAsia"/>
          <w:rtl/>
          <w:lang w:bidi="ar-EG"/>
        </w:rPr>
        <w:t> </w:t>
      </w:r>
      <w:r w:rsidR="007A66C2">
        <w:rPr>
          <w:rFonts w:hint="cs"/>
          <w:rtl/>
          <w:lang w:bidi="ar-EG"/>
        </w:rPr>
        <w:t>للاتحاد.</w:t>
      </w:r>
    </w:p>
    <w:p w:rsidR="009F4B09" w:rsidRPr="005F33FD" w:rsidRDefault="007A66C2" w:rsidP="00F917B1">
      <w:pPr>
        <w:spacing w:before="36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8165EA" w:rsidRDefault="007A66C2" w:rsidP="00F917B1">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 xml:space="preserve">مدير مكتب </w:t>
      </w:r>
      <w:proofErr w:type="spellStart"/>
      <w:r w:rsidRPr="005F33FD">
        <w:rPr>
          <w:rFonts w:hint="cs"/>
          <w:rtl/>
          <w:lang w:bidi="ar-EG"/>
        </w:rPr>
        <w:t>تقييس</w:t>
      </w:r>
      <w:proofErr w:type="spellEnd"/>
      <w:r w:rsidRPr="005F33FD">
        <w:rPr>
          <w:rFonts w:hint="cs"/>
          <w:rtl/>
          <w:lang w:bidi="ar-EG"/>
        </w:rPr>
        <w:t xml:space="preserve"> الاتصالات</w:t>
      </w:r>
    </w:p>
    <w:p w:rsidR="004579B5" w:rsidRDefault="004579B5" w:rsidP="00A655AC">
      <w:pPr>
        <w:jc w:val="left"/>
        <w:rPr>
          <w:rtl/>
          <w:lang w:bidi="ar-EG"/>
        </w:rPr>
      </w:pPr>
    </w:p>
    <w:p w:rsidR="004579B5" w:rsidRDefault="004579B5" w:rsidP="00A655AC">
      <w:pPr>
        <w:jc w:val="left"/>
        <w:rPr>
          <w:rtl/>
          <w:lang w:bidi="ar-EG"/>
        </w:rPr>
      </w:pPr>
    </w:p>
    <w:p w:rsidR="0054515F" w:rsidRDefault="0054515F" w:rsidP="00A655AC">
      <w:pPr>
        <w:jc w:val="left"/>
        <w:rPr>
          <w:rtl/>
          <w:lang w:bidi="ar-EG"/>
        </w:rPr>
      </w:pPr>
    </w:p>
    <w:p w:rsidR="00A858F8" w:rsidRDefault="00A858F8" w:rsidP="00A655AC">
      <w:pPr>
        <w:jc w:val="left"/>
        <w:rPr>
          <w:rtl/>
          <w:lang w:bidi="ar-EG"/>
        </w:rPr>
      </w:pPr>
    </w:p>
    <w:p w:rsidR="00A858F8" w:rsidRDefault="00A858F8" w:rsidP="00A655AC">
      <w:pPr>
        <w:jc w:val="left"/>
        <w:rPr>
          <w:rtl/>
          <w:lang w:bidi="ar-EG"/>
        </w:rPr>
      </w:pPr>
    </w:p>
    <w:p w:rsidR="004579B5" w:rsidRPr="004579B5" w:rsidRDefault="007171AE" w:rsidP="00591E68">
      <w:pPr>
        <w:jc w:val="left"/>
        <w:rPr>
          <w:b/>
          <w:bCs/>
          <w:lang w:bidi="ar-EG"/>
        </w:rPr>
      </w:pPr>
      <w:r>
        <w:rPr>
          <w:rFonts w:hint="cs"/>
          <w:b/>
          <w:bCs/>
          <w:rtl/>
          <w:lang w:bidi="ar-EG"/>
        </w:rPr>
        <w:t>الملحق</w:t>
      </w:r>
      <w:r w:rsidR="000C00E7">
        <w:rPr>
          <w:rFonts w:hint="cs"/>
          <w:b/>
          <w:bCs/>
          <w:rtl/>
          <w:lang w:bidi="ar-EG"/>
        </w:rPr>
        <w:t>ات</w:t>
      </w:r>
      <w:r w:rsidR="007A66C2">
        <w:rPr>
          <w:rFonts w:hint="cs"/>
          <w:b/>
          <w:bCs/>
          <w:rtl/>
          <w:lang w:bidi="ar-EG"/>
        </w:rPr>
        <w:t>:</w:t>
      </w:r>
      <w:r>
        <w:rPr>
          <w:rFonts w:hint="cs"/>
          <w:b/>
          <w:bCs/>
          <w:rtl/>
          <w:lang w:bidi="ar-EG"/>
        </w:rPr>
        <w:t xml:space="preserve"> </w:t>
      </w:r>
      <w:r w:rsidRPr="000C00E7">
        <w:rPr>
          <w:lang w:bidi="ar-EG"/>
        </w:rPr>
        <w:t>1</w:t>
      </w:r>
    </w:p>
    <w:p w:rsidR="00FF4798" w:rsidRDefault="00FF4798">
      <w:pPr>
        <w:bidi w:val="0"/>
        <w:spacing w:before="0" w:line="240" w:lineRule="auto"/>
        <w:jc w:val="left"/>
        <w:rPr>
          <w:lang w:bidi="ar-EG"/>
        </w:rPr>
      </w:pPr>
      <w:r>
        <w:rPr>
          <w:rtl/>
          <w:lang w:bidi="ar-EG"/>
        </w:rPr>
        <w:br w:type="page"/>
      </w:r>
    </w:p>
    <w:p w:rsidR="009946A9" w:rsidRPr="00097DC9" w:rsidRDefault="00FF4798" w:rsidP="00FD49B3">
      <w:pPr>
        <w:pStyle w:val="Annextitle"/>
        <w:rPr>
          <w:rFonts w:ascii="Times New Roman"/>
          <w:b w:val="0"/>
          <w:bCs w:val="0"/>
          <w:sz w:val="22"/>
          <w:szCs w:val="30"/>
          <w:rtl/>
          <w:lang w:val="en-US" w:bidi="ar-EG"/>
        </w:rPr>
      </w:pPr>
      <w:r w:rsidRPr="00FF4798">
        <w:rPr>
          <w:rFonts w:ascii="Times New Roman" w:hint="cs"/>
          <w:b w:val="0"/>
          <w:bCs w:val="0"/>
          <w:rtl/>
          <w:lang w:bidi="ar-EG"/>
        </w:rPr>
        <w:lastRenderedPageBreak/>
        <w:t xml:space="preserve">الملحـق </w:t>
      </w:r>
      <w:r w:rsidRPr="00FF4798">
        <w:rPr>
          <w:rFonts w:ascii="Times New Roman"/>
          <w:b w:val="0"/>
          <w:bCs w:val="0"/>
          <w:lang w:val="en-US" w:bidi="ar-EG"/>
        </w:rPr>
        <w:t>1</w:t>
      </w:r>
      <w:r w:rsidRPr="00FF4798">
        <w:rPr>
          <w:rFonts w:ascii="Times New Roman" w:hint="cs"/>
          <w:b w:val="0"/>
          <w:bCs w:val="0"/>
          <w:rtl/>
          <w:lang w:val="en-US" w:bidi="ar-EG"/>
        </w:rPr>
        <w:br/>
      </w:r>
      <w:r w:rsidRPr="00097DC9">
        <w:rPr>
          <w:rFonts w:ascii="Times New Roman" w:hint="cs"/>
          <w:b w:val="0"/>
          <w:bCs w:val="0"/>
          <w:sz w:val="22"/>
          <w:szCs w:val="30"/>
          <w:rtl/>
          <w:lang w:val="en-US" w:bidi="ar-EG"/>
        </w:rPr>
        <w:t xml:space="preserve">(للنشرة </w:t>
      </w:r>
      <w:r w:rsidR="00FD49B3">
        <w:rPr>
          <w:rFonts w:ascii="Times New Roman"/>
          <w:b w:val="0"/>
          <w:bCs w:val="0"/>
          <w:sz w:val="22"/>
          <w:szCs w:val="30"/>
          <w:lang w:val="en-US" w:bidi="ar-EG"/>
        </w:rPr>
        <w:t>158</w:t>
      </w:r>
      <w:r w:rsidRPr="00097DC9">
        <w:rPr>
          <w:rFonts w:ascii="Times New Roman" w:hint="cs"/>
          <w:b w:val="0"/>
          <w:bCs w:val="0"/>
          <w:sz w:val="22"/>
          <w:szCs w:val="30"/>
          <w:rtl/>
          <w:lang w:val="en-US" w:bidi="ar-EG"/>
        </w:rPr>
        <w:t xml:space="preserve"> لمكتب </w:t>
      </w:r>
      <w:proofErr w:type="spellStart"/>
      <w:r w:rsidRPr="00097DC9">
        <w:rPr>
          <w:rFonts w:ascii="Times New Roman" w:hint="cs"/>
          <w:b w:val="0"/>
          <w:bCs w:val="0"/>
          <w:sz w:val="22"/>
          <w:szCs w:val="30"/>
          <w:rtl/>
          <w:lang w:val="en-US" w:bidi="ar-EG"/>
        </w:rPr>
        <w:t>تقييس</w:t>
      </w:r>
      <w:proofErr w:type="spellEnd"/>
      <w:r w:rsidRPr="00097DC9">
        <w:rPr>
          <w:rFonts w:ascii="Times New Roman" w:hint="cs"/>
          <w:b w:val="0"/>
          <w:bCs w:val="0"/>
          <w:sz w:val="22"/>
          <w:szCs w:val="30"/>
          <w:rtl/>
          <w:lang w:val="en-US" w:bidi="ar-EG"/>
        </w:rPr>
        <w:t xml:space="preserve"> الاتصالات)</w:t>
      </w:r>
    </w:p>
    <w:p w:rsidR="00637FB5" w:rsidRDefault="00762ED5" w:rsidP="00FE06DC">
      <w:pPr>
        <w:pStyle w:val="Annextitle"/>
        <w:rPr>
          <w:rtl/>
          <w:lang w:bidi="ar-EG"/>
        </w:rPr>
      </w:pPr>
      <w:r>
        <w:rPr>
          <w:rFonts w:hint="cs"/>
          <w:rtl/>
          <w:lang w:bidi="ar-EG"/>
        </w:rPr>
        <w:t>ملخص النصوص</w:t>
      </w:r>
      <w:r w:rsidR="00114841">
        <w:rPr>
          <w:rFonts w:hint="cs"/>
          <w:rtl/>
          <w:lang w:bidi="ar-EG"/>
        </w:rPr>
        <w:t xml:space="preserve"> </w:t>
      </w:r>
      <w:r w:rsidR="00FE06DC">
        <w:rPr>
          <w:rFonts w:hint="cs"/>
          <w:rtl/>
          <w:lang w:bidi="ar-EG"/>
        </w:rPr>
        <w:t>والوثائق التي ترد فيها</w:t>
      </w:r>
    </w:p>
    <w:p w:rsidR="00682032" w:rsidRPr="00F917B1" w:rsidRDefault="00252290" w:rsidP="00397C1C">
      <w:pPr>
        <w:pStyle w:val="Headingb"/>
        <w:spacing w:before="360"/>
        <w:rPr>
          <w:rFonts w:ascii="Times New Roman Bold" w:hAnsi="Times New Roman Bold"/>
          <w:bCs/>
          <w:rtl/>
          <w:lang w:bidi="ar-EG"/>
        </w:rPr>
      </w:pPr>
      <w:r w:rsidRPr="00122039">
        <w:rPr>
          <w:rFonts w:ascii="Times New Roman Bold" w:hAnsi="Times New Roman Bold" w:hint="cs"/>
          <w:bCs/>
          <w:rtl/>
          <w:lang w:bidi="ar-EG"/>
        </w:rPr>
        <w:t xml:space="preserve">مشروع </w:t>
      </w:r>
      <w:r w:rsidR="00A22904">
        <w:rPr>
          <w:rFonts w:ascii="Times New Roman Bold" w:hAnsi="Times New Roman Bold" w:hint="cs"/>
          <w:bCs/>
          <w:rtl/>
          <w:lang w:bidi="ar-EG"/>
        </w:rPr>
        <w:t>ال</w:t>
      </w:r>
      <w:r w:rsidR="00873D50">
        <w:rPr>
          <w:rFonts w:ascii="Times New Roman Bold" w:hAnsi="Times New Roman Bold" w:hint="cs"/>
          <w:bCs/>
          <w:rtl/>
          <w:lang w:bidi="ar-EG"/>
        </w:rPr>
        <w:t>توصية</w:t>
      </w:r>
      <w:r w:rsidRPr="00122039">
        <w:rPr>
          <w:rFonts w:ascii="Times New Roman Bold" w:hAnsi="Times New Roman Bold" w:hint="cs"/>
          <w:bCs/>
          <w:rtl/>
          <w:lang w:bidi="ar-EG"/>
        </w:rPr>
        <w:t xml:space="preserve"> </w:t>
      </w:r>
      <w:r w:rsidR="00A22904">
        <w:rPr>
          <w:rFonts w:ascii="Times New Roman Bold" w:hAnsi="Times New Roman Bold" w:hint="cs"/>
          <w:bCs/>
          <w:rtl/>
          <w:lang w:bidi="ar-EG"/>
        </w:rPr>
        <w:t>ال</w:t>
      </w:r>
      <w:r w:rsidRPr="00122039">
        <w:rPr>
          <w:rFonts w:ascii="Times New Roman Bold" w:hAnsi="Times New Roman Bold" w:hint="cs"/>
          <w:bCs/>
          <w:rtl/>
          <w:lang w:bidi="ar-EG"/>
        </w:rPr>
        <w:t>جديدة</w:t>
      </w:r>
      <w:r w:rsidR="00397C1C">
        <w:rPr>
          <w:rFonts w:ascii="Times New Roman Bold" w:hAnsi="Times New Roman Bold" w:hint="cs"/>
          <w:bCs/>
          <w:rtl/>
          <w:lang w:bidi="ar-EG"/>
        </w:rPr>
        <w:t xml:space="preserve"> </w:t>
      </w:r>
      <w:r w:rsidRPr="00122039">
        <w:rPr>
          <w:rFonts w:ascii="Times New Roman Bold" w:hAnsi="Times New Roman Bold"/>
          <w:bCs/>
          <w:lang w:bidi="ar-EG"/>
        </w:rPr>
        <w:t>ITU-T X.</w:t>
      </w:r>
      <w:r w:rsidR="00EE717A">
        <w:rPr>
          <w:rFonts w:ascii="Times New Roman Bold" w:hAnsi="Times New Roman Bold"/>
          <w:bCs/>
          <w:lang w:bidi="ar-EG"/>
        </w:rPr>
        <w:t>1500</w:t>
      </w:r>
      <w:r w:rsidR="00397C1C">
        <w:rPr>
          <w:rFonts w:ascii="Times New Roman Bold" w:hAnsi="Times New Roman Bold"/>
          <w:bCs/>
          <w:lang w:bidi="ar-EG"/>
        </w:rPr>
        <w:t> (</w:t>
      </w:r>
      <w:proofErr w:type="spellStart"/>
      <w:r w:rsidR="00397C1C">
        <w:rPr>
          <w:rFonts w:ascii="Times New Roman Bold" w:hAnsi="Times New Roman Bold"/>
          <w:bCs/>
          <w:lang w:bidi="ar-EG"/>
        </w:rPr>
        <w:t>X.cybex</w:t>
      </w:r>
      <w:proofErr w:type="spellEnd"/>
      <w:r w:rsidR="00397C1C">
        <w:rPr>
          <w:rFonts w:ascii="Times New Roman Bold" w:hAnsi="Times New Roman Bold"/>
          <w:bCs/>
          <w:lang w:bidi="ar-EG"/>
        </w:rPr>
        <w:t>)</w:t>
      </w:r>
      <w:r w:rsidR="00EE717A">
        <w:rPr>
          <w:rFonts w:ascii="Times New Roman Bold" w:hAnsi="Times New Roman Bold" w:hint="cs"/>
          <w:bCs/>
          <w:rtl/>
          <w:lang w:bidi="ar-EG"/>
        </w:rPr>
        <w:t>،</w:t>
      </w:r>
      <w:r w:rsidRPr="00122039">
        <w:rPr>
          <w:rFonts w:ascii="Times New Roman Bold" w:hAnsi="Times New Roman Bold" w:hint="cs"/>
          <w:bCs/>
          <w:rtl/>
          <w:lang w:bidi="ar-EG"/>
        </w:rPr>
        <w:t xml:space="preserve"> </w:t>
      </w:r>
      <w:r w:rsidR="008C41E6">
        <w:rPr>
          <w:rFonts w:ascii="Times New Roman Bold" w:hAnsi="Times New Roman Bold" w:hint="cs"/>
          <w:bCs/>
          <w:rtl/>
          <w:lang w:bidi="ar-EG"/>
        </w:rPr>
        <w:t xml:space="preserve">تقنيات تبادل معلومات الأمن </w:t>
      </w:r>
      <w:proofErr w:type="spellStart"/>
      <w:r w:rsidR="008C41E6">
        <w:rPr>
          <w:rFonts w:ascii="Times New Roman Bold" w:hAnsi="Times New Roman Bold" w:hint="cs"/>
          <w:bCs/>
          <w:rtl/>
          <w:lang w:bidi="ar-EG"/>
        </w:rPr>
        <w:t>السيبراني</w:t>
      </w:r>
      <w:proofErr w:type="spellEnd"/>
    </w:p>
    <w:p w:rsidR="00252290" w:rsidRPr="00F917B1" w:rsidRDefault="00252290" w:rsidP="00FE33B4">
      <w:pPr>
        <w:pStyle w:val="Headingb"/>
        <w:rPr>
          <w:rFonts w:ascii="Times New Roman Bold" w:hAnsi="Times New Roman Bold"/>
          <w:bCs/>
          <w:rtl/>
          <w:lang w:bidi="ar-EG"/>
        </w:rPr>
      </w:pPr>
      <w:r w:rsidRPr="00122039">
        <w:rPr>
          <w:rFonts w:ascii="Times New Roman Bold" w:hAnsi="Times New Roman Bold"/>
          <w:bCs/>
          <w:lang w:bidi="ar-EG"/>
        </w:rPr>
        <w:t>COM 17</w:t>
      </w:r>
      <w:r w:rsidR="00397C1C">
        <w:rPr>
          <w:rFonts w:ascii="Times New Roman Bold" w:hAnsi="Times New Roman Bold"/>
          <w:bCs/>
          <w:lang w:bidi="ar-EG"/>
        </w:rPr>
        <w:t> </w:t>
      </w:r>
      <w:r w:rsidR="00397C1C">
        <w:rPr>
          <w:rFonts w:ascii="Times New Roman Bold" w:hAnsi="Times New Roman Bold" w:hint="cs"/>
          <w:bCs/>
          <w:lang w:bidi="ar-EG"/>
        </w:rPr>
        <w:t>–</w:t>
      </w:r>
      <w:r w:rsidR="00397C1C">
        <w:rPr>
          <w:rFonts w:ascii="Times New Roman Bold" w:hAnsi="Times New Roman Bold"/>
          <w:bCs/>
          <w:lang w:bidi="ar-EG"/>
        </w:rPr>
        <w:t> </w:t>
      </w:r>
      <w:r w:rsidRPr="00122039">
        <w:rPr>
          <w:rFonts w:ascii="Times New Roman Bold" w:hAnsi="Times New Roman Bold"/>
          <w:bCs/>
          <w:lang w:bidi="ar-EG"/>
        </w:rPr>
        <w:t xml:space="preserve">-R </w:t>
      </w:r>
      <w:r w:rsidR="00FE33B4">
        <w:rPr>
          <w:rFonts w:ascii="Times New Roman Bold" w:hAnsi="Times New Roman Bold"/>
          <w:bCs/>
          <w:lang w:bidi="ar-EG"/>
        </w:rPr>
        <w:t>25</w:t>
      </w:r>
      <w:r w:rsidR="00FE33B4">
        <w:rPr>
          <w:rFonts w:ascii="Times New Roman Bold" w:hAnsi="Times New Roman Bold" w:hint="cs"/>
          <w:bCs/>
          <w:rtl/>
          <w:lang w:bidi="ar-EG"/>
        </w:rPr>
        <w:t xml:space="preserve"> </w:t>
      </w:r>
      <w:r w:rsidR="00FE33B4" w:rsidRPr="00FE33B4">
        <w:rPr>
          <w:rFonts w:ascii="Times New Roman Bold" w:hAnsi="Times New Roman Bold" w:hint="cs"/>
          <w:b w:val="0"/>
          <w:i/>
          <w:iCs/>
          <w:rtl/>
          <w:lang w:bidi="ar-EG"/>
        </w:rPr>
        <w:t>(ستتاح قريباً على الويب)</w:t>
      </w:r>
    </w:p>
    <w:p w:rsidR="006079CB" w:rsidRDefault="006079CB" w:rsidP="006079CB">
      <w:pPr>
        <w:pStyle w:val="heading-ib"/>
        <w:rPr>
          <w:i w:val="0"/>
          <w:iCs w:val="0"/>
          <w:rtl/>
          <w:lang w:val="en-US" w:bidi="ar-EG"/>
        </w:rPr>
      </w:pPr>
      <w:r>
        <w:rPr>
          <w:rFonts w:hint="cs"/>
          <w:i w:val="0"/>
          <w:iCs w:val="0"/>
          <w:rtl/>
          <w:lang w:val="en-US" w:bidi="ar-EG"/>
        </w:rPr>
        <w:t>ملخص</w:t>
      </w:r>
    </w:p>
    <w:p w:rsidR="00E27DA6" w:rsidRPr="005645E7" w:rsidRDefault="00293BD2" w:rsidP="005645E7">
      <w:pPr>
        <w:rPr>
          <w:spacing w:val="-4"/>
          <w:rtl/>
          <w:lang w:bidi="ar-EG"/>
        </w:rPr>
      </w:pPr>
      <w:r w:rsidRPr="005645E7">
        <w:rPr>
          <w:rFonts w:hint="cs"/>
          <w:spacing w:val="-4"/>
          <w:rtl/>
          <w:lang w:bidi="ar-EG"/>
        </w:rPr>
        <w:t xml:space="preserve">تصف هذه التوصية التقنيات اللازمة لتبادل معلومات الأمن </w:t>
      </w:r>
      <w:proofErr w:type="spellStart"/>
      <w:r w:rsidRPr="005645E7">
        <w:rPr>
          <w:rFonts w:hint="cs"/>
          <w:spacing w:val="-4"/>
          <w:rtl/>
          <w:lang w:bidi="ar-EG"/>
        </w:rPr>
        <w:t>السيبراني</w:t>
      </w:r>
      <w:proofErr w:type="spellEnd"/>
      <w:r w:rsidRPr="005645E7">
        <w:rPr>
          <w:rFonts w:hint="cs"/>
          <w:spacing w:val="-4"/>
          <w:rtl/>
          <w:lang w:bidi="ar-EG"/>
        </w:rPr>
        <w:t xml:space="preserve">. ويمكن استعمال هذه التقنيات بشكل فردي أو </w:t>
      </w:r>
      <w:r w:rsidR="00DF5C18" w:rsidRPr="005645E7">
        <w:rPr>
          <w:rFonts w:hint="cs"/>
          <w:spacing w:val="-4"/>
          <w:rtl/>
          <w:lang w:bidi="ar-EG"/>
        </w:rPr>
        <w:t>مجتمعةً</w:t>
      </w:r>
      <w:r w:rsidRPr="005645E7">
        <w:rPr>
          <w:rFonts w:hint="cs"/>
          <w:spacing w:val="-4"/>
          <w:rtl/>
          <w:lang w:bidi="ar-EG"/>
        </w:rPr>
        <w:t xml:space="preserve"> حسب الرغبة والاقتضاء، لتعزيز الأمن </w:t>
      </w:r>
      <w:proofErr w:type="spellStart"/>
      <w:r w:rsidRPr="005645E7">
        <w:rPr>
          <w:rFonts w:hint="cs"/>
          <w:spacing w:val="-4"/>
          <w:rtl/>
          <w:lang w:bidi="ar-EG"/>
        </w:rPr>
        <w:t>السيبراني</w:t>
      </w:r>
      <w:proofErr w:type="spellEnd"/>
      <w:r w:rsidRPr="005645E7">
        <w:rPr>
          <w:rFonts w:hint="cs"/>
          <w:spacing w:val="-4"/>
          <w:rtl/>
          <w:lang w:bidi="ar-EG"/>
        </w:rPr>
        <w:t xml:space="preserve"> من خلال تبادل </w:t>
      </w:r>
      <w:r w:rsidR="00463519" w:rsidRPr="005645E7">
        <w:rPr>
          <w:rFonts w:hint="cs"/>
          <w:spacing w:val="-4"/>
          <w:rtl/>
          <w:lang w:bidi="ar-EG"/>
        </w:rPr>
        <w:t>ال</w:t>
      </w:r>
      <w:r w:rsidR="005212EE" w:rsidRPr="005645E7">
        <w:rPr>
          <w:rFonts w:hint="cs"/>
          <w:spacing w:val="-4"/>
          <w:rtl/>
          <w:lang w:bidi="ar-EG"/>
        </w:rPr>
        <w:t xml:space="preserve">معلومات </w:t>
      </w:r>
      <w:r w:rsidRPr="005645E7">
        <w:rPr>
          <w:rFonts w:hint="cs"/>
          <w:spacing w:val="-4"/>
          <w:rtl/>
          <w:lang w:bidi="ar-EG"/>
        </w:rPr>
        <w:t>على أساس منسق وشامل وعالمي و</w:t>
      </w:r>
      <w:r w:rsidR="00463519" w:rsidRPr="005645E7">
        <w:rPr>
          <w:rFonts w:hint="cs"/>
          <w:spacing w:val="-4"/>
          <w:rtl/>
          <w:lang w:bidi="ar-EG"/>
        </w:rPr>
        <w:t xml:space="preserve">مضمون </w:t>
      </w:r>
      <w:r w:rsidR="00286C44" w:rsidRPr="005645E7">
        <w:rPr>
          <w:rFonts w:hint="cs"/>
          <w:spacing w:val="-4"/>
          <w:rtl/>
          <w:lang w:bidi="ar-EG"/>
        </w:rPr>
        <w:t>و</w:t>
      </w:r>
      <w:r w:rsidRPr="005645E7">
        <w:rPr>
          <w:rFonts w:hint="cs"/>
          <w:spacing w:val="-4"/>
          <w:rtl/>
          <w:lang w:bidi="ar-EG"/>
        </w:rPr>
        <w:t>في</w:t>
      </w:r>
      <w:r w:rsidR="003461D3" w:rsidRPr="005645E7">
        <w:rPr>
          <w:rFonts w:hint="eastAsia"/>
          <w:spacing w:val="-4"/>
          <w:lang w:bidi="ar-EG"/>
        </w:rPr>
        <w:t> </w:t>
      </w:r>
      <w:r w:rsidRPr="005645E7">
        <w:rPr>
          <w:rFonts w:hint="cs"/>
          <w:spacing w:val="-4"/>
          <w:rtl/>
          <w:lang w:bidi="ar-EG"/>
        </w:rPr>
        <w:t>الوقت المناسب.</w:t>
      </w:r>
      <w:r w:rsidR="00EF2363" w:rsidRPr="005645E7">
        <w:rPr>
          <w:rFonts w:hint="cs"/>
          <w:spacing w:val="-4"/>
          <w:rtl/>
          <w:lang w:bidi="ar-EG"/>
        </w:rPr>
        <w:t xml:space="preserve"> و</w:t>
      </w:r>
      <w:r w:rsidR="008C2DFB" w:rsidRPr="005645E7">
        <w:rPr>
          <w:rFonts w:hint="cs"/>
          <w:spacing w:val="-4"/>
          <w:rtl/>
          <w:lang w:bidi="ar-EG"/>
        </w:rPr>
        <w:t>لا </w:t>
      </w:r>
      <w:r w:rsidR="00EF2363" w:rsidRPr="005645E7">
        <w:rPr>
          <w:rFonts w:hint="cs"/>
          <w:spacing w:val="-4"/>
          <w:rtl/>
          <w:lang w:bidi="ar-EG"/>
        </w:rPr>
        <w:t>ينطوي ذلك على الالتزام بتبادل المعلومات</w:t>
      </w:r>
      <w:r w:rsidR="003461D3" w:rsidRPr="005645E7">
        <w:rPr>
          <w:rFonts w:hint="cs"/>
          <w:spacing w:val="-4"/>
          <w:rtl/>
          <w:lang w:bidi="ar-EG"/>
        </w:rPr>
        <w:t>،</w:t>
      </w:r>
      <w:r w:rsidR="00EF2363" w:rsidRPr="005645E7">
        <w:rPr>
          <w:rFonts w:hint="cs"/>
          <w:spacing w:val="-4"/>
          <w:rtl/>
          <w:lang w:bidi="ar-EG"/>
        </w:rPr>
        <w:t xml:space="preserve"> </w:t>
      </w:r>
      <w:r w:rsidR="00514844" w:rsidRPr="005645E7">
        <w:rPr>
          <w:rFonts w:hint="cs"/>
          <w:spacing w:val="-4"/>
          <w:rtl/>
          <w:lang w:bidi="ar-EG"/>
        </w:rPr>
        <w:t>و</w:t>
      </w:r>
      <w:r w:rsidR="008C2DFB" w:rsidRPr="005645E7">
        <w:rPr>
          <w:rFonts w:hint="cs"/>
          <w:spacing w:val="-4"/>
          <w:rtl/>
          <w:lang w:bidi="ar-EG"/>
        </w:rPr>
        <w:t>لم </w:t>
      </w:r>
      <w:r w:rsidR="00514844" w:rsidRPr="005645E7">
        <w:rPr>
          <w:rFonts w:hint="cs"/>
          <w:spacing w:val="-4"/>
          <w:rtl/>
          <w:lang w:bidi="ar-EG"/>
        </w:rPr>
        <w:t>تُعالج</w:t>
      </w:r>
      <w:r w:rsidR="00EF2363" w:rsidRPr="005645E7">
        <w:rPr>
          <w:rFonts w:hint="cs"/>
          <w:spacing w:val="-4"/>
          <w:rtl/>
          <w:lang w:bidi="ar-EG"/>
        </w:rPr>
        <w:t xml:space="preserve"> وسائل الحيازة أو الاستعمال </w:t>
      </w:r>
      <w:r w:rsidR="00A22904" w:rsidRPr="005645E7">
        <w:rPr>
          <w:rFonts w:hint="cs"/>
          <w:spacing w:val="-4"/>
          <w:rtl/>
          <w:lang w:bidi="ar-EG"/>
        </w:rPr>
        <w:t>المقصود</w:t>
      </w:r>
      <w:r w:rsidR="005645E7" w:rsidRPr="005645E7">
        <w:rPr>
          <w:rFonts w:hint="cs"/>
          <w:spacing w:val="-4"/>
          <w:rtl/>
          <w:lang w:bidi="ar-EG"/>
        </w:rPr>
        <w:t xml:space="preserve"> </w:t>
      </w:r>
      <w:r w:rsidR="00EF2363" w:rsidRPr="005645E7">
        <w:rPr>
          <w:rFonts w:hint="cs"/>
          <w:spacing w:val="-4"/>
          <w:rtl/>
          <w:lang w:bidi="ar-EG"/>
        </w:rPr>
        <w:t>للمعلومات.</w:t>
      </w:r>
    </w:p>
    <w:p w:rsidR="005250FD" w:rsidRPr="00F917B1" w:rsidRDefault="005250FD" w:rsidP="005F73FF">
      <w:pPr>
        <w:pStyle w:val="Headingb"/>
        <w:spacing w:before="360"/>
        <w:rPr>
          <w:rFonts w:ascii="Times New Roman Bold" w:hAnsi="Times New Roman Bold"/>
          <w:bCs/>
          <w:rtl/>
          <w:lang w:bidi="ar-EG"/>
        </w:rPr>
      </w:pPr>
      <w:r w:rsidRPr="00F917B1">
        <w:rPr>
          <w:rFonts w:ascii="Times New Roman Bold" w:hAnsi="Times New Roman Bold" w:hint="cs"/>
          <w:bCs/>
          <w:rtl/>
          <w:lang w:bidi="ar-EG"/>
        </w:rPr>
        <w:t xml:space="preserve">مشروع </w:t>
      </w:r>
      <w:r w:rsidR="00A22904">
        <w:rPr>
          <w:rFonts w:ascii="Times New Roman Bold" w:hAnsi="Times New Roman Bold" w:hint="cs"/>
          <w:bCs/>
          <w:rtl/>
          <w:lang w:bidi="ar-EG"/>
        </w:rPr>
        <w:t>ال</w:t>
      </w:r>
      <w:r w:rsidRPr="00F917B1">
        <w:rPr>
          <w:rFonts w:ascii="Times New Roman Bold" w:hAnsi="Times New Roman Bold" w:hint="cs"/>
          <w:bCs/>
          <w:rtl/>
          <w:lang w:bidi="ar-EG"/>
        </w:rPr>
        <w:t xml:space="preserve">توصية </w:t>
      </w:r>
      <w:r w:rsidR="00A22904">
        <w:rPr>
          <w:rFonts w:ascii="Times New Roman Bold" w:hAnsi="Times New Roman Bold" w:hint="cs"/>
          <w:bCs/>
          <w:rtl/>
          <w:lang w:bidi="ar-EG"/>
        </w:rPr>
        <w:t>ال</w:t>
      </w:r>
      <w:r w:rsidRPr="00F917B1">
        <w:rPr>
          <w:rFonts w:ascii="Times New Roman Bold" w:hAnsi="Times New Roman Bold" w:hint="cs"/>
          <w:bCs/>
          <w:rtl/>
          <w:lang w:bidi="ar-EG"/>
        </w:rPr>
        <w:t>جديدة</w:t>
      </w:r>
      <w:r w:rsidR="003461D3">
        <w:rPr>
          <w:rFonts w:ascii="Times New Roman Bold" w:hAnsi="Times New Roman Bold" w:hint="cs"/>
          <w:bCs/>
          <w:rtl/>
          <w:lang w:bidi="ar-EG"/>
        </w:rPr>
        <w:t xml:space="preserve"> </w:t>
      </w:r>
      <w:r w:rsidRPr="00F917B1">
        <w:rPr>
          <w:rFonts w:ascii="Times New Roman Bold" w:hAnsi="Times New Roman Bold"/>
          <w:bCs/>
          <w:lang w:bidi="ar-EG"/>
        </w:rPr>
        <w:t>ITU-T</w:t>
      </w:r>
      <w:r w:rsidR="00FB3A15" w:rsidRPr="00F917B1">
        <w:rPr>
          <w:rFonts w:ascii="Times New Roman Bold" w:hAnsi="Times New Roman Bold"/>
          <w:bCs/>
          <w:lang w:bidi="ar-EG"/>
        </w:rPr>
        <w:t> </w:t>
      </w:r>
      <w:r w:rsidRPr="00F917B1">
        <w:rPr>
          <w:rFonts w:ascii="Times New Roman Bold" w:hAnsi="Times New Roman Bold"/>
          <w:bCs/>
          <w:lang w:bidi="ar-EG"/>
        </w:rPr>
        <w:t>X.1</w:t>
      </w:r>
      <w:r w:rsidR="007E0400">
        <w:rPr>
          <w:rFonts w:ascii="Times New Roman Bold" w:hAnsi="Times New Roman Bold"/>
          <w:bCs/>
          <w:lang w:bidi="ar-EG"/>
        </w:rPr>
        <w:t>520</w:t>
      </w:r>
      <w:r w:rsidR="00397C1C">
        <w:rPr>
          <w:rFonts w:ascii="Times New Roman Bold" w:hAnsi="Times New Roman Bold"/>
          <w:bCs/>
          <w:lang w:bidi="ar-EG"/>
        </w:rPr>
        <w:t> </w:t>
      </w:r>
      <w:r w:rsidR="00397C1C">
        <w:rPr>
          <w:rFonts w:ascii="Times New Roman Bold" w:hAnsi="Times New Roman Bold"/>
          <w:bCs/>
          <w:lang w:val="en-US" w:bidi="ar-EG"/>
        </w:rPr>
        <w:t>(</w:t>
      </w:r>
      <w:r w:rsidR="00397C1C" w:rsidRPr="00F917B1">
        <w:rPr>
          <w:rFonts w:ascii="Times New Roman Bold" w:hAnsi="Times New Roman Bold"/>
          <w:bCs/>
          <w:lang w:bidi="ar-EG"/>
        </w:rPr>
        <w:t>X.</w:t>
      </w:r>
      <w:r w:rsidR="00397C1C">
        <w:rPr>
          <w:rFonts w:ascii="Times New Roman Bold" w:hAnsi="Times New Roman Bold"/>
          <w:bCs/>
          <w:lang w:bidi="ar-EG"/>
        </w:rPr>
        <w:t>cve)</w:t>
      </w:r>
      <w:r w:rsidR="00F272FF" w:rsidRPr="00F917B1">
        <w:rPr>
          <w:rFonts w:ascii="Times New Roman Bold" w:hAnsi="Times New Roman Bold" w:hint="cs"/>
          <w:bCs/>
          <w:rtl/>
          <w:lang w:bidi="ar-EG"/>
        </w:rPr>
        <w:t xml:space="preserve">، </w:t>
      </w:r>
      <w:r w:rsidR="007E0400" w:rsidRPr="00A2136D">
        <w:rPr>
          <w:rFonts w:ascii="Times New Roman Bold" w:hAnsi="Times New Roman Bold" w:hint="eastAsia"/>
          <w:bCs/>
          <w:rtl/>
          <w:lang w:bidi="ar-EG"/>
        </w:rPr>
        <w:t>مواطن</w:t>
      </w:r>
      <w:r w:rsidR="007E0400" w:rsidRPr="00A2136D">
        <w:rPr>
          <w:rFonts w:ascii="Times New Roman Bold" w:hAnsi="Times New Roman Bold"/>
          <w:bCs/>
          <w:rtl/>
          <w:lang w:bidi="ar-EG"/>
        </w:rPr>
        <w:t xml:space="preserve"> </w:t>
      </w:r>
      <w:r w:rsidR="007E0400" w:rsidRPr="00A2136D">
        <w:rPr>
          <w:rFonts w:ascii="Times New Roman Bold" w:hAnsi="Times New Roman Bold" w:hint="eastAsia"/>
          <w:bCs/>
          <w:rtl/>
          <w:lang w:bidi="ar-EG"/>
        </w:rPr>
        <w:t>الضعف</w:t>
      </w:r>
      <w:r w:rsidR="007E0400" w:rsidRPr="00A2136D">
        <w:rPr>
          <w:rFonts w:ascii="Times New Roman Bold" w:hAnsi="Times New Roman Bold"/>
          <w:bCs/>
          <w:rtl/>
          <w:lang w:bidi="ar-EG"/>
        </w:rPr>
        <w:t xml:space="preserve"> </w:t>
      </w:r>
      <w:r w:rsidR="007E0400" w:rsidRPr="00A2136D">
        <w:rPr>
          <w:rFonts w:ascii="Times New Roman Bold" w:hAnsi="Times New Roman Bold" w:hint="eastAsia"/>
          <w:bCs/>
          <w:rtl/>
          <w:lang w:bidi="ar-EG"/>
        </w:rPr>
        <w:t>والتعرض</w:t>
      </w:r>
      <w:r w:rsidR="007E0400" w:rsidRPr="00A2136D">
        <w:rPr>
          <w:rFonts w:ascii="Times New Roman Bold" w:hAnsi="Times New Roman Bold"/>
          <w:bCs/>
          <w:rtl/>
          <w:lang w:bidi="ar-EG"/>
        </w:rPr>
        <w:t xml:space="preserve"> </w:t>
      </w:r>
      <w:r w:rsidR="007E0400" w:rsidRPr="00A2136D">
        <w:rPr>
          <w:rFonts w:ascii="Times New Roman Bold" w:hAnsi="Times New Roman Bold" w:hint="eastAsia"/>
          <w:bCs/>
          <w:rtl/>
          <w:lang w:bidi="ar-EG"/>
        </w:rPr>
        <w:t>الشائعة</w:t>
      </w:r>
      <w:r w:rsidR="007E0400" w:rsidRPr="00A2136D">
        <w:rPr>
          <w:rFonts w:ascii="Times New Roman Bold" w:hAnsi="Times New Roman Bold"/>
          <w:bCs/>
          <w:rtl/>
          <w:lang w:bidi="ar-EG"/>
        </w:rPr>
        <w:t xml:space="preserve"> (</w:t>
      </w:r>
      <w:r w:rsidR="007E0400" w:rsidRPr="00A2136D">
        <w:rPr>
          <w:rFonts w:ascii="Times New Roman Bold" w:hAnsi="Times New Roman Bold"/>
          <w:bCs/>
          <w:lang w:bidi="ar-EG"/>
        </w:rPr>
        <w:t>CVE</w:t>
      </w:r>
      <w:r w:rsidR="007E0400" w:rsidRPr="00A2136D">
        <w:rPr>
          <w:rFonts w:ascii="Times New Roman Bold" w:hAnsi="Times New Roman Bold"/>
          <w:bCs/>
          <w:rtl/>
          <w:lang w:bidi="ar-EG"/>
        </w:rPr>
        <w:t>)</w:t>
      </w:r>
    </w:p>
    <w:p w:rsidR="00F272FF" w:rsidRPr="00F917B1" w:rsidRDefault="00F272FF" w:rsidP="005F73FF">
      <w:pPr>
        <w:pStyle w:val="Headingb"/>
        <w:rPr>
          <w:rFonts w:ascii="Times New Roman Bold" w:hAnsi="Times New Roman Bold"/>
          <w:bCs/>
          <w:rtl/>
          <w:lang w:bidi="ar-EG"/>
        </w:rPr>
      </w:pPr>
      <w:r w:rsidRPr="00F917B1">
        <w:rPr>
          <w:rFonts w:ascii="Times New Roman Bold" w:hAnsi="Times New Roman Bold"/>
          <w:bCs/>
          <w:lang w:bidi="ar-EG"/>
        </w:rPr>
        <w:t xml:space="preserve">COM 17-R </w:t>
      </w:r>
      <w:r w:rsidR="007E0400">
        <w:rPr>
          <w:rFonts w:ascii="Times New Roman Bold" w:hAnsi="Times New Roman Bold"/>
          <w:bCs/>
          <w:lang w:bidi="ar-EG"/>
        </w:rPr>
        <w:t>26</w:t>
      </w:r>
    </w:p>
    <w:p w:rsidR="00CA3B2C" w:rsidRDefault="00CA3B2C" w:rsidP="00A2136D">
      <w:pPr>
        <w:pStyle w:val="heading-ib"/>
        <w:rPr>
          <w:b w:val="0"/>
          <w:bCs w:val="0"/>
          <w:i w:val="0"/>
          <w:iCs w:val="0"/>
          <w:rtl/>
          <w:lang w:val="en-US" w:bidi="ar-EG"/>
        </w:rPr>
      </w:pPr>
      <w:r w:rsidRPr="00CA3B2C">
        <w:rPr>
          <w:rFonts w:hint="cs"/>
          <w:i w:val="0"/>
          <w:iCs w:val="0"/>
          <w:rtl/>
          <w:lang w:val="en-US" w:bidi="ar-EG"/>
        </w:rPr>
        <w:t>ملخص</w:t>
      </w:r>
    </w:p>
    <w:p w:rsidR="00CA3B2C" w:rsidRDefault="007E0400" w:rsidP="003461D3">
      <w:pPr>
        <w:rPr>
          <w:rtl/>
          <w:lang w:bidi="ar-EG"/>
        </w:rPr>
      </w:pPr>
      <w:r>
        <w:rPr>
          <w:rFonts w:hint="cs"/>
          <w:rtl/>
          <w:lang w:bidi="ar-EG"/>
        </w:rPr>
        <w:t xml:space="preserve">تتناول هذه التوصية وسائل منظمة لتبادل </w:t>
      </w:r>
      <w:r w:rsidR="003A5ACF">
        <w:rPr>
          <w:rFonts w:hint="cs"/>
          <w:rtl/>
          <w:lang w:bidi="ar-EG"/>
        </w:rPr>
        <w:t>معلومات الأمن</w:t>
      </w:r>
      <w:r>
        <w:rPr>
          <w:rFonts w:hint="cs"/>
          <w:rtl/>
          <w:lang w:bidi="ar-EG"/>
        </w:rPr>
        <w:t xml:space="preserve"> بشأن </w:t>
      </w:r>
      <w:r w:rsidR="00007769">
        <w:rPr>
          <w:rFonts w:hint="cs"/>
          <w:rtl/>
          <w:lang w:bidi="ar-EG"/>
        </w:rPr>
        <w:t>مواطن الضعف</w:t>
      </w:r>
      <w:r w:rsidR="00A22904">
        <w:rPr>
          <w:rFonts w:hint="cs"/>
          <w:rtl/>
          <w:lang w:bidi="ar-EG"/>
        </w:rPr>
        <w:t xml:space="preserve"> والتعرض</w:t>
      </w:r>
      <w:r w:rsidR="00007769">
        <w:rPr>
          <w:rFonts w:hint="cs"/>
          <w:rtl/>
          <w:lang w:bidi="ar-EG"/>
        </w:rPr>
        <w:t xml:space="preserve"> الشائعة </w:t>
      </w:r>
      <w:r w:rsidR="00007769">
        <w:rPr>
          <w:lang w:bidi="ar-EG"/>
        </w:rPr>
        <w:t>(CVE)</w:t>
      </w:r>
      <w:r w:rsidR="00007769">
        <w:rPr>
          <w:rFonts w:hint="cs"/>
          <w:rtl/>
          <w:lang w:bidi="ar-EG"/>
        </w:rPr>
        <w:t xml:space="preserve"> </w:t>
      </w:r>
      <w:r w:rsidR="00A22904">
        <w:rPr>
          <w:rFonts w:hint="cs"/>
          <w:rtl/>
          <w:lang w:bidi="ar-EG"/>
        </w:rPr>
        <w:t xml:space="preserve">فيما يتعلق بأمن المعلومات </w:t>
      </w:r>
      <w:r w:rsidR="00007769">
        <w:rPr>
          <w:rFonts w:hint="cs"/>
          <w:rtl/>
          <w:lang w:bidi="ar-EG"/>
        </w:rPr>
        <w:t xml:space="preserve">التي ترمي إلى توفير </w:t>
      </w:r>
      <w:r w:rsidR="00D40E92">
        <w:rPr>
          <w:rFonts w:hint="cs"/>
          <w:rtl/>
          <w:lang w:bidi="ar-EG"/>
        </w:rPr>
        <w:t>تسميات</w:t>
      </w:r>
      <w:r w:rsidR="00007769">
        <w:rPr>
          <w:rFonts w:hint="cs"/>
          <w:rtl/>
          <w:lang w:bidi="ar-EG"/>
        </w:rPr>
        <w:t xml:space="preserve"> </w:t>
      </w:r>
      <w:r w:rsidR="00526511">
        <w:rPr>
          <w:rFonts w:hint="cs"/>
          <w:rtl/>
          <w:lang w:bidi="ar-EG"/>
        </w:rPr>
        <w:t>مشتركة</w:t>
      </w:r>
      <w:r w:rsidR="00007769">
        <w:rPr>
          <w:rFonts w:hint="cs"/>
          <w:rtl/>
          <w:lang w:bidi="ar-EG"/>
        </w:rPr>
        <w:t xml:space="preserve"> للمشاكل المعروفة في البرمجيات التجارية أو مفتوحة المصدر المستعملة في</w:t>
      </w:r>
      <w:r w:rsidR="003461D3">
        <w:rPr>
          <w:rFonts w:hint="eastAsia"/>
          <w:rtl/>
          <w:lang w:bidi="ar-EG"/>
        </w:rPr>
        <w:t> </w:t>
      </w:r>
      <w:r w:rsidR="00007769">
        <w:rPr>
          <w:rFonts w:hint="cs"/>
          <w:rtl/>
          <w:lang w:bidi="ar-EG"/>
        </w:rPr>
        <w:t>شبكات الاتصالات، وأجهزة المستعمل النهائي أو أي نمط آخر من أنماط تكنولوجيا المعلومات والاتصالات القادرة على تشغيل البرمجيات.</w:t>
      </w:r>
      <w:r w:rsidR="00377AA8">
        <w:rPr>
          <w:rFonts w:hint="cs"/>
          <w:rtl/>
          <w:lang w:bidi="ar-EG"/>
        </w:rPr>
        <w:t xml:space="preserve"> والهدف من هذه التوصية هو تيسير تقاسم البيانات عبر </w:t>
      </w:r>
      <w:r w:rsidR="00BB7150">
        <w:rPr>
          <w:rFonts w:hint="cs"/>
          <w:rtl/>
          <w:lang w:bidi="ar-EG"/>
        </w:rPr>
        <w:t>قدرات</w:t>
      </w:r>
      <w:r w:rsidR="00F0727B">
        <w:rPr>
          <w:rFonts w:hint="cs"/>
          <w:rtl/>
          <w:lang w:bidi="ar-EG"/>
        </w:rPr>
        <w:t xml:space="preserve"> منفصلة </w:t>
      </w:r>
      <w:r w:rsidR="00A22904">
        <w:rPr>
          <w:rFonts w:hint="cs"/>
          <w:rtl/>
          <w:lang w:bidi="ar-EG"/>
        </w:rPr>
        <w:t>لتحديد مواطن الضعف</w:t>
      </w:r>
      <w:r w:rsidR="00F0727B">
        <w:rPr>
          <w:rFonts w:hint="cs"/>
          <w:rtl/>
          <w:lang w:bidi="ar-EG"/>
        </w:rPr>
        <w:t xml:space="preserve"> (أدوات </w:t>
      </w:r>
      <w:r w:rsidR="00D40E92">
        <w:rPr>
          <w:rFonts w:hint="cs"/>
          <w:rtl/>
          <w:lang w:bidi="ar-EG"/>
        </w:rPr>
        <w:t>ومحفوظات</w:t>
      </w:r>
      <w:r w:rsidR="00F0727B">
        <w:rPr>
          <w:rFonts w:hint="cs"/>
          <w:rtl/>
          <w:lang w:bidi="ar-EG"/>
        </w:rPr>
        <w:t xml:space="preserve"> وخدمات) </w:t>
      </w:r>
      <w:r w:rsidR="00A22904">
        <w:rPr>
          <w:rFonts w:hint="cs"/>
          <w:rtl/>
          <w:lang w:bidi="ar-EG"/>
        </w:rPr>
        <w:t>باستعمال هذه التسميات</w:t>
      </w:r>
      <w:r w:rsidR="00F0727B">
        <w:rPr>
          <w:rFonts w:hint="cs"/>
          <w:rtl/>
          <w:lang w:bidi="ar-EG"/>
        </w:rPr>
        <w:t xml:space="preserve"> </w:t>
      </w:r>
      <w:r w:rsidR="00526511">
        <w:rPr>
          <w:rFonts w:hint="cs"/>
          <w:rtl/>
          <w:lang w:bidi="ar-EG"/>
        </w:rPr>
        <w:t>المشتركة</w:t>
      </w:r>
      <w:r w:rsidR="00F0727B">
        <w:rPr>
          <w:rFonts w:hint="cs"/>
          <w:rtl/>
          <w:lang w:bidi="ar-EG"/>
        </w:rPr>
        <w:t>.</w:t>
      </w:r>
      <w:r w:rsidR="000A182A">
        <w:rPr>
          <w:rFonts w:hint="cs"/>
          <w:rtl/>
          <w:lang w:bidi="ar-EG"/>
        </w:rPr>
        <w:t xml:space="preserve"> وي</w:t>
      </w:r>
      <w:r w:rsidR="00666F6F">
        <w:rPr>
          <w:rFonts w:hint="cs"/>
          <w:rtl/>
          <w:lang w:bidi="ar-EG"/>
        </w:rPr>
        <w:t>ُ</w:t>
      </w:r>
      <w:r w:rsidR="000A182A">
        <w:rPr>
          <w:rFonts w:hint="cs"/>
          <w:rtl/>
          <w:lang w:bidi="ar-EG"/>
        </w:rPr>
        <w:t xml:space="preserve">قصد بهذه التوصية السماح بالربط بين قواعد بيانات مواطن الضعف وغيرها من القدرات وتسهيل المقارنة بين أدوات وخدمات الأمن. </w:t>
      </w:r>
      <w:r w:rsidR="00A22904">
        <w:rPr>
          <w:rFonts w:hint="cs"/>
          <w:rtl/>
          <w:lang w:bidi="ar-EG"/>
        </w:rPr>
        <w:t>وهكذا</w:t>
      </w:r>
      <w:r w:rsidR="000A182A">
        <w:rPr>
          <w:rFonts w:hint="cs"/>
          <w:rtl/>
          <w:lang w:bidi="ar-EG"/>
        </w:rPr>
        <w:t>، فإن هذه التوصية</w:t>
      </w:r>
      <w:r w:rsidR="005D081E">
        <w:rPr>
          <w:rFonts w:hint="cs"/>
          <w:rtl/>
          <w:lang w:bidi="ar-EG"/>
        </w:rPr>
        <w:t xml:space="preserve"> </w:t>
      </w:r>
      <w:r w:rsidR="008C2DFB">
        <w:rPr>
          <w:rFonts w:hint="cs"/>
          <w:rtl/>
          <w:lang w:bidi="ar-EG"/>
        </w:rPr>
        <w:t>لا </w:t>
      </w:r>
      <w:r w:rsidR="005D081E">
        <w:rPr>
          <w:rFonts w:hint="cs"/>
          <w:rtl/>
          <w:lang w:bidi="ar-EG"/>
        </w:rPr>
        <w:t xml:space="preserve">تتضمن معلومات </w:t>
      </w:r>
      <w:r w:rsidR="00821C4C">
        <w:rPr>
          <w:rFonts w:hint="cs"/>
          <w:rtl/>
          <w:lang w:bidi="ar-EG"/>
        </w:rPr>
        <w:t>بشأن المخاطر والآثار والإصلاح أو معلومات تقنية مفصلة. فهي</w:t>
      </w:r>
      <w:r w:rsidR="000A182A">
        <w:rPr>
          <w:rFonts w:hint="cs"/>
          <w:rtl/>
          <w:lang w:bidi="ar-EG"/>
        </w:rPr>
        <w:t xml:space="preserve"> تتضمن فقط رقم المعرف المعياري </w:t>
      </w:r>
      <w:r w:rsidR="00B153B4">
        <w:rPr>
          <w:rFonts w:hint="cs"/>
          <w:rtl/>
          <w:lang w:bidi="ar-EG"/>
        </w:rPr>
        <w:t>و</w:t>
      </w:r>
      <w:r w:rsidR="000A182A">
        <w:rPr>
          <w:rFonts w:hint="cs"/>
          <w:rtl/>
          <w:lang w:bidi="ar-EG"/>
        </w:rPr>
        <w:t xml:space="preserve">مؤشر الحالة ووصفاً موجزاً ومراجع </w:t>
      </w:r>
      <w:r w:rsidR="00B153B4">
        <w:rPr>
          <w:rFonts w:hint="cs"/>
          <w:rtl/>
          <w:lang w:bidi="ar-EG"/>
        </w:rPr>
        <w:t xml:space="preserve">تحيل إلى </w:t>
      </w:r>
      <w:r w:rsidR="000A182A">
        <w:rPr>
          <w:rFonts w:hint="cs"/>
          <w:rtl/>
          <w:lang w:bidi="ar-EG"/>
        </w:rPr>
        <w:t xml:space="preserve">تقارير وإرشادات ذات صلة </w:t>
      </w:r>
      <w:r w:rsidR="00A22904">
        <w:rPr>
          <w:rFonts w:hint="cs"/>
          <w:rtl/>
          <w:lang w:bidi="ar-EG"/>
        </w:rPr>
        <w:t>بمواطن</w:t>
      </w:r>
      <w:r w:rsidR="004732C4">
        <w:rPr>
          <w:rFonts w:hint="cs"/>
          <w:rtl/>
          <w:lang w:bidi="ar-EG"/>
        </w:rPr>
        <w:t xml:space="preserve"> الضعف</w:t>
      </w:r>
      <w:r w:rsidR="000A182A">
        <w:rPr>
          <w:rFonts w:hint="cs"/>
          <w:rtl/>
          <w:lang w:bidi="ar-EG"/>
        </w:rPr>
        <w:t>.</w:t>
      </w:r>
    </w:p>
    <w:p w:rsidR="00C63C06" w:rsidRPr="00007769" w:rsidRDefault="00C63C06" w:rsidP="00207FDE">
      <w:pPr>
        <w:rPr>
          <w:rtl/>
          <w:lang w:bidi="ar-EG"/>
        </w:rPr>
      </w:pPr>
      <w:r>
        <w:rPr>
          <w:rFonts w:hint="cs"/>
          <w:rtl/>
          <w:lang w:bidi="ar-EG"/>
        </w:rPr>
        <w:t>والغرض من هذه التوصية أن تكون شاملة في</w:t>
      </w:r>
      <w:r w:rsidR="008C2DFB">
        <w:rPr>
          <w:rFonts w:hint="cs"/>
          <w:rtl/>
          <w:lang w:bidi="ar-EG"/>
        </w:rPr>
        <w:t>ما </w:t>
      </w:r>
      <w:r>
        <w:rPr>
          <w:rFonts w:hint="cs"/>
          <w:rtl/>
          <w:lang w:bidi="ar-EG"/>
        </w:rPr>
        <w:t>يتعلق بجميع مواطن الضعف والتعرض المعروفة</w:t>
      </w:r>
      <w:r w:rsidR="000526D1">
        <w:rPr>
          <w:rFonts w:hint="cs"/>
          <w:rtl/>
          <w:lang w:bidi="ar-EG"/>
        </w:rPr>
        <w:t>. وعلى الرغم من أن هذه التوصية أعدت لتشمل م</w:t>
      </w:r>
      <w:r w:rsidR="00207FDE">
        <w:rPr>
          <w:rFonts w:hint="cs"/>
          <w:rtl/>
          <w:lang w:bidi="ar-EG"/>
        </w:rPr>
        <w:t>علومات وافية، فإن التركيز الأول</w:t>
      </w:r>
      <w:r w:rsidR="000526D1">
        <w:rPr>
          <w:rFonts w:hint="cs"/>
          <w:rtl/>
          <w:lang w:bidi="ar-EG"/>
        </w:rPr>
        <w:t xml:space="preserve"> ينصب على تحديد مواطن الضعف والتعرض </w:t>
      </w:r>
      <w:r w:rsidR="00187B24">
        <w:rPr>
          <w:rFonts w:hint="cs"/>
          <w:rtl/>
          <w:lang w:bidi="ar-EG"/>
        </w:rPr>
        <w:t>التي يتم كشفها</w:t>
      </w:r>
      <w:r w:rsidR="000526D1">
        <w:rPr>
          <w:rFonts w:hint="cs"/>
          <w:rtl/>
          <w:lang w:bidi="ar-EG"/>
        </w:rPr>
        <w:t xml:space="preserve"> بواسطة أدوات الأمن وأي مشاكل</w:t>
      </w:r>
      <w:r w:rsidR="00207FDE">
        <w:rPr>
          <w:rFonts w:hint="cs"/>
          <w:rtl/>
          <w:lang w:bidi="ar-EG"/>
        </w:rPr>
        <w:t xml:space="preserve"> جديدة</w:t>
      </w:r>
      <w:r w:rsidR="000526D1">
        <w:rPr>
          <w:rFonts w:hint="cs"/>
          <w:rtl/>
          <w:lang w:bidi="ar-EG"/>
        </w:rPr>
        <w:t xml:space="preserve"> تصبح </w:t>
      </w:r>
      <w:r w:rsidR="0044260C">
        <w:rPr>
          <w:rFonts w:hint="cs"/>
          <w:rtl/>
          <w:lang w:bidi="ar-EG"/>
        </w:rPr>
        <w:t>شائعة</w:t>
      </w:r>
      <w:r w:rsidR="00207FDE">
        <w:rPr>
          <w:rFonts w:hint="cs"/>
          <w:rtl/>
          <w:lang w:bidi="ar-EG"/>
        </w:rPr>
        <w:t>،</w:t>
      </w:r>
      <w:r w:rsidR="000526D1">
        <w:rPr>
          <w:rFonts w:hint="cs"/>
          <w:rtl/>
          <w:lang w:bidi="ar-EG"/>
        </w:rPr>
        <w:t xml:space="preserve"> </w:t>
      </w:r>
      <w:r w:rsidR="00673AE4">
        <w:rPr>
          <w:rFonts w:hint="cs"/>
          <w:rtl/>
          <w:lang w:bidi="ar-EG"/>
        </w:rPr>
        <w:t xml:space="preserve">ثم </w:t>
      </w:r>
      <w:r w:rsidR="000526D1">
        <w:rPr>
          <w:rFonts w:hint="cs"/>
          <w:rtl/>
          <w:lang w:bidi="ar-EG"/>
        </w:rPr>
        <w:t xml:space="preserve">معالجة أي مشاكل أمنية قديمة </w:t>
      </w:r>
      <w:r w:rsidR="005C077A">
        <w:rPr>
          <w:rFonts w:hint="cs"/>
          <w:rtl/>
          <w:lang w:bidi="ar-EG"/>
        </w:rPr>
        <w:t>تقتضي</w:t>
      </w:r>
      <w:r w:rsidR="00207FDE">
        <w:rPr>
          <w:rFonts w:hint="eastAsia"/>
          <w:rtl/>
          <w:lang w:bidi="ar-EG"/>
        </w:rPr>
        <w:t> </w:t>
      </w:r>
      <w:r w:rsidR="005C077A">
        <w:rPr>
          <w:rFonts w:hint="cs"/>
          <w:rtl/>
          <w:lang w:bidi="ar-EG"/>
        </w:rPr>
        <w:t>التحقق</w:t>
      </w:r>
      <w:r w:rsidR="000526D1">
        <w:rPr>
          <w:rFonts w:hint="cs"/>
          <w:rtl/>
          <w:lang w:bidi="ar-EG"/>
        </w:rPr>
        <w:t xml:space="preserve">. </w:t>
      </w:r>
    </w:p>
    <w:p w:rsidR="00CA3B2C" w:rsidRPr="008A5C0A" w:rsidRDefault="00CA3B2C" w:rsidP="00397C1C">
      <w:pPr>
        <w:pStyle w:val="Headingb"/>
        <w:spacing w:before="360"/>
        <w:rPr>
          <w:rFonts w:ascii="Times New Roman Bold" w:hAnsi="Times New Roman Bold"/>
          <w:bCs/>
          <w:rtl/>
          <w:lang w:val="en-US" w:bidi="ar-EG"/>
        </w:rPr>
      </w:pPr>
      <w:r w:rsidRPr="00F917B1">
        <w:rPr>
          <w:rFonts w:ascii="Times New Roman Bold" w:hAnsi="Times New Roman Bold" w:hint="cs"/>
          <w:bCs/>
          <w:rtl/>
          <w:lang w:bidi="ar-EG"/>
        </w:rPr>
        <w:t>مشروع توصية جديدة</w:t>
      </w:r>
      <w:r w:rsidR="003461D3">
        <w:rPr>
          <w:rFonts w:ascii="Times New Roman Bold" w:hAnsi="Times New Roman Bold" w:hint="cs"/>
          <w:bCs/>
          <w:rtl/>
          <w:lang w:bidi="ar-EG"/>
        </w:rPr>
        <w:t xml:space="preserve"> </w:t>
      </w:r>
      <w:r w:rsidRPr="00F917B1">
        <w:rPr>
          <w:rFonts w:ascii="Times New Roman Bold" w:hAnsi="Times New Roman Bold"/>
          <w:bCs/>
          <w:lang w:bidi="ar-EG"/>
        </w:rPr>
        <w:t>ITU-T</w:t>
      </w:r>
      <w:r w:rsidR="00397C1C">
        <w:rPr>
          <w:rFonts w:ascii="Times New Roman Bold" w:hAnsi="Times New Roman Bold"/>
          <w:bCs/>
          <w:lang w:bidi="ar-EG"/>
        </w:rPr>
        <w:t> </w:t>
      </w:r>
      <w:r w:rsidRPr="00F917B1">
        <w:rPr>
          <w:rFonts w:ascii="Times New Roman Bold" w:hAnsi="Times New Roman Bold"/>
          <w:bCs/>
          <w:lang w:bidi="ar-EG"/>
        </w:rPr>
        <w:t>X.1</w:t>
      </w:r>
      <w:r w:rsidR="005D081E">
        <w:rPr>
          <w:rFonts w:ascii="Times New Roman Bold" w:hAnsi="Times New Roman Bold"/>
          <w:bCs/>
          <w:lang w:bidi="ar-EG"/>
        </w:rPr>
        <w:t>521</w:t>
      </w:r>
      <w:r w:rsidR="00397C1C">
        <w:rPr>
          <w:rFonts w:ascii="Times New Roman Bold" w:hAnsi="Times New Roman Bold"/>
          <w:bCs/>
          <w:lang w:bidi="ar-EG"/>
        </w:rPr>
        <w:t> (</w:t>
      </w:r>
      <w:proofErr w:type="spellStart"/>
      <w:r w:rsidR="00397C1C" w:rsidRPr="00F917B1">
        <w:rPr>
          <w:rFonts w:ascii="Times New Roman Bold" w:hAnsi="Times New Roman Bold"/>
          <w:bCs/>
          <w:lang w:bidi="ar-EG"/>
        </w:rPr>
        <w:t>X.</w:t>
      </w:r>
      <w:r w:rsidR="00397C1C">
        <w:rPr>
          <w:rFonts w:ascii="Times New Roman Bold" w:hAnsi="Times New Roman Bold"/>
          <w:bCs/>
          <w:lang w:bidi="ar-EG"/>
        </w:rPr>
        <w:t>cvss</w:t>
      </w:r>
      <w:proofErr w:type="spellEnd"/>
      <w:r w:rsidR="00397C1C">
        <w:rPr>
          <w:rFonts w:ascii="Times New Roman Bold" w:hAnsi="Times New Roman Bold"/>
          <w:bCs/>
          <w:lang w:bidi="ar-EG"/>
        </w:rPr>
        <w:t>)</w:t>
      </w:r>
      <w:r w:rsidRPr="00F917B1">
        <w:rPr>
          <w:rFonts w:ascii="Times New Roman Bold" w:hAnsi="Times New Roman Bold" w:hint="cs"/>
          <w:bCs/>
          <w:rtl/>
          <w:lang w:bidi="ar-EG"/>
        </w:rPr>
        <w:t xml:space="preserve">، </w:t>
      </w:r>
      <w:r w:rsidR="004150BF">
        <w:rPr>
          <w:rFonts w:ascii="Times New Roman Bold" w:hAnsi="Times New Roman Bold" w:hint="cs"/>
          <w:bCs/>
          <w:rtl/>
          <w:lang w:bidi="ar-EG"/>
        </w:rPr>
        <w:t xml:space="preserve">نظام تسجيل مواطن الضعف </w:t>
      </w:r>
      <w:r w:rsidR="008A5C0A">
        <w:rPr>
          <w:rFonts w:ascii="Times New Roman Bold" w:hAnsi="Times New Roman Bold" w:hint="cs"/>
          <w:bCs/>
          <w:rtl/>
          <w:lang w:bidi="ar-EG"/>
        </w:rPr>
        <w:t xml:space="preserve">الشائعة </w:t>
      </w:r>
      <w:r w:rsidR="008A5C0A">
        <w:rPr>
          <w:rFonts w:ascii="Times New Roman Bold" w:hAnsi="Times New Roman Bold"/>
          <w:bCs/>
          <w:lang w:val="en-US" w:bidi="ar-EG"/>
        </w:rPr>
        <w:t>(CVSS)</w:t>
      </w:r>
    </w:p>
    <w:p w:rsidR="00CA3B2C" w:rsidRPr="00F917B1" w:rsidRDefault="00CA3B2C" w:rsidP="005F73FF">
      <w:pPr>
        <w:pStyle w:val="Headingb"/>
        <w:rPr>
          <w:rFonts w:ascii="Times New Roman Bold" w:hAnsi="Times New Roman Bold"/>
          <w:bCs/>
          <w:rtl/>
          <w:lang w:bidi="ar-EG"/>
        </w:rPr>
      </w:pPr>
      <w:r w:rsidRPr="00F917B1">
        <w:rPr>
          <w:rFonts w:ascii="Times New Roman Bold" w:hAnsi="Times New Roman Bold"/>
          <w:bCs/>
          <w:lang w:bidi="ar-EG"/>
        </w:rPr>
        <w:t>COM 17</w:t>
      </w:r>
      <w:r w:rsidR="00397C1C">
        <w:rPr>
          <w:rFonts w:ascii="Times New Roman Bold" w:hAnsi="Times New Roman Bold"/>
          <w:bCs/>
          <w:lang w:bidi="ar-EG"/>
        </w:rPr>
        <w:t> </w:t>
      </w:r>
      <w:r w:rsidR="00397C1C">
        <w:rPr>
          <w:rFonts w:ascii="Times New Roman Bold" w:hAnsi="Times New Roman Bold" w:hint="cs"/>
          <w:bCs/>
          <w:lang w:bidi="ar-EG"/>
        </w:rPr>
        <w:t>–</w:t>
      </w:r>
      <w:r w:rsidR="00397C1C">
        <w:rPr>
          <w:rFonts w:ascii="Times New Roman Bold" w:hAnsi="Times New Roman Bold"/>
          <w:bCs/>
          <w:lang w:bidi="ar-EG"/>
        </w:rPr>
        <w:t> </w:t>
      </w:r>
      <w:r w:rsidRPr="00F917B1">
        <w:rPr>
          <w:rFonts w:ascii="Times New Roman Bold" w:hAnsi="Times New Roman Bold"/>
          <w:bCs/>
          <w:lang w:bidi="ar-EG"/>
        </w:rPr>
        <w:t xml:space="preserve">R </w:t>
      </w:r>
      <w:r w:rsidR="00017E52">
        <w:rPr>
          <w:rFonts w:ascii="Times New Roman Bold" w:hAnsi="Times New Roman Bold"/>
          <w:bCs/>
          <w:lang w:bidi="ar-EG"/>
        </w:rPr>
        <w:t>27</w:t>
      </w:r>
      <w:r w:rsidR="00017E52">
        <w:rPr>
          <w:rFonts w:ascii="Times New Roman Bold" w:hAnsi="Times New Roman Bold" w:hint="cs"/>
          <w:bCs/>
          <w:rtl/>
          <w:lang w:bidi="ar-EG"/>
        </w:rPr>
        <w:t xml:space="preserve"> </w:t>
      </w:r>
      <w:r w:rsidR="00017E52" w:rsidRPr="00FE33B4">
        <w:rPr>
          <w:rFonts w:ascii="Times New Roman Bold" w:hAnsi="Times New Roman Bold" w:hint="cs"/>
          <w:b w:val="0"/>
          <w:i/>
          <w:iCs/>
          <w:rtl/>
          <w:lang w:bidi="ar-EG"/>
        </w:rPr>
        <w:t>(ستتاح قريباً على الويب)</w:t>
      </w:r>
    </w:p>
    <w:p w:rsidR="00CA3B2C" w:rsidRDefault="00CA3B2C" w:rsidP="00A2136D">
      <w:pPr>
        <w:pStyle w:val="heading-ib"/>
        <w:rPr>
          <w:b w:val="0"/>
          <w:bCs w:val="0"/>
          <w:i w:val="0"/>
          <w:iCs w:val="0"/>
          <w:rtl/>
          <w:lang w:val="en-US" w:bidi="ar-EG"/>
        </w:rPr>
      </w:pPr>
      <w:r w:rsidRPr="00CA3B2C">
        <w:rPr>
          <w:rFonts w:hint="cs"/>
          <w:i w:val="0"/>
          <w:iCs w:val="0"/>
          <w:rtl/>
          <w:lang w:val="en-US" w:bidi="ar-EG"/>
        </w:rPr>
        <w:t>ملخص</w:t>
      </w:r>
    </w:p>
    <w:p w:rsidR="004B08B1" w:rsidRDefault="00017E52" w:rsidP="00A2136D">
      <w:pPr>
        <w:rPr>
          <w:rtl/>
          <w:lang w:bidi="ar-EG"/>
        </w:rPr>
      </w:pPr>
      <w:r>
        <w:rPr>
          <w:rFonts w:hint="cs"/>
          <w:rtl/>
          <w:lang w:bidi="ar-EG"/>
        </w:rPr>
        <w:t>توفر هذه التوصية</w:t>
      </w:r>
      <w:r w:rsidR="006A3CE8">
        <w:rPr>
          <w:rFonts w:hint="cs"/>
          <w:rtl/>
          <w:lang w:bidi="ar-EG"/>
        </w:rPr>
        <w:t xml:space="preserve"> إطاراً مفتوحاً للتبليغ عن خصائص وآثار مواطن الضعف لتكنولوجيا المعلومات والاتصالات في البرمجيات التجارية أو مفتوحة المصدر المستعملة في شبكات الاتصالات وأجهزة المستعمل النهائي أو أي نمط آخر من أنماط تكنولوجيا المعلومات والاتصالات القادرة على تشغيل البرمجيات. وتغطي هذه التوصية نظام تسجيل مواطن الضعف الشائعة حيث يكون الغرض هو تمكين مديري تكنولوجيا المعلومات والاتصالات وم</w:t>
      </w:r>
      <w:r w:rsidR="00491CBD">
        <w:rPr>
          <w:rFonts w:hint="cs"/>
          <w:rtl/>
          <w:lang w:bidi="ar-EG"/>
        </w:rPr>
        <w:t xml:space="preserve">وفري النشرات بشأن مواطن الضعف وموردي خدمات الأمن </w:t>
      </w:r>
      <w:r w:rsidR="00207FDE">
        <w:rPr>
          <w:rFonts w:hint="cs"/>
          <w:rtl/>
          <w:lang w:bidi="ar-EG"/>
        </w:rPr>
        <w:t>وموردي التطبيقات</w:t>
      </w:r>
      <w:r w:rsidR="00491CBD">
        <w:rPr>
          <w:rFonts w:hint="cs"/>
          <w:rtl/>
          <w:lang w:bidi="ar-EG"/>
        </w:rPr>
        <w:t xml:space="preserve"> والباحثين </w:t>
      </w:r>
      <w:r w:rsidR="00E22575">
        <w:rPr>
          <w:rFonts w:hint="cs"/>
          <w:rtl/>
          <w:lang w:bidi="ar-EG"/>
        </w:rPr>
        <w:t xml:space="preserve">من التحدث بلغة مشتركة بشأن تسجيل مواطن الضعف </w:t>
      </w:r>
      <w:r w:rsidR="00207FDE">
        <w:rPr>
          <w:rFonts w:hint="cs"/>
          <w:rtl/>
          <w:lang w:bidi="ar-EG"/>
        </w:rPr>
        <w:t>ذات الصلة بتكنولوجيا</w:t>
      </w:r>
      <w:r w:rsidR="00E22575">
        <w:rPr>
          <w:rFonts w:hint="cs"/>
          <w:rtl/>
          <w:lang w:bidi="ar-EG"/>
        </w:rPr>
        <w:t xml:space="preserve"> المعلومات</w:t>
      </w:r>
      <w:r w:rsidR="00A2136D">
        <w:rPr>
          <w:rFonts w:hint="eastAsia"/>
          <w:rtl/>
          <w:lang w:bidi="ar-EG"/>
        </w:rPr>
        <w:t> </w:t>
      </w:r>
      <w:r w:rsidR="00E22575">
        <w:rPr>
          <w:rFonts w:hint="cs"/>
          <w:rtl/>
          <w:lang w:bidi="ar-EG"/>
        </w:rPr>
        <w:t>والاتصالات.</w:t>
      </w:r>
    </w:p>
    <w:p w:rsidR="00153068" w:rsidRDefault="00153068" w:rsidP="00397C1C">
      <w:pPr>
        <w:pStyle w:val="Headingb"/>
        <w:spacing w:before="360"/>
        <w:rPr>
          <w:b w:val="0"/>
          <w:bCs/>
          <w:rtl/>
          <w:lang w:bidi="ar-EG"/>
        </w:rPr>
      </w:pPr>
      <w:r>
        <w:rPr>
          <w:rFonts w:hint="cs"/>
          <w:bCs/>
          <w:rtl/>
          <w:lang w:bidi="ar-EG"/>
        </w:rPr>
        <w:lastRenderedPageBreak/>
        <w:t xml:space="preserve">مشروع </w:t>
      </w:r>
      <w:r w:rsidRPr="00A2136D">
        <w:rPr>
          <w:rFonts w:ascii="Times New Roman Bold" w:hAnsi="Times New Roman Bold" w:hint="cs"/>
          <w:bCs/>
          <w:rtl/>
          <w:lang w:bidi="ar-EG"/>
        </w:rPr>
        <w:t>توصية</w:t>
      </w:r>
      <w:r>
        <w:rPr>
          <w:rFonts w:hint="cs"/>
          <w:bCs/>
          <w:rtl/>
          <w:lang w:bidi="ar-EG"/>
        </w:rPr>
        <w:t xml:space="preserve"> جديدة</w:t>
      </w:r>
      <w:r w:rsidR="003461D3">
        <w:rPr>
          <w:rFonts w:hint="cs"/>
          <w:bCs/>
          <w:rtl/>
          <w:lang w:bidi="ar-EG"/>
        </w:rPr>
        <w:t xml:space="preserve"> </w:t>
      </w:r>
      <w:r>
        <w:rPr>
          <w:bCs/>
          <w:lang w:bidi="ar-EG"/>
        </w:rPr>
        <w:t>ITU-T X.</w:t>
      </w:r>
      <w:r w:rsidR="00C63A1C">
        <w:rPr>
          <w:bCs/>
          <w:lang w:bidi="ar-EG"/>
        </w:rPr>
        <w:t>1261</w:t>
      </w:r>
      <w:r w:rsidR="00397C1C">
        <w:rPr>
          <w:bCs/>
          <w:lang w:bidi="ar-EG"/>
        </w:rPr>
        <w:t> </w:t>
      </w:r>
      <w:r w:rsidR="00397C1C">
        <w:rPr>
          <w:bCs/>
          <w:lang w:val="en-US" w:bidi="ar-EG"/>
        </w:rPr>
        <w:t>(</w:t>
      </w:r>
      <w:proofErr w:type="spellStart"/>
      <w:r w:rsidR="00397C1C">
        <w:rPr>
          <w:bCs/>
          <w:lang w:bidi="ar-EG"/>
        </w:rPr>
        <w:t>X.EVcert</w:t>
      </w:r>
      <w:proofErr w:type="spellEnd"/>
      <w:r w:rsidR="00397C1C">
        <w:rPr>
          <w:bCs/>
          <w:lang w:bidi="ar-EG"/>
        </w:rPr>
        <w:t>)</w:t>
      </w:r>
      <w:r>
        <w:rPr>
          <w:rFonts w:hint="cs"/>
          <w:bCs/>
          <w:rtl/>
          <w:lang w:bidi="ar-EG"/>
        </w:rPr>
        <w:t xml:space="preserve">، </w:t>
      </w:r>
      <w:r w:rsidR="00C63A1C">
        <w:rPr>
          <w:rFonts w:hint="cs"/>
          <w:bCs/>
          <w:rtl/>
          <w:lang w:bidi="ar-EG"/>
        </w:rPr>
        <w:t xml:space="preserve">إطار شهادة </w:t>
      </w:r>
      <w:r w:rsidR="00423A04">
        <w:rPr>
          <w:rFonts w:hint="cs"/>
          <w:bCs/>
          <w:rtl/>
          <w:lang w:bidi="ar-EG"/>
        </w:rPr>
        <w:t>التحقق</w:t>
      </w:r>
      <w:r w:rsidR="00822669">
        <w:rPr>
          <w:rFonts w:hint="cs"/>
          <w:bCs/>
          <w:rtl/>
          <w:lang w:bidi="ar-EG"/>
        </w:rPr>
        <w:t xml:space="preserve"> الموسعة</w:t>
      </w:r>
      <w:r w:rsidR="00805730">
        <w:rPr>
          <w:rFonts w:hint="cs"/>
          <w:bCs/>
          <w:rtl/>
          <w:lang w:bidi="ar-EG"/>
        </w:rPr>
        <w:t xml:space="preserve"> </w:t>
      </w:r>
      <w:r w:rsidR="00805730">
        <w:rPr>
          <w:bCs/>
          <w:lang w:bidi="ar-EG"/>
        </w:rPr>
        <w:t>(</w:t>
      </w:r>
      <w:proofErr w:type="spellStart"/>
      <w:r w:rsidR="00805730">
        <w:rPr>
          <w:bCs/>
          <w:lang w:bidi="ar-EG"/>
        </w:rPr>
        <w:t>EVcert</w:t>
      </w:r>
      <w:proofErr w:type="spellEnd"/>
      <w:r w:rsidR="00805730">
        <w:rPr>
          <w:bCs/>
          <w:lang w:bidi="ar-EG"/>
        </w:rPr>
        <w:t>)</w:t>
      </w:r>
    </w:p>
    <w:p w:rsidR="00153068" w:rsidRPr="00E95DB0" w:rsidRDefault="00153068" w:rsidP="005F73FF">
      <w:pPr>
        <w:pStyle w:val="Headingb"/>
        <w:rPr>
          <w:b w:val="0"/>
          <w:bCs/>
          <w:rtl/>
          <w:lang w:val="en-US" w:bidi="ar-EG"/>
        </w:rPr>
      </w:pPr>
      <w:r>
        <w:rPr>
          <w:bCs/>
          <w:lang w:bidi="ar-EG"/>
        </w:rPr>
        <w:t>COM 17</w:t>
      </w:r>
      <w:r w:rsidR="00397C1C">
        <w:rPr>
          <w:bCs/>
          <w:lang w:val="en-US" w:bidi="ar-EG"/>
        </w:rPr>
        <w:t> </w:t>
      </w:r>
      <w:r w:rsidR="00397C1C">
        <w:rPr>
          <w:rFonts w:ascii="Times New Roman Bold" w:hAnsi="Times New Roman Bold" w:hint="cs"/>
          <w:bCs/>
          <w:lang w:bidi="ar-EG"/>
        </w:rPr>
        <w:t>–</w:t>
      </w:r>
      <w:r w:rsidR="00397C1C">
        <w:rPr>
          <w:bCs/>
          <w:lang w:val="en-US" w:bidi="ar-EG"/>
        </w:rPr>
        <w:t> </w:t>
      </w:r>
      <w:r>
        <w:rPr>
          <w:bCs/>
          <w:lang w:bidi="ar-EG"/>
        </w:rPr>
        <w:t xml:space="preserve">R </w:t>
      </w:r>
      <w:r w:rsidR="005F07C4">
        <w:rPr>
          <w:bCs/>
          <w:lang w:bidi="ar-EG"/>
        </w:rPr>
        <w:t>30</w:t>
      </w:r>
    </w:p>
    <w:p w:rsidR="00153068" w:rsidRDefault="00153068" w:rsidP="00A2136D">
      <w:pPr>
        <w:pStyle w:val="heading-ib"/>
        <w:rPr>
          <w:b w:val="0"/>
          <w:bCs w:val="0"/>
          <w:i w:val="0"/>
          <w:iCs w:val="0"/>
          <w:rtl/>
          <w:lang w:val="en-US" w:bidi="ar-EG"/>
        </w:rPr>
      </w:pPr>
      <w:r w:rsidRPr="00CA3B2C">
        <w:rPr>
          <w:rFonts w:hint="cs"/>
          <w:i w:val="0"/>
          <w:iCs w:val="0"/>
          <w:rtl/>
          <w:lang w:val="en-US" w:bidi="ar-EG"/>
        </w:rPr>
        <w:t>ملخص</w:t>
      </w:r>
    </w:p>
    <w:p w:rsidR="00153068" w:rsidRDefault="00822669" w:rsidP="00E95DB0">
      <w:pPr>
        <w:rPr>
          <w:rtl/>
          <w:lang w:bidi="ar-EG"/>
        </w:rPr>
      </w:pPr>
      <w:r>
        <w:rPr>
          <w:rFonts w:hint="cs"/>
          <w:rtl/>
          <w:lang w:bidi="ar-EG"/>
        </w:rPr>
        <w:t xml:space="preserve">تعالج هذه التوصية </w:t>
      </w:r>
      <w:r w:rsidR="007554C9">
        <w:rPr>
          <w:rFonts w:hint="cs"/>
          <w:rtl/>
          <w:lang w:bidi="ar-EG"/>
        </w:rPr>
        <w:t xml:space="preserve">إطار شهادة </w:t>
      </w:r>
      <w:r w:rsidR="00423A04">
        <w:rPr>
          <w:rFonts w:hint="cs"/>
          <w:rtl/>
          <w:lang w:bidi="ar-EG"/>
        </w:rPr>
        <w:t>التحقق</w:t>
      </w:r>
      <w:r w:rsidR="007554C9">
        <w:rPr>
          <w:rFonts w:hint="cs"/>
          <w:rtl/>
          <w:lang w:bidi="ar-EG"/>
        </w:rPr>
        <w:t xml:space="preserve"> الموسعة</w:t>
      </w:r>
      <w:r>
        <w:rPr>
          <w:rFonts w:hint="cs"/>
          <w:rtl/>
          <w:lang w:bidi="ar-EG"/>
        </w:rPr>
        <w:t xml:space="preserve"> وهي </w:t>
      </w:r>
      <w:r w:rsidR="00207FDE">
        <w:rPr>
          <w:rFonts w:hint="cs"/>
          <w:rtl/>
          <w:lang w:bidi="ar-EG"/>
        </w:rPr>
        <w:t>تتناول</w:t>
      </w:r>
      <w:r>
        <w:rPr>
          <w:rFonts w:hint="cs"/>
          <w:rtl/>
          <w:lang w:bidi="ar-EG"/>
        </w:rPr>
        <w:t xml:space="preserve"> مجموعة متكاملة من التكنولوجيات والبروتوكولات وإثبات الهوية وإدارة دورة الحياة وممارسات المراجعة التي تصف </w:t>
      </w:r>
      <w:r w:rsidR="00BC7EC8">
        <w:rPr>
          <w:rFonts w:hint="cs"/>
          <w:rtl/>
          <w:lang w:bidi="ar-EG"/>
        </w:rPr>
        <w:t>الحد الأدنى</w:t>
      </w:r>
      <w:r>
        <w:rPr>
          <w:rFonts w:hint="cs"/>
          <w:rtl/>
          <w:lang w:bidi="ar-EG"/>
        </w:rPr>
        <w:t xml:space="preserve"> من المتطلبات الواجب تلبيتها لإصدار شهادات </w:t>
      </w:r>
      <w:r w:rsidR="00423A04">
        <w:rPr>
          <w:rFonts w:hint="cs"/>
          <w:rtl/>
          <w:lang w:bidi="ar-EG"/>
        </w:rPr>
        <w:t>تحقق موسعة</w:t>
      </w:r>
      <w:r>
        <w:rPr>
          <w:rFonts w:hint="cs"/>
          <w:rtl/>
          <w:lang w:bidi="ar-EG"/>
        </w:rPr>
        <w:t xml:space="preserve"> ("شهادات</w:t>
      </w:r>
      <w:r w:rsidR="00A2136D">
        <w:rPr>
          <w:rFonts w:hint="eastAsia"/>
          <w:rtl/>
          <w:lang w:bidi="ar-EG"/>
        </w:rPr>
        <w:t> </w:t>
      </w:r>
      <w:r>
        <w:rPr>
          <w:lang w:bidi="ar-EG"/>
        </w:rPr>
        <w:t>EV</w:t>
      </w:r>
      <w:r>
        <w:rPr>
          <w:rFonts w:hint="cs"/>
          <w:rtl/>
          <w:lang w:bidi="ar-EG"/>
        </w:rPr>
        <w:t>"</w:t>
      </w:r>
      <w:r w:rsidR="00423A04">
        <w:rPr>
          <w:rFonts w:hint="cs"/>
          <w:rtl/>
          <w:lang w:bidi="ar-EG"/>
        </w:rPr>
        <w:t>)</w:t>
      </w:r>
      <w:r w:rsidR="00DF0FD8">
        <w:rPr>
          <w:rFonts w:hint="cs"/>
          <w:rtl/>
          <w:lang w:bidi="ar-EG"/>
        </w:rPr>
        <w:t xml:space="preserve"> </w:t>
      </w:r>
      <w:r w:rsidR="00226515">
        <w:rPr>
          <w:rFonts w:hint="cs"/>
          <w:rtl/>
          <w:lang w:bidi="ar-EG"/>
        </w:rPr>
        <w:t>بشأن</w:t>
      </w:r>
      <w:r w:rsidR="00DF0FD8">
        <w:rPr>
          <w:rFonts w:hint="cs"/>
          <w:rtl/>
          <w:lang w:bidi="ar-EG"/>
        </w:rPr>
        <w:t xml:space="preserve"> منظمة معينة</w:t>
      </w:r>
      <w:r w:rsidR="00226515">
        <w:rPr>
          <w:rFonts w:hint="cs"/>
          <w:rtl/>
          <w:lang w:bidi="ar-EG"/>
        </w:rPr>
        <w:t xml:space="preserve"> والحفاظ عليها</w:t>
      </w:r>
      <w:r w:rsidR="00DF0FD8">
        <w:rPr>
          <w:rFonts w:hint="cs"/>
          <w:rtl/>
          <w:lang w:bidi="ar-EG"/>
        </w:rPr>
        <w:t>.</w:t>
      </w:r>
      <w:r w:rsidR="00D533B3">
        <w:rPr>
          <w:rFonts w:hint="cs"/>
          <w:rtl/>
          <w:lang w:bidi="ar-EG"/>
        </w:rPr>
        <w:t xml:space="preserve"> ومن ثم يمكن عرض معلومات </w:t>
      </w:r>
      <w:r w:rsidR="00207FDE">
        <w:rPr>
          <w:rFonts w:hint="cs"/>
          <w:rtl/>
          <w:lang w:bidi="ar-EG"/>
        </w:rPr>
        <w:t xml:space="preserve">بطريقة خاصة </w:t>
      </w:r>
      <w:r w:rsidR="00D533B3">
        <w:rPr>
          <w:rFonts w:hint="cs"/>
          <w:rtl/>
          <w:lang w:bidi="ar-EG"/>
        </w:rPr>
        <w:t xml:space="preserve">بشأن منظمة </w:t>
      </w:r>
      <w:r w:rsidR="00207FDE">
        <w:rPr>
          <w:rFonts w:hint="cs"/>
          <w:rtl/>
          <w:lang w:bidi="ar-EG"/>
        </w:rPr>
        <w:t>معينة</w:t>
      </w:r>
      <w:r w:rsidR="00D533B3">
        <w:rPr>
          <w:rFonts w:hint="cs"/>
          <w:rtl/>
          <w:lang w:bidi="ar-EG"/>
        </w:rPr>
        <w:t xml:space="preserve"> من خلال "شهادات</w:t>
      </w:r>
      <w:r w:rsidR="00A2136D">
        <w:rPr>
          <w:rFonts w:hint="eastAsia"/>
          <w:rtl/>
          <w:lang w:bidi="ar-EG"/>
        </w:rPr>
        <w:t> </w:t>
      </w:r>
      <w:r w:rsidR="00D533B3">
        <w:rPr>
          <w:lang w:bidi="ar-EG"/>
        </w:rPr>
        <w:t>EV</w:t>
      </w:r>
      <w:r w:rsidR="00D533B3">
        <w:rPr>
          <w:rFonts w:hint="cs"/>
          <w:rtl/>
          <w:lang w:bidi="ar-EG"/>
        </w:rPr>
        <w:t>" صالحة بواسطة بعض تطبيقات</w:t>
      </w:r>
      <w:r w:rsidR="006418EE">
        <w:rPr>
          <w:rFonts w:hint="cs"/>
          <w:rtl/>
          <w:lang w:bidi="ar-EG"/>
        </w:rPr>
        <w:t xml:space="preserve"> </w:t>
      </w:r>
      <w:r w:rsidR="00D533B3">
        <w:rPr>
          <w:rFonts w:hint="cs"/>
          <w:rtl/>
          <w:lang w:bidi="ar-EG"/>
        </w:rPr>
        <w:t xml:space="preserve">برمجية </w:t>
      </w:r>
      <w:r w:rsidR="00207FDE">
        <w:rPr>
          <w:rFonts w:hint="cs"/>
          <w:rtl/>
          <w:lang w:bidi="ar-EG"/>
        </w:rPr>
        <w:t>ال</w:t>
      </w:r>
      <w:r w:rsidR="00D533B3">
        <w:rPr>
          <w:rFonts w:hint="cs"/>
          <w:rtl/>
          <w:lang w:bidi="ar-EG"/>
        </w:rPr>
        <w:t xml:space="preserve">طرف </w:t>
      </w:r>
      <w:r w:rsidR="00207FDE">
        <w:rPr>
          <w:rFonts w:hint="cs"/>
          <w:rtl/>
          <w:lang w:bidi="ar-EG"/>
        </w:rPr>
        <w:t>المعوِّل</w:t>
      </w:r>
      <w:r w:rsidR="00D533B3">
        <w:rPr>
          <w:rFonts w:hint="cs"/>
          <w:rtl/>
          <w:lang w:bidi="ar-EG"/>
        </w:rPr>
        <w:t xml:space="preserve"> (برمجية تصفح</w:t>
      </w:r>
      <w:r w:rsidR="006418EE" w:rsidRPr="006418EE">
        <w:rPr>
          <w:rFonts w:hint="cs"/>
          <w:rtl/>
          <w:lang w:bidi="ar-EG"/>
        </w:rPr>
        <w:t xml:space="preserve"> </w:t>
      </w:r>
      <w:r w:rsidR="006418EE">
        <w:rPr>
          <w:rFonts w:hint="cs"/>
          <w:rtl/>
          <w:lang w:bidi="ar-EG"/>
        </w:rPr>
        <w:t>مثلاً</w:t>
      </w:r>
      <w:r w:rsidR="00D533B3">
        <w:rPr>
          <w:rFonts w:hint="cs"/>
          <w:rtl/>
          <w:lang w:bidi="ar-EG"/>
        </w:rPr>
        <w:t xml:space="preserve">) من أجل تزويد المستعمل </w:t>
      </w:r>
      <w:r w:rsidR="00207FDE">
        <w:rPr>
          <w:rFonts w:hint="cs"/>
          <w:rtl/>
          <w:lang w:bidi="ar-EG"/>
        </w:rPr>
        <w:t>بمعلومات أكيدة</w:t>
      </w:r>
      <w:r w:rsidR="00D533B3">
        <w:rPr>
          <w:rFonts w:hint="cs"/>
          <w:rtl/>
          <w:lang w:bidi="ar-EG"/>
        </w:rPr>
        <w:t xml:space="preserve"> بشأن هوية الكيان الذي يحكم الموقع الإلكتروني أو </w:t>
      </w:r>
      <w:r w:rsidR="00B8137B">
        <w:rPr>
          <w:rFonts w:hint="cs"/>
          <w:rtl/>
          <w:lang w:bidi="ar-EG"/>
        </w:rPr>
        <w:t xml:space="preserve">أي </w:t>
      </w:r>
      <w:r w:rsidR="00D533B3">
        <w:rPr>
          <w:rFonts w:hint="cs"/>
          <w:rtl/>
          <w:lang w:bidi="ar-EG"/>
        </w:rPr>
        <w:t xml:space="preserve">خدمات أخرى ينفذ إليها. </w:t>
      </w:r>
      <w:r w:rsidR="00A96594">
        <w:rPr>
          <w:rFonts w:hint="cs"/>
          <w:rtl/>
          <w:lang w:bidi="ar-EG"/>
        </w:rPr>
        <w:t xml:space="preserve">وعلى الرغم من </w:t>
      </w:r>
      <w:r w:rsidR="00795E99">
        <w:rPr>
          <w:rFonts w:hint="cs"/>
          <w:rtl/>
          <w:lang w:bidi="ar-EG"/>
        </w:rPr>
        <w:t>أن ملحقات الأسماء كانت تستعمل في البداية بغرض إنشاء</w:t>
      </w:r>
      <w:r w:rsidR="00A96594">
        <w:rPr>
          <w:rFonts w:hint="cs"/>
          <w:rtl/>
          <w:lang w:bidi="ar-EG"/>
        </w:rPr>
        <w:t xml:space="preserve"> قنوات اتصالات البيانات القائمة على الويب عبر </w:t>
      </w:r>
      <w:r w:rsidR="00707890">
        <w:rPr>
          <w:rFonts w:hint="cs"/>
          <w:rtl/>
          <w:lang w:bidi="ar-EG"/>
        </w:rPr>
        <w:t xml:space="preserve">بروتوكول </w:t>
      </w:r>
      <w:r w:rsidR="00A96594">
        <w:rPr>
          <w:rFonts w:hint="cs"/>
          <w:rtl/>
          <w:lang w:bidi="ar-EG"/>
        </w:rPr>
        <w:t>أمن طبقة النقل</w:t>
      </w:r>
      <w:r w:rsidR="00707890">
        <w:rPr>
          <w:rFonts w:hint="cs"/>
          <w:rtl/>
          <w:lang w:bidi="ar-EG"/>
        </w:rPr>
        <w:t xml:space="preserve"> </w:t>
      </w:r>
      <w:r w:rsidR="00E95DB0">
        <w:rPr>
          <w:rFonts w:hint="cs"/>
          <w:rtl/>
          <w:lang w:bidi="ar-EG"/>
        </w:rPr>
        <w:t>-</w:t>
      </w:r>
      <w:r w:rsidR="00707890">
        <w:rPr>
          <w:rFonts w:hint="cs"/>
          <w:rtl/>
          <w:lang w:bidi="ar-EG"/>
        </w:rPr>
        <w:t xml:space="preserve"> أو بروتوكول الطبقة الآمنة</w:t>
      </w:r>
      <w:r w:rsidR="00A2136D">
        <w:rPr>
          <w:rFonts w:hint="eastAsia"/>
          <w:rtl/>
          <w:lang w:bidi="ar-EG"/>
        </w:rPr>
        <w:t> </w:t>
      </w:r>
      <w:r w:rsidR="00707890">
        <w:rPr>
          <w:lang w:bidi="ar-EG"/>
        </w:rPr>
        <w:t>(TLS/SSL)</w:t>
      </w:r>
      <w:r w:rsidR="00707890">
        <w:rPr>
          <w:rFonts w:hint="cs"/>
          <w:rtl/>
          <w:lang w:bidi="ar-EG"/>
        </w:rPr>
        <w:t>،</w:t>
      </w:r>
      <w:r w:rsidR="00A9675C">
        <w:rPr>
          <w:rFonts w:hint="cs"/>
          <w:rtl/>
          <w:lang w:bidi="ar-EG"/>
        </w:rPr>
        <w:t xml:space="preserve"> </w:t>
      </w:r>
      <w:r w:rsidR="00D17FBB">
        <w:rPr>
          <w:rFonts w:hint="cs"/>
          <w:rtl/>
          <w:lang w:bidi="ar-EG"/>
        </w:rPr>
        <w:t xml:space="preserve">فإنه </w:t>
      </w:r>
      <w:proofErr w:type="spellStart"/>
      <w:r w:rsidR="00795E99">
        <w:rPr>
          <w:rFonts w:hint="cs"/>
          <w:rtl/>
          <w:lang w:bidi="ar-EG"/>
        </w:rPr>
        <w:t>يُعمد</w:t>
      </w:r>
      <w:proofErr w:type="spellEnd"/>
      <w:r w:rsidR="00795E99">
        <w:rPr>
          <w:rFonts w:hint="cs"/>
          <w:rtl/>
          <w:lang w:bidi="ar-EG"/>
        </w:rPr>
        <w:t xml:space="preserve"> إلى</w:t>
      </w:r>
      <w:r w:rsidR="00D17FBB">
        <w:rPr>
          <w:rFonts w:hint="cs"/>
          <w:rtl/>
          <w:lang w:bidi="ar-EG"/>
        </w:rPr>
        <w:t xml:space="preserve"> استعمالها</w:t>
      </w:r>
      <w:r w:rsidR="00A9675C">
        <w:rPr>
          <w:rFonts w:hint="cs"/>
          <w:rtl/>
          <w:lang w:bidi="ar-EG"/>
        </w:rPr>
        <w:t xml:space="preserve"> من أجل </w:t>
      </w:r>
      <w:r w:rsidR="00795E99">
        <w:rPr>
          <w:rFonts w:hint="cs"/>
          <w:rtl/>
          <w:lang w:bidi="ar-EG"/>
        </w:rPr>
        <w:t>ملحقات</w:t>
      </w:r>
      <w:r w:rsidR="00A9675C">
        <w:rPr>
          <w:rFonts w:hint="cs"/>
          <w:rtl/>
          <w:lang w:bidi="ar-EG"/>
        </w:rPr>
        <w:t xml:space="preserve"> بريد الإنترنت متعدد الأغراض/الآمن </w:t>
      </w:r>
      <w:r w:rsidR="00A9675C">
        <w:rPr>
          <w:lang w:bidi="ar-EG"/>
        </w:rPr>
        <w:t>(S/MIME)</w:t>
      </w:r>
      <w:r w:rsidR="00A9675C">
        <w:rPr>
          <w:rFonts w:hint="cs"/>
          <w:rtl/>
          <w:lang w:bidi="ar-EG"/>
        </w:rPr>
        <w:t xml:space="preserve">، وختم الوقت، </w:t>
      </w:r>
      <w:proofErr w:type="spellStart"/>
      <w:r w:rsidR="00A9675C">
        <w:rPr>
          <w:rFonts w:hint="cs"/>
          <w:rtl/>
          <w:lang w:bidi="ar-EG"/>
        </w:rPr>
        <w:t>والمهاتفة</w:t>
      </w:r>
      <w:proofErr w:type="spellEnd"/>
      <w:r w:rsidR="00A9675C">
        <w:rPr>
          <w:rFonts w:hint="cs"/>
          <w:rtl/>
          <w:lang w:bidi="ar-EG"/>
        </w:rPr>
        <w:t xml:space="preserve"> عبر بروتوكول الإنترنت</w:t>
      </w:r>
      <w:r w:rsidR="00A2136D">
        <w:rPr>
          <w:rFonts w:hint="eastAsia"/>
          <w:rtl/>
          <w:lang w:bidi="ar-EG"/>
        </w:rPr>
        <w:t> </w:t>
      </w:r>
      <w:r w:rsidR="00A9675C">
        <w:rPr>
          <w:lang w:bidi="ar-EG"/>
        </w:rPr>
        <w:t>(VoIP)</w:t>
      </w:r>
      <w:r w:rsidR="00A9675C">
        <w:rPr>
          <w:rFonts w:hint="cs"/>
          <w:rtl/>
          <w:lang w:bidi="ar-EG"/>
        </w:rPr>
        <w:t>، والمراسلة الآنية</w:t>
      </w:r>
      <w:r w:rsidR="00A2136D">
        <w:rPr>
          <w:rFonts w:hint="eastAsia"/>
          <w:rtl/>
          <w:lang w:bidi="ar-EG"/>
        </w:rPr>
        <w:t> </w:t>
      </w:r>
      <w:r w:rsidR="00A9675C">
        <w:rPr>
          <w:lang w:bidi="ar-EG"/>
        </w:rPr>
        <w:t>(IM)</w:t>
      </w:r>
      <w:r w:rsidR="00A9675C">
        <w:rPr>
          <w:rFonts w:hint="cs"/>
          <w:rtl/>
          <w:lang w:bidi="ar-EG"/>
        </w:rPr>
        <w:t>، وخدمات الويب</w:t>
      </w:r>
      <w:r w:rsidR="003461D3">
        <w:rPr>
          <w:rFonts w:hint="cs"/>
          <w:rtl/>
          <w:lang w:bidi="ar-EG"/>
        </w:rPr>
        <w:t>،</w:t>
      </w:r>
      <w:r w:rsidR="00A9675C">
        <w:rPr>
          <w:rFonts w:hint="cs"/>
          <w:rtl/>
          <w:lang w:bidi="ar-EG"/>
        </w:rPr>
        <w:t xml:space="preserve"> و</w:t>
      </w:r>
      <w:r w:rsidR="008C2DFB">
        <w:rPr>
          <w:rFonts w:hint="cs"/>
          <w:rtl/>
          <w:lang w:bidi="ar-EG"/>
        </w:rPr>
        <w:t>ما </w:t>
      </w:r>
      <w:r w:rsidR="00A9675C">
        <w:rPr>
          <w:rFonts w:hint="cs"/>
          <w:rtl/>
          <w:lang w:bidi="ar-EG"/>
        </w:rPr>
        <w:t>إلى</w:t>
      </w:r>
      <w:r w:rsidR="00795E99">
        <w:rPr>
          <w:rFonts w:hint="eastAsia"/>
          <w:rtl/>
          <w:lang w:bidi="ar-EG"/>
        </w:rPr>
        <w:t> </w:t>
      </w:r>
      <w:r w:rsidR="00A9675C">
        <w:rPr>
          <w:rFonts w:hint="cs"/>
          <w:rtl/>
          <w:lang w:bidi="ar-EG"/>
        </w:rPr>
        <w:t>ذلك.</w:t>
      </w:r>
    </w:p>
    <w:p w:rsidR="00A651D0" w:rsidRPr="00066DA8" w:rsidRDefault="00967927" w:rsidP="003461D3">
      <w:pPr>
        <w:rPr>
          <w:rtl/>
          <w:lang w:bidi="ar-EG"/>
        </w:rPr>
      </w:pPr>
      <w:r>
        <w:rPr>
          <w:rFonts w:hint="cs"/>
          <w:rtl/>
          <w:lang w:bidi="ar-EG"/>
        </w:rPr>
        <w:t>ي</w:t>
      </w:r>
      <w:r w:rsidR="00E2021E">
        <w:rPr>
          <w:rFonts w:hint="cs"/>
          <w:rtl/>
          <w:lang w:bidi="ar-EG"/>
        </w:rPr>
        <w:t xml:space="preserve">تمثل </w:t>
      </w:r>
      <w:r w:rsidR="00795E99">
        <w:rPr>
          <w:rFonts w:hint="cs"/>
          <w:rtl/>
          <w:lang w:bidi="ar-EG"/>
        </w:rPr>
        <w:t>الغرض الرئيسي</w:t>
      </w:r>
      <w:r w:rsidR="00A651D0">
        <w:rPr>
          <w:rFonts w:hint="cs"/>
          <w:rtl/>
          <w:lang w:bidi="ar-EG"/>
        </w:rPr>
        <w:t xml:space="preserve"> لهذه التوصية </w:t>
      </w:r>
      <w:r w:rsidR="00E2021E">
        <w:rPr>
          <w:rFonts w:hint="cs"/>
          <w:rtl/>
          <w:lang w:bidi="ar-EG"/>
        </w:rPr>
        <w:t>في</w:t>
      </w:r>
      <w:r w:rsidR="008C2DFB">
        <w:rPr>
          <w:rFonts w:hint="cs"/>
          <w:rtl/>
          <w:lang w:bidi="ar-EG"/>
        </w:rPr>
        <w:t>ما </w:t>
      </w:r>
      <w:r w:rsidR="00E2021E">
        <w:rPr>
          <w:rFonts w:hint="cs"/>
          <w:rtl/>
          <w:lang w:bidi="ar-EG"/>
        </w:rPr>
        <w:t>يلي</w:t>
      </w:r>
      <w:r w:rsidR="00A651D0">
        <w:rPr>
          <w:rFonts w:hint="cs"/>
          <w:rtl/>
          <w:lang w:bidi="ar-EG"/>
        </w:rPr>
        <w:t xml:space="preserve">: </w:t>
      </w:r>
      <w:r w:rsidR="00A651D0">
        <w:rPr>
          <w:lang w:bidi="ar-EG"/>
        </w:rPr>
        <w:t>(1</w:t>
      </w:r>
      <w:r w:rsidR="00A651D0">
        <w:rPr>
          <w:rFonts w:hint="cs"/>
          <w:rtl/>
          <w:lang w:bidi="ar-EG"/>
        </w:rPr>
        <w:t xml:space="preserve"> تحديد الكيان القانون</w:t>
      </w:r>
      <w:r w:rsidR="0032181B">
        <w:rPr>
          <w:rFonts w:hint="cs"/>
          <w:rtl/>
          <w:lang w:bidi="ar-EG"/>
        </w:rPr>
        <w:t>ي</w:t>
      </w:r>
      <w:r w:rsidR="00A651D0">
        <w:rPr>
          <w:rFonts w:hint="cs"/>
          <w:rtl/>
          <w:lang w:bidi="ar-EG"/>
        </w:rPr>
        <w:t xml:space="preserve"> الذي </w:t>
      </w:r>
      <w:r w:rsidR="00066DA8">
        <w:rPr>
          <w:rFonts w:hint="cs"/>
          <w:rtl/>
          <w:lang w:bidi="ar-EG"/>
        </w:rPr>
        <w:t>يحكم موقعاً إلكترونياً أو موقع خدمة</w:t>
      </w:r>
      <w:r w:rsidR="003461D3">
        <w:rPr>
          <w:rFonts w:hint="cs"/>
          <w:rtl/>
          <w:lang w:bidi="ar-EG"/>
        </w:rPr>
        <w:t>،</w:t>
      </w:r>
      <w:r w:rsidR="00066DA8">
        <w:rPr>
          <w:rFonts w:hint="cs"/>
          <w:rtl/>
          <w:lang w:bidi="ar-EG"/>
        </w:rPr>
        <w:t xml:space="preserve"> و</w:t>
      </w:r>
      <w:r w:rsidR="00066DA8">
        <w:rPr>
          <w:lang w:bidi="ar-EG"/>
        </w:rPr>
        <w:t>(2</w:t>
      </w:r>
      <w:r w:rsidR="003461D3">
        <w:rPr>
          <w:rFonts w:hint="eastAsia"/>
          <w:rtl/>
          <w:lang w:bidi="ar-EG"/>
        </w:rPr>
        <w:t> </w:t>
      </w:r>
      <w:r w:rsidR="00795E99">
        <w:rPr>
          <w:rFonts w:hint="cs"/>
          <w:rtl/>
          <w:lang w:bidi="ar-EG"/>
        </w:rPr>
        <w:t>إتاحة</w:t>
      </w:r>
      <w:r w:rsidR="00066DA8">
        <w:rPr>
          <w:rFonts w:hint="cs"/>
          <w:rtl/>
          <w:lang w:bidi="ar-EG"/>
        </w:rPr>
        <w:t xml:space="preserve"> الاتصالات </w:t>
      </w:r>
      <w:proofErr w:type="spellStart"/>
      <w:r w:rsidR="00066DA8">
        <w:rPr>
          <w:rFonts w:hint="cs"/>
          <w:rtl/>
          <w:lang w:bidi="ar-EG"/>
        </w:rPr>
        <w:t>المجفرة</w:t>
      </w:r>
      <w:proofErr w:type="spellEnd"/>
      <w:r w:rsidR="00066DA8">
        <w:rPr>
          <w:rFonts w:hint="cs"/>
          <w:rtl/>
          <w:lang w:bidi="ar-EG"/>
        </w:rPr>
        <w:t xml:space="preserve"> </w:t>
      </w:r>
      <w:r w:rsidR="00795E99">
        <w:rPr>
          <w:rFonts w:hint="cs"/>
          <w:rtl/>
          <w:lang w:bidi="ar-EG"/>
        </w:rPr>
        <w:t>مع</w:t>
      </w:r>
      <w:r w:rsidR="00066DA8">
        <w:rPr>
          <w:rFonts w:hint="cs"/>
          <w:rtl/>
          <w:lang w:bidi="ar-EG"/>
        </w:rPr>
        <w:t xml:space="preserve"> ذلك الموقع.</w:t>
      </w:r>
      <w:r w:rsidR="00E2021E">
        <w:rPr>
          <w:rFonts w:hint="cs"/>
          <w:rtl/>
          <w:lang w:bidi="ar-EG"/>
        </w:rPr>
        <w:t xml:space="preserve"> وتشمل الأغراض الثانوية تعزيز الأمن </w:t>
      </w:r>
      <w:proofErr w:type="spellStart"/>
      <w:r w:rsidR="00E2021E">
        <w:rPr>
          <w:rFonts w:hint="cs"/>
          <w:rtl/>
          <w:lang w:bidi="ar-EG"/>
        </w:rPr>
        <w:t>السيبراني</w:t>
      </w:r>
      <w:proofErr w:type="spellEnd"/>
      <w:r w:rsidR="00E2021E">
        <w:rPr>
          <w:rFonts w:hint="cs"/>
          <w:rtl/>
          <w:lang w:bidi="ar-EG"/>
        </w:rPr>
        <w:t xml:space="preserve"> إلى حد كبير من خلال المساعدة في تحديد شرعية منظمة </w:t>
      </w:r>
      <w:r w:rsidR="008C2DFB">
        <w:rPr>
          <w:rFonts w:hint="cs"/>
          <w:rtl/>
          <w:lang w:bidi="ar-EG"/>
        </w:rPr>
        <w:t>ما </w:t>
      </w:r>
      <w:r w:rsidR="00E2021E">
        <w:rPr>
          <w:rFonts w:hint="cs"/>
          <w:rtl/>
          <w:lang w:bidi="ar-EG"/>
        </w:rPr>
        <w:t>تدعي تشغيل موقع إلكتروني، وتوفير وسيلة يمكن استعمالها للمساعدة في معالجة المشاكل المتصلة بتوزيع البرمجيات الخبيثة و</w:t>
      </w:r>
      <w:r w:rsidR="006C3E62">
        <w:rPr>
          <w:rFonts w:hint="cs"/>
          <w:rtl/>
          <w:lang w:bidi="ar-EG"/>
        </w:rPr>
        <w:t>تصي</w:t>
      </w:r>
      <w:r w:rsidR="0032181B">
        <w:rPr>
          <w:rFonts w:hint="cs"/>
          <w:rtl/>
          <w:lang w:bidi="ar-EG"/>
        </w:rPr>
        <w:t>ّ</w:t>
      </w:r>
      <w:r w:rsidR="006C3E62">
        <w:rPr>
          <w:rFonts w:hint="cs"/>
          <w:rtl/>
          <w:lang w:bidi="ar-EG"/>
        </w:rPr>
        <w:t>د المعلومات وانتحال الشخصية ومختلف أشكال الاحتيال على</w:t>
      </w:r>
      <w:r w:rsidR="00A2136D">
        <w:rPr>
          <w:rFonts w:hint="eastAsia"/>
          <w:rtl/>
          <w:lang w:bidi="ar-EG"/>
        </w:rPr>
        <w:t> </w:t>
      </w:r>
      <w:r w:rsidR="006C3E62">
        <w:rPr>
          <w:rFonts w:hint="cs"/>
          <w:rtl/>
          <w:lang w:bidi="ar-EG"/>
        </w:rPr>
        <w:t>الخط.</w:t>
      </w:r>
    </w:p>
    <w:p w:rsidR="00E86170" w:rsidRPr="0002759A" w:rsidRDefault="00E86170" w:rsidP="00D0469A">
      <w:pPr>
        <w:tabs>
          <w:tab w:val="left" w:pos="794"/>
          <w:tab w:val="left" w:pos="1191"/>
          <w:tab w:val="left" w:pos="1588"/>
          <w:tab w:val="left" w:pos="1985"/>
          <w:tab w:val="center" w:pos="4816"/>
          <w:tab w:val="left" w:pos="7524"/>
        </w:tabs>
        <w:overflowPunct w:val="0"/>
        <w:autoSpaceDE w:val="0"/>
        <w:autoSpaceDN w:val="0"/>
        <w:adjustRightInd w:val="0"/>
        <w:spacing w:before="600"/>
        <w:jc w:val="center"/>
        <w:textAlignment w:val="baseline"/>
        <w:rPr>
          <w:rtl/>
          <w:lang w:bidi="ar-EG"/>
        </w:rPr>
      </w:pPr>
      <w:r w:rsidRPr="00E86170">
        <w:rPr>
          <w:rFonts w:hint="cs"/>
          <w:rtl/>
        </w:rPr>
        <w:t>ـــــــ</w:t>
      </w:r>
    </w:p>
    <w:sectPr w:rsidR="00E86170" w:rsidRPr="0002759A" w:rsidSect="00A72D0B">
      <w:headerReference w:type="default" r:id="rId10"/>
      <w:footerReference w:type="default" r:id="rId11"/>
      <w:footerReference w:type="first" r:id="rId12"/>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81E" w:rsidRDefault="005D081E">
      <w:r>
        <w:separator/>
      </w:r>
    </w:p>
  </w:endnote>
  <w:endnote w:type="continuationSeparator" w:id="0">
    <w:p w:rsidR="005D081E" w:rsidRDefault="005D0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F2" w:rsidRPr="000C34D5" w:rsidRDefault="000C34D5" w:rsidP="000C34D5">
    <w:pPr>
      <w:pStyle w:val="Footer"/>
      <w:bidi w:val="0"/>
      <w:rPr>
        <w:sz w:val="16"/>
        <w:lang w:val="fr-CH"/>
      </w:rPr>
    </w:pPr>
    <w:r>
      <w:rPr>
        <w:sz w:val="16"/>
        <w:lang w:val="fr-CH"/>
      </w:rPr>
      <w:t>ITU-T\BUREAU\CIRC\158A.DOC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5D081E">
      <w:tc>
        <w:tcPr>
          <w:tcW w:w="10149" w:type="dxa"/>
        </w:tcPr>
        <w:tbl>
          <w:tblPr>
            <w:tblW w:w="5000" w:type="pct"/>
            <w:tblLayout w:type="fixed"/>
            <w:tblCellMar>
              <w:left w:w="107" w:type="dxa"/>
              <w:right w:w="107" w:type="dxa"/>
            </w:tblCellMar>
            <w:tblLook w:val="0000"/>
          </w:tblPr>
          <w:tblGrid>
            <w:gridCol w:w="1984"/>
            <w:gridCol w:w="3270"/>
            <w:gridCol w:w="2432"/>
            <w:gridCol w:w="2247"/>
          </w:tblGrid>
          <w:tr w:rsidR="00547F02" w:rsidTr="00547F02">
            <w:trPr>
              <w:cantSplit/>
            </w:trPr>
            <w:tc>
              <w:tcPr>
                <w:tcW w:w="999" w:type="pct"/>
                <w:tcBorders>
                  <w:top w:val="single" w:sz="6" w:space="0" w:color="auto"/>
                </w:tcBorders>
                <w:tcMar>
                  <w:top w:w="57" w:type="dxa"/>
                </w:tcMar>
              </w:tcPr>
              <w:p w:rsidR="00547F02" w:rsidRDefault="00547F02" w:rsidP="00D93305">
                <w:pPr>
                  <w:pStyle w:val="itu"/>
                  <w:spacing w:before="0"/>
                  <w:rPr>
                    <w:rFonts w:ascii="Times New Roman" w:hAnsi="Times New Roman"/>
                    <w:lang w:val="fr-CH"/>
                  </w:rPr>
                </w:pPr>
                <w:r>
                  <w:rPr>
                    <w:rFonts w:ascii="Times New Roman" w:hAnsi="Times New Roman"/>
                    <w:lang w:val="fr-CH"/>
                  </w:rPr>
                  <w:t>Place des Nations</w:t>
                </w:r>
              </w:p>
            </w:tc>
            <w:tc>
              <w:tcPr>
                <w:tcW w:w="1646" w:type="pct"/>
                <w:tcBorders>
                  <w:top w:val="single" w:sz="6" w:space="0" w:color="auto"/>
                </w:tcBorders>
                <w:tcMar>
                  <w:top w:w="57" w:type="dxa"/>
                </w:tcMar>
              </w:tcPr>
              <w:p w:rsidR="00547F02" w:rsidRDefault="00547F02" w:rsidP="00547F02">
                <w:pPr>
                  <w:pStyle w:val="itu"/>
                  <w:tabs>
                    <w:tab w:val="clear" w:pos="709"/>
                    <w:tab w:val="clear" w:pos="794"/>
                  </w:tabs>
                  <w:spacing w:before="0"/>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547F02" w:rsidRDefault="00547F02" w:rsidP="00D93305">
                <w:pPr>
                  <w:pStyle w:val="itu"/>
                  <w:spacing w:before="0"/>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547F02" w:rsidRPr="00AA09A8" w:rsidRDefault="00547F02" w:rsidP="00D93305">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547F02" w:rsidTr="00547F02">
            <w:trPr>
              <w:cantSplit/>
            </w:trPr>
            <w:tc>
              <w:tcPr>
                <w:tcW w:w="999" w:type="pct"/>
              </w:tcPr>
              <w:p w:rsidR="00547F02" w:rsidRDefault="00547F02" w:rsidP="00D93305">
                <w:pPr>
                  <w:pStyle w:val="itu"/>
                  <w:spacing w:before="0"/>
                  <w:rPr>
                    <w:rFonts w:ascii="Times New Roman" w:hAnsi="Times New Roman"/>
                  </w:rPr>
                </w:pPr>
                <w:r>
                  <w:rPr>
                    <w:rFonts w:ascii="Times New Roman" w:hAnsi="Times New Roman"/>
                  </w:rPr>
                  <w:t xml:space="preserve">CH-1211 </w:t>
                </w:r>
                <w:smartTag w:uri="urn:schemas-microsoft-com:office:smarttags" w:element="City">
                  <w:smartTag w:uri="urn:schemas-microsoft-com:office:smarttags" w:element="place">
                    <w:r>
                      <w:rPr>
                        <w:rFonts w:ascii="Times New Roman" w:hAnsi="Times New Roman"/>
                      </w:rPr>
                      <w:t>Geneva</w:t>
                    </w:r>
                  </w:smartTag>
                </w:smartTag>
                <w:r>
                  <w:rPr>
                    <w:rFonts w:ascii="Times New Roman" w:hAnsi="Times New Roman"/>
                  </w:rPr>
                  <w:t xml:space="preserve"> 20</w:t>
                </w:r>
              </w:p>
            </w:tc>
            <w:tc>
              <w:tcPr>
                <w:tcW w:w="1646" w:type="pct"/>
              </w:tcPr>
              <w:p w:rsidR="00547F02" w:rsidRDefault="00547F02" w:rsidP="00547F02">
                <w:pPr>
                  <w:pStyle w:val="itu"/>
                  <w:tabs>
                    <w:tab w:val="clear" w:pos="709"/>
                  </w:tabs>
                  <w:spacing w:before="0"/>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547F02" w:rsidRDefault="00547F02" w:rsidP="00D93305">
                <w:pPr>
                  <w:pStyle w:val="itu"/>
                  <w:spacing w:before="0"/>
                  <w:rPr>
                    <w:rFonts w:ascii="Times New Roman" w:hAnsi="Times New Roman"/>
                  </w:rPr>
                </w:pPr>
                <w:r>
                  <w:rPr>
                    <w:rFonts w:ascii="Times New Roman" w:hAnsi="Times New Roman"/>
                  </w:rPr>
                  <w:t>Telegram ITU GENEVE</w:t>
                </w:r>
              </w:p>
            </w:tc>
            <w:tc>
              <w:tcPr>
                <w:tcW w:w="1131" w:type="pct"/>
              </w:tcPr>
              <w:p w:rsidR="00547F02" w:rsidRPr="00AA09A8" w:rsidRDefault="00547F02" w:rsidP="00D93305">
                <w:pPr>
                  <w:pStyle w:val="itu"/>
                  <w:spacing w:before="0"/>
                  <w:rPr>
                    <w:rFonts w:ascii="Times New Roman" w:hAnsi="Times New Roman"/>
                    <w:lang w:val="ru-RU"/>
                  </w:rPr>
                </w:pPr>
                <w:r>
                  <w:rPr>
                    <w:rFonts w:asciiTheme="minorHAnsi" w:hAnsiTheme="minorHAnsi"/>
                    <w:lang w:val="ru-RU"/>
                  </w:rPr>
                  <w:tab/>
                </w:r>
                <w:hyperlink r:id="rId2" w:history="1">
                  <w:r w:rsidRPr="00A11CC1">
                    <w:rPr>
                      <w:rStyle w:val="Hyperlink"/>
                      <w:rFonts w:ascii="Times New Roman" w:hAnsi="Times New Roman"/>
                    </w:rPr>
                    <w:t>www.itu.int</w:t>
                  </w:r>
                </w:hyperlink>
              </w:p>
            </w:tc>
          </w:tr>
          <w:tr w:rsidR="00547F02" w:rsidTr="00547F02">
            <w:trPr>
              <w:cantSplit/>
            </w:trPr>
            <w:tc>
              <w:tcPr>
                <w:tcW w:w="999" w:type="pct"/>
              </w:tcPr>
              <w:p w:rsidR="00547F02" w:rsidRDefault="00547F02" w:rsidP="00D93305">
                <w:pPr>
                  <w:pStyle w:val="itu"/>
                  <w:spacing w:before="0"/>
                  <w:rPr>
                    <w:rFonts w:ascii="Times New Roman" w:hAnsi="Times New Roman"/>
                    <w:lang w:val="fr-CH"/>
                  </w:rPr>
                </w:pPr>
                <w:proofErr w:type="spellStart"/>
                <w:r>
                  <w:rPr>
                    <w:rFonts w:ascii="Times New Roman" w:hAnsi="Times New Roman"/>
                    <w:lang w:val="fr-CH"/>
                  </w:rPr>
                  <w:t>Switzerland</w:t>
                </w:r>
                <w:proofErr w:type="spellEnd"/>
              </w:p>
            </w:tc>
            <w:tc>
              <w:tcPr>
                <w:tcW w:w="1646" w:type="pct"/>
              </w:tcPr>
              <w:p w:rsidR="00547F02" w:rsidRDefault="00547F02" w:rsidP="00547F02">
                <w:pPr>
                  <w:pStyle w:val="itu"/>
                  <w:tabs>
                    <w:tab w:val="clear" w:pos="709"/>
                  </w:tabs>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547F02" w:rsidRDefault="00547F02" w:rsidP="00D93305">
                <w:pPr>
                  <w:pStyle w:val="itu"/>
                  <w:spacing w:before="0"/>
                  <w:rPr>
                    <w:rFonts w:ascii="Times New Roman" w:hAnsi="Times New Roman"/>
                    <w:lang w:val="fr-CH"/>
                  </w:rPr>
                </w:pPr>
              </w:p>
            </w:tc>
            <w:tc>
              <w:tcPr>
                <w:tcW w:w="1131" w:type="pct"/>
              </w:tcPr>
              <w:p w:rsidR="00547F02" w:rsidRDefault="00547F02" w:rsidP="00D93305">
                <w:pPr>
                  <w:pStyle w:val="itu"/>
                  <w:spacing w:before="0"/>
                  <w:rPr>
                    <w:rFonts w:ascii="Times New Roman" w:hAnsi="Times New Roman"/>
                    <w:lang w:val="fr-CH"/>
                  </w:rPr>
                </w:pPr>
              </w:p>
            </w:tc>
          </w:tr>
        </w:tbl>
        <w:p w:rsidR="005D081E" w:rsidRDefault="005D081E">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p>
      </w:tc>
    </w:tr>
  </w:tbl>
  <w:p w:rsidR="005D081E" w:rsidRDefault="005D081E" w:rsidP="00547F02">
    <w:pPr>
      <w:pStyle w:val="Footer"/>
      <w:tabs>
        <w:tab w:val="clear" w:pos="4703"/>
        <w:tab w:val="clear" w:pos="9406"/>
        <w:tab w:val="right" w:pos="9617"/>
      </w:tabs>
      <w:bidi w:val="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81E" w:rsidRDefault="005D081E">
      <w:r>
        <w:separator/>
      </w:r>
    </w:p>
  </w:footnote>
  <w:footnote w:type="continuationSeparator" w:id="0">
    <w:p w:rsidR="005D081E" w:rsidRDefault="005D0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1E" w:rsidRDefault="005D081E" w:rsidP="008165EA">
    <w:pPr>
      <w:pStyle w:val="Header"/>
      <w:bidi w:val="0"/>
      <w:spacing w:before="0"/>
      <w:jc w:val="center"/>
    </w:pPr>
    <w:r>
      <w:t>- </w:t>
    </w:r>
    <w:r w:rsidR="00473754">
      <w:rPr>
        <w:rStyle w:val="PageNumber"/>
      </w:rPr>
      <w:fldChar w:fldCharType="begin"/>
    </w:r>
    <w:r>
      <w:rPr>
        <w:rStyle w:val="PageNumber"/>
      </w:rPr>
      <w:instrText xml:space="preserve"> PAGE </w:instrText>
    </w:r>
    <w:r w:rsidR="00473754">
      <w:rPr>
        <w:rStyle w:val="PageNumber"/>
      </w:rPr>
      <w:fldChar w:fldCharType="separate"/>
    </w:r>
    <w:r w:rsidR="00FE13F6">
      <w:rPr>
        <w:rStyle w:val="PageNumber"/>
        <w:noProof/>
      </w:rPr>
      <w:t>4</w:t>
    </w:r>
    <w:r w:rsidR="00473754">
      <w:rPr>
        <w:rStyle w:val="PageNumber"/>
      </w:rPr>
      <w:fldChar w:fldCharType="end"/>
    </w:r>
    <w: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1"/>
  <w:activeWritingStyle w:appName="MSWord" w:lang="fr-FR" w:vendorID="9" w:dllVersion="512" w:checkStyle="1"/>
  <w:proofState w:spelling="clean"/>
  <w:attachedTemplate r:id="rId1"/>
  <w:stylePaneFormatFilter w:val="3F01"/>
  <w:defaultTabStop w:val="794"/>
  <w:noPunctuationKerning/>
  <w:characterSpacingControl w:val="doNotCompress"/>
  <w:footnotePr>
    <w:footnote w:id="-1"/>
    <w:footnote w:id="0"/>
  </w:footnotePr>
  <w:endnotePr>
    <w:endnote w:id="-1"/>
    <w:endnote w:id="0"/>
  </w:endnotePr>
  <w:compat/>
  <w:rsids>
    <w:rsidRoot w:val="001A2BDF"/>
    <w:rsid w:val="00007769"/>
    <w:rsid w:val="000132B7"/>
    <w:rsid w:val="00017E52"/>
    <w:rsid w:val="0002759A"/>
    <w:rsid w:val="00037F62"/>
    <w:rsid w:val="000526D1"/>
    <w:rsid w:val="00060FB1"/>
    <w:rsid w:val="00064EC5"/>
    <w:rsid w:val="00066DA8"/>
    <w:rsid w:val="00070529"/>
    <w:rsid w:val="00081292"/>
    <w:rsid w:val="0008582E"/>
    <w:rsid w:val="00097DC9"/>
    <w:rsid w:val="000A182A"/>
    <w:rsid w:val="000A7621"/>
    <w:rsid w:val="000C00E7"/>
    <w:rsid w:val="000C34D5"/>
    <w:rsid w:val="000C5058"/>
    <w:rsid w:val="000D7065"/>
    <w:rsid w:val="0010144A"/>
    <w:rsid w:val="001014A9"/>
    <w:rsid w:val="00105B0B"/>
    <w:rsid w:val="00114841"/>
    <w:rsid w:val="00122039"/>
    <w:rsid w:val="001253B3"/>
    <w:rsid w:val="00127FFE"/>
    <w:rsid w:val="0014219A"/>
    <w:rsid w:val="001515DC"/>
    <w:rsid w:val="00153068"/>
    <w:rsid w:val="0016089E"/>
    <w:rsid w:val="001737BA"/>
    <w:rsid w:val="00173D0D"/>
    <w:rsid w:val="00180899"/>
    <w:rsid w:val="00187B24"/>
    <w:rsid w:val="0019658A"/>
    <w:rsid w:val="00196C93"/>
    <w:rsid w:val="001A2BDF"/>
    <w:rsid w:val="001B3983"/>
    <w:rsid w:val="001D1DF8"/>
    <w:rsid w:val="001D39B3"/>
    <w:rsid w:val="001D6103"/>
    <w:rsid w:val="001E252E"/>
    <w:rsid w:val="001F6CD8"/>
    <w:rsid w:val="00207FDE"/>
    <w:rsid w:val="00224522"/>
    <w:rsid w:val="00226515"/>
    <w:rsid w:val="00235C8A"/>
    <w:rsid w:val="00252290"/>
    <w:rsid w:val="00270EF9"/>
    <w:rsid w:val="00286C44"/>
    <w:rsid w:val="00293BD2"/>
    <w:rsid w:val="002947F9"/>
    <w:rsid w:val="002B45A1"/>
    <w:rsid w:val="002C5431"/>
    <w:rsid w:val="002E3F3A"/>
    <w:rsid w:val="00301350"/>
    <w:rsid w:val="0032181B"/>
    <w:rsid w:val="003461D3"/>
    <w:rsid w:val="003546C0"/>
    <w:rsid w:val="00363E8E"/>
    <w:rsid w:val="00377AA8"/>
    <w:rsid w:val="00393E7C"/>
    <w:rsid w:val="00397C1C"/>
    <w:rsid w:val="003A5ACF"/>
    <w:rsid w:val="003C0B9F"/>
    <w:rsid w:val="003D2D72"/>
    <w:rsid w:val="003D5CE7"/>
    <w:rsid w:val="003D5DAE"/>
    <w:rsid w:val="003E45D3"/>
    <w:rsid w:val="004067A6"/>
    <w:rsid w:val="004150BF"/>
    <w:rsid w:val="00422171"/>
    <w:rsid w:val="00423A04"/>
    <w:rsid w:val="0044260C"/>
    <w:rsid w:val="00453B16"/>
    <w:rsid w:val="00455978"/>
    <w:rsid w:val="004579B5"/>
    <w:rsid w:val="00460024"/>
    <w:rsid w:val="004603FF"/>
    <w:rsid w:val="00463519"/>
    <w:rsid w:val="004664BC"/>
    <w:rsid w:val="004732C4"/>
    <w:rsid w:val="00473754"/>
    <w:rsid w:val="00473B0F"/>
    <w:rsid w:val="00491CBD"/>
    <w:rsid w:val="00496580"/>
    <w:rsid w:val="004A2A6B"/>
    <w:rsid w:val="004B08B1"/>
    <w:rsid w:val="004D363D"/>
    <w:rsid w:val="004E0C3A"/>
    <w:rsid w:val="004E1059"/>
    <w:rsid w:val="004E36BA"/>
    <w:rsid w:val="004E4BB7"/>
    <w:rsid w:val="00502D73"/>
    <w:rsid w:val="00511167"/>
    <w:rsid w:val="00514844"/>
    <w:rsid w:val="005206E2"/>
    <w:rsid w:val="005212EE"/>
    <w:rsid w:val="005250FD"/>
    <w:rsid w:val="00526511"/>
    <w:rsid w:val="0052759A"/>
    <w:rsid w:val="0053121A"/>
    <w:rsid w:val="0054515F"/>
    <w:rsid w:val="00547F02"/>
    <w:rsid w:val="00550096"/>
    <w:rsid w:val="0055120D"/>
    <w:rsid w:val="005645E7"/>
    <w:rsid w:val="00575402"/>
    <w:rsid w:val="005870DA"/>
    <w:rsid w:val="00591E68"/>
    <w:rsid w:val="005960F3"/>
    <w:rsid w:val="005A2D35"/>
    <w:rsid w:val="005C077A"/>
    <w:rsid w:val="005D081E"/>
    <w:rsid w:val="005D467E"/>
    <w:rsid w:val="005D488B"/>
    <w:rsid w:val="005D7B56"/>
    <w:rsid w:val="005D7EFC"/>
    <w:rsid w:val="005E007E"/>
    <w:rsid w:val="005F07C4"/>
    <w:rsid w:val="005F33FD"/>
    <w:rsid w:val="005F45C0"/>
    <w:rsid w:val="005F6833"/>
    <w:rsid w:val="005F73FF"/>
    <w:rsid w:val="006079CB"/>
    <w:rsid w:val="006116BA"/>
    <w:rsid w:val="00637FB5"/>
    <w:rsid w:val="006418EE"/>
    <w:rsid w:val="00657D6B"/>
    <w:rsid w:val="00661969"/>
    <w:rsid w:val="00666F6F"/>
    <w:rsid w:val="00672F8B"/>
    <w:rsid w:val="00673AE4"/>
    <w:rsid w:val="00682032"/>
    <w:rsid w:val="006A0CB2"/>
    <w:rsid w:val="006A3CE8"/>
    <w:rsid w:val="006A6739"/>
    <w:rsid w:val="006B06A1"/>
    <w:rsid w:val="006C3E62"/>
    <w:rsid w:val="006D49AD"/>
    <w:rsid w:val="006D4CC1"/>
    <w:rsid w:val="00707890"/>
    <w:rsid w:val="00713A1B"/>
    <w:rsid w:val="007149A7"/>
    <w:rsid w:val="007171AE"/>
    <w:rsid w:val="00733541"/>
    <w:rsid w:val="00734DF0"/>
    <w:rsid w:val="00746048"/>
    <w:rsid w:val="00753B71"/>
    <w:rsid w:val="007554C9"/>
    <w:rsid w:val="00762ED5"/>
    <w:rsid w:val="00775E3D"/>
    <w:rsid w:val="00795E99"/>
    <w:rsid w:val="007A66C2"/>
    <w:rsid w:val="007A6984"/>
    <w:rsid w:val="007C6F3F"/>
    <w:rsid w:val="007E0400"/>
    <w:rsid w:val="007E1B25"/>
    <w:rsid w:val="007E36E3"/>
    <w:rsid w:val="00805730"/>
    <w:rsid w:val="008165EA"/>
    <w:rsid w:val="00821C4C"/>
    <w:rsid w:val="00822669"/>
    <w:rsid w:val="008226F2"/>
    <w:rsid w:val="0082673E"/>
    <w:rsid w:val="0085168F"/>
    <w:rsid w:val="00854A8E"/>
    <w:rsid w:val="00866CFB"/>
    <w:rsid w:val="00873D50"/>
    <w:rsid w:val="00882301"/>
    <w:rsid w:val="00884381"/>
    <w:rsid w:val="00885897"/>
    <w:rsid w:val="008A34FD"/>
    <w:rsid w:val="008A5C0A"/>
    <w:rsid w:val="008B4031"/>
    <w:rsid w:val="008C2DFB"/>
    <w:rsid w:val="008C41E6"/>
    <w:rsid w:val="008E4CCA"/>
    <w:rsid w:val="008F5F35"/>
    <w:rsid w:val="009015FD"/>
    <w:rsid w:val="00911629"/>
    <w:rsid w:val="00921737"/>
    <w:rsid w:val="009312D0"/>
    <w:rsid w:val="00933762"/>
    <w:rsid w:val="0093679C"/>
    <w:rsid w:val="0094567F"/>
    <w:rsid w:val="009535B1"/>
    <w:rsid w:val="00965582"/>
    <w:rsid w:val="00967927"/>
    <w:rsid w:val="00973D3C"/>
    <w:rsid w:val="0097651D"/>
    <w:rsid w:val="00983A6E"/>
    <w:rsid w:val="009946A9"/>
    <w:rsid w:val="00996302"/>
    <w:rsid w:val="009A630E"/>
    <w:rsid w:val="009B0414"/>
    <w:rsid w:val="009B27D3"/>
    <w:rsid w:val="009D3962"/>
    <w:rsid w:val="009F3DDC"/>
    <w:rsid w:val="009F4B09"/>
    <w:rsid w:val="00A0722A"/>
    <w:rsid w:val="00A2136D"/>
    <w:rsid w:val="00A22904"/>
    <w:rsid w:val="00A26EA0"/>
    <w:rsid w:val="00A651D0"/>
    <w:rsid w:val="00A655AC"/>
    <w:rsid w:val="00A66012"/>
    <w:rsid w:val="00A72D0B"/>
    <w:rsid w:val="00A83A6D"/>
    <w:rsid w:val="00A858F8"/>
    <w:rsid w:val="00A96594"/>
    <w:rsid w:val="00A9675C"/>
    <w:rsid w:val="00AA1A6E"/>
    <w:rsid w:val="00AB1A52"/>
    <w:rsid w:val="00AE6A7C"/>
    <w:rsid w:val="00B04630"/>
    <w:rsid w:val="00B06EFE"/>
    <w:rsid w:val="00B10464"/>
    <w:rsid w:val="00B153B4"/>
    <w:rsid w:val="00B232BD"/>
    <w:rsid w:val="00B6117B"/>
    <w:rsid w:val="00B7558A"/>
    <w:rsid w:val="00B805FD"/>
    <w:rsid w:val="00B8137B"/>
    <w:rsid w:val="00B84E5D"/>
    <w:rsid w:val="00B85152"/>
    <w:rsid w:val="00BA2CE3"/>
    <w:rsid w:val="00BA7EDA"/>
    <w:rsid w:val="00BB302B"/>
    <w:rsid w:val="00BB7150"/>
    <w:rsid w:val="00BC02F2"/>
    <w:rsid w:val="00BC0CCD"/>
    <w:rsid w:val="00BC7EC8"/>
    <w:rsid w:val="00BD2700"/>
    <w:rsid w:val="00BD2DA0"/>
    <w:rsid w:val="00BD7C09"/>
    <w:rsid w:val="00BF1256"/>
    <w:rsid w:val="00C17481"/>
    <w:rsid w:val="00C25DAB"/>
    <w:rsid w:val="00C42FC9"/>
    <w:rsid w:val="00C56944"/>
    <w:rsid w:val="00C62841"/>
    <w:rsid w:val="00C63A1C"/>
    <w:rsid w:val="00C63C06"/>
    <w:rsid w:val="00C72254"/>
    <w:rsid w:val="00C8258A"/>
    <w:rsid w:val="00C96833"/>
    <w:rsid w:val="00CA3B2C"/>
    <w:rsid w:val="00CB2C40"/>
    <w:rsid w:val="00CC30F9"/>
    <w:rsid w:val="00CD501C"/>
    <w:rsid w:val="00CE51A0"/>
    <w:rsid w:val="00CE5A46"/>
    <w:rsid w:val="00CF2045"/>
    <w:rsid w:val="00CF7700"/>
    <w:rsid w:val="00D0469A"/>
    <w:rsid w:val="00D07074"/>
    <w:rsid w:val="00D17FBB"/>
    <w:rsid w:val="00D40E92"/>
    <w:rsid w:val="00D533B3"/>
    <w:rsid w:val="00D64843"/>
    <w:rsid w:val="00D807A7"/>
    <w:rsid w:val="00D82350"/>
    <w:rsid w:val="00D82615"/>
    <w:rsid w:val="00D87242"/>
    <w:rsid w:val="00D9465A"/>
    <w:rsid w:val="00DC561D"/>
    <w:rsid w:val="00DE76C6"/>
    <w:rsid w:val="00DF0FD8"/>
    <w:rsid w:val="00DF5C18"/>
    <w:rsid w:val="00E131C3"/>
    <w:rsid w:val="00E2021E"/>
    <w:rsid w:val="00E22575"/>
    <w:rsid w:val="00E27DA6"/>
    <w:rsid w:val="00E65206"/>
    <w:rsid w:val="00E6761D"/>
    <w:rsid w:val="00E76382"/>
    <w:rsid w:val="00E86170"/>
    <w:rsid w:val="00E95DB0"/>
    <w:rsid w:val="00E96B35"/>
    <w:rsid w:val="00ED11B8"/>
    <w:rsid w:val="00ED79D2"/>
    <w:rsid w:val="00EE717A"/>
    <w:rsid w:val="00EF2363"/>
    <w:rsid w:val="00F02A79"/>
    <w:rsid w:val="00F0698D"/>
    <w:rsid w:val="00F0727B"/>
    <w:rsid w:val="00F11BC4"/>
    <w:rsid w:val="00F124E1"/>
    <w:rsid w:val="00F202BB"/>
    <w:rsid w:val="00F272FF"/>
    <w:rsid w:val="00F318DD"/>
    <w:rsid w:val="00F34E18"/>
    <w:rsid w:val="00F45FE9"/>
    <w:rsid w:val="00F5257A"/>
    <w:rsid w:val="00F62A87"/>
    <w:rsid w:val="00F83A05"/>
    <w:rsid w:val="00F917B1"/>
    <w:rsid w:val="00FB3A15"/>
    <w:rsid w:val="00FB6B6D"/>
    <w:rsid w:val="00FC593B"/>
    <w:rsid w:val="00FD49B3"/>
    <w:rsid w:val="00FE06DC"/>
    <w:rsid w:val="00FE13F6"/>
    <w:rsid w:val="00FE33B4"/>
    <w:rsid w:val="00FF4798"/>
    <w:rsid w:val="00FF6D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D0B"/>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D0B"/>
    <w:pPr>
      <w:tabs>
        <w:tab w:val="center" w:pos="4703"/>
        <w:tab w:val="right" w:pos="9406"/>
      </w:tabs>
    </w:pPr>
  </w:style>
  <w:style w:type="paragraph" w:styleId="Footer">
    <w:name w:val="footer"/>
    <w:basedOn w:val="Normal"/>
    <w:link w:val="FooterChar"/>
    <w:qFormat/>
    <w:rsid w:val="00A72D0B"/>
    <w:pPr>
      <w:tabs>
        <w:tab w:val="center" w:pos="4703"/>
        <w:tab w:val="right" w:pos="9406"/>
      </w:tabs>
    </w:pPr>
  </w:style>
  <w:style w:type="character" w:styleId="Hyperlink">
    <w:name w:val="Hyperlink"/>
    <w:basedOn w:val="DefaultParagraphFont"/>
    <w:rsid w:val="00A72D0B"/>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customStyle="1" w:styleId="Annextitle">
    <w:name w:val="Annex_title"/>
    <w:basedOn w:val="Normal"/>
    <w:next w:val="Normal"/>
    <w:rsid w:val="00FF479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paragraph" w:customStyle="1" w:styleId="Normalaftertitle">
    <w:name w:val="Normal after title"/>
    <w:basedOn w:val="Normal"/>
    <w:next w:val="Normal"/>
    <w:rsid w:val="00252290"/>
    <w:pPr>
      <w:overflowPunct w:val="0"/>
      <w:autoSpaceDE w:val="0"/>
      <w:autoSpaceDN w:val="0"/>
      <w:adjustRightInd w:val="0"/>
      <w:spacing w:before="240" w:line="240" w:lineRule="auto"/>
      <w:jc w:val="left"/>
      <w:textAlignment w:val="baseline"/>
    </w:pPr>
    <w:rPr>
      <w:sz w:val="20"/>
      <w:szCs w:val="26"/>
    </w:rPr>
  </w:style>
  <w:style w:type="paragraph" w:customStyle="1" w:styleId="heading-ib">
    <w:name w:val="heading-i_b"/>
    <w:basedOn w:val="Normal"/>
    <w:next w:val="Normal"/>
    <w:rsid w:val="006079CB"/>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character" w:customStyle="1" w:styleId="FooterChar">
    <w:name w:val="Footer Char"/>
    <w:basedOn w:val="DefaultParagraphFont"/>
    <w:link w:val="Footer"/>
    <w:locked/>
    <w:rsid w:val="00081292"/>
    <w:rPr>
      <w:rFonts w:cs="Traditional Arabic"/>
      <w:sz w:val="22"/>
      <w:szCs w:val="30"/>
      <w:lang w:eastAsia="en-US"/>
    </w:rPr>
  </w:style>
  <w:style w:type="paragraph" w:customStyle="1" w:styleId="Headingb">
    <w:name w:val="Heading_b"/>
    <w:basedOn w:val="Normal"/>
    <w:next w:val="Normal"/>
    <w:rsid w:val="00F917B1"/>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character" w:styleId="FollowedHyperlink">
    <w:name w:val="FollowedHyperlink"/>
    <w:basedOn w:val="DefaultParagraphFont"/>
    <w:rsid w:val="00E6761D"/>
    <w:rPr>
      <w:color w:val="800080" w:themeColor="followedHyperlink"/>
      <w:u w:val="single"/>
    </w:rPr>
  </w:style>
  <w:style w:type="paragraph" w:customStyle="1" w:styleId="itu">
    <w:name w:val="itu"/>
    <w:basedOn w:val="Normal"/>
    <w:rsid w:val="00547F02"/>
    <w:pPr>
      <w:tabs>
        <w:tab w:val="left" w:pos="709"/>
        <w:tab w:val="left" w:pos="794"/>
        <w:tab w:val="left" w:pos="1134"/>
        <w:tab w:val="left" w:pos="1191"/>
        <w:tab w:val="left" w:pos="1588"/>
        <w:tab w:val="left" w:pos="1985"/>
      </w:tabs>
      <w:bidi w:val="0"/>
      <w:spacing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529952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alouzi\Application%20Data\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52B6517-FA21-4BA1-9E9E-7542FA98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Template>
  <TotalTime>0</TotalTime>
  <Pages>4</Pages>
  <Words>1106</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6983</CharactersWithSpaces>
  <SharedDoc>false</SharedDoc>
  <HLinks>
    <vt:vector size="12" baseType="variant">
      <vt:variant>
        <vt:i4>5832781</vt:i4>
      </vt:variant>
      <vt:variant>
        <vt:i4>0</vt:i4>
      </vt:variant>
      <vt:variant>
        <vt:i4>0</vt:i4>
      </vt:variant>
      <vt:variant>
        <vt:i4>5</vt:i4>
      </vt:variant>
      <vt:variant>
        <vt:lpwstr>http://www.itu.int/ITU-T/ipr/</vt:lpwstr>
      </vt:variant>
      <vt:variant>
        <vt:lpwstr/>
      </vt:variant>
      <vt:variant>
        <vt:i4>5636166</vt:i4>
      </vt:variant>
      <vt:variant>
        <vt:i4>9</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altalouzi</dc:creator>
  <cp:keywords/>
  <dc:description/>
  <cp:lastModifiedBy>bettini</cp:lastModifiedBy>
  <cp:revision>2</cp:revision>
  <cp:lastPrinted>2011-01-14T15:54:00Z</cp:lastPrinted>
  <dcterms:created xsi:type="dcterms:W3CDTF">2011-01-18T09:37:00Z</dcterms:created>
  <dcterms:modified xsi:type="dcterms:W3CDTF">2011-01-18T09:37:00Z</dcterms:modified>
</cp:coreProperties>
</file>