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AA5543">
      <w:pPr>
        <w:tabs>
          <w:tab w:val="clear" w:pos="794"/>
          <w:tab w:val="clear" w:pos="1191"/>
          <w:tab w:val="clear" w:pos="1588"/>
          <w:tab w:val="clear" w:pos="1985"/>
          <w:tab w:val="left" w:pos="6480"/>
        </w:tabs>
        <w:rPr>
          <w:szCs w:val="24"/>
          <w:lang w:eastAsia="zh-CN"/>
        </w:rPr>
      </w:pPr>
      <w:r>
        <w:rPr>
          <w:sz w:val="23"/>
          <w:szCs w:val="23"/>
        </w:rPr>
        <w:tab/>
      </w:r>
      <w:r w:rsidR="003B7E3E">
        <w:rPr>
          <w:rFonts w:hint="eastAsia"/>
          <w:sz w:val="23"/>
          <w:szCs w:val="23"/>
          <w:lang w:eastAsia="zh-CN"/>
        </w:rPr>
        <w:t>2010</w:t>
      </w:r>
      <w:r w:rsidR="0033229B" w:rsidRPr="0033229B">
        <w:rPr>
          <w:rFonts w:hint="eastAsia"/>
          <w:szCs w:val="24"/>
          <w:lang w:eastAsia="zh-CN"/>
        </w:rPr>
        <w:t>年</w:t>
      </w:r>
      <w:r w:rsidR="006A736A">
        <w:rPr>
          <w:rFonts w:hint="eastAsia"/>
          <w:szCs w:val="24"/>
          <w:lang w:eastAsia="zh-CN"/>
        </w:rPr>
        <w:t xml:space="preserve"> </w:t>
      </w:r>
      <w:r w:rsidR="003B7E3E">
        <w:rPr>
          <w:rFonts w:hint="eastAsia"/>
          <w:szCs w:val="24"/>
          <w:lang w:eastAsia="zh-CN"/>
        </w:rPr>
        <w:t xml:space="preserve">5 </w:t>
      </w:r>
      <w:r w:rsidR="0033229B" w:rsidRPr="0033229B">
        <w:rPr>
          <w:rFonts w:hint="eastAsia"/>
          <w:szCs w:val="24"/>
          <w:lang w:eastAsia="zh-CN"/>
        </w:rPr>
        <w:t>月</w:t>
      </w:r>
      <w:r w:rsidR="006A736A">
        <w:rPr>
          <w:rFonts w:hint="eastAsia"/>
          <w:szCs w:val="24"/>
          <w:lang w:eastAsia="zh-CN"/>
        </w:rPr>
        <w:t xml:space="preserve"> </w:t>
      </w:r>
      <w:r w:rsidR="003B7E3E">
        <w:rPr>
          <w:rFonts w:hint="eastAsia"/>
          <w:szCs w:val="24"/>
          <w:lang w:eastAsia="zh-CN"/>
        </w:rPr>
        <w:t xml:space="preserve">25 </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E1779A">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466AAA">
            <w:pPr>
              <w:tabs>
                <w:tab w:val="left" w:pos="4111"/>
              </w:tabs>
              <w:spacing w:before="0"/>
              <w:ind w:left="57"/>
              <w:rPr>
                <w:b/>
                <w:lang w:eastAsia="zh-CN"/>
              </w:rPr>
            </w:pPr>
            <w:r>
              <w:rPr>
                <w:rFonts w:ascii="Futura Lt BT" w:hAnsi="Futura Lt BT" w:hint="eastAsia"/>
                <w:b/>
                <w:bCs/>
                <w:iCs/>
                <w:lang w:eastAsia="zh-CN"/>
              </w:rPr>
              <w:t>电信标准化局第</w:t>
            </w:r>
            <w:r w:rsidR="00466AAA">
              <w:rPr>
                <w:rFonts w:hint="eastAsia"/>
                <w:b/>
                <w:lang w:eastAsia="zh-CN"/>
              </w:rPr>
              <w:t>113</w:t>
            </w:r>
            <w:r>
              <w:rPr>
                <w:rFonts w:ascii="Futura Lt BT" w:hAnsi="Futura Lt BT" w:hint="eastAsia"/>
                <w:b/>
                <w:bCs/>
                <w:iCs/>
                <w:lang w:val="fr-CH" w:eastAsia="zh-CN"/>
              </w:rPr>
              <w:t>号</w:t>
            </w:r>
            <w:r>
              <w:rPr>
                <w:rFonts w:hint="eastAsia"/>
                <w:b/>
                <w:lang w:eastAsia="zh-CN"/>
              </w:rPr>
              <w:t>通函</w:t>
            </w:r>
          </w:p>
          <w:p w:rsidR="00E1779A" w:rsidRDefault="00466AAA" w:rsidP="00466AAA">
            <w:pPr>
              <w:tabs>
                <w:tab w:val="left" w:pos="4111"/>
              </w:tabs>
              <w:spacing w:before="0"/>
              <w:ind w:left="57"/>
              <w:rPr>
                <w:bCs/>
                <w:lang w:eastAsia="zh-CN"/>
              </w:rPr>
            </w:pPr>
            <w:r>
              <w:rPr>
                <w:rFonts w:hint="eastAsia"/>
                <w:bCs/>
                <w:lang w:eastAsia="zh-CN"/>
              </w:rPr>
              <w:t>FG Smart</w:t>
            </w:r>
            <w:r w:rsidR="00E1779A">
              <w:rPr>
                <w:rFonts w:hint="eastAsia"/>
                <w:bCs/>
                <w:lang w:eastAsia="zh-CN"/>
              </w:rPr>
              <w:t>/</w:t>
            </w:r>
            <w:r>
              <w:rPr>
                <w:rFonts w:hint="eastAsia"/>
                <w:bCs/>
                <w:lang w:eastAsia="zh-CN"/>
              </w:rPr>
              <w:t>H</w:t>
            </w:r>
            <w:r w:rsidR="00E1779A">
              <w:rPr>
                <w:rFonts w:hint="eastAsia"/>
                <w:bCs/>
                <w:lang w:eastAsia="zh-CN"/>
              </w:rPr>
              <w:t>.</w:t>
            </w:r>
            <w:r>
              <w:rPr>
                <w:rFonts w:hint="eastAsia"/>
                <w:bCs/>
                <w:lang w:eastAsia="zh-CN"/>
              </w:rPr>
              <w:t>O.</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B12C71">
              <w:rPr>
                <w:rFonts w:hint="eastAsia"/>
                <w:lang w:eastAsia="zh-CN"/>
              </w:rPr>
              <w:t>6356</w:t>
            </w:r>
            <w:r>
              <w:rPr>
                <w:lang w:eastAsia="zh-CN"/>
              </w:rPr>
              <w:br/>
              <w:t>+41 22 730 5853</w:t>
            </w:r>
          </w:p>
          <w:p w:rsidR="00E1779A" w:rsidRDefault="00E1779A" w:rsidP="002A1603">
            <w:pPr>
              <w:tabs>
                <w:tab w:val="left" w:pos="4111"/>
              </w:tabs>
              <w:spacing w:before="0"/>
              <w:ind w:left="57"/>
              <w:rPr>
                <w:b/>
                <w:lang w:eastAsia="zh-CN"/>
              </w:rPr>
            </w:pPr>
          </w:p>
        </w:tc>
        <w:tc>
          <w:tcPr>
            <w:tcW w:w="4536"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B112F2" w:rsidP="001579CD">
            <w:pPr>
              <w:tabs>
                <w:tab w:val="left" w:pos="4111"/>
              </w:tabs>
              <w:spacing w:before="240"/>
              <w:ind w:left="57"/>
              <w:rPr>
                <w:lang w:eastAsia="zh-CN"/>
              </w:rPr>
            </w:pPr>
            <w:hyperlink r:id="rId9" w:history="1">
              <w:r w:rsidR="00B12C71" w:rsidRPr="0036180B">
                <w:rPr>
                  <w:rStyle w:val="Hyperlink"/>
                </w:rPr>
                <w:t>tsbfgsmart@itu.int</w:t>
              </w:r>
            </w:hyperlink>
          </w:p>
        </w:tc>
        <w:tc>
          <w:tcPr>
            <w:tcW w:w="4536"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1779A">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466AAA">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1779A" w:rsidRDefault="00E1779A" w:rsidP="002A1603">
            <w:pPr>
              <w:tabs>
                <w:tab w:val="clear" w:pos="794"/>
                <w:tab w:val="left" w:pos="141"/>
                <w:tab w:val="left" w:pos="4111"/>
              </w:tabs>
              <w:spacing w:before="0"/>
              <w:rPr>
                <w:lang w:eastAsia="zh-CN"/>
              </w:rPr>
            </w:pPr>
          </w:p>
        </w:tc>
      </w:tr>
      <w:tr w:rsidR="00E1779A">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536"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466AAA" w:rsidP="00B12C71">
            <w:pPr>
              <w:tabs>
                <w:tab w:val="left" w:pos="4111"/>
              </w:tabs>
              <w:spacing w:before="0"/>
              <w:ind w:left="57" w:right="28"/>
              <w:rPr>
                <w:b/>
                <w:lang w:eastAsia="zh-CN"/>
              </w:rPr>
            </w:pPr>
            <w:r>
              <w:rPr>
                <w:rFonts w:hint="eastAsia"/>
                <w:b/>
                <w:lang w:eastAsia="zh-CN"/>
              </w:rPr>
              <w:t>建立一个</w:t>
            </w:r>
            <w:r w:rsidR="00B12C71">
              <w:rPr>
                <w:rFonts w:hint="eastAsia"/>
                <w:b/>
                <w:lang w:eastAsia="zh-CN"/>
              </w:rPr>
              <w:t>新的</w:t>
            </w:r>
            <w:r>
              <w:rPr>
                <w:rFonts w:hint="eastAsia"/>
                <w:b/>
                <w:lang w:eastAsia="zh-CN"/>
              </w:rPr>
              <w:t>智能电网焦点组</w:t>
            </w:r>
            <w:r w:rsidR="0073042F">
              <w:rPr>
                <w:rFonts w:hint="eastAsia"/>
                <w:b/>
                <w:lang w:eastAsia="zh-CN"/>
              </w:rPr>
              <w:t>（</w:t>
            </w:r>
            <w:r w:rsidR="00B80E26" w:rsidRPr="00B80E26">
              <w:rPr>
                <w:b/>
                <w:bCs/>
                <w:lang w:eastAsia="zh-CN"/>
              </w:rPr>
              <w:t>FG</w:t>
            </w:r>
            <w:r w:rsidR="00B80E26" w:rsidRPr="00B80E26">
              <w:rPr>
                <w:rFonts w:hint="eastAsia"/>
                <w:b/>
                <w:bCs/>
                <w:lang w:eastAsia="zh-CN"/>
              </w:rPr>
              <w:t xml:space="preserve"> Smart</w:t>
            </w:r>
            <w:r w:rsidR="0073042F">
              <w:rPr>
                <w:rFonts w:hint="eastAsia"/>
                <w:b/>
                <w:lang w:eastAsia="zh-CN"/>
              </w:rPr>
              <w:t>）</w:t>
            </w:r>
            <w:r>
              <w:rPr>
                <w:rFonts w:hint="eastAsia"/>
                <w:b/>
                <w:lang w:eastAsia="zh-CN"/>
              </w:rPr>
              <w:t>；</w:t>
            </w:r>
          </w:p>
          <w:p w:rsidR="00E1779A" w:rsidRDefault="00B12C71" w:rsidP="00466AAA">
            <w:pPr>
              <w:tabs>
                <w:tab w:val="left" w:pos="4111"/>
              </w:tabs>
              <w:spacing w:before="0"/>
              <w:ind w:left="57"/>
              <w:rPr>
                <w:b/>
                <w:bCs/>
                <w:lang w:eastAsia="zh-CN"/>
              </w:rPr>
            </w:pPr>
            <w:r w:rsidRPr="00B80E26">
              <w:rPr>
                <w:b/>
                <w:bCs/>
                <w:lang w:eastAsia="zh-CN"/>
              </w:rPr>
              <w:t>FG</w:t>
            </w:r>
            <w:r w:rsidRPr="00B80E26">
              <w:rPr>
                <w:rFonts w:hint="eastAsia"/>
                <w:b/>
                <w:bCs/>
                <w:lang w:eastAsia="zh-CN"/>
              </w:rPr>
              <w:t xml:space="preserve"> Smart</w:t>
            </w:r>
            <w:r w:rsidR="00466AAA">
              <w:rPr>
                <w:rFonts w:hint="eastAsia"/>
                <w:b/>
                <w:lang w:eastAsia="zh-CN"/>
              </w:rPr>
              <w:t>第一次会议，</w:t>
            </w:r>
            <w:r w:rsidR="00466AAA">
              <w:rPr>
                <w:rFonts w:hint="eastAsia"/>
                <w:b/>
                <w:lang w:eastAsia="zh-CN"/>
              </w:rPr>
              <w:t>2010</w:t>
            </w:r>
            <w:r w:rsidR="00466AAA">
              <w:rPr>
                <w:rFonts w:hint="eastAsia"/>
                <w:b/>
                <w:lang w:eastAsia="zh-CN"/>
              </w:rPr>
              <w:t>年</w:t>
            </w:r>
            <w:r w:rsidR="00466AAA">
              <w:rPr>
                <w:rFonts w:hint="eastAsia"/>
                <w:b/>
                <w:lang w:eastAsia="zh-CN"/>
              </w:rPr>
              <w:t>6</w:t>
            </w:r>
            <w:r w:rsidR="00466AAA">
              <w:rPr>
                <w:rFonts w:hint="eastAsia"/>
                <w:b/>
                <w:lang w:eastAsia="zh-CN"/>
              </w:rPr>
              <w:t>月</w:t>
            </w:r>
            <w:r w:rsidR="00466AAA">
              <w:rPr>
                <w:rFonts w:hint="eastAsia"/>
                <w:b/>
                <w:lang w:eastAsia="zh-CN"/>
              </w:rPr>
              <w:t>14-16</w:t>
            </w:r>
            <w:r w:rsidR="00466AAA">
              <w:rPr>
                <w:rFonts w:hint="eastAsia"/>
                <w:b/>
                <w:lang w:eastAsia="zh-CN"/>
              </w:rPr>
              <w:t>日</w:t>
            </w:r>
            <w:r w:rsidR="00E1779A">
              <w:rPr>
                <w:rFonts w:hint="eastAsia"/>
                <w:b/>
                <w:lang w:eastAsia="zh-CN"/>
              </w:rPr>
              <w:t>，</w:t>
            </w:r>
            <w:r w:rsidR="00466AAA">
              <w:rPr>
                <w:rFonts w:hint="eastAsia"/>
                <w:b/>
                <w:lang w:eastAsia="zh-CN"/>
              </w:rPr>
              <w:t>瑞士</w:t>
            </w:r>
            <w:r w:rsidR="00E1779A">
              <w:rPr>
                <w:rFonts w:hint="eastAsia"/>
                <w:b/>
                <w:lang w:eastAsia="zh-CN"/>
              </w:rPr>
              <w:t>日内瓦</w:t>
            </w:r>
          </w:p>
        </w:tc>
      </w:tr>
    </w:tbl>
    <w:p w:rsidR="00E1779A" w:rsidRDefault="00E1779A" w:rsidP="00E1779A">
      <w:pPr>
        <w:spacing w:before="160"/>
        <w:ind w:left="-198"/>
        <w:rPr>
          <w:rFonts w:ascii="Century Gothic" w:hAnsi="Century Gothic"/>
          <w:sz w:val="16"/>
          <w:lang w:eastAsia="zh-CN"/>
        </w:rPr>
      </w:pPr>
    </w:p>
    <w:p w:rsidR="00E1779A" w:rsidRDefault="00E1779A" w:rsidP="0073042F">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466AAA" w:rsidRDefault="00E1779A" w:rsidP="00C87771">
      <w:pPr>
        <w:spacing w:before="240"/>
        <w:ind w:right="-513"/>
        <w:rPr>
          <w:rFonts w:hAnsi="SimSun"/>
          <w:lang w:eastAsia="zh-CN"/>
        </w:rPr>
      </w:pPr>
      <w:bookmarkStart w:id="3" w:name="suitetext"/>
      <w:bookmarkStart w:id="4" w:name="text"/>
      <w:bookmarkEnd w:id="3"/>
      <w:bookmarkEnd w:id="4"/>
      <w:r>
        <w:rPr>
          <w:bCs/>
          <w:lang w:eastAsia="zh-CN"/>
        </w:rPr>
        <w:t>1</w:t>
      </w:r>
      <w:r>
        <w:rPr>
          <w:lang w:eastAsia="zh-CN"/>
        </w:rPr>
        <w:tab/>
      </w:r>
      <w:r w:rsidR="00466AAA" w:rsidRPr="00B02549">
        <w:rPr>
          <w:rFonts w:hAnsi="SimSun"/>
          <w:lang w:eastAsia="zh-CN"/>
        </w:rPr>
        <w:t>我很高兴地宣布：</w:t>
      </w:r>
      <w:r w:rsidR="009D2BE9">
        <w:rPr>
          <w:rFonts w:hAnsi="SimSun" w:hint="eastAsia"/>
          <w:lang w:eastAsia="zh-CN"/>
        </w:rPr>
        <w:t>按照</w:t>
      </w:r>
      <w:r w:rsidR="009D2BE9" w:rsidRPr="00B02549">
        <w:rPr>
          <w:lang w:eastAsia="zh-CN"/>
        </w:rPr>
        <w:t>ITU-T</w:t>
      </w:r>
      <w:r w:rsidR="009D2BE9" w:rsidRPr="00B02549">
        <w:rPr>
          <w:rFonts w:hAnsi="SimSun"/>
          <w:lang w:eastAsia="zh-CN"/>
        </w:rPr>
        <w:t>电信标准化顾问组</w:t>
      </w:r>
      <w:r w:rsidR="0073042F">
        <w:rPr>
          <w:rFonts w:hAnsi="SimSun"/>
          <w:lang w:eastAsia="zh-CN"/>
        </w:rPr>
        <w:t>（</w:t>
      </w:r>
      <w:r w:rsidR="009D2BE9" w:rsidRPr="00B02549">
        <w:rPr>
          <w:szCs w:val="24"/>
          <w:lang w:eastAsia="zh-CN"/>
        </w:rPr>
        <w:t>TSAG</w:t>
      </w:r>
      <w:r w:rsidR="0073042F">
        <w:rPr>
          <w:rFonts w:hAnsi="SimSun"/>
          <w:lang w:eastAsia="zh-CN"/>
        </w:rPr>
        <w:t>）</w:t>
      </w:r>
      <w:r w:rsidR="009D2BE9">
        <w:rPr>
          <w:rFonts w:hAnsi="SimSun" w:hint="eastAsia"/>
          <w:lang w:eastAsia="zh-CN"/>
        </w:rPr>
        <w:t>于</w:t>
      </w:r>
      <w:r w:rsidR="009D2BE9">
        <w:rPr>
          <w:rFonts w:hAnsi="SimSun" w:hint="eastAsia"/>
          <w:lang w:eastAsia="zh-CN"/>
        </w:rPr>
        <w:t>2010</w:t>
      </w:r>
      <w:r w:rsidR="009D2BE9">
        <w:rPr>
          <w:rFonts w:hAnsi="SimSun" w:hint="eastAsia"/>
          <w:lang w:eastAsia="zh-CN"/>
        </w:rPr>
        <w:t>年</w:t>
      </w:r>
      <w:r w:rsidR="009D2BE9">
        <w:rPr>
          <w:rFonts w:hAnsi="SimSun" w:hint="eastAsia"/>
          <w:lang w:eastAsia="zh-CN"/>
        </w:rPr>
        <w:t>2</w:t>
      </w:r>
      <w:r w:rsidR="009D2BE9">
        <w:rPr>
          <w:rFonts w:hAnsi="SimSun" w:hint="eastAsia"/>
          <w:lang w:eastAsia="zh-CN"/>
        </w:rPr>
        <w:t>月</w:t>
      </w:r>
      <w:r w:rsidR="009D2BE9">
        <w:rPr>
          <w:rFonts w:hAnsi="SimSun" w:hint="eastAsia"/>
          <w:lang w:eastAsia="zh-CN"/>
        </w:rPr>
        <w:t>8-11</w:t>
      </w:r>
      <w:r w:rsidR="009D2BE9">
        <w:rPr>
          <w:rFonts w:hAnsi="SimSun" w:hint="eastAsia"/>
          <w:lang w:eastAsia="zh-CN"/>
        </w:rPr>
        <w:t>日在日内瓦举行的会议上达成的协议，并根据</w:t>
      </w:r>
      <w:r w:rsidR="009D2BE9" w:rsidRPr="00B02549">
        <w:rPr>
          <w:lang w:eastAsia="zh-CN"/>
        </w:rPr>
        <w:t>ITU-T</w:t>
      </w:r>
      <w:r w:rsidR="009D2BE9" w:rsidRPr="009D2BE9">
        <w:rPr>
          <w:lang w:eastAsia="zh-CN"/>
        </w:rPr>
        <w:t xml:space="preserve"> </w:t>
      </w:r>
      <w:r w:rsidR="009D2BE9" w:rsidRPr="00B02549">
        <w:rPr>
          <w:lang w:eastAsia="zh-CN"/>
        </w:rPr>
        <w:t>A.7</w:t>
      </w:r>
      <w:r w:rsidR="009D2BE9" w:rsidRPr="00B02549">
        <w:rPr>
          <w:rFonts w:hAnsi="SimSun"/>
          <w:lang w:eastAsia="zh-CN"/>
        </w:rPr>
        <w:t>建议书</w:t>
      </w:r>
      <w:r w:rsidR="009D2BE9">
        <w:rPr>
          <w:rFonts w:hAnsi="SimSun" w:hint="eastAsia"/>
          <w:lang w:eastAsia="zh-CN"/>
        </w:rPr>
        <w:t>第</w:t>
      </w:r>
      <w:r w:rsidR="009D2BE9">
        <w:rPr>
          <w:rFonts w:hAnsi="SimSun" w:hint="eastAsia"/>
          <w:lang w:eastAsia="zh-CN"/>
        </w:rPr>
        <w:t>2.1.2.2</w:t>
      </w:r>
      <w:r w:rsidR="009D2BE9" w:rsidRPr="00B02549">
        <w:rPr>
          <w:rFonts w:hAnsi="SimSun"/>
          <w:lang w:eastAsia="zh-CN"/>
        </w:rPr>
        <w:t>款</w:t>
      </w:r>
      <w:r w:rsidR="007150CF" w:rsidRPr="00B02549">
        <w:rPr>
          <w:rFonts w:hAnsi="SimSun"/>
          <w:lang w:eastAsia="zh-CN"/>
        </w:rPr>
        <w:t>规定</w:t>
      </w:r>
      <w:r w:rsidR="009D2BE9" w:rsidRPr="00B02549">
        <w:rPr>
          <w:rFonts w:hAnsi="SimSun"/>
          <w:lang w:eastAsia="zh-CN"/>
        </w:rPr>
        <w:t>的</w:t>
      </w:r>
      <w:r w:rsidR="007150CF">
        <w:rPr>
          <w:rFonts w:hAnsi="SimSun" w:hint="eastAsia"/>
          <w:lang w:eastAsia="zh-CN"/>
        </w:rPr>
        <w:t>程序</w:t>
      </w:r>
      <w:r w:rsidR="009D2BE9" w:rsidRPr="00B02549">
        <w:rPr>
          <w:rFonts w:hAnsi="SimSun"/>
          <w:lang w:eastAsia="zh-CN"/>
        </w:rPr>
        <w:t>，</w:t>
      </w:r>
      <w:r w:rsidR="007150CF">
        <w:rPr>
          <w:lang w:eastAsia="zh-CN"/>
        </w:rPr>
        <w:t xml:space="preserve"> </w:t>
      </w:r>
      <w:r w:rsidR="00466AAA">
        <w:rPr>
          <w:lang w:eastAsia="zh-CN"/>
        </w:rPr>
        <w:t>ITU-T</w:t>
      </w:r>
      <w:r w:rsidR="009D2BE9">
        <w:rPr>
          <w:rFonts w:hint="eastAsia"/>
          <w:lang w:eastAsia="zh-CN"/>
        </w:rPr>
        <w:t>智能电网焦点组</w:t>
      </w:r>
      <w:r w:rsidR="0073042F">
        <w:rPr>
          <w:rFonts w:hAnsi="SimSun"/>
          <w:lang w:eastAsia="zh-CN"/>
        </w:rPr>
        <w:t>（</w:t>
      </w:r>
      <w:r w:rsidR="009D2BE9">
        <w:rPr>
          <w:lang w:eastAsia="zh-CN"/>
        </w:rPr>
        <w:t>FG</w:t>
      </w:r>
      <w:r w:rsidR="009D2BE9">
        <w:rPr>
          <w:rFonts w:hint="eastAsia"/>
          <w:lang w:eastAsia="zh-CN"/>
        </w:rPr>
        <w:t xml:space="preserve"> Smart</w:t>
      </w:r>
      <w:r w:rsidR="0073042F">
        <w:rPr>
          <w:rFonts w:hAnsi="SimSun"/>
          <w:lang w:eastAsia="zh-CN"/>
        </w:rPr>
        <w:t>）</w:t>
      </w:r>
      <w:r w:rsidR="007150CF">
        <w:rPr>
          <w:rFonts w:hAnsi="SimSun" w:hint="eastAsia"/>
          <w:lang w:eastAsia="zh-CN"/>
        </w:rPr>
        <w:t>宣告</w:t>
      </w:r>
      <w:r w:rsidR="007150CF" w:rsidRPr="00B02549">
        <w:rPr>
          <w:rFonts w:hAnsi="SimSun"/>
          <w:lang w:eastAsia="zh-CN"/>
        </w:rPr>
        <w:t>成立</w:t>
      </w:r>
      <w:r w:rsidR="007150CF">
        <w:rPr>
          <w:rFonts w:hAnsi="SimSun" w:hint="eastAsia"/>
          <w:lang w:eastAsia="zh-CN"/>
        </w:rPr>
        <w:t>。</w:t>
      </w:r>
    </w:p>
    <w:p w:rsidR="009D2BE9" w:rsidRDefault="009D2BE9" w:rsidP="00C87771">
      <w:pPr>
        <w:spacing w:before="240"/>
        <w:ind w:right="-513"/>
        <w:rPr>
          <w:lang w:eastAsia="zh-CN"/>
        </w:rPr>
      </w:pPr>
      <w:r>
        <w:rPr>
          <w:rFonts w:hint="eastAsia"/>
          <w:lang w:eastAsia="zh-CN"/>
        </w:rPr>
        <w:t>2</w:t>
      </w:r>
      <w:r>
        <w:rPr>
          <w:rFonts w:hint="eastAsia"/>
          <w:lang w:eastAsia="zh-CN"/>
        </w:rPr>
        <w:tab/>
      </w:r>
      <w:r>
        <w:rPr>
          <w:rFonts w:hint="eastAsia"/>
          <w:lang w:eastAsia="zh-CN"/>
        </w:rPr>
        <w:t>该焦点组的目标是收集并记录有益于制定建议书的资料和概念，从电信的角度为智能电网提供支持。</w:t>
      </w:r>
      <w:r w:rsidR="007D0A4B">
        <w:rPr>
          <w:rFonts w:hint="eastAsia"/>
          <w:lang w:eastAsia="zh-CN"/>
        </w:rPr>
        <w:t>焦点组还鼓励所有涉及智能电网的标准化制定机构的参与。</w:t>
      </w:r>
    </w:p>
    <w:p w:rsidR="007D0A4B" w:rsidRPr="00B02549" w:rsidRDefault="007D0A4B" w:rsidP="00C87771">
      <w:pPr>
        <w:spacing w:before="240"/>
        <w:rPr>
          <w:lang w:eastAsia="zh-CN"/>
        </w:rPr>
      </w:pPr>
      <w:r>
        <w:rPr>
          <w:rFonts w:hint="eastAsia"/>
          <w:lang w:eastAsia="zh-CN"/>
        </w:rPr>
        <w:t>3</w:t>
      </w:r>
      <w:r>
        <w:rPr>
          <w:rFonts w:hint="eastAsia"/>
          <w:lang w:eastAsia="zh-CN"/>
        </w:rPr>
        <w:tab/>
      </w:r>
      <w:r w:rsidR="00B80E26">
        <w:rPr>
          <w:rFonts w:hint="eastAsia"/>
          <w:lang w:eastAsia="zh-CN"/>
        </w:rPr>
        <w:t>该</w:t>
      </w:r>
      <w:r>
        <w:rPr>
          <w:rFonts w:hAnsi="SimSun" w:hint="eastAsia"/>
          <w:lang w:eastAsia="zh-CN"/>
        </w:rPr>
        <w:t>焦点组将</w:t>
      </w:r>
      <w:r w:rsidRPr="00B02549">
        <w:rPr>
          <w:rFonts w:hAnsi="SimSun"/>
          <w:lang w:eastAsia="zh-CN"/>
        </w:rPr>
        <w:t>根据</w:t>
      </w:r>
      <w:r w:rsidRPr="00B02549">
        <w:rPr>
          <w:lang w:eastAsia="zh-CN"/>
        </w:rPr>
        <w:t>ITU-T</w:t>
      </w:r>
      <w:r w:rsidR="007150CF" w:rsidRPr="007150CF">
        <w:rPr>
          <w:lang w:eastAsia="zh-CN"/>
        </w:rPr>
        <w:t xml:space="preserve"> </w:t>
      </w:r>
      <w:r w:rsidR="007150CF" w:rsidRPr="00B02549">
        <w:rPr>
          <w:lang w:eastAsia="zh-CN"/>
        </w:rPr>
        <w:t>A.7</w:t>
      </w:r>
      <w:r w:rsidRPr="00B02549">
        <w:rPr>
          <w:rFonts w:hAnsi="SimSun"/>
          <w:lang w:eastAsia="zh-CN"/>
        </w:rPr>
        <w:t>建议书确定的程序运作</w:t>
      </w:r>
      <w:r>
        <w:rPr>
          <w:rFonts w:hAnsi="SimSun" w:hint="eastAsia"/>
          <w:lang w:eastAsia="zh-CN"/>
        </w:rPr>
        <w:t>。</w:t>
      </w:r>
      <w:r w:rsidRPr="00B02549">
        <w:rPr>
          <w:szCs w:val="24"/>
          <w:lang w:eastAsia="zh-CN"/>
        </w:rPr>
        <w:t>TSAG</w:t>
      </w:r>
      <w:r w:rsidRPr="00B02549">
        <w:rPr>
          <w:rFonts w:hAnsi="SimSun"/>
          <w:lang w:eastAsia="zh-CN"/>
        </w:rPr>
        <w:t>将作为母组。经认可的</w:t>
      </w:r>
      <w:r w:rsidRPr="00B02549">
        <w:rPr>
          <w:lang w:eastAsia="zh-CN"/>
        </w:rPr>
        <w:t>FG-</w:t>
      </w:r>
      <w:r>
        <w:rPr>
          <w:rFonts w:hint="eastAsia"/>
          <w:lang w:eastAsia="zh-CN"/>
        </w:rPr>
        <w:t>Smart</w:t>
      </w:r>
      <w:r>
        <w:rPr>
          <w:rFonts w:hint="eastAsia"/>
          <w:lang w:eastAsia="zh-CN"/>
        </w:rPr>
        <w:t>的</w:t>
      </w:r>
      <w:r w:rsidRPr="00B02549">
        <w:rPr>
          <w:rFonts w:hAnsi="SimSun"/>
          <w:lang w:eastAsia="zh-CN"/>
        </w:rPr>
        <w:t>职责范围见</w:t>
      </w:r>
      <w:r w:rsidRPr="00B02549">
        <w:rPr>
          <w:rFonts w:hAnsi="SimSun"/>
          <w:b/>
          <w:bCs/>
          <w:lang w:eastAsia="zh-CN"/>
        </w:rPr>
        <w:t>附件</w:t>
      </w:r>
      <w:r w:rsidRPr="0073042F">
        <w:rPr>
          <w:b/>
          <w:lang w:eastAsia="zh-CN"/>
        </w:rPr>
        <w:t>1</w:t>
      </w:r>
      <w:r w:rsidRPr="00B02549">
        <w:rPr>
          <w:rFonts w:hAnsi="SimSun"/>
          <w:bCs/>
          <w:lang w:eastAsia="zh-CN"/>
        </w:rPr>
        <w:t>。</w:t>
      </w:r>
      <w:r w:rsidR="007150CF">
        <w:rPr>
          <w:szCs w:val="24"/>
          <w:lang w:val="en-US" w:eastAsia="zh-CN"/>
        </w:rPr>
        <w:t>Les Brown</w:t>
      </w:r>
      <w:r>
        <w:rPr>
          <w:rFonts w:hint="eastAsia"/>
          <w:szCs w:val="24"/>
          <w:lang w:val="en-US" w:eastAsia="zh-CN"/>
        </w:rPr>
        <w:t>先生</w:t>
      </w:r>
      <w:r w:rsidR="0073042F">
        <w:rPr>
          <w:szCs w:val="24"/>
          <w:lang w:val="en-US" w:eastAsia="zh-CN"/>
        </w:rPr>
        <w:t>（</w:t>
      </w:r>
      <w:r>
        <w:rPr>
          <w:rFonts w:hint="eastAsia"/>
          <w:szCs w:val="24"/>
          <w:lang w:val="en-US" w:eastAsia="zh-CN"/>
        </w:rPr>
        <w:t>德国</w:t>
      </w:r>
      <w:proofErr w:type="spellStart"/>
      <w:r w:rsidRPr="00FC4D56">
        <w:rPr>
          <w:szCs w:val="24"/>
          <w:lang w:val="en-US" w:eastAsia="zh-CN"/>
        </w:rPr>
        <w:t>Lantiq</w:t>
      </w:r>
      <w:proofErr w:type="spellEnd"/>
      <w:r w:rsidR="0073042F">
        <w:rPr>
          <w:rFonts w:hint="eastAsia"/>
          <w:szCs w:val="24"/>
          <w:lang w:val="en-US" w:eastAsia="zh-CN"/>
        </w:rPr>
        <w:t>公司</w:t>
      </w:r>
      <w:r w:rsidR="0073042F">
        <w:rPr>
          <w:szCs w:val="24"/>
          <w:lang w:val="en-US" w:eastAsia="zh-CN"/>
        </w:rPr>
        <w:t>）</w:t>
      </w:r>
      <w:r>
        <w:rPr>
          <w:rFonts w:hint="eastAsia"/>
          <w:szCs w:val="24"/>
          <w:lang w:val="en-US" w:eastAsia="zh-CN"/>
        </w:rPr>
        <w:t>将担任新焦点组的主席，</w:t>
      </w:r>
      <w:r w:rsidR="00072A2B">
        <w:rPr>
          <w:szCs w:val="24"/>
          <w:lang w:val="en-US" w:eastAsia="zh-CN"/>
        </w:rPr>
        <w:t xml:space="preserve"> </w:t>
      </w:r>
      <w:r w:rsidR="007150CF">
        <w:rPr>
          <w:szCs w:val="24"/>
          <w:lang w:val="en-US" w:eastAsia="zh-CN"/>
        </w:rPr>
        <w:t xml:space="preserve">Li </w:t>
      </w:r>
      <w:proofErr w:type="spellStart"/>
      <w:r w:rsidR="007150CF">
        <w:rPr>
          <w:szCs w:val="24"/>
          <w:lang w:val="en-US" w:eastAsia="zh-CN"/>
        </w:rPr>
        <w:t>Haihua</w:t>
      </w:r>
      <w:proofErr w:type="spellEnd"/>
      <w:r>
        <w:rPr>
          <w:rFonts w:hint="eastAsia"/>
          <w:szCs w:val="24"/>
          <w:lang w:val="en-US" w:eastAsia="zh-CN"/>
        </w:rPr>
        <w:t>女士</w:t>
      </w:r>
      <w:r w:rsidR="0073042F">
        <w:rPr>
          <w:szCs w:val="24"/>
          <w:lang w:val="en-US" w:eastAsia="zh-CN"/>
        </w:rPr>
        <w:t>（</w:t>
      </w:r>
      <w:r>
        <w:rPr>
          <w:rFonts w:hint="eastAsia"/>
          <w:szCs w:val="24"/>
          <w:lang w:val="en-US" w:eastAsia="zh-CN"/>
        </w:rPr>
        <w:t>中国工业</w:t>
      </w:r>
      <w:r w:rsidR="007150CF">
        <w:rPr>
          <w:rFonts w:hint="eastAsia"/>
          <w:szCs w:val="24"/>
          <w:lang w:val="en-US" w:eastAsia="zh-CN"/>
        </w:rPr>
        <w:t>和信息化</w:t>
      </w:r>
      <w:r>
        <w:rPr>
          <w:rFonts w:hint="eastAsia"/>
          <w:szCs w:val="24"/>
          <w:lang w:val="en-US" w:eastAsia="zh-CN"/>
        </w:rPr>
        <w:t>部</w:t>
      </w:r>
      <w:r w:rsidR="0073042F">
        <w:rPr>
          <w:szCs w:val="24"/>
          <w:lang w:val="en-US" w:eastAsia="zh-CN"/>
        </w:rPr>
        <w:t>）</w:t>
      </w:r>
      <w:r>
        <w:rPr>
          <w:rFonts w:hint="eastAsia"/>
          <w:szCs w:val="24"/>
          <w:lang w:val="en-US" w:eastAsia="zh-CN"/>
        </w:rPr>
        <w:t>、</w:t>
      </w:r>
      <w:proofErr w:type="spellStart"/>
      <w:r w:rsidRPr="00FC4D56">
        <w:rPr>
          <w:szCs w:val="24"/>
          <w:lang w:val="en-US" w:eastAsia="zh-CN"/>
        </w:rPr>
        <w:t>Hyungsoo</w:t>
      </w:r>
      <w:proofErr w:type="spellEnd"/>
      <w:r w:rsidRPr="00FC4D56">
        <w:rPr>
          <w:szCs w:val="24"/>
          <w:lang w:val="en-US" w:eastAsia="zh-CN"/>
        </w:rPr>
        <w:t xml:space="preserve"> Kim</w:t>
      </w:r>
      <w:r>
        <w:rPr>
          <w:rFonts w:hint="eastAsia"/>
          <w:szCs w:val="24"/>
          <w:lang w:val="en-US" w:eastAsia="zh-CN"/>
        </w:rPr>
        <w:t>先生</w:t>
      </w:r>
      <w:r w:rsidR="0073042F">
        <w:rPr>
          <w:szCs w:val="24"/>
          <w:lang w:val="en-US" w:eastAsia="zh-CN"/>
        </w:rPr>
        <w:t>（</w:t>
      </w:r>
      <w:r>
        <w:rPr>
          <w:rFonts w:hint="eastAsia"/>
          <w:szCs w:val="24"/>
          <w:lang w:val="en-US" w:eastAsia="zh-CN"/>
        </w:rPr>
        <w:t>韩国电信公司</w:t>
      </w:r>
      <w:r w:rsidR="0073042F">
        <w:rPr>
          <w:szCs w:val="24"/>
          <w:lang w:val="en-US" w:eastAsia="zh-CN"/>
        </w:rPr>
        <w:t>）</w:t>
      </w:r>
      <w:proofErr w:type="spellStart"/>
      <w:r w:rsidRPr="00FC4D56">
        <w:rPr>
          <w:szCs w:val="24"/>
          <w:lang w:val="en-US" w:eastAsia="zh-CN"/>
        </w:rPr>
        <w:t>Yoshito</w:t>
      </w:r>
      <w:proofErr w:type="spellEnd"/>
      <w:r w:rsidRPr="00FC4D56">
        <w:rPr>
          <w:szCs w:val="24"/>
          <w:lang w:val="en-US" w:eastAsia="zh-CN"/>
        </w:rPr>
        <w:t xml:space="preserve"> Sakurai</w:t>
      </w:r>
      <w:r>
        <w:rPr>
          <w:rFonts w:hint="eastAsia"/>
          <w:szCs w:val="24"/>
          <w:lang w:val="en-US" w:eastAsia="zh-CN"/>
        </w:rPr>
        <w:t>先生</w:t>
      </w:r>
      <w:r w:rsidR="0073042F">
        <w:rPr>
          <w:szCs w:val="24"/>
          <w:lang w:val="en-US" w:eastAsia="zh-CN"/>
        </w:rPr>
        <w:t>（</w:t>
      </w:r>
      <w:r>
        <w:rPr>
          <w:rFonts w:hint="eastAsia"/>
          <w:szCs w:val="24"/>
          <w:lang w:val="en-US" w:eastAsia="zh-CN"/>
        </w:rPr>
        <w:t>日本日立公司</w:t>
      </w:r>
      <w:r w:rsidR="0073042F">
        <w:rPr>
          <w:szCs w:val="24"/>
          <w:lang w:val="en-US" w:eastAsia="zh-CN"/>
        </w:rPr>
        <w:t>）</w:t>
      </w:r>
      <w:r w:rsidR="00072A2B">
        <w:rPr>
          <w:rFonts w:hint="eastAsia"/>
          <w:szCs w:val="24"/>
          <w:lang w:val="en-US" w:eastAsia="zh-CN"/>
        </w:rPr>
        <w:t>将担任副主席，</w:t>
      </w:r>
      <w:r>
        <w:rPr>
          <w:rFonts w:hint="eastAsia"/>
          <w:szCs w:val="24"/>
          <w:lang w:val="en-US" w:eastAsia="zh-CN"/>
        </w:rPr>
        <w:t>协助开展工作。</w:t>
      </w:r>
      <w:r w:rsidRPr="00B02549">
        <w:rPr>
          <w:rFonts w:hAnsi="SimSun"/>
          <w:lang w:eastAsia="zh-CN"/>
        </w:rPr>
        <w:t>我坚信</w:t>
      </w:r>
      <w:r>
        <w:rPr>
          <w:rFonts w:hAnsi="SimSun" w:hint="eastAsia"/>
          <w:lang w:eastAsia="zh-CN"/>
        </w:rPr>
        <w:t>，</w:t>
      </w:r>
      <w:r w:rsidRPr="00B02549">
        <w:rPr>
          <w:rFonts w:hAnsi="SimSun"/>
          <w:lang w:eastAsia="zh-CN"/>
        </w:rPr>
        <w:t>通过成立</w:t>
      </w:r>
      <w:r>
        <w:rPr>
          <w:rFonts w:hAnsi="SimSun" w:hint="eastAsia"/>
          <w:lang w:eastAsia="zh-CN"/>
        </w:rPr>
        <w:t>智能电网</w:t>
      </w:r>
      <w:r w:rsidRPr="00B02549">
        <w:rPr>
          <w:rFonts w:hAnsi="SimSun"/>
          <w:lang w:eastAsia="zh-CN"/>
        </w:rPr>
        <w:t>焦点</w:t>
      </w:r>
      <w:r>
        <w:rPr>
          <w:rFonts w:hAnsi="SimSun" w:hint="eastAsia"/>
          <w:lang w:eastAsia="zh-CN"/>
        </w:rPr>
        <w:t>组</w:t>
      </w:r>
      <w:r w:rsidRPr="00B02549">
        <w:rPr>
          <w:rFonts w:hAnsi="SimSun"/>
          <w:lang w:eastAsia="zh-CN"/>
        </w:rPr>
        <w:t>，</w:t>
      </w:r>
      <w:r w:rsidRPr="00B02549">
        <w:rPr>
          <w:lang w:eastAsia="zh-CN"/>
        </w:rPr>
        <w:t>ITU-T</w:t>
      </w:r>
      <w:r w:rsidRPr="00B02549">
        <w:rPr>
          <w:rFonts w:hAnsi="SimSun"/>
          <w:lang w:eastAsia="zh-CN"/>
        </w:rPr>
        <w:t>将能够达到其成员的期望，并展示其解决须快速处理的议题的能力。</w:t>
      </w:r>
    </w:p>
    <w:p w:rsidR="00B80E26" w:rsidRPr="00B02549" w:rsidRDefault="00B80E26" w:rsidP="00C87771">
      <w:pPr>
        <w:spacing w:before="240"/>
        <w:ind w:right="-28"/>
        <w:rPr>
          <w:lang w:eastAsia="zh-CN"/>
        </w:rPr>
      </w:pPr>
      <w:r>
        <w:rPr>
          <w:rFonts w:hint="eastAsia"/>
          <w:lang w:eastAsia="zh-CN"/>
        </w:rPr>
        <w:t>4</w:t>
      </w:r>
      <w:r>
        <w:rPr>
          <w:rFonts w:hint="eastAsia"/>
          <w:lang w:eastAsia="zh-CN"/>
        </w:rPr>
        <w:tab/>
      </w:r>
      <w:r>
        <w:rPr>
          <w:lang w:eastAsia="zh-CN"/>
        </w:rPr>
        <w:t>FG</w:t>
      </w:r>
      <w:r>
        <w:rPr>
          <w:rFonts w:hint="eastAsia"/>
          <w:lang w:eastAsia="zh-CN"/>
        </w:rPr>
        <w:t xml:space="preserve"> Smart</w:t>
      </w:r>
      <w:r w:rsidRPr="00B02549">
        <w:rPr>
          <w:rFonts w:hAnsi="SimSun"/>
          <w:lang w:eastAsia="zh-CN"/>
        </w:rPr>
        <w:t>对国际电联成员国、部门成员和部门准成员开放，也接纳所有来自国际电联成员国并愿意推进其工作的个人参与，其中</w:t>
      </w:r>
      <w:r w:rsidR="007150CF">
        <w:rPr>
          <w:rFonts w:hAnsi="SimSun" w:hint="eastAsia"/>
          <w:lang w:eastAsia="zh-CN"/>
        </w:rPr>
        <w:t>也</w:t>
      </w:r>
      <w:r w:rsidRPr="00B02549">
        <w:rPr>
          <w:rFonts w:hAnsi="SimSun"/>
          <w:lang w:eastAsia="zh-CN"/>
        </w:rPr>
        <w:t>包括相关标准制定机构的成员或代表。</w:t>
      </w:r>
    </w:p>
    <w:p w:rsidR="00F81C5B" w:rsidRDefault="00B80E26" w:rsidP="00C87771">
      <w:pPr>
        <w:spacing w:before="240"/>
        <w:ind w:right="-513"/>
        <w:rPr>
          <w:rFonts w:hAnsi="SimSun"/>
          <w:bCs/>
          <w:lang w:eastAsia="zh-CN"/>
        </w:rPr>
      </w:pPr>
      <w:r>
        <w:rPr>
          <w:rFonts w:hint="eastAsia"/>
          <w:lang w:eastAsia="zh-CN"/>
        </w:rPr>
        <w:t>5</w:t>
      </w:r>
      <w:r>
        <w:rPr>
          <w:rFonts w:hint="eastAsia"/>
          <w:lang w:eastAsia="zh-CN"/>
        </w:rPr>
        <w:tab/>
      </w:r>
      <w:r>
        <w:rPr>
          <w:lang w:eastAsia="zh-CN"/>
        </w:rPr>
        <w:t>FG</w:t>
      </w:r>
      <w:r>
        <w:rPr>
          <w:rFonts w:hint="eastAsia"/>
          <w:lang w:eastAsia="zh-CN"/>
        </w:rPr>
        <w:t xml:space="preserve"> Smart</w:t>
      </w:r>
      <w:r w:rsidR="0024373C">
        <w:rPr>
          <w:rFonts w:hint="eastAsia"/>
          <w:lang w:eastAsia="zh-CN"/>
        </w:rPr>
        <w:t>的</w:t>
      </w:r>
      <w:r w:rsidR="0024373C" w:rsidRPr="00B02549">
        <w:rPr>
          <w:rFonts w:hAnsi="SimSun"/>
          <w:lang w:eastAsia="zh-CN"/>
        </w:rPr>
        <w:t>首次会议计划于</w:t>
      </w:r>
      <w:r w:rsidR="0024373C" w:rsidRPr="00B02549">
        <w:rPr>
          <w:lang w:eastAsia="zh-CN"/>
        </w:rPr>
        <w:t>20</w:t>
      </w:r>
      <w:r w:rsidR="0024373C">
        <w:rPr>
          <w:rFonts w:hint="eastAsia"/>
          <w:lang w:eastAsia="zh-CN"/>
        </w:rPr>
        <w:t>10</w:t>
      </w:r>
      <w:r w:rsidR="0024373C" w:rsidRPr="00B02549">
        <w:rPr>
          <w:rFonts w:hAnsi="SimSun"/>
          <w:lang w:eastAsia="zh-CN"/>
        </w:rPr>
        <w:t>年</w:t>
      </w:r>
      <w:r w:rsidR="0024373C" w:rsidRPr="00B02549">
        <w:rPr>
          <w:lang w:eastAsia="zh-CN"/>
        </w:rPr>
        <w:t>6</w:t>
      </w:r>
      <w:r w:rsidR="0024373C" w:rsidRPr="00B02549">
        <w:rPr>
          <w:rFonts w:hAnsi="SimSun"/>
          <w:lang w:eastAsia="zh-CN"/>
        </w:rPr>
        <w:t>月</w:t>
      </w:r>
      <w:r w:rsidR="0024373C">
        <w:rPr>
          <w:rFonts w:hint="eastAsia"/>
          <w:lang w:eastAsia="zh-CN"/>
        </w:rPr>
        <w:t>14-16</w:t>
      </w:r>
      <w:r w:rsidR="0024373C" w:rsidRPr="00B02549">
        <w:rPr>
          <w:rFonts w:hAnsi="SimSun"/>
          <w:lang w:eastAsia="zh-CN"/>
        </w:rPr>
        <w:t>日在</w:t>
      </w:r>
      <w:r w:rsidR="007150CF">
        <w:rPr>
          <w:rFonts w:hAnsi="SimSun" w:hint="eastAsia"/>
          <w:lang w:eastAsia="zh-CN"/>
        </w:rPr>
        <w:t>位于</w:t>
      </w:r>
      <w:r w:rsidR="0024373C">
        <w:rPr>
          <w:rFonts w:hAnsi="SimSun" w:hint="eastAsia"/>
          <w:lang w:eastAsia="zh-CN"/>
        </w:rPr>
        <w:t>瑞士日内瓦</w:t>
      </w:r>
      <w:r w:rsidR="007150CF">
        <w:rPr>
          <w:rFonts w:hAnsi="SimSun" w:hint="eastAsia"/>
          <w:lang w:eastAsia="zh-CN"/>
        </w:rPr>
        <w:t>的</w:t>
      </w:r>
      <w:r w:rsidR="0024373C">
        <w:rPr>
          <w:rFonts w:hAnsi="SimSun" w:hint="eastAsia"/>
          <w:lang w:eastAsia="zh-CN"/>
        </w:rPr>
        <w:t>国际电联总部</w:t>
      </w:r>
      <w:r w:rsidR="0024373C" w:rsidRPr="00B02549">
        <w:rPr>
          <w:rFonts w:hAnsi="SimSun"/>
          <w:bCs/>
          <w:lang w:eastAsia="zh-CN"/>
        </w:rPr>
        <w:t>举行。</w:t>
      </w:r>
      <w:r w:rsidR="0024373C">
        <w:rPr>
          <w:rFonts w:hAnsi="SimSun" w:hint="eastAsia"/>
          <w:bCs/>
          <w:lang w:eastAsia="zh-CN"/>
        </w:rPr>
        <w:t>云计算焦点组和</w:t>
      </w:r>
      <w:r w:rsidR="0024373C" w:rsidRPr="00B02549">
        <w:rPr>
          <w:rFonts w:hAnsi="SimSun"/>
          <w:bCs/>
          <w:lang w:eastAsia="zh-CN"/>
        </w:rPr>
        <w:t>未来网</w:t>
      </w:r>
      <w:r w:rsidR="0024373C">
        <w:rPr>
          <w:rFonts w:hAnsi="SimSun" w:hint="eastAsia"/>
          <w:bCs/>
          <w:lang w:eastAsia="zh-CN"/>
        </w:rPr>
        <w:t>络焦点</w:t>
      </w:r>
      <w:r w:rsidR="0024373C" w:rsidRPr="00B02549">
        <w:rPr>
          <w:rFonts w:hAnsi="SimSun"/>
          <w:bCs/>
          <w:lang w:eastAsia="zh-CN"/>
        </w:rPr>
        <w:t>组也将在同时同地召开会议</w:t>
      </w:r>
      <w:r w:rsidR="0024373C">
        <w:rPr>
          <w:rFonts w:hAnsi="SimSun" w:hint="eastAsia"/>
          <w:bCs/>
          <w:lang w:eastAsia="zh-CN"/>
        </w:rPr>
        <w:t>。</w:t>
      </w:r>
    </w:p>
    <w:p w:rsidR="00F81C5B" w:rsidRDefault="00F81C5B">
      <w:pPr>
        <w:tabs>
          <w:tab w:val="clear" w:pos="794"/>
          <w:tab w:val="clear" w:pos="1191"/>
          <w:tab w:val="clear" w:pos="1588"/>
          <w:tab w:val="clear" w:pos="1985"/>
        </w:tabs>
        <w:spacing w:before="0"/>
        <w:rPr>
          <w:rFonts w:hAnsi="SimSun"/>
          <w:bCs/>
          <w:lang w:eastAsia="zh-CN"/>
        </w:rPr>
      </w:pPr>
    </w:p>
    <w:p w:rsidR="00F81C5B" w:rsidRDefault="00F81C5B">
      <w:pPr>
        <w:tabs>
          <w:tab w:val="clear" w:pos="794"/>
          <w:tab w:val="clear" w:pos="1191"/>
          <w:tab w:val="clear" w:pos="1588"/>
          <w:tab w:val="clear" w:pos="1985"/>
        </w:tabs>
        <w:spacing w:before="0"/>
        <w:rPr>
          <w:rFonts w:hAnsi="SimSun"/>
          <w:bCs/>
          <w:lang w:eastAsia="zh-CN"/>
        </w:rPr>
      </w:pPr>
      <w:r>
        <w:rPr>
          <w:rFonts w:hAnsi="SimSun"/>
          <w:bCs/>
          <w:lang w:eastAsia="zh-CN"/>
        </w:rPr>
        <w:br w:type="page"/>
      </w:r>
    </w:p>
    <w:p w:rsidR="0024373C" w:rsidRPr="007150CF" w:rsidRDefault="0024373C" w:rsidP="00E13D3D">
      <w:pPr>
        <w:spacing w:before="240"/>
        <w:ind w:right="-513"/>
        <w:rPr>
          <w:w w:val="98"/>
          <w:lang w:eastAsia="zh-CN"/>
        </w:rPr>
      </w:pPr>
      <w:r>
        <w:rPr>
          <w:rFonts w:hAnsi="SimSun" w:hint="eastAsia"/>
          <w:bCs/>
          <w:lang w:eastAsia="zh-CN"/>
        </w:rPr>
        <w:lastRenderedPageBreak/>
        <w:t>6</w:t>
      </w:r>
      <w:r>
        <w:rPr>
          <w:rFonts w:hAnsi="SimSun" w:hint="eastAsia"/>
          <w:bCs/>
          <w:lang w:eastAsia="zh-CN"/>
        </w:rPr>
        <w:tab/>
      </w:r>
      <w:r>
        <w:rPr>
          <w:rFonts w:hAnsi="SimSun" w:hint="eastAsia"/>
          <w:bCs/>
          <w:lang w:eastAsia="zh-CN"/>
        </w:rPr>
        <w:t>会议的讨论项目将发布在焦点组的网页：</w:t>
      </w:r>
      <w:r w:rsidR="00B112F2">
        <w:fldChar w:fldCharType="begin"/>
      </w:r>
      <w:r w:rsidR="00561DAD">
        <w:instrText>HYPERLINK "http://www.itu.int/ITU-T/focusgroups/smart/"</w:instrText>
      </w:r>
      <w:r w:rsidR="00B112F2">
        <w:fldChar w:fldCharType="separate"/>
      </w:r>
      <w:r w:rsidRPr="003E07B6">
        <w:rPr>
          <w:rStyle w:val="Hyperlink"/>
        </w:rPr>
        <w:t>http://www.itu.int/ITU-T/focusgroups/smart/</w:t>
      </w:r>
      <w:r w:rsidR="00B112F2">
        <w:fldChar w:fldCharType="end"/>
      </w:r>
      <w:r>
        <w:rPr>
          <w:rFonts w:hint="eastAsia"/>
          <w:lang w:eastAsia="zh-CN"/>
        </w:rPr>
        <w:t>。焦点</w:t>
      </w:r>
      <w:r w:rsidRPr="007150CF">
        <w:rPr>
          <w:rFonts w:hint="eastAsia"/>
          <w:w w:val="98"/>
          <w:lang w:eastAsia="zh-CN"/>
        </w:rPr>
        <w:t>组管理层拟定的议程草案见</w:t>
      </w:r>
      <w:r w:rsidRPr="007150CF">
        <w:rPr>
          <w:rFonts w:hint="eastAsia"/>
          <w:b/>
          <w:bCs/>
          <w:w w:val="98"/>
          <w:lang w:eastAsia="zh-CN"/>
        </w:rPr>
        <w:t>附件</w:t>
      </w:r>
      <w:r w:rsidR="007150CF" w:rsidRPr="007150CF">
        <w:rPr>
          <w:rFonts w:hint="eastAsia"/>
          <w:b/>
          <w:bCs/>
          <w:w w:val="98"/>
          <w:lang w:eastAsia="zh-CN"/>
        </w:rPr>
        <w:t>2</w:t>
      </w:r>
      <w:r w:rsidRPr="007150CF">
        <w:rPr>
          <w:rFonts w:hint="eastAsia"/>
          <w:w w:val="98"/>
          <w:lang w:eastAsia="zh-CN"/>
        </w:rPr>
        <w:t>。会议相关信息及收到的文稿也将</w:t>
      </w:r>
      <w:r w:rsidRPr="007150CF">
        <w:rPr>
          <w:rFonts w:hAnsi="SimSun" w:hint="eastAsia"/>
          <w:bCs/>
          <w:w w:val="98"/>
          <w:lang w:eastAsia="zh-CN"/>
        </w:rPr>
        <w:t>在焦点组的网页上予以</w:t>
      </w:r>
      <w:r w:rsidRPr="007150CF">
        <w:rPr>
          <w:rFonts w:hint="eastAsia"/>
          <w:w w:val="98"/>
          <w:lang w:eastAsia="zh-CN"/>
        </w:rPr>
        <w:t>发布。</w:t>
      </w:r>
    </w:p>
    <w:p w:rsidR="0024373C" w:rsidRPr="00B02549" w:rsidRDefault="0024373C" w:rsidP="00E13D3D">
      <w:pPr>
        <w:pStyle w:val="BodyText2"/>
        <w:tabs>
          <w:tab w:val="clear" w:pos="1191"/>
          <w:tab w:val="left" w:pos="851"/>
        </w:tabs>
        <w:spacing w:before="240"/>
        <w:ind w:right="-28" w:firstLineChars="200" w:firstLine="480"/>
        <w:rPr>
          <w:rFonts w:eastAsia="SimSun"/>
          <w:lang w:eastAsia="zh-CN"/>
        </w:rPr>
      </w:pPr>
      <w:r w:rsidRPr="00B02549">
        <w:rPr>
          <w:rFonts w:eastAsia="SimSun" w:hAnsi="SimSun"/>
          <w:lang w:eastAsia="zh-CN"/>
        </w:rPr>
        <w:t>会议将于</w:t>
      </w:r>
      <w:r>
        <w:rPr>
          <w:rFonts w:eastAsia="SimSun"/>
          <w:lang w:eastAsia="zh-CN"/>
        </w:rPr>
        <w:t>20</w:t>
      </w:r>
      <w:r>
        <w:rPr>
          <w:rFonts w:eastAsia="SimSun" w:hint="eastAsia"/>
          <w:lang w:eastAsia="zh-CN"/>
        </w:rPr>
        <w:t>10</w:t>
      </w:r>
      <w:r w:rsidRPr="00B02549">
        <w:rPr>
          <w:rFonts w:eastAsia="SimSun" w:hAnsi="SimSun"/>
          <w:lang w:eastAsia="zh-CN"/>
        </w:rPr>
        <w:t>年</w:t>
      </w:r>
      <w:r w:rsidRPr="00B02549">
        <w:rPr>
          <w:rFonts w:eastAsia="SimSun"/>
          <w:lang w:eastAsia="zh-CN"/>
        </w:rPr>
        <w:t>6</w:t>
      </w:r>
      <w:r w:rsidRPr="00B02549">
        <w:rPr>
          <w:rFonts w:eastAsia="SimSun" w:hAnsi="SimSun"/>
          <w:lang w:eastAsia="zh-CN"/>
        </w:rPr>
        <w:t>月</w:t>
      </w:r>
      <w:r>
        <w:rPr>
          <w:rFonts w:eastAsia="SimSun" w:hint="eastAsia"/>
          <w:lang w:eastAsia="zh-CN"/>
        </w:rPr>
        <w:t>14</w:t>
      </w:r>
      <w:r w:rsidRPr="00B02549">
        <w:rPr>
          <w:rFonts w:eastAsia="SimSun" w:hAnsi="SimSun"/>
          <w:lang w:eastAsia="zh-CN"/>
        </w:rPr>
        <w:t>日</w:t>
      </w:r>
      <w:r w:rsidRPr="00B02549">
        <w:rPr>
          <w:rFonts w:eastAsia="SimSun"/>
          <w:lang w:eastAsia="zh-CN"/>
        </w:rPr>
        <w:t>09</w:t>
      </w:r>
      <w:r>
        <w:rPr>
          <w:rFonts w:eastAsia="SimSun" w:hint="eastAsia"/>
          <w:lang w:eastAsia="zh-CN"/>
        </w:rPr>
        <w:t>:3</w:t>
      </w:r>
      <w:r>
        <w:rPr>
          <w:rFonts w:eastAsia="SimSun"/>
          <w:lang w:eastAsia="zh-CN"/>
        </w:rPr>
        <w:t>0</w:t>
      </w:r>
      <w:r w:rsidR="007150CF">
        <w:rPr>
          <w:rFonts w:eastAsia="SimSun" w:hAnsi="SimSun" w:hint="eastAsia"/>
          <w:lang w:eastAsia="zh-CN"/>
        </w:rPr>
        <w:t>分</w:t>
      </w:r>
      <w:r w:rsidRPr="00B02549">
        <w:rPr>
          <w:rFonts w:eastAsia="SimSun" w:hAnsi="SimSun"/>
          <w:lang w:eastAsia="zh-CN"/>
        </w:rPr>
        <w:t>开始。</w:t>
      </w:r>
      <w:r w:rsidRPr="00B02549">
        <w:rPr>
          <w:rFonts w:eastAsia="SimSun" w:hAnsi="SimSun"/>
          <w:lang w:val="en-US" w:eastAsia="zh-CN"/>
        </w:rPr>
        <w:t>与会者的注册工作将</w:t>
      </w:r>
      <w:r w:rsidR="007150CF">
        <w:rPr>
          <w:rFonts w:eastAsia="SimSun" w:hAnsi="SimSun" w:hint="eastAsia"/>
          <w:lang w:val="en-US" w:eastAsia="zh-CN"/>
        </w:rPr>
        <w:t>于</w:t>
      </w:r>
      <w:r w:rsidRPr="00B02549">
        <w:rPr>
          <w:rFonts w:eastAsia="SimSun"/>
          <w:lang w:val="en-US" w:eastAsia="zh-CN"/>
        </w:rPr>
        <w:t>08:30</w:t>
      </w:r>
      <w:r w:rsidR="007150CF">
        <w:rPr>
          <w:rFonts w:eastAsia="SimSun" w:hint="eastAsia"/>
          <w:lang w:val="en-US" w:eastAsia="zh-CN"/>
        </w:rPr>
        <w:t>分</w:t>
      </w:r>
      <w:r w:rsidRPr="00B02549">
        <w:rPr>
          <w:rFonts w:eastAsia="SimSun" w:hAnsi="SimSun"/>
          <w:lang w:val="en-US" w:eastAsia="zh-CN"/>
        </w:rPr>
        <w:t>在</w:t>
      </w:r>
      <w:proofErr w:type="spellStart"/>
      <w:r w:rsidR="0068262A" w:rsidRPr="00E4033E">
        <w:rPr>
          <w:lang w:eastAsia="zh-CN"/>
        </w:rPr>
        <w:t>Montbrillant</w:t>
      </w:r>
      <w:proofErr w:type="spellEnd"/>
      <w:r>
        <w:rPr>
          <w:rFonts w:eastAsia="SimSun" w:hAnsi="SimSun" w:hint="eastAsia"/>
          <w:lang w:val="en-US" w:eastAsia="zh-CN"/>
        </w:rPr>
        <w:t>大楼入口处</w:t>
      </w:r>
      <w:r w:rsidRPr="00B02549">
        <w:rPr>
          <w:rFonts w:eastAsia="SimSun" w:hAnsi="SimSun"/>
          <w:lang w:val="en-US" w:eastAsia="zh-CN"/>
        </w:rPr>
        <w:t>开始。</w:t>
      </w:r>
      <w:r w:rsidR="007150CF">
        <w:rPr>
          <w:rFonts w:eastAsia="SimSun" w:hAnsi="SimSun" w:hint="eastAsia"/>
          <w:lang w:val="en-US" w:eastAsia="zh-CN"/>
        </w:rPr>
        <w:t>国际电联总部入口处的电子屏幕</w:t>
      </w:r>
      <w:r w:rsidRPr="00B02549">
        <w:rPr>
          <w:rFonts w:eastAsia="SimSun" w:hAnsi="SimSun"/>
          <w:lang w:val="en-US" w:eastAsia="zh-CN"/>
        </w:rPr>
        <w:t>将显示</w:t>
      </w:r>
      <w:r w:rsidRPr="00B02549">
        <w:rPr>
          <w:rFonts w:eastAsia="SimSun" w:hAnsi="SimSun"/>
          <w:lang w:eastAsia="zh-CN"/>
        </w:rPr>
        <w:t>有关会议厅安排的具体信息。</w:t>
      </w:r>
      <w:r w:rsidR="0068262A">
        <w:rPr>
          <w:rFonts w:eastAsia="SimSun" w:hAnsi="SimSun" w:hint="eastAsia"/>
          <w:lang w:eastAsia="zh-CN"/>
        </w:rPr>
        <w:t>参加本次会议无须交纳注册费。</w:t>
      </w:r>
    </w:p>
    <w:p w:rsidR="00E1779A" w:rsidRPr="00A323F4" w:rsidRDefault="00E1779A" w:rsidP="00E13D3D">
      <w:pPr>
        <w:spacing w:before="240"/>
        <w:ind w:firstLineChars="200" w:firstLine="480"/>
        <w:rPr>
          <w:lang w:eastAsia="zh-CN"/>
        </w:rPr>
      </w:pPr>
      <w:r w:rsidRPr="00A323F4">
        <w:rPr>
          <w:rFonts w:hint="eastAsia"/>
          <w:lang w:eastAsia="zh-CN"/>
        </w:rPr>
        <w:t>讨论将仅用英文进行。</w:t>
      </w:r>
    </w:p>
    <w:p w:rsidR="00800507" w:rsidRPr="00A323F4" w:rsidRDefault="00014361" w:rsidP="00E13D3D">
      <w:pPr>
        <w:spacing w:before="240"/>
        <w:ind w:firstLineChars="200" w:firstLine="480"/>
        <w:rPr>
          <w:lang w:eastAsia="zh-CN"/>
        </w:rPr>
      </w:pPr>
      <w:r w:rsidRPr="00A323F4">
        <w:rPr>
          <w:rFonts w:hint="eastAsia"/>
          <w:lang w:eastAsia="zh-CN"/>
        </w:rPr>
        <w:t>本次会议</w:t>
      </w:r>
      <w:r w:rsidR="00A323F4" w:rsidRPr="00A323F4">
        <w:rPr>
          <w:rFonts w:hint="eastAsia"/>
          <w:lang w:eastAsia="zh-CN"/>
        </w:rPr>
        <w:t>文件</w:t>
      </w:r>
      <w:r w:rsidRPr="00A323F4">
        <w:rPr>
          <w:rFonts w:hint="eastAsia"/>
          <w:lang w:eastAsia="zh-CN"/>
        </w:rPr>
        <w:t>将</w:t>
      </w:r>
      <w:r w:rsidR="00C80995">
        <w:rPr>
          <w:rFonts w:hint="eastAsia"/>
          <w:lang w:eastAsia="zh-CN"/>
        </w:rPr>
        <w:t>可以</w:t>
      </w:r>
      <w:r w:rsidRPr="00A323F4">
        <w:rPr>
          <w:rFonts w:hint="eastAsia"/>
          <w:lang w:eastAsia="zh-CN"/>
        </w:rPr>
        <w:t>公开</w:t>
      </w:r>
      <w:r w:rsidR="00C80995">
        <w:rPr>
          <w:rFonts w:hint="eastAsia"/>
          <w:lang w:eastAsia="zh-CN"/>
        </w:rPr>
        <w:t>获得</w:t>
      </w:r>
      <w:r w:rsidRPr="00A323F4">
        <w:rPr>
          <w:rFonts w:hint="eastAsia"/>
          <w:lang w:eastAsia="zh-CN"/>
        </w:rPr>
        <w:t>。</w:t>
      </w:r>
      <w:r w:rsidR="00800507" w:rsidRPr="00A323F4">
        <w:rPr>
          <w:lang w:eastAsia="zh-CN"/>
        </w:rPr>
        <w:t>请您在文件编写过程中，使用</w:t>
      </w:r>
      <w:r w:rsidRPr="00A323F4">
        <w:rPr>
          <w:rFonts w:hint="eastAsia"/>
          <w:lang w:val="en-US" w:eastAsia="zh-CN"/>
        </w:rPr>
        <w:t>焦点组</w:t>
      </w:r>
      <w:r w:rsidR="00800507" w:rsidRPr="00A323F4">
        <w:rPr>
          <w:lang w:eastAsia="zh-CN"/>
        </w:rPr>
        <w:t>网页为</w:t>
      </w:r>
      <w:r w:rsidRPr="00A323F4">
        <w:rPr>
          <w:rFonts w:hint="eastAsia"/>
          <w:lang w:eastAsia="zh-CN"/>
        </w:rPr>
        <w:t>焦点组</w:t>
      </w:r>
      <w:r w:rsidR="00800507" w:rsidRPr="00A323F4">
        <w:rPr>
          <w:lang w:eastAsia="zh-CN"/>
        </w:rPr>
        <w:t>文件提供的基本模板。</w:t>
      </w:r>
      <w:r w:rsidRPr="00A323F4">
        <w:rPr>
          <w:rFonts w:hint="eastAsia"/>
          <w:lang w:eastAsia="zh-CN"/>
        </w:rPr>
        <w:t>与会者应采用</w:t>
      </w:r>
      <w:r w:rsidR="00A323F4" w:rsidRPr="00A323F4">
        <w:rPr>
          <w:rFonts w:hint="eastAsia"/>
          <w:lang w:eastAsia="zh-CN"/>
        </w:rPr>
        <w:t>如下</w:t>
      </w:r>
      <w:r w:rsidRPr="00A323F4">
        <w:rPr>
          <w:rFonts w:hint="eastAsia"/>
          <w:lang w:eastAsia="zh-CN"/>
        </w:rPr>
        <w:t>电子方式向电信标准化局</w:t>
      </w:r>
      <w:r w:rsidR="00800507" w:rsidRPr="00A323F4">
        <w:rPr>
          <w:lang w:eastAsia="zh-CN"/>
        </w:rPr>
        <w:t>提交</w:t>
      </w:r>
      <w:r w:rsidRPr="00A323F4">
        <w:rPr>
          <w:rFonts w:hint="eastAsia"/>
          <w:lang w:eastAsia="zh-CN"/>
        </w:rPr>
        <w:t>有关</w:t>
      </w:r>
      <w:r w:rsidRPr="00A323F4">
        <w:rPr>
          <w:lang w:eastAsia="zh-CN"/>
        </w:rPr>
        <w:t>FG</w:t>
      </w:r>
      <w:r w:rsidRPr="00A323F4">
        <w:rPr>
          <w:rFonts w:hint="eastAsia"/>
          <w:lang w:eastAsia="zh-CN"/>
        </w:rPr>
        <w:t xml:space="preserve"> Smart</w:t>
      </w:r>
      <w:r w:rsidRPr="00A323F4">
        <w:rPr>
          <w:rFonts w:hint="eastAsia"/>
          <w:lang w:eastAsia="zh-CN"/>
        </w:rPr>
        <w:t>的输入文件：</w:t>
      </w:r>
    </w:p>
    <w:p w:rsidR="00014361" w:rsidRPr="00226C24" w:rsidRDefault="00F81C5B" w:rsidP="00E13D3D">
      <w:pPr>
        <w:tabs>
          <w:tab w:val="left" w:pos="1418"/>
          <w:tab w:val="left" w:pos="1702"/>
          <w:tab w:val="left" w:pos="2160"/>
        </w:tabs>
        <w:spacing w:before="240"/>
        <w:ind w:right="92"/>
        <w:rPr>
          <w:lang w:val="en-US" w:eastAsia="zh-CN"/>
        </w:rPr>
      </w:pPr>
      <w:r w:rsidRPr="00F81C5B">
        <w:rPr>
          <w:lang w:val="en-US" w:eastAsia="zh-CN"/>
        </w:rPr>
        <w:t>–</w:t>
      </w:r>
      <w:r w:rsidR="00014361">
        <w:rPr>
          <w:rFonts w:hint="eastAsia"/>
          <w:lang w:val="en-US" w:eastAsia="zh-CN"/>
        </w:rPr>
        <w:tab/>
      </w:r>
      <w:r w:rsidR="00014361">
        <w:rPr>
          <w:rFonts w:hint="eastAsia"/>
          <w:lang w:val="en-US" w:eastAsia="zh-CN"/>
        </w:rPr>
        <w:t>通过</w:t>
      </w:r>
      <w:r w:rsidR="00B112F2">
        <w:fldChar w:fldCharType="begin"/>
      </w:r>
      <w:r w:rsidR="00561DAD">
        <w:rPr>
          <w:lang w:eastAsia="zh-CN"/>
        </w:rPr>
        <w:instrText>HYPERLINK "mailto:tsbfgsmart@itu.int"</w:instrText>
      </w:r>
      <w:r w:rsidR="00B112F2">
        <w:fldChar w:fldCharType="separate"/>
      </w:r>
      <w:r w:rsidR="00014361" w:rsidRPr="00931E41">
        <w:rPr>
          <w:rStyle w:val="Hyperlink"/>
          <w:lang w:val="en-US" w:eastAsia="zh-CN"/>
        </w:rPr>
        <w:t>tsbfgsmart@itu.int</w:t>
      </w:r>
      <w:r w:rsidR="00B112F2">
        <w:fldChar w:fldCharType="end"/>
      </w:r>
      <w:r w:rsidR="00014361">
        <w:rPr>
          <w:lang w:val="en-US" w:eastAsia="zh-CN"/>
        </w:rPr>
        <w:t xml:space="preserve"> </w:t>
      </w:r>
      <w:r w:rsidR="00014361">
        <w:rPr>
          <w:rFonts w:hint="eastAsia"/>
          <w:lang w:val="en-US" w:eastAsia="zh-CN"/>
        </w:rPr>
        <w:t>联系</w:t>
      </w:r>
      <w:r w:rsidR="003B7E3E">
        <w:rPr>
          <w:rFonts w:hint="eastAsia"/>
          <w:lang w:eastAsia="zh-CN"/>
        </w:rPr>
        <w:t>电信标准化局</w:t>
      </w:r>
      <w:r w:rsidR="00014361">
        <w:rPr>
          <w:rFonts w:hint="eastAsia"/>
          <w:lang w:val="en-US" w:eastAsia="zh-CN"/>
        </w:rPr>
        <w:t>，以</w:t>
      </w:r>
      <w:r w:rsidR="00CB555F">
        <w:rPr>
          <w:rFonts w:hint="eastAsia"/>
          <w:lang w:val="en-US" w:eastAsia="zh-CN"/>
        </w:rPr>
        <w:t>获得</w:t>
      </w:r>
      <w:r w:rsidR="00014361">
        <w:rPr>
          <w:rFonts w:hint="eastAsia"/>
          <w:lang w:val="en-US" w:eastAsia="zh-CN"/>
        </w:rPr>
        <w:t>每份文件的</w:t>
      </w:r>
      <w:r w:rsidR="00CB555F">
        <w:rPr>
          <w:rFonts w:hint="eastAsia"/>
          <w:lang w:val="en-US" w:eastAsia="zh-CN"/>
        </w:rPr>
        <w:t>编号</w:t>
      </w:r>
      <w:r w:rsidR="0073042F">
        <w:rPr>
          <w:lang w:val="en-US" w:eastAsia="zh-CN"/>
        </w:rPr>
        <w:t>（</w:t>
      </w:r>
      <w:proofErr w:type="spellStart"/>
      <w:r w:rsidR="00014361">
        <w:rPr>
          <w:lang w:val="en-US" w:eastAsia="zh-CN"/>
        </w:rPr>
        <w:t>nnnn</w:t>
      </w:r>
      <w:proofErr w:type="spellEnd"/>
      <w:r w:rsidR="0073042F">
        <w:rPr>
          <w:lang w:val="en-US" w:eastAsia="zh-CN"/>
        </w:rPr>
        <w:t>）</w:t>
      </w:r>
    </w:p>
    <w:p w:rsidR="00014361" w:rsidRDefault="00F81C5B" w:rsidP="00E13D3D">
      <w:pPr>
        <w:tabs>
          <w:tab w:val="left" w:pos="1418"/>
          <w:tab w:val="left" w:pos="1702"/>
          <w:tab w:val="left" w:pos="2160"/>
        </w:tabs>
        <w:spacing w:before="240"/>
        <w:ind w:right="92"/>
        <w:rPr>
          <w:lang w:val="en-US" w:eastAsia="zh-CN"/>
        </w:rPr>
      </w:pPr>
      <w:r w:rsidRPr="00F81C5B">
        <w:rPr>
          <w:lang w:val="en-US" w:eastAsia="zh-CN"/>
        </w:rPr>
        <w:t>–</w:t>
      </w:r>
      <w:r w:rsidR="00014361" w:rsidRPr="00226C24">
        <w:rPr>
          <w:lang w:val="en-US"/>
        </w:rPr>
        <w:tab/>
      </w:r>
      <w:r w:rsidR="00072A2B">
        <w:rPr>
          <w:rFonts w:hint="eastAsia"/>
          <w:lang w:val="en-US" w:eastAsia="zh-CN"/>
        </w:rPr>
        <w:t>采</w:t>
      </w:r>
      <w:r w:rsidR="00A323F4">
        <w:rPr>
          <w:rFonts w:hint="eastAsia"/>
          <w:lang w:val="en-US" w:eastAsia="zh-CN"/>
        </w:rPr>
        <w:t>用</w:t>
      </w:r>
      <w:r w:rsidR="00014361">
        <w:rPr>
          <w:rFonts w:hint="eastAsia"/>
          <w:lang w:val="en-US" w:eastAsia="zh-CN"/>
        </w:rPr>
        <w:t>下述文档名称编制文件：</w:t>
      </w:r>
      <w:r w:rsidR="00014361" w:rsidRPr="00226C24">
        <w:rPr>
          <w:lang w:val="en-US"/>
        </w:rPr>
        <w:t>FG-</w:t>
      </w:r>
      <w:r w:rsidR="00014361">
        <w:rPr>
          <w:lang w:val="en-US"/>
        </w:rPr>
        <w:t>Smart</w:t>
      </w:r>
      <w:r w:rsidR="00014361" w:rsidRPr="00226C24">
        <w:rPr>
          <w:lang w:val="en-US"/>
        </w:rPr>
        <w:t>-I-</w:t>
      </w:r>
      <w:proofErr w:type="spellStart"/>
      <w:r w:rsidR="00014361" w:rsidRPr="00226C24">
        <w:rPr>
          <w:lang w:val="en-US"/>
        </w:rPr>
        <w:t>nnnn</w:t>
      </w:r>
      <w:proofErr w:type="spellEnd"/>
      <w:r w:rsidR="0073042F">
        <w:rPr>
          <w:rFonts w:hint="eastAsia"/>
          <w:lang w:val="en-US" w:eastAsia="zh-CN"/>
        </w:rPr>
        <w:t>（</w:t>
      </w:r>
      <w:r w:rsidR="00CB555F">
        <w:rPr>
          <w:rFonts w:hint="eastAsia"/>
          <w:lang w:val="en-US" w:eastAsia="zh-CN"/>
        </w:rPr>
        <w:t>加上适当的文档扩展名</w:t>
      </w:r>
      <w:r w:rsidR="0073042F">
        <w:rPr>
          <w:rFonts w:hint="eastAsia"/>
          <w:lang w:val="en-US" w:eastAsia="zh-CN"/>
        </w:rPr>
        <w:t>）</w:t>
      </w:r>
    </w:p>
    <w:p w:rsidR="00E13D3D" w:rsidRDefault="00F81C5B" w:rsidP="00E13D3D">
      <w:pPr>
        <w:spacing w:before="240"/>
        <w:rPr>
          <w:lang w:val="en-US" w:eastAsia="zh-CN"/>
        </w:rPr>
      </w:pPr>
      <w:r w:rsidRPr="00F81C5B">
        <w:rPr>
          <w:lang w:val="en-US" w:eastAsia="zh-CN"/>
        </w:rPr>
        <w:t>–</w:t>
      </w:r>
      <w:r w:rsidR="00014361">
        <w:rPr>
          <w:lang w:val="en-US"/>
        </w:rPr>
        <w:tab/>
      </w:r>
      <w:r w:rsidR="00CB555F">
        <w:rPr>
          <w:rFonts w:hint="eastAsia"/>
          <w:lang w:val="en-US" w:eastAsia="zh-CN"/>
        </w:rPr>
        <w:t>使用</w:t>
      </w:r>
      <w:r w:rsidR="00CB555F">
        <w:rPr>
          <w:lang w:val="en-US"/>
        </w:rPr>
        <w:t>FTP</w:t>
      </w:r>
      <w:r w:rsidR="00CB555F">
        <w:rPr>
          <w:rFonts w:hint="eastAsia"/>
          <w:lang w:val="en-US" w:eastAsia="zh-CN"/>
        </w:rPr>
        <w:t>客户端，将文件上传至</w:t>
      </w:r>
      <w:r w:rsidR="00CB555F">
        <w:rPr>
          <w:lang w:val="en-US"/>
        </w:rPr>
        <w:t>FG Smart FTP</w:t>
      </w:r>
      <w:r w:rsidR="00CB555F">
        <w:rPr>
          <w:rFonts w:hint="eastAsia"/>
          <w:lang w:val="en-US" w:eastAsia="zh-CN"/>
        </w:rPr>
        <w:t>区域的文件投入文件夹</w:t>
      </w:r>
    </w:p>
    <w:p w:rsidR="00E13D3D" w:rsidRDefault="00014361" w:rsidP="00E13D3D">
      <w:pPr>
        <w:rPr>
          <w:lang w:val="en-US" w:eastAsia="zh-CN"/>
        </w:rPr>
      </w:pPr>
      <w:r>
        <w:rPr>
          <w:lang w:val="en-US"/>
        </w:rPr>
        <w:tab/>
      </w:r>
      <w:r w:rsidR="002A4A8E" w:rsidRPr="002A4A8E">
        <w:rPr>
          <w:bCs/>
          <w:szCs w:val="22"/>
          <w:lang w:val="en-US"/>
        </w:rPr>
        <w:t>•</w:t>
      </w:r>
      <w:r w:rsidR="002A4A8E" w:rsidRPr="002A4A8E">
        <w:rPr>
          <w:bCs/>
          <w:szCs w:val="22"/>
          <w:lang w:val="en-US"/>
        </w:rPr>
        <w:tab/>
      </w:r>
      <w:r w:rsidR="00CB555F">
        <w:rPr>
          <w:rFonts w:hint="eastAsia"/>
          <w:b/>
          <w:bCs/>
          <w:lang w:val="en-US" w:eastAsia="zh-CN"/>
        </w:rPr>
        <w:t>主机名：</w:t>
      </w:r>
      <w:r>
        <w:rPr>
          <w:lang w:val="en-US"/>
        </w:rPr>
        <w:t>ifa.itu.int</w:t>
      </w:r>
    </w:p>
    <w:p w:rsidR="00F81C5B" w:rsidRDefault="00014361" w:rsidP="00E13D3D">
      <w:pPr>
        <w:rPr>
          <w:lang w:val="en-US" w:eastAsia="zh-CN"/>
        </w:rPr>
      </w:pPr>
      <w:r>
        <w:rPr>
          <w:lang w:val="en-US"/>
        </w:rPr>
        <w:tab/>
      </w:r>
      <w:r w:rsidR="002A4A8E" w:rsidRPr="002A4A8E">
        <w:rPr>
          <w:bCs/>
          <w:szCs w:val="22"/>
          <w:lang w:val="en-US"/>
        </w:rPr>
        <w:t>•</w:t>
      </w:r>
      <w:r w:rsidR="002A4A8E" w:rsidRPr="002A4A8E">
        <w:rPr>
          <w:bCs/>
          <w:szCs w:val="22"/>
          <w:lang w:val="en-US"/>
        </w:rPr>
        <w:tab/>
      </w:r>
      <w:r w:rsidR="00CB555F">
        <w:rPr>
          <w:rFonts w:hint="eastAsia"/>
          <w:b/>
          <w:bCs/>
          <w:lang w:val="en-US" w:eastAsia="zh-CN"/>
        </w:rPr>
        <w:t>路径：</w:t>
      </w:r>
      <w:r w:rsidRPr="00CA37FA">
        <w:rPr>
          <w:lang w:val="en-US"/>
        </w:rPr>
        <w:t>/t/</w:t>
      </w:r>
      <w:proofErr w:type="spellStart"/>
      <w:r w:rsidRPr="00CA37FA">
        <w:rPr>
          <w:lang w:val="en-US"/>
        </w:rPr>
        <w:t>fg</w:t>
      </w:r>
      <w:proofErr w:type="spellEnd"/>
      <w:r w:rsidRPr="00CA37FA">
        <w:rPr>
          <w:lang w:val="en-US"/>
        </w:rPr>
        <w:t>/</w:t>
      </w:r>
      <w:r>
        <w:rPr>
          <w:lang w:val="en-US"/>
        </w:rPr>
        <w:t>smart/docs/incoming</w:t>
      </w:r>
    </w:p>
    <w:p w:rsidR="00014361" w:rsidRDefault="00CB555F" w:rsidP="00E13D3D">
      <w:pPr>
        <w:spacing w:before="240"/>
        <w:ind w:firstLineChars="200" w:firstLine="480"/>
        <w:rPr>
          <w:lang w:val="en-US" w:eastAsia="zh-CN"/>
        </w:rPr>
      </w:pPr>
      <w:r w:rsidRPr="00F81C5B">
        <w:rPr>
          <w:rFonts w:hint="eastAsia"/>
          <w:lang w:val="en-US" w:eastAsia="zh-CN"/>
        </w:rPr>
        <w:t>注意：可用下述网页浏览器阅读文件投入箱内的文件</w:t>
      </w:r>
      <w:r>
        <w:rPr>
          <w:rFonts w:hint="eastAsia"/>
          <w:lang w:val="en-US" w:eastAsia="zh-CN"/>
        </w:rPr>
        <w:t>：</w:t>
      </w:r>
      <w:hyperlink r:id="rId10" w:history="1">
        <w:r w:rsidR="00F81C5B" w:rsidRPr="0036180B">
          <w:rPr>
            <w:rStyle w:val="Hyperlink"/>
          </w:rPr>
          <w:t>http</w:t>
        </w:r>
        <w:r w:rsidR="00F81C5B" w:rsidRPr="00F81C5B">
          <w:rPr>
            <w:rStyle w:val="Hyperlink"/>
            <w:lang w:val="en-US"/>
          </w:rPr>
          <w:t>://</w:t>
        </w:r>
        <w:proofErr w:type="spellStart"/>
        <w:r w:rsidR="00F81C5B" w:rsidRPr="0036180B">
          <w:rPr>
            <w:rStyle w:val="Hyperlink"/>
          </w:rPr>
          <w:t>ifa</w:t>
        </w:r>
        <w:proofErr w:type="spellEnd"/>
        <w:r w:rsidR="00F81C5B" w:rsidRPr="00F81C5B">
          <w:rPr>
            <w:rStyle w:val="Hyperlink"/>
            <w:lang w:val="en-US"/>
          </w:rPr>
          <w:t>.</w:t>
        </w:r>
        <w:proofErr w:type="spellStart"/>
        <w:r w:rsidR="00F81C5B" w:rsidRPr="0036180B">
          <w:rPr>
            <w:rStyle w:val="Hyperlink"/>
          </w:rPr>
          <w:t>itu</w:t>
        </w:r>
        <w:proofErr w:type="spellEnd"/>
        <w:r w:rsidR="00F81C5B" w:rsidRPr="00F81C5B">
          <w:rPr>
            <w:rStyle w:val="Hyperlink"/>
            <w:lang w:val="en-US"/>
          </w:rPr>
          <w:t>.</w:t>
        </w:r>
        <w:proofErr w:type="spellStart"/>
        <w:r w:rsidR="00F81C5B" w:rsidRPr="0036180B">
          <w:rPr>
            <w:rStyle w:val="Hyperlink"/>
          </w:rPr>
          <w:t>int</w:t>
        </w:r>
        <w:proofErr w:type="spellEnd"/>
        <w:r w:rsidR="00F81C5B" w:rsidRPr="00F81C5B">
          <w:rPr>
            <w:rStyle w:val="Hyperlink"/>
            <w:lang w:val="en-US"/>
          </w:rPr>
          <w:t>/</w:t>
        </w:r>
        <w:r w:rsidR="00F81C5B" w:rsidRPr="0036180B">
          <w:rPr>
            <w:rStyle w:val="Hyperlink"/>
          </w:rPr>
          <w:t>t</w:t>
        </w:r>
        <w:r w:rsidR="00F81C5B" w:rsidRPr="00F81C5B">
          <w:rPr>
            <w:rStyle w:val="Hyperlink"/>
            <w:lang w:val="en-US"/>
          </w:rPr>
          <w:t>/</w:t>
        </w:r>
        <w:proofErr w:type="spellStart"/>
        <w:r w:rsidR="00F81C5B" w:rsidRPr="0036180B">
          <w:rPr>
            <w:rStyle w:val="Hyperlink"/>
          </w:rPr>
          <w:t>fg</w:t>
        </w:r>
        <w:proofErr w:type="spellEnd"/>
        <w:r w:rsidR="00F81C5B" w:rsidRPr="00F81C5B">
          <w:rPr>
            <w:rStyle w:val="Hyperlink"/>
            <w:lang w:val="en-US"/>
          </w:rPr>
          <w:t>/</w:t>
        </w:r>
        <w:r w:rsidR="00F81C5B" w:rsidRPr="0036180B">
          <w:rPr>
            <w:rStyle w:val="Hyperlink"/>
          </w:rPr>
          <w:t>smart</w:t>
        </w:r>
        <w:r w:rsidR="00F81C5B" w:rsidRPr="00F81C5B">
          <w:rPr>
            <w:rStyle w:val="Hyperlink"/>
            <w:lang w:val="en-US"/>
          </w:rPr>
          <w:t>/</w:t>
        </w:r>
        <w:r w:rsidR="00F81C5B" w:rsidRPr="0036180B">
          <w:rPr>
            <w:rStyle w:val="Hyperlink"/>
          </w:rPr>
          <w:t>docs</w:t>
        </w:r>
        <w:r w:rsidR="00F81C5B" w:rsidRPr="00F81C5B">
          <w:rPr>
            <w:rStyle w:val="Hyperlink"/>
            <w:lang w:val="en-US"/>
          </w:rPr>
          <w:t>/</w:t>
        </w:r>
        <w:r w:rsidR="00F81C5B" w:rsidRPr="0036180B">
          <w:rPr>
            <w:rStyle w:val="Hyperlink"/>
          </w:rPr>
          <w:t>incoming</w:t>
        </w:r>
        <w:r w:rsidR="00F81C5B" w:rsidRPr="00F81C5B">
          <w:rPr>
            <w:rStyle w:val="Hyperlink"/>
            <w:lang w:val="en-US"/>
          </w:rPr>
          <w:t>/</w:t>
        </w:r>
      </w:hyperlink>
      <w:r w:rsidR="00F81C5B">
        <w:rPr>
          <w:rFonts w:hint="eastAsia"/>
          <w:szCs w:val="22"/>
          <w:lang w:val="en-US" w:eastAsia="zh-CN"/>
        </w:rPr>
        <w:t>。</w:t>
      </w:r>
    </w:p>
    <w:p w:rsidR="00014361" w:rsidRDefault="0083268B" w:rsidP="00E13D3D">
      <w:pPr>
        <w:spacing w:before="240"/>
        <w:ind w:firstLineChars="200" w:firstLine="480"/>
        <w:rPr>
          <w:lang w:val="en-US" w:eastAsia="zh-CN"/>
        </w:rPr>
      </w:pPr>
      <w:r>
        <w:rPr>
          <w:rFonts w:hint="eastAsia"/>
          <w:lang w:val="en-US" w:eastAsia="zh-CN"/>
        </w:rPr>
        <w:t>电信标准化局将对文件</w:t>
      </w:r>
      <w:r w:rsidR="00072A2B">
        <w:rPr>
          <w:rFonts w:hint="eastAsia"/>
          <w:lang w:val="en-US" w:eastAsia="zh-CN"/>
        </w:rPr>
        <w:t>进行</w:t>
      </w:r>
      <w:r w:rsidR="00CB555F">
        <w:rPr>
          <w:rFonts w:hint="eastAsia"/>
          <w:lang w:val="en-US" w:eastAsia="zh-CN"/>
        </w:rPr>
        <w:t>处理，然后移动至相关的只读文件夹：</w:t>
      </w:r>
      <w:hyperlink r:id="rId11" w:history="1">
        <w:r w:rsidR="00014361" w:rsidRPr="00931E41">
          <w:rPr>
            <w:rStyle w:val="Hyperlink"/>
            <w:lang w:val="en-US"/>
          </w:rPr>
          <w:t>http://ifa.itu.int/t/fg/smart/docs/1006-gva/in/</w:t>
        </w:r>
      </w:hyperlink>
      <w:r w:rsidR="00F81C5B">
        <w:rPr>
          <w:rFonts w:hint="eastAsia"/>
          <w:lang w:eastAsia="zh-CN"/>
        </w:rPr>
        <w:t>。</w:t>
      </w:r>
    </w:p>
    <w:p w:rsidR="00014361" w:rsidRPr="00014361" w:rsidRDefault="003B7E3E" w:rsidP="00E13D3D">
      <w:pPr>
        <w:spacing w:before="240"/>
        <w:ind w:firstLineChars="200" w:firstLine="480"/>
        <w:rPr>
          <w:lang w:val="en-US" w:eastAsia="zh-CN"/>
        </w:rPr>
      </w:pPr>
      <w:r>
        <w:rPr>
          <w:rFonts w:hint="eastAsia"/>
          <w:lang w:val="en-US" w:eastAsia="zh-CN"/>
        </w:rPr>
        <w:t>经焦点组管理层同意，首次会议的文件提交截止时间为</w:t>
      </w:r>
      <w:r w:rsidRPr="0083268B">
        <w:rPr>
          <w:rFonts w:hint="eastAsia"/>
          <w:b/>
          <w:bCs/>
          <w:lang w:val="en-US" w:eastAsia="zh-CN"/>
        </w:rPr>
        <w:t>2010</w:t>
      </w:r>
      <w:r w:rsidRPr="0083268B">
        <w:rPr>
          <w:rFonts w:hint="eastAsia"/>
          <w:b/>
          <w:bCs/>
          <w:lang w:val="en-US" w:eastAsia="zh-CN"/>
        </w:rPr>
        <w:t>年</w:t>
      </w:r>
      <w:r w:rsidRPr="0083268B">
        <w:rPr>
          <w:rFonts w:hint="eastAsia"/>
          <w:b/>
          <w:bCs/>
          <w:lang w:val="en-US" w:eastAsia="zh-CN"/>
        </w:rPr>
        <w:t>6</w:t>
      </w:r>
      <w:r w:rsidRPr="0083268B">
        <w:rPr>
          <w:rFonts w:hint="eastAsia"/>
          <w:b/>
          <w:bCs/>
          <w:lang w:val="en-US" w:eastAsia="zh-CN"/>
        </w:rPr>
        <w:t>月</w:t>
      </w:r>
      <w:r w:rsidRPr="0083268B">
        <w:rPr>
          <w:rFonts w:hint="eastAsia"/>
          <w:b/>
          <w:bCs/>
          <w:lang w:val="en-US" w:eastAsia="zh-CN"/>
        </w:rPr>
        <w:t>7</w:t>
      </w:r>
      <w:r w:rsidRPr="0083268B">
        <w:rPr>
          <w:rFonts w:hint="eastAsia"/>
          <w:b/>
          <w:bCs/>
          <w:lang w:val="en-US" w:eastAsia="zh-CN"/>
        </w:rPr>
        <w:t>日</w:t>
      </w:r>
      <w:r>
        <w:rPr>
          <w:rFonts w:hint="eastAsia"/>
          <w:lang w:val="en-US" w:eastAsia="zh-CN"/>
        </w:rPr>
        <w:t>。请注意，本次会议将是一次无纸会议。</w:t>
      </w:r>
    </w:p>
    <w:p w:rsidR="002F3D1A" w:rsidRPr="00C868BD" w:rsidRDefault="00E1779A" w:rsidP="00E13D3D">
      <w:pPr>
        <w:tabs>
          <w:tab w:val="clear" w:pos="794"/>
          <w:tab w:val="clear" w:pos="1191"/>
          <w:tab w:val="left" w:pos="798"/>
          <w:tab w:val="left" w:pos="993"/>
        </w:tabs>
        <w:overflowPunct w:val="0"/>
        <w:autoSpaceDE w:val="0"/>
        <w:autoSpaceDN w:val="0"/>
        <w:adjustRightInd w:val="0"/>
        <w:spacing w:before="240"/>
        <w:textAlignment w:val="baseline"/>
        <w:rPr>
          <w:szCs w:val="24"/>
          <w:lang w:eastAsia="zh-CN"/>
        </w:rPr>
      </w:pPr>
      <w:r w:rsidRPr="00E1779A">
        <w:rPr>
          <w:rFonts w:hint="eastAsia"/>
          <w:lang w:val="en-US" w:eastAsia="zh-CN"/>
        </w:rPr>
        <w:t>7</w:t>
      </w:r>
      <w:r w:rsidRPr="00E1779A">
        <w:rPr>
          <w:rFonts w:hint="eastAsia"/>
          <w:lang w:val="en-US" w:eastAsia="zh-CN"/>
        </w:rPr>
        <w:tab/>
      </w:r>
      <w:r w:rsidRPr="00E1779A">
        <w:rPr>
          <w:rFonts w:hint="eastAsia"/>
          <w:lang w:val="en-US" w:eastAsia="zh-CN"/>
        </w:rPr>
        <w:t>国际电联的主要会议厅和日内瓦国际会议中心</w:t>
      </w:r>
      <w:r w:rsidR="0073042F">
        <w:rPr>
          <w:rFonts w:hint="eastAsia"/>
          <w:lang w:val="en-US" w:eastAsia="zh-CN"/>
        </w:rPr>
        <w:t>（</w:t>
      </w:r>
      <w:r w:rsidRPr="00E1779A">
        <w:rPr>
          <w:rFonts w:hint="eastAsia"/>
          <w:lang w:val="en-US" w:eastAsia="zh-CN"/>
        </w:rPr>
        <w:t>CICG</w:t>
      </w:r>
      <w:r w:rsidR="0073042F">
        <w:rPr>
          <w:rFonts w:hint="eastAsia"/>
          <w:lang w:val="en-US" w:eastAsia="zh-CN"/>
        </w:rPr>
        <w:t>）</w:t>
      </w:r>
      <w:r w:rsidRPr="00E1779A">
        <w:rPr>
          <w:rFonts w:hint="eastAsia"/>
          <w:lang w:val="en-US" w:eastAsia="zh-CN"/>
        </w:rPr>
        <w:t>内均设有无线局域网设施，供代表使用。国际电联</w:t>
      </w:r>
      <w:proofErr w:type="spellStart"/>
      <w:r w:rsidRPr="00E1779A">
        <w:rPr>
          <w:lang w:val="en-US" w:eastAsia="zh-CN"/>
        </w:rPr>
        <w:t>Montbrillant</w:t>
      </w:r>
      <w:proofErr w:type="spellEnd"/>
      <w:r w:rsidRPr="00E1779A">
        <w:rPr>
          <w:rFonts w:hint="eastAsia"/>
          <w:lang w:val="en-US" w:eastAsia="zh-CN"/>
        </w:rPr>
        <w:t>办公楼内继续提供有线网络接入。详细信息见</w:t>
      </w:r>
      <w:r w:rsidRPr="00E1779A">
        <w:rPr>
          <w:rFonts w:hint="eastAsia"/>
          <w:lang w:val="en-US" w:eastAsia="zh-CN"/>
        </w:rPr>
        <w:t>ITU-T</w:t>
      </w:r>
      <w:r w:rsidRPr="00E1779A">
        <w:rPr>
          <w:rFonts w:hint="eastAsia"/>
          <w:lang w:val="en-US" w:eastAsia="zh-CN"/>
        </w:rPr>
        <w:t>网站</w:t>
      </w:r>
      <w:r w:rsidR="0073042F">
        <w:rPr>
          <w:rFonts w:hint="eastAsia"/>
          <w:szCs w:val="24"/>
          <w:lang w:eastAsia="zh-CN"/>
        </w:rPr>
        <w:t>（</w:t>
      </w:r>
      <w:hyperlink r:id="rId12" w:history="1">
        <w:r w:rsidRPr="00C868BD">
          <w:rPr>
            <w:rStyle w:val="Hyperlink"/>
            <w:szCs w:val="24"/>
            <w:lang w:eastAsia="zh-CN"/>
          </w:rPr>
          <w:t>http://www.itu.int/ITU-T/edh/faqs-support.html</w:t>
        </w:r>
      </w:hyperlink>
      <w:r w:rsidR="0073042F">
        <w:rPr>
          <w:rFonts w:hint="eastAsia"/>
          <w:szCs w:val="24"/>
          <w:lang w:eastAsia="zh-CN"/>
        </w:rPr>
        <w:t>）</w:t>
      </w:r>
      <w:r w:rsidRPr="00C868BD">
        <w:rPr>
          <w:rFonts w:hint="eastAsia"/>
          <w:szCs w:val="24"/>
          <w:lang w:eastAsia="zh-CN"/>
        </w:rPr>
        <w:t>。</w:t>
      </w:r>
    </w:p>
    <w:p w:rsidR="00E1779A" w:rsidRDefault="00E1779A" w:rsidP="00E13D3D">
      <w:pPr>
        <w:spacing w:before="240"/>
        <w:rPr>
          <w:lang w:eastAsia="zh-CN"/>
        </w:rPr>
      </w:pPr>
      <w:r>
        <w:rPr>
          <w:rFonts w:hint="eastAsia"/>
          <w:lang w:eastAsia="zh-CN"/>
        </w:rPr>
        <w:t>8</w:t>
      </w:r>
      <w:r>
        <w:rPr>
          <w:rFonts w:hint="eastAsia"/>
          <w:lang w:eastAsia="zh-CN"/>
        </w:rPr>
        <w:tab/>
      </w:r>
      <w:r>
        <w:rPr>
          <w:rFonts w:hint="eastAsia"/>
          <w:b/>
          <w:bCs/>
          <w:szCs w:val="23"/>
          <w:lang w:eastAsia="zh-CN"/>
        </w:rPr>
        <w:t>附件</w:t>
      </w:r>
      <w:r w:rsidR="003B7E3E">
        <w:rPr>
          <w:rFonts w:hint="eastAsia"/>
          <w:b/>
          <w:bCs/>
          <w:szCs w:val="23"/>
          <w:lang w:eastAsia="zh-CN"/>
        </w:rPr>
        <w:t>3</w:t>
      </w:r>
      <w:r>
        <w:rPr>
          <w:rFonts w:hint="eastAsia"/>
          <w:szCs w:val="23"/>
          <w:lang w:eastAsia="zh-CN"/>
        </w:rPr>
        <w:t>中有一份酒店确认单</w:t>
      </w:r>
      <w:r w:rsidR="0073042F">
        <w:rPr>
          <w:rFonts w:hint="eastAsia"/>
          <w:szCs w:val="23"/>
          <w:lang w:eastAsia="zh-CN"/>
        </w:rPr>
        <w:t>（</w:t>
      </w:r>
      <w:r>
        <w:rPr>
          <w:rFonts w:hint="eastAsia"/>
          <w:szCs w:val="23"/>
          <w:lang w:eastAsia="zh-CN"/>
        </w:rPr>
        <w:t>酒店清单见</w:t>
      </w:r>
      <w:hyperlink r:id="rId13" w:history="1">
        <w:r w:rsidRPr="006609BF">
          <w:rPr>
            <w:rStyle w:val="Hyperlink"/>
            <w:szCs w:val="23"/>
            <w:lang w:eastAsia="zh-CN"/>
          </w:rPr>
          <w:t>http://www.itu.int/travel/</w:t>
        </w:r>
      </w:hyperlink>
      <w:r w:rsidR="0073042F">
        <w:rPr>
          <w:rFonts w:hint="eastAsia"/>
          <w:szCs w:val="23"/>
          <w:lang w:eastAsia="zh-CN"/>
        </w:rPr>
        <w:t>）</w:t>
      </w:r>
      <w:r>
        <w:rPr>
          <w:rFonts w:hint="eastAsia"/>
          <w:szCs w:val="23"/>
          <w:lang w:val="en-US" w:eastAsia="zh-CN"/>
        </w:rPr>
        <w:t>，</w:t>
      </w:r>
      <w:r>
        <w:rPr>
          <w:rFonts w:hint="eastAsia"/>
          <w:szCs w:val="23"/>
          <w:lang w:eastAsia="zh-CN"/>
        </w:rPr>
        <w:t>供参考。</w:t>
      </w:r>
    </w:p>
    <w:p w:rsidR="00E1779A" w:rsidRPr="00180EF1" w:rsidRDefault="00E1779A" w:rsidP="00E13D3D">
      <w:pPr>
        <w:tabs>
          <w:tab w:val="left" w:pos="1418"/>
          <w:tab w:val="left" w:pos="1702"/>
          <w:tab w:val="left" w:pos="2160"/>
        </w:tabs>
        <w:spacing w:before="240"/>
        <w:ind w:right="-96"/>
        <w:jc w:val="both"/>
        <w:rPr>
          <w:b/>
          <w:bCs/>
          <w:lang w:eastAsia="zh-CN"/>
        </w:rPr>
      </w:pPr>
      <w:r>
        <w:rPr>
          <w:lang w:eastAsia="zh-CN"/>
        </w:rPr>
        <w:t>9</w:t>
      </w:r>
      <w:r>
        <w:rPr>
          <w:lang w:eastAsia="zh-CN"/>
        </w:rPr>
        <w:tab/>
      </w:r>
      <w:r w:rsidR="003B7E3E">
        <w:rPr>
          <w:rFonts w:hint="eastAsia"/>
          <w:lang w:eastAsia="zh-CN"/>
        </w:rPr>
        <w:t>为便于电信标准化局就焦点组会议</w:t>
      </w:r>
      <w:r>
        <w:rPr>
          <w:rFonts w:hint="eastAsia"/>
          <w:lang w:eastAsia="zh-CN"/>
        </w:rPr>
        <w:t>的组织做出必要安排，我希望您能通过</w:t>
      </w:r>
      <w:hyperlink r:id="rId14" w:history="1">
        <w:r w:rsidR="003B7E3E" w:rsidRPr="003E07B6">
          <w:rPr>
            <w:rStyle w:val="Hyperlink"/>
          </w:rPr>
          <w:t>http://www.itu.int/ITU-T/focusgroups/smart/</w:t>
        </w:r>
      </w:hyperlink>
      <w:r>
        <w:rPr>
          <w:rFonts w:hint="eastAsia"/>
          <w:lang w:eastAsia="zh-CN"/>
        </w:rPr>
        <w:t>网址</w:t>
      </w:r>
      <w:r>
        <w:rPr>
          <w:rFonts w:hint="eastAsia"/>
          <w:lang w:val="en-US" w:eastAsia="zh-CN"/>
        </w:rPr>
        <w:t>以</w:t>
      </w:r>
      <w:r>
        <w:rPr>
          <w:rFonts w:hint="eastAsia"/>
          <w:lang w:eastAsia="zh-CN"/>
        </w:rPr>
        <w:t>在线形式向电信标准化局尽早、但</w:t>
      </w:r>
      <w:r>
        <w:rPr>
          <w:rFonts w:hint="eastAsia"/>
          <w:b/>
          <w:bCs/>
          <w:lang w:eastAsia="zh-CN"/>
        </w:rPr>
        <w:t>不迟于</w:t>
      </w:r>
      <w:r w:rsidR="003B7E3E">
        <w:rPr>
          <w:rFonts w:hint="eastAsia"/>
          <w:b/>
          <w:bCs/>
          <w:lang w:eastAsia="zh-CN"/>
        </w:rPr>
        <w:t>2010</w:t>
      </w:r>
      <w:r w:rsidR="003B7E3E">
        <w:rPr>
          <w:rFonts w:hint="eastAsia"/>
          <w:b/>
          <w:bCs/>
          <w:lang w:eastAsia="zh-CN"/>
        </w:rPr>
        <w:t>年</w:t>
      </w:r>
      <w:r w:rsidR="003B7E3E">
        <w:rPr>
          <w:rFonts w:hint="eastAsia"/>
          <w:b/>
          <w:bCs/>
          <w:lang w:eastAsia="zh-CN"/>
        </w:rPr>
        <w:t>6</w:t>
      </w:r>
      <w:r w:rsidR="003B7E3E">
        <w:rPr>
          <w:rFonts w:hint="eastAsia"/>
          <w:b/>
          <w:bCs/>
          <w:lang w:eastAsia="zh-CN"/>
        </w:rPr>
        <w:t>月</w:t>
      </w:r>
      <w:r w:rsidR="003B7E3E">
        <w:rPr>
          <w:rFonts w:hint="eastAsia"/>
          <w:b/>
          <w:bCs/>
          <w:lang w:eastAsia="zh-CN"/>
        </w:rPr>
        <w:t>1</w:t>
      </w:r>
      <w:r w:rsidR="003B7E3E">
        <w:rPr>
          <w:rFonts w:hint="eastAsia"/>
          <w:b/>
          <w:bCs/>
          <w:lang w:eastAsia="zh-CN"/>
        </w:rPr>
        <w:t>日</w:t>
      </w:r>
      <w:r>
        <w:rPr>
          <w:rFonts w:hint="eastAsia"/>
          <w:lang w:eastAsia="zh-CN"/>
        </w:rPr>
        <w:t>进行注册。</w:t>
      </w:r>
      <w:r>
        <w:rPr>
          <w:rFonts w:hint="eastAsia"/>
          <w:b/>
          <w:bCs/>
          <w:lang w:eastAsia="zh-CN"/>
        </w:rPr>
        <w:t>请注意，</w:t>
      </w:r>
      <w:r w:rsidR="00072A2B">
        <w:rPr>
          <w:rFonts w:hint="eastAsia"/>
          <w:b/>
          <w:bCs/>
          <w:lang w:eastAsia="zh-CN"/>
        </w:rPr>
        <w:t>会议</w:t>
      </w:r>
      <w:r>
        <w:rPr>
          <w:rFonts w:hint="eastAsia"/>
          <w:b/>
          <w:bCs/>
          <w:lang w:eastAsia="zh-CN"/>
        </w:rPr>
        <w:t>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F81C5B" w:rsidRDefault="00E1779A" w:rsidP="00E13D3D">
      <w:pPr>
        <w:tabs>
          <w:tab w:val="left" w:pos="1418"/>
          <w:tab w:val="left" w:pos="1702"/>
          <w:tab w:val="left" w:pos="2160"/>
        </w:tabs>
        <w:spacing w:before="240"/>
        <w:ind w:right="92"/>
        <w:jc w:val="both"/>
        <w:rPr>
          <w:lang w:eastAsia="zh-CN"/>
        </w:rPr>
      </w:pPr>
      <w:r>
        <w:rPr>
          <w:rFonts w:hint="eastAsia"/>
          <w:lang w:eastAsia="zh-CN"/>
        </w:rPr>
        <w:t>10</w:t>
      </w:r>
      <w:r>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在此提醒您，一些国家的公民需要获得签证才能入境瑞士并在此逗留。</w:t>
      </w:r>
      <w:r w:rsidRPr="00F62F25">
        <w:rPr>
          <w:rFonts w:hint="eastAsia"/>
          <w:b/>
          <w:lang w:eastAsia="zh-CN"/>
        </w:rPr>
        <w:t>签证必须</w:t>
      </w:r>
      <w:r w:rsidR="003B7E3E">
        <w:rPr>
          <w:rFonts w:hint="eastAsia"/>
          <w:b/>
          <w:lang w:eastAsia="zh-CN"/>
        </w:rPr>
        <w:t>尽早</w:t>
      </w:r>
      <w:r w:rsidRPr="000F46DB">
        <w:rPr>
          <w:rFonts w:hint="eastAsia"/>
          <w:bCs/>
          <w:lang w:eastAsia="zh-CN"/>
        </w:rPr>
        <w:t>向驻贵国的瑞士代表机构</w:t>
      </w:r>
      <w:r w:rsidR="0073042F" w:rsidRPr="000F46DB">
        <w:rPr>
          <w:rFonts w:hint="eastAsia"/>
          <w:bCs/>
          <w:lang w:eastAsia="zh-CN"/>
        </w:rPr>
        <w:t>（</w:t>
      </w:r>
      <w:r w:rsidRPr="000F46DB">
        <w:rPr>
          <w:rFonts w:hint="eastAsia"/>
          <w:bCs/>
          <w:lang w:eastAsia="zh-CN"/>
        </w:rPr>
        <w:t>使馆或领事馆</w:t>
      </w:r>
      <w:r w:rsidR="0073042F" w:rsidRPr="000F46DB">
        <w:rPr>
          <w:rFonts w:hint="eastAsia"/>
          <w:bCs/>
          <w:lang w:eastAsia="zh-CN"/>
        </w:rPr>
        <w:t>）</w:t>
      </w:r>
      <w:r w:rsidRPr="00F62F25">
        <w:rPr>
          <w:rFonts w:hint="eastAsia"/>
          <w:b/>
          <w:lang w:eastAsia="zh-CN"/>
        </w:rPr>
        <w:t>申请</w:t>
      </w:r>
      <w:r w:rsidRPr="000F46DB">
        <w:rPr>
          <w:rFonts w:hint="eastAsia"/>
          <w:bCs/>
          <w:lang w:eastAsia="zh-CN"/>
        </w:rPr>
        <w:t>，并随后领取。</w:t>
      </w:r>
      <w:r>
        <w:rPr>
          <w:rFonts w:hint="eastAsia"/>
          <w:lang w:eastAsia="zh-CN"/>
        </w:rPr>
        <w:t>如贵国没有此类机构，则请向驻离贵国最近的国家的此类机构申请并领取。</w:t>
      </w:r>
    </w:p>
    <w:p w:rsidR="00F81C5B" w:rsidRDefault="00F81C5B">
      <w:pPr>
        <w:tabs>
          <w:tab w:val="clear" w:pos="794"/>
          <w:tab w:val="clear" w:pos="1191"/>
          <w:tab w:val="clear" w:pos="1588"/>
          <w:tab w:val="clear" w:pos="1985"/>
        </w:tabs>
        <w:spacing w:before="0"/>
        <w:rPr>
          <w:lang w:eastAsia="zh-CN"/>
        </w:rPr>
      </w:pPr>
    </w:p>
    <w:p w:rsidR="00F81C5B" w:rsidRDefault="00F81C5B">
      <w:pPr>
        <w:tabs>
          <w:tab w:val="clear" w:pos="794"/>
          <w:tab w:val="clear" w:pos="1191"/>
          <w:tab w:val="clear" w:pos="1588"/>
          <w:tab w:val="clear" w:pos="1985"/>
        </w:tabs>
        <w:spacing w:before="0"/>
        <w:rPr>
          <w:lang w:eastAsia="zh-CN"/>
        </w:rPr>
      </w:pPr>
      <w:r>
        <w:rPr>
          <w:lang w:eastAsia="zh-CN"/>
        </w:rPr>
        <w:br w:type="page"/>
      </w:r>
    </w:p>
    <w:p w:rsidR="00E1779A" w:rsidRPr="00C868BD" w:rsidRDefault="00E1779A" w:rsidP="00072A2B">
      <w:pPr>
        <w:overflowPunct w:val="0"/>
        <w:autoSpaceDE w:val="0"/>
        <w:autoSpaceDN w:val="0"/>
        <w:adjustRightInd w:val="0"/>
        <w:ind w:firstLineChars="200" w:firstLine="480"/>
        <w:textAlignment w:val="baseline"/>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、部门成员或部门准成员</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330293">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通过您所代表的主管部门或公司发出的正式信函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00072A2B">
        <w:rPr>
          <w:rFonts w:hint="eastAsia"/>
          <w:lang w:eastAsia="zh-CN"/>
        </w:rPr>
        <w:t>批准的</w:t>
      </w:r>
      <w:r w:rsidRPr="00C868BD">
        <w:rPr>
          <w:spacing w:val="-10"/>
          <w:szCs w:val="24"/>
          <w:lang w:eastAsia="zh-CN"/>
        </w:rPr>
        <w:t>ITU-T</w:t>
      </w:r>
      <w:r w:rsidR="007E3D8B">
        <w:rPr>
          <w:rFonts w:hint="eastAsia"/>
          <w:lang w:eastAsia="zh-CN"/>
        </w:rPr>
        <w:t>相关会议</w:t>
      </w:r>
      <w:r>
        <w:rPr>
          <w:rFonts w:hint="eastAsia"/>
          <w:lang w:eastAsia="zh-CN"/>
        </w:rPr>
        <w:t>注册确认通知</w:t>
      </w:r>
      <w:r w:rsidRPr="00C868BD">
        <w:rPr>
          <w:rFonts w:hint="eastAsia"/>
          <w:lang w:eastAsia="zh-CN"/>
        </w:rPr>
        <w:t>，而且必须通过传真</w:t>
      </w:r>
      <w:r w:rsidR="0073042F">
        <w:rPr>
          <w:rFonts w:hint="eastAsia"/>
          <w:lang w:eastAsia="zh-CN"/>
        </w:rPr>
        <w:t>（</w:t>
      </w:r>
      <w:r w:rsidRPr="00C868BD">
        <w:rPr>
          <w:rFonts w:hint="eastAsia"/>
          <w:lang w:eastAsia="zh-CN"/>
        </w:rPr>
        <w:t>传真号码：</w:t>
      </w:r>
      <w:r w:rsidRPr="00C868BD">
        <w:rPr>
          <w:rFonts w:hint="eastAsia"/>
          <w:lang w:eastAsia="zh-CN"/>
        </w:rPr>
        <w:t>+41 22 730 5853</w:t>
      </w:r>
      <w:r w:rsidR="0073042F">
        <w:rPr>
          <w:rFonts w:hint="eastAsia"/>
          <w:lang w:eastAsia="zh-CN"/>
        </w:rPr>
        <w:t>）</w:t>
      </w:r>
      <w:r w:rsidRPr="00C868BD">
        <w:rPr>
          <w:rFonts w:hint="eastAsia"/>
          <w:lang w:eastAsia="zh-CN"/>
        </w:rPr>
        <w:t>或电子邮件</w:t>
      </w:r>
      <w:r w:rsidR="0073042F">
        <w:rPr>
          <w:rFonts w:hint="eastAsia"/>
          <w:lang w:eastAsia="zh-CN"/>
        </w:rPr>
        <w:t>（</w:t>
      </w:r>
      <w:hyperlink r:id="rId15" w:history="1">
        <w:r w:rsidRPr="00BC75EE">
          <w:rPr>
            <w:rStyle w:val="Hyperlink"/>
            <w:rFonts w:hint="eastAsia"/>
            <w:lang w:eastAsia="zh-CN"/>
          </w:rPr>
          <w:t>tsbreg@itu.int</w:t>
        </w:r>
      </w:hyperlink>
      <w:r w:rsidR="0073042F">
        <w:rPr>
          <w:rFonts w:hint="eastAsia"/>
          <w:lang w:eastAsia="zh-CN"/>
        </w:rPr>
        <w:t>）</w:t>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0073042F">
        <w:rPr>
          <w:rFonts w:hint="eastAsia"/>
          <w:lang w:eastAsia="zh-CN"/>
        </w:rPr>
        <w:t>（</w:t>
      </w:r>
      <w:r>
        <w:rPr>
          <w:rFonts w:hint="eastAsia"/>
          <w:lang w:eastAsia="zh-CN"/>
        </w:rPr>
        <w:t>“</w:t>
      </w:r>
      <w:r w:rsidRPr="00C868BD">
        <w:rPr>
          <w:rFonts w:hint="eastAsia"/>
          <w:b/>
          <w:lang w:eastAsia="zh-CN"/>
        </w:rPr>
        <w:t>签证申请</w:t>
      </w:r>
      <w:r>
        <w:rPr>
          <w:rFonts w:hint="eastAsia"/>
          <w:lang w:eastAsia="zh-CN"/>
        </w:rPr>
        <w:t>”</w:t>
      </w:r>
      <w:r w:rsidR="0073042F">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另请注意，国际电联仅能向国际电联成员国、国际电联部门成员或国际电联部门准成员的代表提供帮助。</w:t>
      </w:r>
    </w:p>
    <w:p w:rsidR="00E1779A" w:rsidRPr="008C763B" w:rsidRDefault="00E1779A" w:rsidP="00E1779A">
      <w:pPr>
        <w:tabs>
          <w:tab w:val="left" w:pos="1418"/>
          <w:tab w:val="left" w:pos="1702"/>
          <w:tab w:val="left" w:pos="2160"/>
        </w:tabs>
        <w:spacing w:before="100" w:after="20"/>
        <w:ind w:right="92"/>
        <w:jc w:val="both"/>
        <w:rPr>
          <w:szCs w:val="23"/>
          <w:lang w:val="en-US" w:eastAsia="zh-CN"/>
        </w:rPr>
      </w:pPr>
    </w:p>
    <w:p w:rsidR="00E1779A" w:rsidRDefault="00E1779A" w:rsidP="00E1779A">
      <w:pPr>
        <w:tabs>
          <w:tab w:val="left" w:pos="1418"/>
          <w:tab w:val="left" w:pos="1702"/>
          <w:tab w:val="left" w:pos="2160"/>
        </w:tabs>
        <w:spacing w:before="100" w:after="20"/>
        <w:ind w:right="92"/>
        <w:jc w:val="both"/>
        <w:rPr>
          <w:szCs w:val="23"/>
          <w:lang w:eastAsia="zh-CN"/>
        </w:rPr>
      </w:pPr>
    </w:p>
    <w:p w:rsidR="00E1779A" w:rsidRDefault="00E1779A" w:rsidP="002A1603">
      <w:pPr>
        <w:tabs>
          <w:tab w:val="left" w:pos="1418"/>
          <w:tab w:val="left" w:pos="1702"/>
          <w:tab w:val="left" w:pos="2160"/>
        </w:tabs>
        <w:overflowPunct w:val="0"/>
        <w:autoSpaceDE w:val="0"/>
        <w:autoSpaceDN w:val="0"/>
        <w:adjustRightInd w:val="0"/>
        <w:ind w:firstLineChars="200" w:firstLine="48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E1779A">
      <w:pPr>
        <w:tabs>
          <w:tab w:val="left" w:pos="1418"/>
          <w:tab w:val="left" w:pos="1702"/>
          <w:tab w:val="left" w:pos="2160"/>
        </w:tabs>
        <w:spacing w:before="240" w:after="20"/>
        <w:ind w:right="91"/>
        <w:rPr>
          <w:b/>
          <w:bCs/>
          <w:lang w:eastAsia="zh-CN"/>
        </w:rPr>
      </w:pPr>
    </w:p>
    <w:p w:rsidR="00E1779A" w:rsidRDefault="00E1779A" w:rsidP="00E1779A">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3B7E3E">
        <w:rPr>
          <w:rFonts w:hint="eastAsia"/>
          <w:b/>
          <w:bCs/>
          <w:lang w:val="en-US" w:eastAsia="zh-CN"/>
        </w:rPr>
        <w:t>3</w:t>
      </w:r>
      <w:r w:rsidR="002A1603">
        <w:rPr>
          <w:rFonts w:hint="eastAsia"/>
          <w:b/>
          <w:bCs/>
          <w:lang w:eastAsia="zh-CN"/>
        </w:rPr>
        <w:t xml:space="preserve">  </w:t>
      </w:r>
      <w:r>
        <w:rPr>
          <w:rFonts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2A4A8E" w:rsidRDefault="002A4A8E" w:rsidP="002A4A8E">
      <w:pPr>
        <w:tabs>
          <w:tab w:val="clear" w:pos="794"/>
          <w:tab w:val="clear" w:pos="1191"/>
          <w:tab w:val="clear" w:pos="1588"/>
          <w:tab w:val="clear" w:pos="1985"/>
        </w:tabs>
        <w:spacing w:before="0"/>
        <w:rPr>
          <w:lang w:eastAsia="zh-CN"/>
        </w:rPr>
      </w:pPr>
    </w:p>
    <w:p w:rsidR="002A4A8E" w:rsidRDefault="002A4A8E" w:rsidP="002A4A8E">
      <w:pPr>
        <w:tabs>
          <w:tab w:val="clear" w:pos="794"/>
          <w:tab w:val="clear" w:pos="1191"/>
          <w:tab w:val="clear" w:pos="1588"/>
          <w:tab w:val="clear" w:pos="1985"/>
        </w:tabs>
        <w:spacing w:before="0"/>
        <w:rPr>
          <w:lang w:eastAsia="zh-CN"/>
        </w:rPr>
      </w:pPr>
    </w:p>
    <w:p w:rsidR="002A4A8E" w:rsidRDefault="002A4A8E">
      <w:pPr>
        <w:tabs>
          <w:tab w:val="clear" w:pos="794"/>
          <w:tab w:val="clear" w:pos="1191"/>
          <w:tab w:val="clear" w:pos="1588"/>
          <w:tab w:val="clear" w:pos="1985"/>
        </w:tabs>
        <w:spacing w:before="0"/>
        <w:rPr>
          <w:lang w:eastAsia="zh-CN"/>
        </w:rPr>
      </w:pPr>
      <w:r>
        <w:rPr>
          <w:lang w:eastAsia="zh-CN"/>
        </w:rPr>
        <w:br w:type="page"/>
      </w:r>
    </w:p>
    <w:p w:rsidR="002A4A8E" w:rsidRDefault="002A4A8E">
      <w:pPr>
        <w:tabs>
          <w:tab w:val="clear" w:pos="794"/>
          <w:tab w:val="clear" w:pos="1191"/>
          <w:tab w:val="clear" w:pos="1588"/>
          <w:tab w:val="clear" w:pos="1985"/>
        </w:tabs>
        <w:spacing w:before="0"/>
        <w:rPr>
          <w:lang w:eastAsia="zh-CN"/>
        </w:rPr>
      </w:pPr>
    </w:p>
    <w:p w:rsidR="002A4A8E" w:rsidRPr="00B55282" w:rsidRDefault="002A4A8E" w:rsidP="002A4A8E">
      <w:pPr>
        <w:pStyle w:val="BodyText2"/>
        <w:ind w:right="-52"/>
        <w:jc w:val="center"/>
        <w:rPr>
          <w:b/>
          <w:bCs/>
          <w:szCs w:val="24"/>
        </w:rPr>
      </w:pPr>
      <w:r w:rsidRPr="00B55282">
        <w:rPr>
          <w:szCs w:val="24"/>
        </w:rPr>
        <w:t>ANNEX</w:t>
      </w:r>
      <w:r w:rsidRPr="00B55282">
        <w:rPr>
          <w:b/>
          <w:bCs/>
          <w:szCs w:val="24"/>
        </w:rPr>
        <w:t xml:space="preserve"> </w:t>
      </w:r>
      <w:r w:rsidRPr="00B55282">
        <w:rPr>
          <w:szCs w:val="24"/>
        </w:rPr>
        <w:t>1</w:t>
      </w:r>
      <w:r w:rsidRPr="00B55282">
        <w:rPr>
          <w:b/>
          <w:bCs/>
          <w:szCs w:val="24"/>
        </w:rPr>
        <w:br/>
      </w:r>
      <w:r w:rsidRPr="00B55282">
        <w:rPr>
          <w:szCs w:val="24"/>
        </w:rPr>
        <w:t>(to TSB Circular 113)</w:t>
      </w:r>
    </w:p>
    <w:p w:rsidR="002A4A8E" w:rsidRPr="002B65CB" w:rsidRDefault="002A4A8E" w:rsidP="002A4A8E">
      <w:pPr>
        <w:pStyle w:val="NormalWeb"/>
        <w:jc w:val="center"/>
        <w:rPr>
          <w:rFonts w:ascii="Times New Roman" w:hAnsi="Times New Roman"/>
          <w:sz w:val="24"/>
          <w:szCs w:val="24"/>
        </w:rPr>
      </w:pPr>
      <w:r w:rsidRPr="006C367A">
        <w:rPr>
          <w:rFonts w:ascii="Times New Roman" w:hAnsi="Times New Roman"/>
          <w:b/>
          <w:bCs/>
          <w:sz w:val="24"/>
          <w:szCs w:val="24"/>
        </w:rPr>
        <w:t xml:space="preserve">Terms of Reference of ITU-T Focus Group on </w:t>
      </w:r>
      <w:r>
        <w:rPr>
          <w:rFonts w:ascii="Times New Roman" w:hAnsi="Times New Roman"/>
          <w:b/>
          <w:bCs/>
          <w:sz w:val="24"/>
          <w:szCs w:val="24"/>
        </w:rPr>
        <w:t>S</w:t>
      </w:r>
      <w:r w:rsidRPr="006C367A">
        <w:rPr>
          <w:rFonts w:ascii="Times New Roman" w:hAnsi="Times New Roman"/>
          <w:b/>
          <w:bCs/>
          <w:sz w:val="24"/>
          <w:szCs w:val="24"/>
        </w:rPr>
        <w:t xml:space="preserve">mart </w:t>
      </w:r>
      <w:r>
        <w:rPr>
          <w:rFonts w:ascii="Times New Roman" w:hAnsi="Times New Roman"/>
          <w:b/>
          <w:bCs/>
          <w:sz w:val="24"/>
          <w:szCs w:val="24"/>
        </w:rPr>
        <w:t>G</w:t>
      </w:r>
      <w:r w:rsidRPr="006C367A">
        <w:rPr>
          <w:rFonts w:ascii="Times New Roman" w:hAnsi="Times New Roman"/>
          <w:b/>
          <w:bCs/>
          <w:sz w:val="24"/>
          <w:szCs w:val="24"/>
        </w:rPr>
        <w:t>rid</w:t>
      </w:r>
      <w:r>
        <w:rPr>
          <w:rFonts w:ascii="Times New Roman" w:hAnsi="Times New Roman"/>
          <w:b/>
          <w:bCs/>
          <w:sz w:val="24"/>
          <w:szCs w:val="24"/>
        </w:rPr>
        <w:t xml:space="preserve"> </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w:t>
      </w:r>
      <w:r w:rsidRPr="00B55282">
        <w:rPr>
          <w:b/>
          <w:bCs/>
          <w:szCs w:val="24"/>
          <w:lang w:val="en-US" w:eastAsia="zh-CN"/>
        </w:rPr>
        <w:tab/>
        <w:t>Scope</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Focus Group (FG), established in accordance with Recommendation ITU-T A.7, aims to</w:t>
      </w:r>
    </w:p>
    <w:p w:rsidR="002A4A8E" w:rsidRPr="00B55282" w:rsidRDefault="002A4A8E" w:rsidP="002A4A8E">
      <w:pPr>
        <w:numPr>
          <w:ilvl w:val="0"/>
          <w:numId w:val="3"/>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identify potential impacts on standards development; </w:t>
      </w:r>
    </w:p>
    <w:p w:rsidR="002A4A8E" w:rsidRPr="00B55282" w:rsidRDefault="002A4A8E" w:rsidP="002A4A8E">
      <w:pPr>
        <w:numPr>
          <w:ilvl w:val="0"/>
          <w:numId w:val="3"/>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investigate future ITU-T study items and related actions; </w:t>
      </w:r>
    </w:p>
    <w:p w:rsidR="002A4A8E" w:rsidRPr="00B55282" w:rsidRDefault="002A4A8E" w:rsidP="002A4A8E">
      <w:pPr>
        <w:numPr>
          <w:ilvl w:val="0"/>
          <w:numId w:val="3"/>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familiarize ITU-T and standardization communities with emerging attributes of smart grid, and </w:t>
      </w:r>
    </w:p>
    <w:p w:rsidR="002A4A8E" w:rsidRPr="00B55282" w:rsidRDefault="002A4A8E" w:rsidP="002A4A8E">
      <w:pPr>
        <w:numPr>
          <w:ilvl w:val="0"/>
          <w:numId w:val="3"/>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encourage collaboration between ITU-T and smart grid communities; </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Focus Group will collaborate with worldwide smart grid communities (e.g., research institutes, forums, academia) including other SDOs and consortia.</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2</w:t>
      </w:r>
      <w:r w:rsidRPr="00B55282">
        <w:rPr>
          <w:b/>
          <w:bCs/>
          <w:szCs w:val="24"/>
          <w:lang w:val="en-US" w:eastAsia="zh-CN"/>
        </w:rPr>
        <w:tab/>
        <w:t>Rationale</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 xml:space="preserve">According to the agreement of the October 2009 high level industry representatives meeting (WTSA Resolution 68), ITU-T study groups were invited to accelerate their work to support smart grid. The term “smart grid” is used for a concept of “intelligent” electricity networks aiming to save energy and to reduce CO2 emissions. </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Further, in WTSA-08 Resolution 73 (Information and communication technologies and climate change) ITU</w:t>
      </w:r>
      <w:r w:rsidRPr="00B55282">
        <w:rPr>
          <w:szCs w:val="24"/>
          <w:lang w:val="en-US" w:eastAsia="zh-CN"/>
        </w:rPr>
        <w:noBreakHyphen/>
        <w:t xml:space="preserve">T called for the development of appropriate Recommendations within its mandate and competency in order to support the reduction of CO2 emissions and the impacts of climate change. </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A smart grid concept will need harmonized support from telecommunication/ICT and electric power technologies and may result in the need for flexible network and service capabilities to accommodate demands.</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 xml:space="preserve">Smart grid principles may also be applied to the telecommunication/ICT system itself, consisting of networks and service platforms, in the course of providing services with more efficient use of energy not only for the core network and access domains but also for home networks. </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Focus Group will interact with the various research activities in order to familiarize ITU-T and standardization communities with the emerging attributes of smart grid.</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3</w:t>
      </w:r>
      <w:r w:rsidRPr="00B55282">
        <w:rPr>
          <w:b/>
          <w:bCs/>
          <w:szCs w:val="24"/>
          <w:lang w:val="en-US" w:eastAsia="zh-CN"/>
        </w:rPr>
        <w:tab/>
        <w:t>FG objective</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 xml:space="preserve">The objective of the Focus Group is to collect and document information and concepts that would be helpful for developing Recommendations to support smart grid from a telecommunication/ICT perspective. Therefore, the objective is limited to the telecommunication/ICT aspects of smart grid, i.e., things like the standardization of metering aspects of smart meter devices and work within the responsibilities of energy standardization bodies are out of scope. </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To achieve this objective, the Focus Group will</w:t>
      </w:r>
    </w:p>
    <w:p w:rsidR="002A4A8E" w:rsidRPr="00B55282" w:rsidRDefault="002A4A8E" w:rsidP="002A4A8E">
      <w:pPr>
        <w:numPr>
          <w:ilvl w:val="0"/>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update living list of standards bodies, forums, and consortia dealing with smart grid </w:t>
      </w:r>
    </w:p>
    <w:p w:rsidR="002A4A8E" w:rsidRPr="00B55282" w:rsidRDefault="002A4A8E" w:rsidP="002A4A8E">
      <w:pPr>
        <w:numPr>
          <w:ilvl w:val="0"/>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collect visions and value propositions for the smart grid </w:t>
      </w:r>
    </w:p>
    <w:p w:rsidR="002A4A8E" w:rsidRPr="00B55282" w:rsidRDefault="002A4A8E" w:rsidP="002A4A8E">
      <w:pPr>
        <w:numPr>
          <w:ilvl w:val="0"/>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provide terminology and taxonomy necessary to support smart grid </w:t>
      </w:r>
    </w:p>
    <w:p w:rsidR="002A4A8E" w:rsidRPr="00B55282" w:rsidRDefault="002A4A8E" w:rsidP="002A4A8E">
      <w:pPr>
        <w:numPr>
          <w:ilvl w:val="0"/>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analyze communication networking requirement functions and capabilities to support smart grid </w:t>
      </w:r>
    </w:p>
    <w:p w:rsidR="002A4A8E" w:rsidRPr="00B55282" w:rsidRDefault="002A4A8E" w:rsidP="002A4A8E">
      <w:pPr>
        <w:numPr>
          <w:ilvl w:val="0"/>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gather new ideas relevant to and identify potential study areas to support smart grid </w:t>
      </w:r>
    </w:p>
    <w:p w:rsidR="002A4A8E" w:rsidRPr="00B55282" w:rsidRDefault="002A4A8E" w:rsidP="002A4A8E">
      <w:pPr>
        <w:numPr>
          <w:ilvl w:val="0"/>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identify use cases of smart grid that can be used to derive communication network requirements </w:t>
      </w:r>
    </w:p>
    <w:p w:rsidR="002A4A8E" w:rsidRPr="00B55282" w:rsidRDefault="002A4A8E" w:rsidP="002A4A8E">
      <w:pPr>
        <w:numPr>
          <w:ilvl w:val="0"/>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suggest future ITU-T study items and related actions </w:t>
      </w:r>
    </w:p>
    <w:p w:rsidR="002A4A8E" w:rsidRPr="00B55282" w:rsidRDefault="002A4A8E" w:rsidP="002A4A8E">
      <w:pPr>
        <w:numPr>
          <w:ilvl w:val="0"/>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identify potential impacts on standards development, e.g., for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ICT and climate change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Gaps of standards for communications networking to support smart grid.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NGN including mobile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Numbering, Naming and Addressing issues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Control requirements including </w:t>
      </w:r>
      <w:proofErr w:type="spellStart"/>
      <w:r w:rsidRPr="00B55282">
        <w:rPr>
          <w:szCs w:val="24"/>
          <w:lang w:val="en-US" w:eastAsia="zh-CN"/>
        </w:rPr>
        <w:t>signalling</w:t>
      </w:r>
      <w:proofErr w:type="spellEnd"/>
      <w:r w:rsidRPr="00B55282">
        <w:rPr>
          <w:szCs w:val="24"/>
          <w:lang w:val="en-US" w:eastAsia="zh-CN"/>
        </w:rPr>
        <w:t xml:space="preserve">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Transport layer technologies including home network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Security and privacy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Home gateway and USN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PLC/PLT issues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Interoperability </w:t>
      </w:r>
    </w:p>
    <w:p w:rsidR="002A4A8E" w:rsidRPr="00B55282" w:rsidRDefault="002A4A8E" w:rsidP="002A4A8E">
      <w:pPr>
        <w:numPr>
          <w:ilvl w:val="1"/>
          <w:numId w:val="4"/>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Terminals and application aspects over integrated broadband cable and television networks </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4</w:t>
      </w:r>
      <w:r w:rsidRPr="00B55282">
        <w:rPr>
          <w:b/>
          <w:bCs/>
          <w:szCs w:val="24"/>
          <w:lang w:val="en-US" w:eastAsia="zh-CN"/>
        </w:rPr>
        <w:tab/>
        <w:t>Relations within and outside ITU-T</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 xml:space="preserve">The FG should work in close collaboration with all ITU-T study groups (e.g., through collocated meetings, see clause 11), for instance on the coordination of respective work </w:t>
      </w:r>
      <w:proofErr w:type="spellStart"/>
      <w:r w:rsidRPr="00B55282">
        <w:rPr>
          <w:szCs w:val="24"/>
          <w:lang w:val="en-US" w:eastAsia="zh-CN"/>
        </w:rPr>
        <w:t>programmes</w:t>
      </w:r>
      <w:proofErr w:type="spellEnd"/>
      <w:r w:rsidRPr="00B55282">
        <w:rPr>
          <w:szCs w:val="24"/>
          <w:lang w:val="en-US" w:eastAsia="zh-CN"/>
        </w:rPr>
        <w:t xml:space="preserve"> in order to avoid duplication and overlap of work, and on the coordination of seminars and workshops according to Recommendation ITU-T A.31.</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FG will also cooperate and coordinate its work with the other ITU sectors (ITU-R, ITU-D), and with other relevant bodies outside ITU-T (universities, research institutes, SDOs, forums/consortia, regulators, policy-makers) in accordance with Recommendation ITU-T A.7.</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 xml:space="preserve">Special attention will be paid to collaboration with SDOs and the energy sector. </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Of particular relevance for this Focus Group are the NIST Smart Grid Interoperability Panel and the JTC 1 Special Working Group on smart grid.</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5</w:t>
      </w:r>
      <w:r w:rsidRPr="00B55282">
        <w:rPr>
          <w:b/>
          <w:bCs/>
          <w:szCs w:val="24"/>
          <w:lang w:val="en-US" w:eastAsia="zh-CN"/>
        </w:rPr>
        <w:tab/>
        <w:t>Specific tasks and deliverables</w:t>
      </w:r>
    </w:p>
    <w:p w:rsidR="002A4A8E" w:rsidRPr="00B55282" w:rsidRDefault="002A4A8E" w:rsidP="002A4A8E">
      <w:pPr>
        <w:numPr>
          <w:ilvl w:val="0"/>
          <w:numId w:val="5"/>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A living list of standards bodies, forums, and consortia dealing with telecommunication/ICT aspects of smart grid, including information concerning their activities and documents in the context of smart grid standards framework </w:t>
      </w:r>
    </w:p>
    <w:p w:rsidR="002A4A8E" w:rsidRPr="00B55282" w:rsidRDefault="002A4A8E" w:rsidP="002A4A8E">
      <w:pPr>
        <w:numPr>
          <w:ilvl w:val="0"/>
          <w:numId w:val="5"/>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Collect and summarize vision and value propositions of smart grid with a focus on telecommunication/ICT aspects </w:t>
      </w:r>
    </w:p>
    <w:p w:rsidR="002A4A8E" w:rsidRPr="00B55282" w:rsidRDefault="002A4A8E" w:rsidP="002A4A8E">
      <w:pPr>
        <w:numPr>
          <w:ilvl w:val="0"/>
          <w:numId w:val="5"/>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Terminology and taxonomy </w:t>
      </w:r>
    </w:p>
    <w:p w:rsidR="002A4A8E" w:rsidRPr="00B55282" w:rsidRDefault="002A4A8E" w:rsidP="002A4A8E">
      <w:pPr>
        <w:numPr>
          <w:ilvl w:val="0"/>
          <w:numId w:val="5"/>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Analysis of communications networking requirement functions and capabilities to support smart grid (including </w:t>
      </w:r>
      <w:proofErr w:type="spellStart"/>
      <w:r w:rsidRPr="00B55282">
        <w:rPr>
          <w:szCs w:val="24"/>
          <w:lang w:val="en-US" w:eastAsia="zh-CN"/>
        </w:rPr>
        <w:t>QoS</w:t>
      </w:r>
      <w:proofErr w:type="spellEnd"/>
      <w:r w:rsidRPr="00B55282">
        <w:rPr>
          <w:szCs w:val="24"/>
          <w:lang w:val="en-US" w:eastAsia="zh-CN"/>
        </w:rPr>
        <w:t>/</w:t>
      </w:r>
      <w:proofErr w:type="spellStart"/>
      <w:r w:rsidRPr="00B55282">
        <w:rPr>
          <w:szCs w:val="24"/>
          <w:lang w:val="en-US" w:eastAsia="zh-CN"/>
        </w:rPr>
        <w:t>QoE</w:t>
      </w:r>
      <w:proofErr w:type="spellEnd"/>
      <w:r w:rsidRPr="00B55282">
        <w:rPr>
          <w:szCs w:val="24"/>
          <w:lang w:val="en-US" w:eastAsia="zh-CN"/>
        </w:rPr>
        <w:t xml:space="preserve">, security and reliability) </w:t>
      </w:r>
    </w:p>
    <w:p w:rsidR="002A4A8E" w:rsidRPr="00B55282" w:rsidRDefault="002A4A8E" w:rsidP="002A4A8E">
      <w:pPr>
        <w:numPr>
          <w:ilvl w:val="0"/>
          <w:numId w:val="5"/>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rPr>
        <w:t>Contribute in this regard to the studies undertaken in response to WTSA Resolution 73 (ICTs and Climate Change) and Council Resolution 1307 (ICTs and Climate Change).</w:t>
      </w:r>
    </w:p>
    <w:p w:rsidR="002A4A8E" w:rsidRPr="00B55282" w:rsidRDefault="002A4A8E" w:rsidP="002A4A8E">
      <w:pPr>
        <w:numPr>
          <w:ilvl w:val="0"/>
          <w:numId w:val="5"/>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Gap analysis of standards for communications networking to support smart grid </w:t>
      </w:r>
    </w:p>
    <w:p w:rsidR="002A4A8E" w:rsidRPr="00B55282" w:rsidRDefault="002A4A8E" w:rsidP="002A4A8E">
      <w:pPr>
        <w:numPr>
          <w:ilvl w:val="0"/>
          <w:numId w:val="5"/>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Use cases of services and reference models for telecommunication/ICT to support smart grid </w:t>
      </w:r>
    </w:p>
    <w:p w:rsidR="002A4A8E" w:rsidRPr="00B55282" w:rsidRDefault="002A4A8E" w:rsidP="002A4A8E">
      <w:pPr>
        <w:numPr>
          <w:ilvl w:val="0"/>
          <w:numId w:val="5"/>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Roadmap to guide further developments of relevant ITU-T Recommendations </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6</w:t>
      </w:r>
      <w:r w:rsidRPr="00B55282">
        <w:rPr>
          <w:b/>
          <w:bCs/>
          <w:szCs w:val="24"/>
          <w:lang w:val="en-US" w:eastAsia="zh-CN"/>
        </w:rPr>
        <w:tab/>
        <w:t>Parent group</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parent group is TSAG.</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7</w:t>
      </w:r>
      <w:r w:rsidRPr="00B55282">
        <w:rPr>
          <w:b/>
          <w:bCs/>
          <w:szCs w:val="24"/>
          <w:lang w:val="en-US" w:eastAsia="zh-CN"/>
        </w:rPr>
        <w:tab/>
        <w:t>Leadership</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See clause 2.3 of Recommendation ITU-T A.7.</w:t>
      </w:r>
    </w:p>
    <w:p w:rsidR="00CB0D19" w:rsidRDefault="00CB0D19">
      <w:pPr>
        <w:tabs>
          <w:tab w:val="clear" w:pos="794"/>
          <w:tab w:val="clear" w:pos="1191"/>
          <w:tab w:val="clear" w:pos="1588"/>
          <w:tab w:val="clear" w:pos="1985"/>
        </w:tabs>
        <w:spacing w:before="0"/>
        <w:rPr>
          <w:b/>
          <w:bCs/>
          <w:szCs w:val="24"/>
          <w:lang w:val="en-US" w:eastAsia="zh-CN"/>
        </w:rPr>
      </w:pPr>
      <w:r>
        <w:rPr>
          <w:b/>
          <w:bCs/>
          <w:szCs w:val="24"/>
          <w:lang w:val="en-US" w:eastAsia="zh-CN"/>
        </w:rPr>
        <w:br w:type="page"/>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8</w:t>
      </w:r>
      <w:r w:rsidRPr="00B55282">
        <w:rPr>
          <w:b/>
          <w:bCs/>
          <w:szCs w:val="24"/>
          <w:lang w:val="en-US" w:eastAsia="zh-CN"/>
        </w:rPr>
        <w:tab/>
        <w:t>Participation</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See clause 3 of Recommendation ITU-T A.7. A list of participants will be maintained for reference purposes and reported to the parent group.</w:t>
      </w:r>
      <w:r w:rsidRPr="00B55282">
        <w:rPr>
          <w:szCs w:val="24"/>
          <w:lang w:val="en-US" w:eastAsia="zh-CN"/>
        </w:rPr>
        <w:br/>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9</w:t>
      </w:r>
      <w:r w:rsidRPr="00B55282">
        <w:rPr>
          <w:b/>
          <w:bCs/>
          <w:szCs w:val="24"/>
          <w:lang w:val="en-US" w:eastAsia="zh-CN"/>
        </w:rPr>
        <w:tab/>
        <w:t>Administrative support</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See clause 5 of Recommendation ITU-T A.7.</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10</w:t>
      </w:r>
      <w:r w:rsidRPr="00B55282">
        <w:rPr>
          <w:b/>
          <w:bCs/>
          <w:szCs w:val="24"/>
          <w:lang w:val="en-US" w:eastAsia="zh-CN"/>
        </w:rPr>
        <w:tab/>
        <w:t>General financing of the FG</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See clauses 4 and 10.2 of Recommendation ITU-T A.7.</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11</w:t>
      </w:r>
      <w:r w:rsidRPr="00B55282">
        <w:rPr>
          <w:b/>
          <w:bCs/>
          <w:szCs w:val="24"/>
          <w:lang w:val="en-US" w:eastAsia="zh-CN"/>
        </w:rPr>
        <w:tab/>
        <w:t>Meetings</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frequency and location of meetings will be determined by the Focus Group and the overall meetings plan should be announced as soon as possible. The Focus Group should use remote collaboration tools to the maximum extent, and collocation with existing meetings (e.g., study groups and research activities). The meetings will be announced by electronic means (e.g., e-mail and website, etc.) at least 4 weeks in advance.</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12</w:t>
      </w:r>
      <w:r w:rsidRPr="00B55282">
        <w:rPr>
          <w:b/>
          <w:bCs/>
          <w:szCs w:val="24"/>
          <w:lang w:val="en-US" w:eastAsia="zh-CN"/>
        </w:rPr>
        <w:tab/>
        <w:t>Technical Contributions</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 xml:space="preserve">Technical contributions are to be submitted at least 10 calendar days before the meeting takes place. </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13</w:t>
      </w:r>
      <w:r w:rsidRPr="00B55282">
        <w:rPr>
          <w:b/>
          <w:bCs/>
          <w:szCs w:val="24"/>
          <w:lang w:val="en-US" w:eastAsia="zh-CN"/>
        </w:rPr>
        <w:tab/>
        <w:t>Working language</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working language will be English.</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14</w:t>
      </w:r>
      <w:r w:rsidRPr="00B55282">
        <w:rPr>
          <w:b/>
          <w:bCs/>
          <w:szCs w:val="24"/>
          <w:lang w:val="en-US" w:eastAsia="zh-CN"/>
        </w:rPr>
        <w:tab/>
        <w:t>Approval of deliverables</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Approval of deliverables will be taken by consensus.</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15</w:t>
      </w:r>
      <w:r w:rsidRPr="00B55282">
        <w:rPr>
          <w:b/>
          <w:bCs/>
          <w:szCs w:val="24"/>
          <w:lang w:val="en-US" w:eastAsia="zh-CN"/>
        </w:rPr>
        <w:tab/>
        <w:t>Working guidelines</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 xml:space="preserve">Working procedures will follow the procedures of </w:t>
      </w:r>
      <w:proofErr w:type="spellStart"/>
      <w:r w:rsidRPr="00B55282">
        <w:rPr>
          <w:szCs w:val="24"/>
          <w:lang w:val="en-US" w:eastAsia="zh-CN"/>
        </w:rPr>
        <w:t>Rapporteur</w:t>
      </w:r>
      <w:proofErr w:type="spellEnd"/>
      <w:r w:rsidRPr="00B55282">
        <w:rPr>
          <w:szCs w:val="24"/>
          <w:lang w:val="en-US" w:eastAsia="zh-CN"/>
        </w:rPr>
        <w:t xml:space="preserve"> meetings. No additional working guidelines are defined. </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16</w:t>
      </w:r>
      <w:r w:rsidRPr="00B55282">
        <w:rPr>
          <w:b/>
          <w:bCs/>
          <w:szCs w:val="24"/>
          <w:lang w:val="en-US" w:eastAsia="zh-CN"/>
        </w:rPr>
        <w:tab/>
        <w:t>Progress reports</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See clause 11 of Recommendation ITU-T A.7.</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17</w:t>
      </w:r>
      <w:r w:rsidRPr="00B55282">
        <w:rPr>
          <w:b/>
          <w:bCs/>
          <w:szCs w:val="24"/>
          <w:lang w:val="en-US" w:eastAsia="zh-CN"/>
        </w:rPr>
        <w:tab/>
        <w:t>Announcement of Focus Group formation</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formation of the Focus Group will be announced by TSAG via ITU publications and other means, including communication with the other organizations and/or experts, technical journals and the World Wide Web.</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18</w:t>
      </w:r>
      <w:r w:rsidRPr="00B55282">
        <w:rPr>
          <w:b/>
          <w:bCs/>
          <w:szCs w:val="24"/>
          <w:lang w:val="en-US" w:eastAsia="zh-CN"/>
        </w:rPr>
        <w:tab/>
        <w:t>Milestones and duration of the FG</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Focus Group lifetime is one year from the 1st meeting.</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The following milestones are proposed:</w:t>
      </w:r>
    </w:p>
    <w:p w:rsidR="002A4A8E" w:rsidRPr="00B55282" w:rsidRDefault="002A4A8E" w:rsidP="002A4A8E">
      <w:pPr>
        <w:numPr>
          <w:ilvl w:val="0"/>
          <w:numId w:val="6"/>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Holding of the first Focus Group meeting (14-16 June 2010) </w:t>
      </w:r>
    </w:p>
    <w:p w:rsidR="002A4A8E" w:rsidRPr="00B55282" w:rsidRDefault="002A4A8E" w:rsidP="002A4A8E">
      <w:pPr>
        <w:numPr>
          <w:ilvl w:val="0"/>
          <w:numId w:val="6"/>
        </w:numPr>
        <w:tabs>
          <w:tab w:val="clear" w:pos="794"/>
          <w:tab w:val="clear" w:pos="1191"/>
          <w:tab w:val="clear" w:pos="1588"/>
          <w:tab w:val="clear" w:pos="1985"/>
        </w:tabs>
        <w:spacing w:before="100" w:beforeAutospacing="1" w:after="100" w:afterAutospacing="1" w:line="240" w:lineRule="atLeast"/>
        <w:rPr>
          <w:szCs w:val="24"/>
          <w:lang w:val="en-US" w:eastAsia="zh-CN"/>
        </w:rPr>
      </w:pPr>
      <w:r w:rsidRPr="00B55282">
        <w:rPr>
          <w:szCs w:val="24"/>
          <w:lang w:val="en-US" w:eastAsia="zh-CN"/>
        </w:rPr>
        <w:t xml:space="preserve">Presentation of the first draft of the deliverables as identified in clause 5 at the TSAG meeting in 8-11 February 2011 </w:t>
      </w:r>
    </w:p>
    <w:p w:rsidR="002A4A8E" w:rsidRPr="00B55282" w:rsidRDefault="002A4A8E" w:rsidP="002A4A8E">
      <w:pPr>
        <w:tabs>
          <w:tab w:val="clear" w:pos="794"/>
          <w:tab w:val="clear" w:pos="1191"/>
          <w:tab w:val="clear" w:pos="1588"/>
          <w:tab w:val="clear" w:pos="1985"/>
          <w:tab w:val="left" w:pos="567"/>
        </w:tabs>
        <w:spacing w:before="100" w:after="100" w:line="240" w:lineRule="atLeast"/>
        <w:rPr>
          <w:szCs w:val="24"/>
          <w:lang w:val="en-US" w:eastAsia="zh-CN"/>
        </w:rPr>
      </w:pPr>
      <w:r w:rsidRPr="00B55282">
        <w:rPr>
          <w:b/>
          <w:bCs/>
          <w:szCs w:val="24"/>
          <w:lang w:val="en-US" w:eastAsia="zh-CN"/>
        </w:rPr>
        <w:t>19</w:t>
      </w:r>
      <w:r w:rsidRPr="00B55282">
        <w:rPr>
          <w:b/>
          <w:bCs/>
          <w:szCs w:val="24"/>
          <w:lang w:val="en-US" w:eastAsia="zh-CN"/>
        </w:rPr>
        <w:tab/>
        <w:t>Patent policy</w:t>
      </w:r>
    </w:p>
    <w:p w:rsidR="002A4A8E" w:rsidRPr="00B55282" w:rsidRDefault="002A4A8E" w:rsidP="002A4A8E">
      <w:pPr>
        <w:tabs>
          <w:tab w:val="clear" w:pos="794"/>
          <w:tab w:val="clear" w:pos="1191"/>
          <w:tab w:val="clear" w:pos="1588"/>
          <w:tab w:val="clear" w:pos="1985"/>
        </w:tabs>
        <w:spacing w:before="100" w:after="100" w:line="240" w:lineRule="atLeast"/>
        <w:rPr>
          <w:szCs w:val="24"/>
          <w:lang w:val="en-US" w:eastAsia="zh-CN"/>
        </w:rPr>
      </w:pPr>
      <w:r w:rsidRPr="00B55282">
        <w:rPr>
          <w:szCs w:val="24"/>
          <w:lang w:val="en-US" w:eastAsia="zh-CN"/>
        </w:rPr>
        <w:t>See clause 9 of Recommendation ITU-T A.7.</w:t>
      </w:r>
    </w:p>
    <w:p w:rsidR="002A4A8E" w:rsidRPr="00B55282" w:rsidRDefault="002A4A8E" w:rsidP="002A4A8E">
      <w:pPr>
        <w:tabs>
          <w:tab w:val="clear" w:pos="794"/>
          <w:tab w:val="clear" w:pos="1191"/>
          <w:tab w:val="clear" w:pos="1588"/>
          <w:tab w:val="clear" w:pos="1985"/>
        </w:tabs>
        <w:spacing w:before="0"/>
        <w:jc w:val="center"/>
        <w:rPr>
          <w:b/>
          <w:bCs/>
          <w:szCs w:val="24"/>
        </w:rPr>
      </w:pPr>
      <w:r>
        <w:rPr>
          <w:b/>
          <w:bCs/>
        </w:rPr>
        <w:br w:type="page"/>
      </w:r>
      <w:r w:rsidRPr="00B55282">
        <w:rPr>
          <w:szCs w:val="24"/>
        </w:rPr>
        <w:t>ANNEX</w:t>
      </w:r>
      <w:r w:rsidRPr="00B55282">
        <w:rPr>
          <w:b/>
          <w:bCs/>
          <w:szCs w:val="24"/>
        </w:rPr>
        <w:t xml:space="preserve"> </w:t>
      </w:r>
      <w:r w:rsidRPr="00B55282">
        <w:rPr>
          <w:szCs w:val="24"/>
        </w:rPr>
        <w:t>2</w:t>
      </w:r>
      <w:r w:rsidRPr="00B55282">
        <w:rPr>
          <w:b/>
          <w:bCs/>
          <w:szCs w:val="24"/>
        </w:rPr>
        <w:br/>
      </w:r>
      <w:r w:rsidRPr="00B55282">
        <w:rPr>
          <w:szCs w:val="24"/>
        </w:rPr>
        <w:t>(to TSB Circular 113)</w:t>
      </w:r>
    </w:p>
    <w:p w:rsidR="002A4A8E" w:rsidRPr="00B55282" w:rsidRDefault="002A4A8E" w:rsidP="002A4A8E">
      <w:pPr>
        <w:tabs>
          <w:tab w:val="clear" w:pos="794"/>
          <w:tab w:val="clear" w:pos="1191"/>
          <w:tab w:val="clear" w:pos="1588"/>
          <w:tab w:val="clear" w:pos="1985"/>
        </w:tabs>
        <w:spacing w:before="0" w:after="200" w:line="276" w:lineRule="auto"/>
        <w:jc w:val="center"/>
        <w:rPr>
          <w:b/>
          <w:szCs w:val="24"/>
          <w:lang w:val="en-US"/>
        </w:rPr>
      </w:pPr>
      <w:r w:rsidRPr="00B55282">
        <w:rPr>
          <w:b/>
          <w:szCs w:val="24"/>
          <w:lang w:val="en-US"/>
        </w:rPr>
        <w:t>Draft agenda for first meeting of Focus Group on Smart Grid</w:t>
      </w:r>
    </w:p>
    <w:p w:rsidR="002A4A8E" w:rsidRPr="00B55282" w:rsidRDefault="002A4A8E" w:rsidP="002A4A8E">
      <w:pPr>
        <w:tabs>
          <w:tab w:val="clear" w:pos="794"/>
          <w:tab w:val="clear" w:pos="1191"/>
          <w:tab w:val="clear" w:pos="1588"/>
          <w:tab w:val="clear" w:pos="1985"/>
        </w:tabs>
        <w:spacing w:before="0" w:after="200" w:line="276" w:lineRule="auto"/>
        <w:jc w:val="center"/>
        <w:rPr>
          <w:b/>
          <w:szCs w:val="24"/>
          <w:lang w:val="en-US"/>
        </w:rPr>
      </w:pPr>
      <w:r w:rsidRPr="00B55282">
        <w:rPr>
          <w:b/>
          <w:szCs w:val="24"/>
          <w:lang w:val="en-US"/>
        </w:rPr>
        <w:t>Geneva, 14 – 16 June 2010</w:t>
      </w:r>
    </w:p>
    <w:p w:rsidR="002A4A8E" w:rsidRPr="00B55282" w:rsidRDefault="002A4A8E" w:rsidP="002A4A8E">
      <w:pPr>
        <w:tabs>
          <w:tab w:val="clear" w:pos="794"/>
          <w:tab w:val="clear" w:pos="1191"/>
          <w:tab w:val="clear" w:pos="1588"/>
          <w:tab w:val="clear" w:pos="1985"/>
        </w:tabs>
        <w:spacing w:before="0" w:after="200" w:line="276" w:lineRule="auto"/>
        <w:rPr>
          <w:szCs w:val="24"/>
          <w:lang w:val="en-US"/>
        </w:rPr>
      </w:pP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Welcome and introductions</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Approval of draft agenda</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 xml:space="preserve">Presentation of the </w:t>
      </w:r>
      <w:proofErr w:type="spellStart"/>
      <w:r w:rsidRPr="00B55282">
        <w:rPr>
          <w:szCs w:val="24"/>
          <w:lang w:val="en-US"/>
        </w:rPr>
        <w:t>ToR</w:t>
      </w:r>
      <w:proofErr w:type="spellEnd"/>
      <w:r w:rsidRPr="00B55282">
        <w:rPr>
          <w:szCs w:val="24"/>
          <w:lang w:val="en-US"/>
        </w:rPr>
        <w:t xml:space="preserve"> for the Focus Group</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IPR statements</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Discussion on publication of Focus Group output</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Organizational issues</w:t>
      </w:r>
    </w:p>
    <w:p w:rsidR="002A4A8E" w:rsidRPr="00B55282" w:rsidRDefault="002A4A8E" w:rsidP="002A4A8E">
      <w:pPr>
        <w:numPr>
          <w:ilvl w:val="1"/>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eastAsia="ko-KR"/>
        </w:rPr>
        <w:t>Discussion and approval of Working Groups (WGs)</w:t>
      </w:r>
    </w:p>
    <w:p w:rsidR="002A4A8E" w:rsidRPr="00B55282" w:rsidRDefault="002A4A8E" w:rsidP="002A4A8E">
      <w:pPr>
        <w:numPr>
          <w:ilvl w:val="2"/>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eastAsia="ko-KR"/>
        </w:rPr>
        <w:t xml:space="preserve">Review and approval of the </w:t>
      </w:r>
      <w:proofErr w:type="spellStart"/>
      <w:r w:rsidRPr="00B55282">
        <w:rPr>
          <w:szCs w:val="24"/>
          <w:lang w:val="en-US" w:eastAsia="ko-KR"/>
        </w:rPr>
        <w:t>ToR</w:t>
      </w:r>
      <w:proofErr w:type="spellEnd"/>
      <w:r w:rsidRPr="00B55282">
        <w:rPr>
          <w:szCs w:val="24"/>
          <w:lang w:val="en-US" w:eastAsia="ko-KR"/>
        </w:rPr>
        <w:t xml:space="preserve"> for each Working Group</w:t>
      </w:r>
    </w:p>
    <w:p w:rsidR="002A4A8E" w:rsidRPr="00B55282" w:rsidRDefault="002A4A8E" w:rsidP="002A4A8E">
      <w:pPr>
        <w:numPr>
          <w:ilvl w:val="1"/>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eastAsia="ko-KR"/>
        </w:rPr>
        <w:t>Nomination and approval of Working Group leaders</w:t>
      </w:r>
    </w:p>
    <w:p w:rsidR="002A4A8E" w:rsidRPr="00B55282" w:rsidRDefault="002A4A8E" w:rsidP="002A4A8E">
      <w:pPr>
        <w:numPr>
          <w:ilvl w:val="1"/>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eastAsia="ko-KR"/>
        </w:rPr>
        <w:t>Working methods and electronic tools: contribution numbering (input/output documents) and document number request (tsbfgsmart@itu.int), ftp site, email lists (fgsmart@lists.itu.int), collaborative tools, Issues Lists, etc.</w:t>
      </w:r>
    </w:p>
    <w:p w:rsidR="002A4A8E" w:rsidRPr="00B55282" w:rsidRDefault="002A4A8E" w:rsidP="002A4A8E">
      <w:pPr>
        <w:numPr>
          <w:ilvl w:val="1"/>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Approval of the Work Plan for this meeting</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eastAsia="ko-KR"/>
        </w:rPr>
        <w:t>Review of incoming Liaison Statements and other plenary related contributions</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Allocation of contributions to Working Groups</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Session with Joint Coordinating Activity on Home Networking (JCA-HN)</w:t>
      </w:r>
    </w:p>
    <w:p w:rsidR="002A4A8E" w:rsidRPr="00B55282" w:rsidRDefault="002A4A8E" w:rsidP="002A4A8E">
      <w:pPr>
        <w:numPr>
          <w:ilvl w:val="1"/>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Tuesday am?</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Review and approval of reports from the Working Groups</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Approval of outgoing Liaiso</w:t>
      </w:r>
      <w:r w:rsidRPr="00B55282">
        <w:rPr>
          <w:szCs w:val="24"/>
          <w:lang w:val="en-US" w:eastAsia="ko-KR"/>
        </w:rPr>
        <w:t>n Statements</w:t>
      </w:r>
    </w:p>
    <w:p w:rsidR="002A4A8E" w:rsidRPr="00B55282" w:rsidRDefault="002A4A8E" w:rsidP="002A4A8E">
      <w:pPr>
        <w:numPr>
          <w:ilvl w:val="1"/>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eastAsia="ko-KR"/>
        </w:rPr>
        <w:t>Identification of liaison officers</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Next meeting(s) of the FG Smart Grid</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Approval of the FG Smart Grid meeting report</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Any other business</w:t>
      </w:r>
    </w:p>
    <w:p w:rsidR="002A4A8E" w:rsidRPr="00B55282" w:rsidRDefault="002A4A8E" w:rsidP="002A4A8E">
      <w:pPr>
        <w:numPr>
          <w:ilvl w:val="0"/>
          <w:numId w:val="7"/>
        </w:numPr>
        <w:tabs>
          <w:tab w:val="clear" w:pos="794"/>
          <w:tab w:val="clear" w:pos="1191"/>
          <w:tab w:val="clear" w:pos="1588"/>
          <w:tab w:val="clear" w:pos="1985"/>
        </w:tabs>
        <w:spacing w:before="0" w:after="200" w:line="276" w:lineRule="auto"/>
        <w:contextualSpacing/>
        <w:rPr>
          <w:szCs w:val="24"/>
          <w:lang w:val="en-US"/>
        </w:rPr>
      </w:pPr>
      <w:r w:rsidRPr="00B55282">
        <w:rPr>
          <w:szCs w:val="24"/>
          <w:lang w:val="en-US"/>
        </w:rPr>
        <w:t>Closing of the meeting</w:t>
      </w:r>
    </w:p>
    <w:p w:rsidR="002A4A8E" w:rsidRPr="00B55282" w:rsidRDefault="002A4A8E" w:rsidP="002A4A8E">
      <w:pPr>
        <w:tabs>
          <w:tab w:val="clear" w:pos="794"/>
          <w:tab w:val="clear" w:pos="1191"/>
          <w:tab w:val="clear" w:pos="1588"/>
          <w:tab w:val="clear" w:pos="1985"/>
        </w:tabs>
        <w:spacing w:before="0" w:after="200" w:line="276" w:lineRule="auto"/>
        <w:ind w:left="720"/>
        <w:contextualSpacing/>
        <w:rPr>
          <w:szCs w:val="24"/>
          <w:lang w:val="en-US"/>
        </w:rPr>
      </w:pPr>
    </w:p>
    <w:p w:rsidR="002A4A8E" w:rsidRPr="00B55282" w:rsidRDefault="002A4A8E" w:rsidP="002A4A8E">
      <w:pPr>
        <w:tabs>
          <w:tab w:val="clear" w:pos="794"/>
          <w:tab w:val="clear" w:pos="1191"/>
          <w:tab w:val="clear" w:pos="1588"/>
          <w:tab w:val="clear" w:pos="1985"/>
        </w:tabs>
        <w:spacing w:before="0" w:after="200" w:line="276" w:lineRule="auto"/>
        <w:contextualSpacing/>
        <w:rPr>
          <w:color w:val="000000"/>
          <w:szCs w:val="24"/>
          <w:lang w:val="en-US"/>
        </w:rPr>
      </w:pPr>
      <w:r w:rsidRPr="00B55282">
        <w:rPr>
          <w:color w:val="000000"/>
          <w:szCs w:val="24"/>
          <w:lang w:val="en-US"/>
        </w:rPr>
        <w:t>Note – On Monday June 14, the meeting starts at 9:30 am. Start times other mornings will depend on the work load.</w:t>
      </w:r>
    </w:p>
    <w:p w:rsidR="002A4A8E" w:rsidRPr="002A4A8E" w:rsidRDefault="002A4A8E" w:rsidP="002A4A8E">
      <w:pPr>
        <w:tabs>
          <w:tab w:val="clear" w:pos="794"/>
          <w:tab w:val="clear" w:pos="1191"/>
          <w:tab w:val="clear" w:pos="1588"/>
          <w:tab w:val="clear" w:pos="1985"/>
        </w:tabs>
        <w:spacing w:before="0"/>
        <w:rPr>
          <w:lang w:val="en-US" w:eastAsia="zh-CN"/>
        </w:rPr>
        <w:sectPr w:rsidR="002A4A8E" w:rsidRPr="002A4A8E" w:rsidSect="000D76B8">
          <w:headerReference w:type="even" r:id="rId16"/>
          <w:headerReference w:type="default" r:id="rId17"/>
          <w:footerReference w:type="even" r:id="rId18"/>
          <w:footerReference w:type="default" r:id="rId19"/>
          <w:headerReference w:type="first" r:id="rId20"/>
          <w:footerReference w:type="first" r:id="rId21"/>
          <w:pgSz w:w="11907" w:h="16840" w:code="9"/>
          <w:pgMar w:top="1134" w:right="1089" w:bottom="1134" w:left="1089" w:header="567" w:footer="567" w:gutter="0"/>
          <w:paperSrc w:first="15" w:other="15"/>
          <w:pgNumType w:start="1"/>
          <w:cols w:space="720"/>
          <w:titlePg/>
        </w:sectPr>
      </w:pPr>
    </w:p>
    <w:p w:rsidR="003C18E6" w:rsidRPr="002D3BA8" w:rsidRDefault="003C18E6" w:rsidP="003C18E6">
      <w:pPr>
        <w:tabs>
          <w:tab w:val="clear" w:pos="794"/>
          <w:tab w:val="clear" w:pos="1191"/>
          <w:tab w:val="clear" w:pos="1588"/>
          <w:tab w:val="clear" w:pos="1985"/>
          <w:tab w:val="center" w:pos="4962"/>
        </w:tabs>
        <w:spacing w:line="240" w:lineRule="atLeast"/>
        <w:jc w:val="center"/>
        <w:rPr>
          <w:rFonts w:eastAsia="Malgun Gothic"/>
        </w:rPr>
      </w:pPr>
      <w:r w:rsidRPr="002D3BA8">
        <w:rPr>
          <w:rFonts w:eastAsia="Malgun Gothic"/>
          <w:lang w:val="en-US"/>
        </w:rPr>
        <w:t>ANNEX 3</w:t>
      </w:r>
      <w:r w:rsidRPr="002D3BA8">
        <w:rPr>
          <w:rFonts w:eastAsia="Malgun Gothic"/>
          <w:lang w:val="en-US"/>
        </w:rPr>
        <w:br/>
      </w:r>
      <w:r w:rsidRPr="002D3BA8">
        <w:rPr>
          <w:rFonts w:eastAsia="Malgun Gothic"/>
        </w:rPr>
        <w:t>(to TSB Circular 113)</w:t>
      </w:r>
    </w:p>
    <w:p w:rsidR="003C18E6" w:rsidRPr="002D3BA8" w:rsidRDefault="003C18E6" w:rsidP="003C18E6">
      <w:pPr>
        <w:spacing w:before="0" w:line="240" w:lineRule="atLeast"/>
        <w:ind w:left="709" w:right="453"/>
        <w:jc w:val="center"/>
        <w:rPr>
          <w:rFonts w:eastAsia="Malgun Gothic"/>
          <w:sz w:val="16"/>
        </w:rPr>
      </w:pPr>
    </w:p>
    <w:tbl>
      <w:tblPr>
        <w:tblW w:w="0" w:type="auto"/>
        <w:jc w:val="center"/>
        <w:tblLayout w:type="fixed"/>
        <w:tblLook w:val="0000"/>
      </w:tblPr>
      <w:tblGrid>
        <w:gridCol w:w="9360"/>
      </w:tblGrid>
      <w:tr w:rsidR="003C18E6" w:rsidRPr="001B00E2" w:rsidTr="008342AE">
        <w:trPr>
          <w:cantSplit/>
          <w:jc w:val="center"/>
        </w:trPr>
        <w:tc>
          <w:tcPr>
            <w:tcW w:w="9360" w:type="dxa"/>
            <w:tcBorders>
              <w:top w:val="single" w:sz="6" w:space="0" w:color="auto"/>
              <w:left w:val="single" w:sz="6" w:space="0" w:color="auto"/>
              <w:bottom w:val="single" w:sz="6" w:space="0" w:color="auto"/>
              <w:right w:val="single" w:sz="6" w:space="0" w:color="auto"/>
            </w:tcBorders>
          </w:tcPr>
          <w:p w:rsidR="003C18E6" w:rsidRPr="002D3BA8" w:rsidRDefault="003C18E6" w:rsidP="008342AE">
            <w:pPr>
              <w:tabs>
                <w:tab w:val="left" w:pos="1440"/>
                <w:tab w:val="left" w:pos="8647"/>
              </w:tabs>
              <w:spacing w:before="0" w:line="288" w:lineRule="atLeast"/>
              <w:ind w:right="133"/>
              <w:jc w:val="center"/>
              <w:rPr>
                <w:rFonts w:eastAsia="Malgun Gothic"/>
                <w:i/>
                <w:sz w:val="20"/>
              </w:rPr>
            </w:pPr>
          </w:p>
          <w:p w:rsidR="003C18E6" w:rsidRPr="002D3BA8" w:rsidRDefault="003C18E6" w:rsidP="008342AE">
            <w:pPr>
              <w:tabs>
                <w:tab w:val="left" w:pos="1440"/>
                <w:tab w:val="left" w:pos="8647"/>
              </w:tabs>
              <w:spacing w:before="0" w:line="288" w:lineRule="atLeast"/>
              <w:ind w:right="133"/>
              <w:jc w:val="center"/>
              <w:rPr>
                <w:rFonts w:eastAsia="Malgun Gothic"/>
                <w:i/>
                <w:szCs w:val="24"/>
              </w:rPr>
            </w:pPr>
            <w:r w:rsidRPr="002D3BA8">
              <w:rPr>
                <w:rFonts w:eastAsia="Malgun Gothic"/>
                <w:i/>
                <w:szCs w:val="24"/>
              </w:rPr>
              <w:t xml:space="preserve">This confirmation form </w:t>
            </w:r>
            <w:r w:rsidRPr="002D3BA8">
              <w:rPr>
                <w:rFonts w:eastAsia="Malgun Gothic"/>
                <w:bCs/>
                <w:i/>
                <w:szCs w:val="24"/>
              </w:rPr>
              <w:t xml:space="preserve">should </w:t>
            </w:r>
            <w:r w:rsidRPr="002D3BA8">
              <w:rPr>
                <w:rFonts w:eastAsia="Malgun Gothic"/>
                <w:b/>
                <w:i/>
                <w:szCs w:val="24"/>
              </w:rPr>
              <w:t xml:space="preserve">be sent direct to the hotel </w:t>
            </w:r>
            <w:r w:rsidRPr="002D3BA8">
              <w:rPr>
                <w:rFonts w:eastAsia="Malgun Gothic"/>
                <w:i/>
                <w:szCs w:val="24"/>
              </w:rPr>
              <w:t>of your choice</w:t>
            </w:r>
          </w:p>
          <w:p w:rsidR="003C18E6" w:rsidRPr="002D3BA8" w:rsidRDefault="003C18E6" w:rsidP="008342AE">
            <w:pPr>
              <w:spacing w:before="0" w:after="100" w:line="288" w:lineRule="atLeast"/>
              <w:ind w:right="130"/>
              <w:jc w:val="center"/>
              <w:rPr>
                <w:rFonts w:eastAsia="Malgun Gothic"/>
                <w:sz w:val="20"/>
                <w:lang w:val="en-US"/>
              </w:rPr>
            </w:pPr>
          </w:p>
        </w:tc>
      </w:tr>
    </w:tbl>
    <w:p w:rsidR="003C18E6" w:rsidRPr="002D3BA8" w:rsidRDefault="003C18E6" w:rsidP="003C18E6">
      <w:pPr>
        <w:tabs>
          <w:tab w:val="center" w:pos="9639"/>
        </w:tabs>
        <w:spacing w:line="240" w:lineRule="atLeast"/>
        <w:ind w:right="453"/>
        <w:rPr>
          <w:rFonts w:eastAsia="Malgun Gothic"/>
          <w:lang w:val="en-US"/>
        </w:rPr>
      </w:pPr>
    </w:p>
    <w:tbl>
      <w:tblPr>
        <w:tblW w:w="0" w:type="auto"/>
        <w:jc w:val="center"/>
        <w:tblLayout w:type="fixed"/>
        <w:tblLook w:val="0000"/>
      </w:tblPr>
      <w:tblGrid>
        <w:gridCol w:w="1291"/>
        <w:gridCol w:w="7264"/>
        <w:gridCol w:w="1400"/>
      </w:tblGrid>
      <w:tr w:rsidR="003C18E6" w:rsidRPr="002D3BA8" w:rsidTr="008342AE">
        <w:trPr>
          <w:cantSplit/>
          <w:jc w:val="center"/>
        </w:trPr>
        <w:tc>
          <w:tcPr>
            <w:tcW w:w="1291" w:type="dxa"/>
          </w:tcPr>
          <w:p w:rsidR="003C18E6" w:rsidRPr="002D3BA8" w:rsidRDefault="003C18E6" w:rsidP="008342AE">
            <w:pPr>
              <w:tabs>
                <w:tab w:val="center" w:pos="9639"/>
              </w:tabs>
              <w:spacing w:before="57" w:line="240" w:lineRule="atLeast"/>
              <w:ind w:right="-176"/>
              <w:jc w:val="center"/>
              <w:rPr>
                <w:rFonts w:eastAsia="Malgun Gothic"/>
                <w:sz w:val="28"/>
              </w:rPr>
            </w:pPr>
            <w:r w:rsidRPr="002D3BA8">
              <w:rPr>
                <w:rFonts w:eastAsia="Malgun Gothic"/>
                <w:noProof/>
                <w:lang w:val="en-US" w:eastAsia="zh-CN"/>
              </w:rPr>
              <w:drawing>
                <wp:inline distT="0" distB="0" distL="0" distR="0">
                  <wp:extent cx="622935" cy="655320"/>
                  <wp:effectExtent l="19050" t="0" r="571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c>
          <w:tcPr>
            <w:tcW w:w="7264" w:type="dxa"/>
          </w:tcPr>
          <w:p w:rsidR="003C18E6" w:rsidRPr="002D3BA8" w:rsidRDefault="003C18E6" w:rsidP="008342AE">
            <w:pPr>
              <w:tabs>
                <w:tab w:val="center" w:pos="9639"/>
              </w:tabs>
              <w:spacing w:line="240" w:lineRule="atLeast"/>
              <w:ind w:right="-40"/>
              <w:jc w:val="center"/>
              <w:rPr>
                <w:rFonts w:eastAsia="Malgun Gothic"/>
                <w:b/>
                <w:bCs/>
                <w:sz w:val="28"/>
                <w:szCs w:val="28"/>
                <w:lang w:val="es-ES_tradnl"/>
              </w:rPr>
            </w:pPr>
            <w:r w:rsidRPr="002D3BA8">
              <w:rPr>
                <w:rFonts w:eastAsia="Malgun Gothic"/>
                <w:sz w:val="26"/>
                <w:lang w:val="es-ES_tradnl"/>
              </w:rPr>
              <w:br/>
            </w:r>
            <w:r w:rsidRPr="002D3BA8">
              <w:rPr>
                <w:rFonts w:eastAsia="Malgun Gothic"/>
                <w:b/>
                <w:bCs/>
                <w:sz w:val="28"/>
                <w:szCs w:val="28"/>
                <w:lang w:val="es-ES_tradnl"/>
              </w:rPr>
              <w:t>INTERNATIONAL TELECOMMUNICATION UNION</w:t>
            </w:r>
            <w:r w:rsidRPr="002D3BA8">
              <w:rPr>
                <w:rFonts w:eastAsia="Malgun Gothic"/>
                <w:b/>
                <w:bCs/>
                <w:sz w:val="28"/>
                <w:szCs w:val="28"/>
                <w:lang w:val="es-ES_tradnl"/>
              </w:rPr>
              <w:br/>
            </w:r>
          </w:p>
        </w:tc>
        <w:tc>
          <w:tcPr>
            <w:tcW w:w="1400" w:type="dxa"/>
          </w:tcPr>
          <w:p w:rsidR="003C18E6" w:rsidRPr="002D3BA8" w:rsidRDefault="003C18E6" w:rsidP="008342AE">
            <w:pPr>
              <w:tabs>
                <w:tab w:val="center" w:pos="9639"/>
              </w:tabs>
              <w:spacing w:before="57" w:line="240" w:lineRule="atLeast"/>
              <w:ind w:left="-142" w:right="-74"/>
              <w:jc w:val="center"/>
              <w:rPr>
                <w:rFonts w:eastAsia="Malgun Gothic"/>
                <w:sz w:val="28"/>
              </w:rPr>
            </w:pPr>
            <w:r w:rsidRPr="002D3BA8">
              <w:rPr>
                <w:rFonts w:eastAsia="Malgun Gothic"/>
                <w:noProof/>
                <w:lang w:val="en-US" w:eastAsia="zh-CN"/>
              </w:rPr>
              <w:drawing>
                <wp:inline distT="0" distB="0" distL="0" distR="0">
                  <wp:extent cx="622935" cy="655320"/>
                  <wp:effectExtent l="19050" t="0" r="571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2935" cy="655320"/>
                          </a:xfrm>
                          <a:prstGeom prst="rect">
                            <a:avLst/>
                          </a:prstGeom>
                          <a:noFill/>
                          <a:ln w="9525">
                            <a:noFill/>
                            <a:miter lim="800000"/>
                            <a:headEnd/>
                            <a:tailEnd/>
                          </a:ln>
                        </pic:spPr>
                      </pic:pic>
                    </a:graphicData>
                  </a:graphic>
                </wp:inline>
              </w:drawing>
            </w:r>
          </w:p>
        </w:tc>
      </w:tr>
    </w:tbl>
    <w:p w:rsidR="003C18E6" w:rsidRPr="002D3BA8" w:rsidRDefault="003C18E6" w:rsidP="003C18E6">
      <w:pPr>
        <w:tabs>
          <w:tab w:val="left" w:pos="1440"/>
        </w:tabs>
        <w:spacing w:before="0" w:line="240" w:lineRule="atLeast"/>
        <w:ind w:left="284" w:right="-143"/>
        <w:jc w:val="center"/>
        <w:rPr>
          <w:rFonts w:eastAsia="Malgun Gothic"/>
          <w:b/>
        </w:rPr>
      </w:pPr>
    </w:p>
    <w:p w:rsidR="003C18E6" w:rsidRPr="002D3BA8" w:rsidRDefault="003C18E6" w:rsidP="003C18E6">
      <w:pPr>
        <w:tabs>
          <w:tab w:val="center" w:pos="4678"/>
        </w:tabs>
        <w:spacing w:before="0" w:line="240" w:lineRule="atLeast"/>
        <w:ind w:left="284" w:right="-143"/>
        <w:jc w:val="center"/>
        <w:rPr>
          <w:rFonts w:eastAsia="Malgun Gothic"/>
          <w:b/>
          <w:bCs/>
          <w:szCs w:val="24"/>
          <w:lang w:val="en-US"/>
        </w:rPr>
      </w:pPr>
      <w:r w:rsidRPr="002D3BA8">
        <w:rPr>
          <w:rFonts w:eastAsia="Malgun Gothic"/>
          <w:b/>
          <w:bCs/>
          <w:szCs w:val="24"/>
          <w:lang w:val="en-US"/>
        </w:rPr>
        <w:t>TELECOMMUNICATION STANDARDIZATION SECTOR</w:t>
      </w:r>
      <w:r w:rsidRPr="002D3BA8">
        <w:rPr>
          <w:rFonts w:eastAsia="Malgun Gothic"/>
          <w:b/>
          <w:bCs/>
          <w:szCs w:val="24"/>
          <w:lang w:val="en-US"/>
        </w:rPr>
        <w:br/>
      </w:r>
    </w:p>
    <w:p w:rsidR="003C18E6" w:rsidRPr="002D3BA8" w:rsidRDefault="003C18E6" w:rsidP="003C18E6">
      <w:pPr>
        <w:tabs>
          <w:tab w:val="left" w:pos="1440"/>
        </w:tabs>
        <w:spacing w:before="0" w:line="240" w:lineRule="atLeast"/>
        <w:ind w:left="284" w:right="-143"/>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i/>
          <w:sz w:val="20"/>
        </w:rPr>
      </w:pPr>
      <w:r w:rsidRPr="002D3BA8">
        <w:rPr>
          <w:rFonts w:eastAsia="Malgun Gothic"/>
          <w:i/>
          <w:sz w:val="20"/>
        </w:rPr>
        <w:t>Focus Group on Smart Grid</w:t>
      </w:r>
      <w:r>
        <w:rPr>
          <w:rFonts w:eastAsia="Malgun Gothic"/>
          <w:i/>
          <w:sz w:val="20"/>
        </w:rPr>
        <w:t xml:space="preserve"> </w:t>
      </w:r>
      <w:r w:rsidRPr="002D3BA8">
        <w:rPr>
          <w:rFonts w:eastAsia="Malgun Gothic"/>
          <w:i/>
          <w:sz w:val="20"/>
        </w:rPr>
        <w:t xml:space="preserve"> --------------------------------------</w:t>
      </w:r>
      <w:r>
        <w:rPr>
          <w:rFonts w:eastAsia="Malgun Gothic"/>
          <w:i/>
          <w:sz w:val="20"/>
        </w:rPr>
        <w:t xml:space="preserve"> </w:t>
      </w:r>
      <w:r w:rsidRPr="002D3BA8">
        <w:rPr>
          <w:rFonts w:eastAsia="Malgun Gothic"/>
          <w:i/>
          <w:sz w:val="20"/>
        </w:rPr>
        <w:t xml:space="preserve"> from</w:t>
      </w:r>
      <w:r>
        <w:rPr>
          <w:rFonts w:eastAsia="Malgun Gothic"/>
          <w:i/>
          <w:sz w:val="20"/>
        </w:rPr>
        <w:t xml:space="preserve">  </w:t>
      </w:r>
      <w:r w:rsidRPr="002D3BA8">
        <w:rPr>
          <w:rFonts w:eastAsia="Malgun Gothic"/>
          <w:i/>
          <w:sz w:val="20"/>
        </w:rPr>
        <w:t>-------------------------</w:t>
      </w:r>
      <w:r>
        <w:rPr>
          <w:rFonts w:eastAsia="Malgun Gothic"/>
          <w:i/>
          <w:sz w:val="20"/>
        </w:rPr>
        <w:t xml:space="preserve"> </w:t>
      </w:r>
      <w:r w:rsidRPr="002D3BA8">
        <w:rPr>
          <w:rFonts w:eastAsia="Malgun Gothic"/>
          <w:i/>
          <w:sz w:val="20"/>
        </w:rPr>
        <w:t>to ----------</w:t>
      </w: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i/>
          <w:sz w:val="20"/>
        </w:rPr>
      </w:pPr>
      <w:r w:rsidRPr="002D3BA8">
        <w:rPr>
          <w:rFonts w:eastAsia="Malgun Gothic"/>
          <w:i/>
          <w:sz w:val="20"/>
        </w:rPr>
        <w:t>Confirmation of the reservation made on (date) ------------------------</w:t>
      </w:r>
      <w:r>
        <w:rPr>
          <w:rFonts w:eastAsia="Malgun Gothic"/>
          <w:i/>
          <w:sz w:val="20"/>
        </w:rPr>
        <w:t xml:space="preserve"> </w:t>
      </w:r>
      <w:r w:rsidRPr="002D3BA8">
        <w:rPr>
          <w:rFonts w:eastAsia="Malgun Gothic"/>
          <w:i/>
          <w:sz w:val="20"/>
        </w:rPr>
        <w:t>with (hotel)</w:t>
      </w:r>
      <w:r>
        <w:rPr>
          <w:rFonts w:eastAsia="Malgun Gothic"/>
          <w:i/>
          <w:sz w:val="20"/>
        </w:rPr>
        <w:t xml:space="preserve"> </w:t>
      </w:r>
      <w:r w:rsidRPr="002D3BA8">
        <w:rPr>
          <w:rFonts w:eastAsia="Malgun Gothic"/>
          <w:i/>
          <w:sz w:val="20"/>
        </w:rPr>
        <w:t xml:space="preserve"> ------------------------------</w:t>
      </w:r>
    </w:p>
    <w:p w:rsidR="003C18E6" w:rsidRPr="002D3BA8" w:rsidRDefault="003C18E6" w:rsidP="003C18E6">
      <w:pPr>
        <w:tabs>
          <w:tab w:val="left" w:pos="1440"/>
        </w:tabs>
        <w:spacing w:before="0" w:line="240" w:lineRule="atLeast"/>
        <w:ind w:left="284" w:right="515"/>
        <w:rPr>
          <w:rFonts w:eastAsia="Malgun Gothic"/>
          <w:i/>
          <w:sz w:val="20"/>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Cs w:val="24"/>
          <w:u w:val="single"/>
          <w:lang w:val="en-US"/>
        </w:rPr>
      </w:pPr>
      <w:r w:rsidRPr="002D3BA8">
        <w:rPr>
          <w:rFonts w:eastAsia="Malgun Gothic"/>
          <w:b/>
          <w:i/>
          <w:szCs w:val="24"/>
          <w:u w:val="single"/>
          <w:lang w:val="en-US"/>
        </w:rPr>
        <w:t xml:space="preserve">at the ITU preferential tariff </w:t>
      </w: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i/>
          <w:sz w:val="20"/>
        </w:rPr>
      </w:pPr>
      <w:r w:rsidRPr="002D3BA8">
        <w:rPr>
          <w:rFonts w:eastAsia="Malgun Gothic"/>
          <w:i/>
          <w:sz w:val="20"/>
        </w:rPr>
        <w:t>------------ single/double room(s)</w:t>
      </w:r>
    </w:p>
    <w:p w:rsidR="003C18E6" w:rsidRPr="002D3BA8" w:rsidRDefault="003C18E6" w:rsidP="003C18E6">
      <w:pPr>
        <w:tabs>
          <w:tab w:val="left" w:pos="1440"/>
        </w:tabs>
        <w:spacing w:before="0" w:line="240" w:lineRule="atLeast"/>
        <w:ind w:left="284" w:right="515"/>
        <w:rPr>
          <w:rFonts w:eastAsia="Malgun Gothic"/>
          <w:i/>
          <w:sz w:val="20"/>
        </w:rPr>
      </w:pPr>
    </w:p>
    <w:p w:rsidR="003C18E6" w:rsidRPr="002D3BA8" w:rsidRDefault="003C18E6" w:rsidP="003C18E6">
      <w:pPr>
        <w:tabs>
          <w:tab w:val="left" w:pos="1440"/>
        </w:tabs>
        <w:spacing w:before="0" w:line="240" w:lineRule="atLeast"/>
        <w:ind w:left="284" w:right="515"/>
        <w:rPr>
          <w:rFonts w:eastAsia="Malgun Gothic"/>
          <w:i/>
          <w:sz w:val="20"/>
        </w:rPr>
      </w:pPr>
      <w:r w:rsidRPr="002D3BA8">
        <w:rPr>
          <w:rFonts w:eastAsia="Malgun Gothic"/>
          <w:i/>
          <w:sz w:val="20"/>
        </w:rPr>
        <w:t>arriving on (date)----------------------------- at (time)</w:t>
      </w:r>
      <w:r>
        <w:rPr>
          <w:rFonts w:eastAsia="Malgun Gothic"/>
          <w:i/>
          <w:sz w:val="20"/>
        </w:rPr>
        <w:t xml:space="preserve"> </w:t>
      </w:r>
      <w:r w:rsidRPr="002D3BA8">
        <w:rPr>
          <w:rFonts w:eastAsia="Malgun Gothic"/>
          <w:i/>
          <w:sz w:val="20"/>
        </w:rPr>
        <w:t>------------- departing on (date)--------------------------------</w:t>
      </w:r>
    </w:p>
    <w:p w:rsidR="003C18E6" w:rsidRPr="002D3BA8" w:rsidRDefault="003C18E6" w:rsidP="003C18E6">
      <w:pPr>
        <w:tabs>
          <w:tab w:val="left" w:pos="1440"/>
        </w:tabs>
        <w:spacing w:before="0" w:line="240" w:lineRule="atLeast"/>
        <w:ind w:left="284" w:right="515"/>
        <w:rPr>
          <w:rFonts w:eastAsia="Malgun Gothic"/>
          <w:sz w:val="20"/>
        </w:rPr>
      </w:pPr>
    </w:p>
    <w:p w:rsidR="003C18E6" w:rsidRPr="002D3BA8" w:rsidRDefault="003C18E6" w:rsidP="003C18E6">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2D3BA8">
        <w:rPr>
          <w:b/>
          <w:bCs/>
          <w:i/>
          <w:iCs/>
          <w:sz w:val="20"/>
          <w:lang w:val="en-US" w:eastAsia="zh-CN"/>
        </w:rPr>
        <w:t xml:space="preserve">GENEVA TRANSPORT CARD : </w:t>
      </w:r>
      <w:r w:rsidRPr="002D3BA8">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D3BA8">
        <w:rPr>
          <w:i/>
          <w:iCs/>
          <w:sz w:val="20"/>
          <w:lang w:val="en-US" w:eastAsia="zh-CN"/>
        </w:rPr>
        <w:t>Versoix</w:t>
      </w:r>
      <w:proofErr w:type="spellEnd"/>
      <w:r w:rsidRPr="002D3BA8">
        <w:rPr>
          <w:i/>
          <w:iCs/>
          <w:sz w:val="20"/>
          <w:lang w:val="en-US" w:eastAsia="zh-CN"/>
        </w:rPr>
        <w:t xml:space="preserve"> and the airport. </w:t>
      </w: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r w:rsidRPr="002D3BA8">
        <w:rPr>
          <w:rFonts w:eastAsia="Malgun Gothic"/>
          <w:i/>
          <w:sz w:val="20"/>
          <w:lang w:val="en-US"/>
        </w:rPr>
        <w:t>Family name</w:t>
      </w:r>
      <w:r>
        <w:rPr>
          <w:rFonts w:eastAsia="Malgun Gothic"/>
          <w:sz w:val="20"/>
          <w:lang w:val="en-US"/>
        </w:rPr>
        <w:t xml:space="preserve"> </w:t>
      </w:r>
      <w:r w:rsidRPr="002D3BA8">
        <w:rPr>
          <w:rFonts w:eastAsia="Malgun Gothic"/>
          <w:sz w:val="20"/>
          <w:lang w:val="en-US"/>
        </w:rPr>
        <w:t>-------------------------------------------------------------------------------------------------------------------</w:t>
      </w: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r w:rsidRPr="002D3BA8">
        <w:rPr>
          <w:rFonts w:eastAsia="Malgun Gothic"/>
          <w:i/>
          <w:sz w:val="20"/>
          <w:lang w:val="en-US"/>
        </w:rPr>
        <w:t>First name</w:t>
      </w:r>
      <w:r>
        <w:rPr>
          <w:rFonts w:eastAsia="Malgun Gothic"/>
          <w:i/>
          <w:sz w:val="20"/>
          <w:lang w:val="en-US"/>
        </w:rPr>
        <w:t xml:space="preserve"> </w:t>
      </w:r>
      <w:r w:rsidRPr="002D3BA8">
        <w:rPr>
          <w:rFonts w:eastAsia="Malgun Gothic"/>
          <w:sz w:val="20"/>
          <w:lang w:val="en-US"/>
        </w:rPr>
        <w:t>---------------------------------------------------------------------------------------------------------------------</w:t>
      </w: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i/>
          <w:iCs/>
          <w:sz w:val="20"/>
          <w:lang w:val="en-US"/>
        </w:rPr>
      </w:pPr>
      <w:r w:rsidRPr="002D3BA8">
        <w:rPr>
          <w:rFonts w:eastAsia="Malgun Gothic"/>
          <w:i/>
          <w:sz w:val="20"/>
          <w:lang w:val="en-US"/>
        </w:rPr>
        <w:t>Address</w:t>
      </w:r>
      <w:r>
        <w:rPr>
          <w:rFonts w:eastAsia="Malgun Gothic"/>
          <w:i/>
          <w:sz w:val="20"/>
          <w:lang w:val="en-US"/>
        </w:rPr>
        <w:t xml:space="preserve"> </w:t>
      </w:r>
      <w:r w:rsidRPr="002D3BA8">
        <w:rPr>
          <w:rFonts w:eastAsia="Malgun Gothic"/>
          <w:sz w:val="20"/>
          <w:lang w:val="en-US"/>
        </w:rPr>
        <w:t>------------------------------------------------------------------------</w:t>
      </w:r>
      <w:r>
        <w:rPr>
          <w:rFonts w:eastAsia="Malgun Gothic"/>
          <w:sz w:val="20"/>
          <w:lang w:val="en-US"/>
        </w:rPr>
        <w:t xml:space="preserve">    </w:t>
      </w:r>
      <w:r w:rsidRPr="002D3BA8">
        <w:rPr>
          <w:rFonts w:eastAsia="Malgun Gothic"/>
          <w:i/>
          <w:iCs/>
          <w:sz w:val="20"/>
          <w:lang w:val="en-US"/>
        </w:rPr>
        <w:t>Tel: -------------------------------</w:t>
      </w:r>
    </w:p>
    <w:p w:rsidR="003C18E6" w:rsidRPr="002D3BA8" w:rsidRDefault="003C18E6" w:rsidP="003C18E6">
      <w:pPr>
        <w:tabs>
          <w:tab w:val="left" w:pos="1440"/>
        </w:tabs>
        <w:spacing w:before="0" w:line="240" w:lineRule="atLeast"/>
        <w:ind w:left="284" w:right="515"/>
        <w:rPr>
          <w:rFonts w:eastAsia="Malgun Gothic"/>
          <w:i/>
          <w:iCs/>
          <w:sz w:val="20"/>
          <w:lang w:val="en-US"/>
        </w:rPr>
      </w:pPr>
    </w:p>
    <w:p w:rsidR="003C18E6" w:rsidRPr="002D3BA8" w:rsidRDefault="003C18E6" w:rsidP="003C18E6">
      <w:pPr>
        <w:tabs>
          <w:tab w:val="left" w:pos="1440"/>
        </w:tabs>
        <w:spacing w:before="0" w:line="240" w:lineRule="atLeast"/>
        <w:ind w:left="284" w:right="515"/>
        <w:rPr>
          <w:rFonts w:eastAsia="Malgun Gothic"/>
          <w:i/>
          <w:iCs/>
          <w:sz w:val="20"/>
          <w:lang w:val="en-US"/>
        </w:rPr>
      </w:pPr>
      <w:r w:rsidRPr="002D3BA8">
        <w:rPr>
          <w:rFonts w:eastAsia="Malgun Gothic"/>
          <w:i/>
          <w:iCs/>
          <w:sz w:val="20"/>
          <w:lang w:val="en-US"/>
        </w:rPr>
        <w:t>-----------------------------------------------------------------------------------------</w:t>
      </w:r>
      <w:r>
        <w:rPr>
          <w:rFonts w:eastAsia="Malgun Gothic"/>
          <w:i/>
          <w:iCs/>
          <w:sz w:val="20"/>
          <w:lang w:val="en-US"/>
        </w:rPr>
        <w:t xml:space="preserve">  </w:t>
      </w:r>
      <w:r w:rsidRPr="002D3BA8">
        <w:rPr>
          <w:rFonts w:eastAsia="Malgun Gothic"/>
          <w:i/>
          <w:iCs/>
          <w:sz w:val="20"/>
          <w:lang w:val="en-US"/>
        </w:rPr>
        <w:t xml:space="preserve"> Fax: -------------------------------</w:t>
      </w:r>
    </w:p>
    <w:p w:rsidR="003C18E6" w:rsidRPr="002D3BA8" w:rsidRDefault="003C18E6" w:rsidP="003C18E6">
      <w:pPr>
        <w:tabs>
          <w:tab w:val="left" w:pos="1440"/>
        </w:tabs>
        <w:spacing w:before="0" w:line="240" w:lineRule="atLeast"/>
        <w:ind w:left="284" w:right="515"/>
        <w:rPr>
          <w:rFonts w:eastAsia="Malgun Gothic"/>
          <w:i/>
          <w:iCs/>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r w:rsidRPr="002D3BA8">
        <w:rPr>
          <w:rFonts w:eastAsia="Malgun Gothic"/>
          <w:i/>
          <w:iCs/>
          <w:sz w:val="20"/>
          <w:lang w:val="en-US"/>
        </w:rPr>
        <w:t>-----------------------------------------------------------------------------------------</w:t>
      </w:r>
      <w:r>
        <w:rPr>
          <w:rFonts w:eastAsia="Malgun Gothic"/>
          <w:i/>
          <w:iCs/>
          <w:sz w:val="20"/>
          <w:lang w:val="en-US"/>
        </w:rPr>
        <w:t xml:space="preserve"> </w:t>
      </w:r>
      <w:r w:rsidRPr="002D3BA8">
        <w:rPr>
          <w:rFonts w:eastAsia="Malgun Gothic"/>
          <w:i/>
          <w:iCs/>
          <w:sz w:val="20"/>
          <w:lang w:val="en-US"/>
        </w:rPr>
        <w:t xml:space="preserve"> E-mail:</w:t>
      </w:r>
      <w:r w:rsidRPr="002D3BA8">
        <w:rPr>
          <w:rFonts w:eastAsia="Malgun Gothic"/>
          <w:sz w:val="20"/>
          <w:lang w:val="en-US"/>
        </w:rPr>
        <w:t xml:space="preserve"> ------------------------------</w:t>
      </w: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r w:rsidRPr="002D3BA8">
        <w:rPr>
          <w:rFonts w:eastAsia="Malgun Gothic"/>
          <w:i/>
          <w:sz w:val="20"/>
        </w:rPr>
        <w:t>Credit card to guarantee this reservation</w:t>
      </w:r>
      <w:r w:rsidRPr="002D3BA8">
        <w:rPr>
          <w:rFonts w:eastAsia="Malgun Gothic"/>
          <w:sz w:val="20"/>
        </w:rPr>
        <w:t>:</w:t>
      </w:r>
      <w:r>
        <w:rPr>
          <w:rFonts w:eastAsia="Malgun Gothic"/>
          <w:sz w:val="20"/>
        </w:rPr>
        <w:t xml:space="preserve"> </w:t>
      </w:r>
      <w:r w:rsidRPr="002D3BA8">
        <w:rPr>
          <w:rFonts w:eastAsia="Malgun Gothic"/>
          <w:sz w:val="20"/>
        </w:rPr>
        <w:t xml:space="preserve"> AX/VISA/DINERS/EC</w:t>
      </w:r>
      <w:r>
        <w:rPr>
          <w:rFonts w:eastAsia="Malgun Gothic"/>
          <w:sz w:val="20"/>
        </w:rPr>
        <w:t xml:space="preserve"> </w:t>
      </w:r>
      <w:r w:rsidRPr="002D3BA8">
        <w:rPr>
          <w:rFonts w:eastAsia="Malgun Gothic"/>
          <w:sz w:val="20"/>
        </w:rPr>
        <w:t>(</w:t>
      </w:r>
      <w:r w:rsidRPr="002D3BA8">
        <w:rPr>
          <w:rFonts w:eastAsia="Malgun Gothic"/>
          <w:i/>
          <w:iCs/>
          <w:sz w:val="20"/>
        </w:rPr>
        <w:t>or</w:t>
      </w:r>
      <w:r w:rsidRPr="002D3BA8">
        <w:rPr>
          <w:rFonts w:eastAsia="Malgun Gothic"/>
          <w:sz w:val="20"/>
        </w:rPr>
        <w:t xml:space="preserve"> </w:t>
      </w:r>
      <w:r w:rsidRPr="002D3BA8">
        <w:rPr>
          <w:rFonts w:eastAsia="Malgun Gothic"/>
          <w:i/>
          <w:sz w:val="20"/>
          <w:lang w:val="en-US"/>
        </w:rPr>
        <w:t>other) -----------------------------------</w:t>
      </w: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p>
    <w:p w:rsidR="003C18E6" w:rsidRPr="002D3BA8" w:rsidRDefault="003C18E6" w:rsidP="003C18E6">
      <w:pPr>
        <w:tabs>
          <w:tab w:val="left" w:pos="1440"/>
        </w:tabs>
        <w:spacing w:before="0" w:line="240" w:lineRule="atLeast"/>
        <w:ind w:left="284" w:right="515"/>
        <w:rPr>
          <w:rFonts w:eastAsia="Malgun Gothic"/>
          <w:sz w:val="20"/>
          <w:lang w:val="en-US"/>
        </w:rPr>
      </w:pPr>
      <w:r w:rsidRPr="002D3BA8">
        <w:rPr>
          <w:rFonts w:eastAsia="Malgun Gothic"/>
          <w:i/>
          <w:iCs/>
          <w:sz w:val="20"/>
          <w:lang w:val="en-US"/>
        </w:rPr>
        <w:t xml:space="preserve">No. </w:t>
      </w:r>
      <w:r w:rsidRPr="002D3BA8">
        <w:rPr>
          <w:rFonts w:eastAsia="Malgun Gothic"/>
          <w:sz w:val="20"/>
          <w:lang w:val="en-US"/>
        </w:rPr>
        <w:t>--------------------------------------------------------</w:t>
      </w:r>
      <w:r>
        <w:rPr>
          <w:rFonts w:eastAsia="Malgun Gothic"/>
          <w:sz w:val="20"/>
          <w:lang w:val="en-US"/>
        </w:rPr>
        <w:t xml:space="preserve"> </w:t>
      </w:r>
      <w:r w:rsidRPr="002D3BA8">
        <w:rPr>
          <w:rFonts w:eastAsia="Malgun Gothic"/>
          <w:i/>
          <w:sz w:val="20"/>
          <w:lang w:val="en-US"/>
        </w:rPr>
        <w:t>valid until</w:t>
      </w:r>
      <w:r>
        <w:rPr>
          <w:rFonts w:eastAsia="Malgun Gothic"/>
          <w:sz w:val="20"/>
          <w:lang w:val="en-US"/>
        </w:rPr>
        <w:t xml:space="preserve"> </w:t>
      </w:r>
      <w:r w:rsidRPr="002D3BA8">
        <w:rPr>
          <w:rFonts w:eastAsia="Malgun Gothic"/>
          <w:sz w:val="20"/>
          <w:lang w:val="en-US"/>
        </w:rPr>
        <w:t>------------------------------------------------</w:t>
      </w:r>
    </w:p>
    <w:p w:rsidR="003C18E6" w:rsidRPr="002D3BA8" w:rsidRDefault="003C18E6" w:rsidP="003C18E6">
      <w:pPr>
        <w:tabs>
          <w:tab w:val="left" w:pos="1440"/>
        </w:tabs>
        <w:spacing w:before="0" w:line="240" w:lineRule="atLeast"/>
        <w:ind w:left="284" w:right="515"/>
        <w:rPr>
          <w:rFonts w:eastAsia="Malgun Gothic"/>
          <w:sz w:val="20"/>
          <w:lang w:val="en-US"/>
        </w:rPr>
      </w:pPr>
    </w:p>
    <w:p w:rsidR="00E1779A" w:rsidRPr="003C18E6" w:rsidRDefault="003C18E6" w:rsidP="003C18E6">
      <w:pPr>
        <w:tabs>
          <w:tab w:val="left" w:pos="1440"/>
        </w:tabs>
        <w:spacing w:before="0" w:line="240" w:lineRule="atLeast"/>
        <w:ind w:left="284" w:right="515"/>
        <w:rPr>
          <w:rFonts w:eastAsia="Malgun Gothic"/>
        </w:rPr>
      </w:pPr>
      <w:r w:rsidRPr="002D3BA8">
        <w:rPr>
          <w:rFonts w:eastAsia="Malgun Gothic"/>
          <w:i/>
          <w:sz w:val="20"/>
        </w:rPr>
        <w:t>Date</w:t>
      </w:r>
      <w:r w:rsidRPr="002D3BA8">
        <w:rPr>
          <w:rFonts w:eastAsia="Malgun Gothic"/>
          <w:sz w:val="20"/>
        </w:rPr>
        <w:t xml:space="preserve"> ------------------------------------------------------</w:t>
      </w:r>
      <w:r>
        <w:rPr>
          <w:rFonts w:eastAsia="Malgun Gothic"/>
          <w:sz w:val="20"/>
        </w:rPr>
        <w:t xml:space="preserve"> </w:t>
      </w:r>
      <w:r w:rsidRPr="002D3BA8">
        <w:rPr>
          <w:rFonts w:eastAsia="Malgun Gothic"/>
          <w:i/>
          <w:sz w:val="20"/>
        </w:rPr>
        <w:t>Signature</w:t>
      </w:r>
      <w:r>
        <w:rPr>
          <w:rFonts w:eastAsia="Malgun Gothic"/>
          <w:i/>
          <w:sz w:val="20"/>
        </w:rPr>
        <w:t xml:space="preserve"> </w:t>
      </w:r>
      <w:r w:rsidRPr="002D3BA8">
        <w:rPr>
          <w:rFonts w:eastAsia="Malgun Gothic"/>
          <w:sz w:val="20"/>
        </w:rPr>
        <w:t>---------------------------------------------------</w:t>
      </w:r>
    </w:p>
    <w:p w:rsidR="00A407BE" w:rsidRPr="00A407BE" w:rsidRDefault="00A407BE" w:rsidP="00376F72">
      <w:pPr>
        <w:pStyle w:val="LetterStart"/>
        <w:spacing w:before="0" w:line="240" w:lineRule="atLeast"/>
        <w:jc w:val="center"/>
        <w:rPr>
          <w:rStyle w:val="PageNumber"/>
          <w:sz w:val="2"/>
          <w:szCs w:val="2"/>
        </w:rPr>
      </w:pPr>
    </w:p>
    <w:sectPr w:rsidR="00A407BE" w:rsidRPr="00A407BE" w:rsidSect="002A1603">
      <w:headerReference w:type="even" r:id="rId23"/>
      <w:headerReference w:type="default" r:id="rId24"/>
      <w:footerReference w:type="even" r:id="rId25"/>
      <w:footerReference w:type="default" r:id="rId26"/>
      <w:headerReference w:type="first" r:id="rId27"/>
      <w:footerReference w:type="first" r:id="rId28"/>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2AE" w:rsidRDefault="008342AE">
      <w:r>
        <w:separator/>
      </w:r>
    </w:p>
  </w:endnote>
  <w:endnote w:type="continuationSeparator" w:id="0">
    <w:p w:rsidR="008342AE" w:rsidRDefault="00834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Malgun Gothic">
    <w:altName w:val="Dotum"/>
    <w:charset w:val="81"/>
    <w:family w:val="swiss"/>
    <w:pitch w:val="variable"/>
    <w:sig w:usb0="900002AF"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Default="008342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Pr="000111B2" w:rsidRDefault="008342AE" w:rsidP="000111B2">
    <w:pPr>
      <w:pStyle w:val="Footer"/>
      <w:rPr>
        <w:szCs w:val="16"/>
      </w:rPr>
    </w:pPr>
    <w:r w:rsidRPr="00C909C4">
      <w:rPr>
        <w:szCs w:val="16"/>
      </w:rPr>
      <w:t>ITU-T\BUREAU\CIRC\</w:t>
    </w:r>
    <w:r>
      <w:rPr>
        <w:szCs w:val="16"/>
      </w:rPr>
      <w:t>113C</w:t>
    </w:r>
    <w:r w:rsidRPr="00C909C4">
      <w:rPr>
        <w:szCs w:val="16"/>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8342AE">
      <w:trPr>
        <w:cantSplit/>
      </w:trPr>
      <w:tc>
        <w:tcPr>
          <w:tcW w:w="1062" w:type="pct"/>
          <w:tcBorders>
            <w:top w:val="single" w:sz="6" w:space="0" w:color="auto"/>
          </w:tcBorders>
          <w:tcMar>
            <w:top w:w="57" w:type="dxa"/>
          </w:tcMar>
        </w:tcPr>
        <w:p w:rsidR="008342AE" w:rsidRDefault="008342AE"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8342AE" w:rsidRDefault="008342AE"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8342AE" w:rsidRDefault="008342AE"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8342AE" w:rsidRDefault="008342AE"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8342AE">
      <w:trPr>
        <w:cantSplit/>
      </w:trPr>
      <w:tc>
        <w:tcPr>
          <w:tcW w:w="1062" w:type="pct"/>
        </w:tcPr>
        <w:p w:rsidR="008342AE" w:rsidRDefault="008342AE"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8342AE" w:rsidRDefault="008342AE" w:rsidP="002958F2">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8342AE" w:rsidRDefault="008342AE" w:rsidP="002958F2">
          <w:pPr>
            <w:pStyle w:val="itu"/>
            <w:rPr>
              <w:rFonts w:ascii="Times New Roman" w:hAnsi="Times New Roman"/>
            </w:rPr>
          </w:pPr>
          <w:r>
            <w:rPr>
              <w:rFonts w:ascii="Times New Roman" w:hAnsi="Times New Roman"/>
            </w:rPr>
            <w:t>Telegram ITU GENEVE</w:t>
          </w:r>
        </w:p>
      </w:tc>
      <w:tc>
        <w:tcPr>
          <w:tcW w:w="1131" w:type="pct"/>
        </w:tcPr>
        <w:p w:rsidR="008342AE" w:rsidRDefault="008342AE"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8342AE">
      <w:trPr>
        <w:cantSplit/>
      </w:trPr>
      <w:tc>
        <w:tcPr>
          <w:tcW w:w="1062" w:type="pct"/>
        </w:tcPr>
        <w:p w:rsidR="008342AE" w:rsidRDefault="008342AE"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8342AE" w:rsidRDefault="008342AE"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8342AE" w:rsidRDefault="008342AE" w:rsidP="002958F2">
          <w:pPr>
            <w:pStyle w:val="itu"/>
            <w:rPr>
              <w:rFonts w:ascii="Times New Roman" w:hAnsi="Times New Roman"/>
              <w:lang w:val="fr-CH"/>
            </w:rPr>
          </w:pPr>
        </w:p>
      </w:tc>
      <w:tc>
        <w:tcPr>
          <w:tcW w:w="1131" w:type="pct"/>
        </w:tcPr>
        <w:p w:rsidR="008342AE" w:rsidRDefault="008342AE" w:rsidP="002958F2">
          <w:pPr>
            <w:pStyle w:val="itu"/>
            <w:rPr>
              <w:rFonts w:ascii="Times New Roman" w:hAnsi="Times New Roman"/>
              <w:lang w:val="fr-CH"/>
            </w:rPr>
          </w:pPr>
        </w:p>
      </w:tc>
    </w:tr>
  </w:tbl>
  <w:p w:rsidR="008342AE" w:rsidRDefault="008342AE">
    <w:pPr>
      <w:pStyle w:val="Footer"/>
      <w:rPr>
        <w:lang w:eastAsia="zh-C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Pr="002A3753" w:rsidRDefault="00B112F2">
    <w:pPr>
      <w:pStyle w:val="Footer"/>
      <w:rPr>
        <w:lang w:val="en-US" w:eastAsia="zh-CN"/>
      </w:rPr>
    </w:pPr>
    <w:fldSimple w:instr=" FILENAME \p \* MERGEFORMAT ">
      <w:r w:rsidR="008342AE">
        <w:rPr>
          <w:lang w:val="en-US"/>
        </w:rPr>
        <w:t>M:\SG_DOC\FG-Smart-Grid\circulars\113C.DOCX</w:t>
      </w:r>
    </w:fldSimple>
    <w:r w:rsidR="008342AE" w:rsidRPr="002A3753">
      <w:rPr>
        <w:rFonts w:hint="eastAsia"/>
        <w:lang w:val="en-US" w:eastAsia="zh-CN"/>
      </w:rPr>
      <w:t>（</w:t>
    </w:r>
    <w:r w:rsidR="008342AE" w:rsidRPr="002A3753">
      <w:rPr>
        <w:rFonts w:hint="eastAsia"/>
        <w:lang w:val="en-US" w:eastAsia="zh-CN"/>
      </w:rPr>
      <w:t>190247</w:t>
    </w:r>
    <w:r w:rsidR="008342AE" w:rsidRPr="002A3753">
      <w:rPr>
        <w:rFonts w:hint="eastAsia"/>
        <w:lang w:val="en-US" w:eastAsia="zh-CN"/>
      </w:rPr>
      <w:t>）</w:t>
    </w:r>
    <w:r w:rsidR="008342AE" w:rsidRPr="002A3753">
      <w:rPr>
        <w:rFonts w:hint="eastAsia"/>
        <w:lang w:val="en-US" w:eastAsia="zh-CN"/>
      </w:rPr>
      <w:tab/>
    </w:r>
    <w:r w:rsidR="008342AE" w:rsidRPr="002A3753">
      <w:rPr>
        <w:rFonts w:hint="eastAsia"/>
        <w:lang w:val="en-US" w:eastAsia="zh-CN"/>
      </w:rPr>
      <w:tab/>
    </w:r>
    <w:r>
      <w:rPr>
        <w:lang w:val="fr-CH" w:eastAsia="zh-CN"/>
      </w:rPr>
      <w:fldChar w:fldCharType="begin"/>
    </w:r>
    <w:r w:rsidR="008342AE">
      <w:rPr>
        <w:lang w:val="en-US" w:eastAsia="zh-CN"/>
      </w:rPr>
      <w:instrText xml:space="preserve"> DATE \@ "dd.MM.yyyy" </w:instrText>
    </w:r>
    <w:r>
      <w:rPr>
        <w:lang w:val="fr-CH" w:eastAsia="zh-CN"/>
      </w:rPr>
      <w:fldChar w:fldCharType="separate"/>
    </w:r>
    <w:r w:rsidR="005D3DB9">
      <w:rPr>
        <w:lang w:val="en-US" w:eastAsia="zh-CN"/>
      </w:rPr>
      <w:t>11.06.2010</w:t>
    </w:r>
    <w:r>
      <w:rPr>
        <w:lang w:val="fr-CH" w:eastAsia="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Pr="002A3753" w:rsidRDefault="00B112F2" w:rsidP="002A1603">
    <w:pPr>
      <w:pStyle w:val="Footer"/>
      <w:tabs>
        <w:tab w:val="left" w:pos="6237"/>
      </w:tabs>
      <w:rPr>
        <w:lang w:val="en-US"/>
      </w:rPr>
    </w:pPr>
    <w:fldSimple w:instr=" FILENAME \p \* MERGEFORMAT ">
      <w:r w:rsidR="008342AE" w:rsidRPr="008342AE">
        <w:rPr>
          <w:szCs w:val="16"/>
          <w:lang w:val="en-US"/>
        </w:rPr>
        <w:t>M</w:t>
      </w:r>
      <w:r w:rsidR="008342AE">
        <w:rPr>
          <w:lang w:val="en-US"/>
        </w:rPr>
        <w:t>:\SG_DOC\FG-Smart-Grid\circulars\113C.DOCX</w:t>
      </w:r>
    </w:fldSimple>
    <w:r w:rsidR="008342AE" w:rsidRPr="002A3753">
      <w:rPr>
        <w:szCs w:val="16"/>
        <w:lang w:val="en-US"/>
      </w:rPr>
      <w:tab/>
    </w:r>
    <w:r w:rsidR="008342AE" w:rsidRPr="002A3753">
      <w:rPr>
        <w:szCs w:val="16"/>
        <w:lang w:val="en-US"/>
      </w:rPr>
      <w:tab/>
    </w:r>
    <w:r w:rsidR="008342AE" w:rsidRPr="002A3753">
      <w:rPr>
        <w:szCs w:val="16"/>
        <w:lang w:val="en-US"/>
      </w:rPr>
      <w:tab/>
      <w:t>22/04/2008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Pr="00367B88" w:rsidRDefault="008342AE" w:rsidP="00367B88">
    <w:pPr>
      <w:pStyle w:val="Footer"/>
      <w:rPr>
        <w:szCs w:val="16"/>
      </w:rPr>
    </w:pPr>
    <w:r w:rsidRPr="00C909C4">
      <w:rPr>
        <w:szCs w:val="16"/>
      </w:rPr>
      <w:t>ITU-T\BUREAU\CIRC\</w:t>
    </w:r>
    <w:r>
      <w:rPr>
        <w:szCs w:val="16"/>
      </w:rPr>
      <w:t>113C</w:t>
    </w:r>
    <w:r w:rsidRPr="00C909C4">
      <w:rPr>
        <w:szCs w:val="16"/>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2AE" w:rsidRDefault="008342AE">
      <w:pPr>
        <w:rPr>
          <w:sz w:val="23"/>
          <w:szCs w:val="23"/>
        </w:rPr>
      </w:pPr>
      <w:r>
        <w:rPr>
          <w:sz w:val="23"/>
          <w:szCs w:val="23"/>
        </w:rPr>
        <w:t>____________________</w:t>
      </w:r>
    </w:p>
  </w:footnote>
  <w:footnote w:type="continuationSeparator" w:id="0">
    <w:p w:rsidR="008342AE" w:rsidRDefault="00834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Default="008342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Default="008342AE" w:rsidP="00376F72">
    <w:pPr>
      <w:pStyle w:val="Header"/>
      <w:framePr w:wrap="around" w:vAnchor="text" w:hAnchor="page" w:x="5842" w:y="-26"/>
      <w:rPr>
        <w:rStyle w:val="PageNumber"/>
      </w:rPr>
    </w:pPr>
    <w:r>
      <w:rPr>
        <w:rStyle w:val="PageNumber"/>
      </w:rPr>
      <w:t xml:space="preserve">- </w:t>
    </w:r>
    <w:r w:rsidR="00B112F2">
      <w:rPr>
        <w:rStyle w:val="PageNumber"/>
      </w:rPr>
      <w:fldChar w:fldCharType="begin"/>
    </w:r>
    <w:r>
      <w:rPr>
        <w:rStyle w:val="PageNumber"/>
      </w:rPr>
      <w:instrText xml:space="preserve"> PAGE </w:instrText>
    </w:r>
    <w:r w:rsidR="00B112F2">
      <w:rPr>
        <w:rStyle w:val="PageNumber"/>
      </w:rPr>
      <w:fldChar w:fldCharType="separate"/>
    </w:r>
    <w:r w:rsidR="005D3DB9">
      <w:rPr>
        <w:rStyle w:val="PageNumber"/>
        <w:noProof/>
      </w:rPr>
      <w:t>7</w:t>
    </w:r>
    <w:r w:rsidR="00B112F2">
      <w:rPr>
        <w:rStyle w:val="PageNumber"/>
      </w:rPr>
      <w:fldChar w:fldCharType="end"/>
    </w:r>
    <w:r>
      <w:rPr>
        <w:rStyle w:val="PageNumber"/>
      </w:rPr>
      <w:t xml:space="preserve"> -</w:t>
    </w:r>
  </w:p>
  <w:p w:rsidR="008342AE" w:rsidRDefault="008342AE" w:rsidP="00D07107">
    <w:pPr>
      <w:pStyle w:val="Header"/>
      <w:jc w:val="left"/>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Default="008342A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Default="00B112F2" w:rsidP="002A1603">
    <w:pPr>
      <w:pStyle w:val="Header"/>
      <w:framePr w:wrap="around" w:vAnchor="text" w:hAnchor="margin" w:xAlign="right" w:y="1"/>
      <w:rPr>
        <w:rStyle w:val="PageNumber"/>
      </w:rPr>
    </w:pPr>
    <w:r>
      <w:rPr>
        <w:rStyle w:val="PageNumber"/>
      </w:rPr>
      <w:fldChar w:fldCharType="begin"/>
    </w:r>
    <w:r w:rsidR="008342AE">
      <w:rPr>
        <w:rStyle w:val="PageNumber"/>
      </w:rPr>
      <w:instrText xml:space="preserve">PAGE  </w:instrText>
    </w:r>
    <w:r>
      <w:rPr>
        <w:rStyle w:val="PageNumber"/>
      </w:rPr>
      <w:fldChar w:fldCharType="separate"/>
    </w:r>
    <w:r w:rsidR="008342AE">
      <w:rPr>
        <w:rStyle w:val="PageNumber"/>
        <w:noProof/>
      </w:rPr>
      <w:t>1</w:t>
    </w:r>
    <w:r>
      <w:rPr>
        <w:rStyle w:val="PageNumber"/>
      </w:rPr>
      <w:fldChar w:fldCharType="end"/>
    </w:r>
  </w:p>
  <w:p w:rsidR="008342AE" w:rsidRDefault="008342AE" w:rsidP="002A1603">
    <w:pPr>
      <w:pStyle w:val="Header"/>
      <w:ind w:right="360"/>
      <w:rPr>
        <w:lang w:val="en-US" w:eastAsia="zh-CN"/>
      </w:rPr>
    </w:pPr>
    <w:r>
      <w:rPr>
        <w:rStyle w:val="PageNumber"/>
        <w:rFonts w:hint="eastAsia"/>
        <w:lang w:val="en-US" w:eastAsia="zh-CN"/>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Default="008342AE" w:rsidP="002A1603">
    <w:pPr>
      <w:pStyle w:val="Header"/>
      <w:ind w:right="360"/>
      <w:rPr>
        <w:lang w:val="en-US" w:eastAsia="zh-CN"/>
      </w:rPr>
    </w:pPr>
    <w:r>
      <w:rPr>
        <w:rFonts w:hint="eastAsia"/>
        <w:lang w:val="en-US" w:eastAsia="zh-CN"/>
      </w:rPr>
      <w:t xml:space="preserve">- </w:t>
    </w:r>
    <w:r w:rsidR="00B112F2">
      <w:rPr>
        <w:rStyle w:val="PageNumber"/>
      </w:rPr>
      <w:fldChar w:fldCharType="begin"/>
    </w:r>
    <w:r>
      <w:rPr>
        <w:rStyle w:val="PageNumber"/>
      </w:rPr>
      <w:instrText xml:space="preserve"> PAGE </w:instrText>
    </w:r>
    <w:r w:rsidR="00B112F2">
      <w:rPr>
        <w:rStyle w:val="PageNumber"/>
      </w:rPr>
      <w:fldChar w:fldCharType="separate"/>
    </w:r>
    <w:r>
      <w:rPr>
        <w:rStyle w:val="PageNumber"/>
        <w:noProof/>
      </w:rPr>
      <w:t>10</w:t>
    </w:r>
    <w:r w:rsidR="00B112F2">
      <w:rPr>
        <w:rStyle w:val="PageNumber"/>
      </w:rPr>
      <w:fldChar w:fldCharType="end"/>
    </w:r>
    <w:r>
      <w:rPr>
        <w:rStyle w:val="PageNumber"/>
        <w:rFonts w:hint="eastAsia"/>
        <w:lang w:val="en-US" w:eastAsia="zh-CN"/>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2AE" w:rsidRDefault="008342AE">
    <w:pPr>
      <w:pStyle w:val="Header"/>
      <w:rPr>
        <w:lang w:eastAsia="zh-CN"/>
      </w:rPr>
    </w:pPr>
    <w:r>
      <w:rPr>
        <w:rStyle w:val="PageNumber"/>
        <w:rFonts w:hint="eastAsia"/>
        <w:lang w:eastAsia="zh-CN"/>
      </w:rPr>
      <w:t xml:space="preserve">- </w:t>
    </w:r>
    <w:r w:rsidR="00B112F2">
      <w:rPr>
        <w:rStyle w:val="PageNumber"/>
      </w:rPr>
      <w:fldChar w:fldCharType="begin"/>
    </w:r>
    <w:r>
      <w:rPr>
        <w:rStyle w:val="PageNumber"/>
      </w:rPr>
      <w:instrText xml:space="preserve"> PAGE </w:instrText>
    </w:r>
    <w:r w:rsidR="00B112F2">
      <w:rPr>
        <w:rStyle w:val="PageNumber"/>
      </w:rPr>
      <w:fldChar w:fldCharType="separate"/>
    </w:r>
    <w:r w:rsidR="005D3DB9">
      <w:rPr>
        <w:rStyle w:val="PageNumber"/>
        <w:noProof/>
      </w:rPr>
      <w:t>9</w:t>
    </w:r>
    <w:r w:rsidR="00B112F2">
      <w:rPr>
        <w:rStyle w:val="PageNumber"/>
      </w:rPr>
      <w:fldChar w:fldCharType="end"/>
    </w:r>
    <w:r>
      <w:rPr>
        <w:rStyle w:val="PageNumber"/>
        <w:rFonts w:hint="eastAsia"/>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6">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useFELayout/>
  </w:compat>
  <w:rsids>
    <w:rsidRoot w:val="00170349"/>
    <w:rsid w:val="00001C2C"/>
    <w:rsid w:val="00001E99"/>
    <w:rsid w:val="0000209B"/>
    <w:rsid w:val="000111B2"/>
    <w:rsid w:val="00014361"/>
    <w:rsid w:val="000219D7"/>
    <w:rsid w:val="0003276C"/>
    <w:rsid w:val="00065140"/>
    <w:rsid w:val="00072A2B"/>
    <w:rsid w:val="000A403A"/>
    <w:rsid w:val="000A7D6D"/>
    <w:rsid w:val="000B5A57"/>
    <w:rsid w:val="000D050F"/>
    <w:rsid w:val="000D2950"/>
    <w:rsid w:val="000D76B8"/>
    <w:rsid w:val="000F46DB"/>
    <w:rsid w:val="00102407"/>
    <w:rsid w:val="00107352"/>
    <w:rsid w:val="001213E2"/>
    <w:rsid w:val="001360A8"/>
    <w:rsid w:val="001517FE"/>
    <w:rsid w:val="001579CD"/>
    <w:rsid w:val="00165D3D"/>
    <w:rsid w:val="00170349"/>
    <w:rsid w:val="0018419B"/>
    <w:rsid w:val="0019652F"/>
    <w:rsid w:val="00196B93"/>
    <w:rsid w:val="001A4E09"/>
    <w:rsid w:val="001D68D4"/>
    <w:rsid w:val="001E381A"/>
    <w:rsid w:val="0020651D"/>
    <w:rsid w:val="00216C8F"/>
    <w:rsid w:val="002372C7"/>
    <w:rsid w:val="0024373C"/>
    <w:rsid w:val="00262EC6"/>
    <w:rsid w:val="0027568A"/>
    <w:rsid w:val="0028502B"/>
    <w:rsid w:val="00293589"/>
    <w:rsid w:val="00294C1C"/>
    <w:rsid w:val="002958F2"/>
    <w:rsid w:val="002A1603"/>
    <w:rsid w:val="002A3753"/>
    <w:rsid w:val="002A4A8E"/>
    <w:rsid w:val="002C352D"/>
    <w:rsid w:val="002D2D2B"/>
    <w:rsid w:val="002D729D"/>
    <w:rsid w:val="002E5E46"/>
    <w:rsid w:val="002F3D1A"/>
    <w:rsid w:val="003103A8"/>
    <w:rsid w:val="00313A41"/>
    <w:rsid w:val="00322A03"/>
    <w:rsid w:val="00330293"/>
    <w:rsid w:val="003307E4"/>
    <w:rsid w:val="0033229B"/>
    <w:rsid w:val="00335F94"/>
    <w:rsid w:val="00350B91"/>
    <w:rsid w:val="00354E58"/>
    <w:rsid w:val="00362B4A"/>
    <w:rsid w:val="00367B88"/>
    <w:rsid w:val="00376F72"/>
    <w:rsid w:val="003772C6"/>
    <w:rsid w:val="003B2EAA"/>
    <w:rsid w:val="003B7E3E"/>
    <w:rsid w:val="003C18E6"/>
    <w:rsid w:val="003C29A4"/>
    <w:rsid w:val="003C5E30"/>
    <w:rsid w:val="003E7209"/>
    <w:rsid w:val="003F2A86"/>
    <w:rsid w:val="00402633"/>
    <w:rsid w:val="00422DC0"/>
    <w:rsid w:val="00435469"/>
    <w:rsid w:val="00444683"/>
    <w:rsid w:val="00444E8F"/>
    <w:rsid w:val="00453A10"/>
    <w:rsid w:val="0046534B"/>
    <w:rsid w:val="00466AAA"/>
    <w:rsid w:val="004814B6"/>
    <w:rsid w:val="00487F05"/>
    <w:rsid w:val="004B38AB"/>
    <w:rsid w:val="004C2780"/>
    <w:rsid w:val="004C5BE0"/>
    <w:rsid w:val="004C7C62"/>
    <w:rsid w:val="004D18C4"/>
    <w:rsid w:val="0051354C"/>
    <w:rsid w:val="00523169"/>
    <w:rsid w:val="00535E76"/>
    <w:rsid w:val="00554CDC"/>
    <w:rsid w:val="005566F1"/>
    <w:rsid w:val="00556DFC"/>
    <w:rsid w:val="00561DAD"/>
    <w:rsid w:val="0056275D"/>
    <w:rsid w:val="0057364C"/>
    <w:rsid w:val="00573E1D"/>
    <w:rsid w:val="0057683C"/>
    <w:rsid w:val="00594AB2"/>
    <w:rsid w:val="005D0F8C"/>
    <w:rsid w:val="005D3DB9"/>
    <w:rsid w:val="005D4C26"/>
    <w:rsid w:val="005E1427"/>
    <w:rsid w:val="005E6E47"/>
    <w:rsid w:val="0063236A"/>
    <w:rsid w:val="00672E81"/>
    <w:rsid w:val="00681A48"/>
    <w:rsid w:val="0068262A"/>
    <w:rsid w:val="00690BE6"/>
    <w:rsid w:val="006A60C8"/>
    <w:rsid w:val="006A736A"/>
    <w:rsid w:val="006A7CA2"/>
    <w:rsid w:val="006C7801"/>
    <w:rsid w:val="006D09B3"/>
    <w:rsid w:val="006E7379"/>
    <w:rsid w:val="006E74AA"/>
    <w:rsid w:val="006F4DFC"/>
    <w:rsid w:val="00714CA7"/>
    <w:rsid w:val="007150CF"/>
    <w:rsid w:val="0073042F"/>
    <w:rsid w:val="00737527"/>
    <w:rsid w:val="007433BD"/>
    <w:rsid w:val="007609AA"/>
    <w:rsid w:val="00761B39"/>
    <w:rsid w:val="00773371"/>
    <w:rsid w:val="00773FA6"/>
    <w:rsid w:val="007B781C"/>
    <w:rsid w:val="007D0A4B"/>
    <w:rsid w:val="007D3346"/>
    <w:rsid w:val="007E3D8B"/>
    <w:rsid w:val="007E6BBA"/>
    <w:rsid w:val="007F6E04"/>
    <w:rsid w:val="00800507"/>
    <w:rsid w:val="00830DA6"/>
    <w:rsid w:val="0083268B"/>
    <w:rsid w:val="008342AE"/>
    <w:rsid w:val="00864F93"/>
    <w:rsid w:val="00874ECF"/>
    <w:rsid w:val="0089488D"/>
    <w:rsid w:val="008949B5"/>
    <w:rsid w:val="008D3502"/>
    <w:rsid w:val="008E2C66"/>
    <w:rsid w:val="008E44B7"/>
    <w:rsid w:val="008F3B19"/>
    <w:rsid w:val="00911F92"/>
    <w:rsid w:val="00923B56"/>
    <w:rsid w:val="009344D1"/>
    <w:rsid w:val="009572BA"/>
    <w:rsid w:val="009622EC"/>
    <w:rsid w:val="009753FC"/>
    <w:rsid w:val="00976E71"/>
    <w:rsid w:val="00981A4C"/>
    <w:rsid w:val="009B464B"/>
    <w:rsid w:val="009B5159"/>
    <w:rsid w:val="009D2BE9"/>
    <w:rsid w:val="009D73E5"/>
    <w:rsid w:val="00A15D02"/>
    <w:rsid w:val="00A31BE4"/>
    <w:rsid w:val="00A3203D"/>
    <w:rsid w:val="00A323F4"/>
    <w:rsid w:val="00A32BB1"/>
    <w:rsid w:val="00A373FC"/>
    <w:rsid w:val="00A37CEC"/>
    <w:rsid w:val="00A407BE"/>
    <w:rsid w:val="00A54D21"/>
    <w:rsid w:val="00A64F42"/>
    <w:rsid w:val="00A879BD"/>
    <w:rsid w:val="00AA5543"/>
    <w:rsid w:val="00AB54D2"/>
    <w:rsid w:val="00AC68F3"/>
    <w:rsid w:val="00AD25E5"/>
    <w:rsid w:val="00B03DB3"/>
    <w:rsid w:val="00B112F2"/>
    <w:rsid w:val="00B12C71"/>
    <w:rsid w:val="00B47231"/>
    <w:rsid w:val="00B56986"/>
    <w:rsid w:val="00B80E26"/>
    <w:rsid w:val="00BB0EE7"/>
    <w:rsid w:val="00BC75EE"/>
    <w:rsid w:val="00BD30D2"/>
    <w:rsid w:val="00BD64EA"/>
    <w:rsid w:val="00BE6FB9"/>
    <w:rsid w:val="00BF2511"/>
    <w:rsid w:val="00C013B8"/>
    <w:rsid w:val="00C02C5C"/>
    <w:rsid w:val="00C07AB0"/>
    <w:rsid w:val="00C13C4A"/>
    <w:rsid w:val="00C320BD"/>
    <w:rsid w:val="00C6182E"/>
    <w:rsid w:val="00C80995"/>
    <w:rsid w:val="00C86543"/>
    <w:rsid w:val="00C868BD"/>
    <w:rsid w:val="00C87771"/>
    <w:rsid w:val="00C94B0C"/>
    <w:rsid w:val="00CB0D19"/>
    <w:rsid w:val="00CB49CB"/>
    <w:rsid w:val="00CB555F"/>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872DF"/>
    <w:rsid w:val="00DA300E"/>
    <w:rsid w:val="00DE39A0"/>
    <w:rsid w:val="00E04A9E"/>
    <w:rsid w:val="00E13D3D"/>
    <w:rsid w:val="00E1779A"/>
    <w:rsid w:val="00E25CDC"/>
    <w:rsid w:val="00E53C5B"/>
    <w:rsid w:val="00E57A3C"/>
    <w:rsid w:val="00E75EED"/>
    <w:rsid w:val="00EB62DC"/>
    <w:rsid w:val="00F14B79"/>
    <w:rsid w:val="00F1746F"/>
    <w:rsid w:val="00F22A8D"/>
    <w:rsid w:val="00F23760"/>
    <w:rsid w:val="00F3199A"/>
    <w:rsid w:val="00F362BD"/>
    <w:rsid w:val="00F44FEB"/>
    <w:rsid w:val="00F62F25"/>
    <w:rsid w:val="00F81C5B"/>
    <w:rsid w:val="00F84078"/>
    <w:rsid w:val="00F87D38"/>
    <w:rsid w:val="00FA4D64"/>
    <w:rsid w:val="00FB228C"/>
    <w:rsid w:val="00FC35CC"/>
    <w:rsid w:val="00FD2523"/>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B03DB3"/>
    <w:pPr>
      <w:spacing w:before="0"/>
    </w:pPr>
    <w:rPr>
      <w:rFonts w:ascii="Tahoma" w:hAnsi="Tahoma" w:cs="Tahoma"/>
      <w:sz w:val="16"/>
      <w:szCs w:val="16"/>
    </w:rPr>
  </w:style>
  <w:style w:type="character" w:customStyle="1" w:styleId="BalloonTextChar">
    <w:name w:val="Balloon Text Char"/>
    <w:basedOn w:val="DefaultParagraphFont"/>
    <w:link w:val="BalloonText"/>
    <w:rsid w:val="00B03DB3"/>
    <w:rPr>
      <w:rFonts w:ascii="Tahoma" w:hAnsi="Tahoma" w:cs="Tahoma"/>
      <w:sz w:val="16"/>
      <w:szCs w:val="16"/>
      <w:lang w:val="en-GB" w:eastAsia="en-US"/>
    </w:rPr>
  </w:style>
  <w:style w:type="paragraph" w:styleId="ListParagraph">
    <w:name w:val="List Paragraph"/>
    <w:basedOn w:val="Normal"/>
    <w:uiPriority w:val="34"/>
    <w:qFormat/>
    <w:rsid w:val="009D2BE9"/>
    <w:pPr>
      <w:ind w:left="720"/>
      <w:contextualSpacing/>
    </w:pPr>
  </w:style>
  <w:style w:type="paragraph" w:styleId="NormalWeb">
    <w:name w:val="Normal (Web)"/>
    <w:basedOn w:val="Normal"/>
    <w:uiPriority w:val="99"/>
    <w:rsid w:val="002A4A8E"/>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character" w:customStyle="1" w:styleId="FooterChar">
    <w:name w:val="Footer Char"/>
    <w:basedOn w:val="DefaultParagraphFont"/>
    <w:link w:val="Footer"/>
    <w:uiPriority w:val="99"/>
    <w:rsid w:val="000111B2"/>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a.itu.int/t/fg/smart/docs/1006-gva/in/"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ifa.itu.int/t/fg/smart/docs/incom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fgsmart@itu.int" TargetMode="External"/><Relationship Id="rId14" Type="http://schemas.openxmlformats.org/officeDocument/2006/relationships/hyperlink" Target="http://www.itu.int/ITU-T/focusgroups/smart/" TargetMode="External"/><Relationship Id="rId22" Type="http://schemas.openxmlformats.org/officeDocument/2006/relationships/image" Target="media/image2.wmf"/><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A34F-EA44-4FF1-AD28-EF8703E1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Template>
  <TotalTime>1</TotalTime>
  <Pages>9</Pages>
  <Words>3097</Words>
  <Characters>10158</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13229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bettini</cp:lastModifiedBy>
  <cp:revision>2</cp:revision>
  <cp:lastPrinted>2010-06-10T10:14:00Z</cp:lastPrinted>
  <dcterms:created xsi:type="dcterms:W3CDTF">2010-06-11T07:08:00Z</dcterms:created>
  <dcterms:modified xsi:type="dcterms:W3CDTF">2010-06-11T07:08:00Z</dcterms:modified>
</cp:coreProperties>
</file>