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C56944" w:rsidRPr="00617BE4">
        <w:trPr>
          <w:cantSplit/>
        </w:trPr>
        <w:tc>
          <w:tcPr>
            <w:tcW w:w="3827" w:type="dxa"/>
            <w:vAlign w:val="center"/>
          </w:tcPr>
          <w:p w:rsidR="00C56944" w:rsidRPr="00617BE4" w:rsidRDefault="009D3962" w:rsidP="00C56944">
            <w:pPr>
              <w:spacing w:before="0" w:line="240" w:lineRule="atLeast"/>
              <w:jc w:val="left"/>
              <w:rPr>
                <w:b/>
                <w:smallCaps/>
                <w:szCs w:val="24"/>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6096" w:type="dxa"/>
            <w:gridSpan w:val="2"/>
            <w:vAlign w:val="center"/>
          </w:tcPr>
          <w:p w:rsidR="00C56944" w:rsidRPr="00C56944" w:rsidRDefault="009D3962" w:rsidP="00FB3A15">
            <w:pPr>
              <w:jc w:val="right"/>
              <w:rPr>
                <w:rFonts w:eastAsia="SimSun"/>
                <w:b/>
                <w:bCs/>
                <w:sz w:val="44"/>
                <w:szCs w:val="44"/>
                <w:lang w:eastAsia="zh-CN" w:bidi="ar-EG"/>
              </w:rPr>
            </w:pPr>
            <w:r w:rsidRPr="009D3962">
              <w:rPr>
                <w:rFonts w:eastAsia="SimSun"/>
                <w:b/>
                <w:bCs/>
                <w:noProof/>
                <w:sz w:val="44"/>
                <w:szCs w:val="44"/>
                <w:rtl/>
                <w:lang w:eastAsia="zh-CN"/>
              </w:rPr>
              <w:drawing>
                <wp:inline distT="0" distB="0" distL="0" distR="0">
                  <wp:extent cx="1821180" cy="75438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1180" cy="754380"/>
                          </a:xfrm>
                          <a:prstGeom prst="rect">
                            <a:avLst/>
                          </a:prstGeom>
                          <a:noFill/>
                          <a:ln w="9525">
                            <a:noFill/>
                            <a:miter lim="800000"/>
                            <a:headEnd/>
                            <a:tailEnd/>
                          </a:ln>
                        </pic:spPr>
                      </pic:pic>
                    </a:graphicData>
                  </a:graphic>
                </wp:inline>
              </w:drawing>
            </w:r>
          </w:p>
        </w:tc>
      </w:tr>
      <w:tr w:rsidR="00C56944" w:rsidRPr="00617BE4">
        <w:trPr>
          <w:cantSplit/>
        </w:trPr>
        <w:tc>
          <w:tcPr>
            <w:tcW w:w="6803" w:type="dxa"/>
            <w:gridSpan w:val="2"/>
          </w:tcPr>
          <w:p w:rsidR="00C56944" w:rsidRPr="00617BE4" w:rsidRDefault="00C56944" w:rsidP="00C56944">
            <w:pPr>
              <w:spacing w:before="0" w:after="48" w:line="240" w:lineRule="atLeast"/>
              <w:rPr>
                <w:b/>
                <w:smallCaps/>
                <w:szCs w:val="24"/>
                <w:lang w:bidi="ar-EG"/>
              </w:rPr>
            </w:pPr>
          </w:p>
        </w:tc>
        <w:tc>
          <w:tcPr>
            <w:tcW w:w="3120" w:type="dxa"/>
          </w:tcPr>
          <w:p w:rsidR="00C56944" w:rsidRPr="00617BE4" w:rsidRDefault="00C56944" w:rsidP="00C56944">
            <w:pPr>
              <w:spacing w:before="0" w:line="240" w:lineRule="atLeast"/>
              <w:rPr>
                <w:rFonts w:ascii="Verdana" w:hAnsi="Verdana"/>
                <w:szCs w:val="24"/>
              </w:rPr>
            </w:pPr>
          </w:p>
        </w:tc>
      </w:tr>
    </w:tbl>
    <w:p w:rsidR="00C56944" w:rsidRDefault="00C56944"/>
    <w:tbl>
      <w:tblPr>
        <w:bidiVisual/>
        <w:tblW w:w="9633" w:type="dxa"/>
        <w:tblInd w:w="8" w:type="dxa"/>
        <w:tblLayout w:type="fixed"/>
        <w:tblCellMar>
          <w:left w:w="0" w:type="dxa"/>
          <w:right w:w="0" w:type="dxa"/>
        </w:tblCellMar>
        <w:tblLook w:val="0000"/>
      </w:tblPr>
      <w:tblGrid>
        <w:gridCol w:w="1533"/>
        <w:gridCol w:w="3340"/>
        <w:gridCol w:w="4760"/>
      </w:tblGrid>
      <w:tr w:rsidR="009F4B09">
        <w:trPr>
          <w:cantSplit/>
          <w:trHeight w:val="340"/>
        </w:trPr>
        <w:tc>
          <w:tcPr>
            <w:tcW w:w="1533" w:type="dxa"/>
          </w:tcPr>
          <w:p w:rsidR="009F4B09" w:rsidRDefault="009F4B09">
            <w:pPr>
              <w:tabs>
                <w:tab w:val="left" w:pos="4111"/>
              </w:tabs>
              <w:spacing w:before="20" w:after="60" w:line="300" w:lineRule="exact"/>
              <w:ind w:left="57"/>
              <w:rPr>
                <w:sz w:val="21"/>
                <w:szCs w:val="28"/>
              </w:rPr>
            </w:pPr>
            <w:bookmarkStart w:id="0" w:name="dtemplate"/>
            <w:bookmarkEnd w:id="0"/>
          </w:p>
        </w:tc>
        <w:tc>
          <w:tcPr>
            <w:tcW w:w="3340" w:type="dxa"/>
          </w:tcPr>
          <w:p w:rsidR="009F4B09" w:rsidRDefault="009F4B09">
            <w:pPr>
              <w:tabs>
                <w:tab w:val="left" w:pos="4111"/>
              </w:tabs>
              <w:spacing w:before="20" w:after="60" w:line="300" w:lineRule="exact"/>
              <w:ind w:left="57"/>
              <w:rPr>
                <w:b/>
                <w:sz w:val="21"/>
                <w:szCs w:val="28"/>
              </w:rPr>
            </w:pPr>
          </w:p>
        </w:tc>
        <w:tc>
          <w:tcPr>
            <w:tcW w:w="4760" w:type="dxa"/>
          </w:tcPr>
          <w:p w:rsidR="009F4B09" w:rsidRDefault="00064EC5" w:rsidP="0082673E">
            <w:pPr>
              <w:tabs>
                <w:tab w:val="left" w:pos="4111"/>
              </w:tabs>
              <w:spacing w:after="60" w:line="300" w:lineRule="exact"/>
              <w:ind w:left="57"/>
              <w:rPr>
                <w:sz w:val="21"/>
                <w:szCs w:val="28"/>
                <w:lang w:bidi="ar-EG"/>
              </w:rPr>
            </w:pPr>
            <w:r>
              <w:rPr>
                <w:rFonts w:hint="cs"/>
                <w:sz w:val="21"/>
                <w:szCs w:val="28"/>
                <w:rtl/>
              </w:rPr>
              <w:t>جنيف،</w:t>
            </w:r>
            <w:r w:rsidR="001A2BDF">
              <w:rPr>
                <w:rFonts w:hint="cs"/>
                <w:sz w:val="21"/>
                <w:szCs w:val="28"/>
                <w:rtl/>
                <w:lang w:bidi="ar-EG"/>
              </w:rPr>
              <w:t xml:space="preserve"> </w:t>
            </w:r>
            <w:r w:rsidR="001A2BDF">
              <w:rPr>
                <w:sz w:val="21"/>
                <w:szCs w:val="28"/>
                <w:lang w:bidi="ar-EG"/>
              </w:rPr>
              <w:t>1</w:t>
            </w:r>
            <w:r w:rsidR="001A2BDF">
              <w:rPr>
                <w:rFonts w:hint="cs"/>
                <w:sz w:val="21"/>
                <w:szCs w:val="28"/>
                <w:rtl/>
                <w:lang w:bidi="ar-EG"/>
              </w:rPr>
              <w:t xml:space="preserve"> يونيو </w:t>
            </w:r>
            <w:r w:rsidR="001A2BDF">
              <w:rPr>
                <w:sz w:val="21"/>
                <w:szCs w:val="28"/>
                <w:lang w:bidi="ar-EG"/>
              </w:rPr>
              <w:t>2010</w:t>
            </w:r>
          </w:p>
          <w:p w:rsidR="009F4B09" w:rsidRDefault="009F4B09">
            <w:pPr>
              <w:tabs>
                <w:tab w:val="left" w:pos="4111"/>
              </w:tabs>
              <w:spacing w:before="20" w:after="60" w:line="300" w:lineRule="exact"/>
              <w:ind w:left="57"/>
              <w:rPr>
                <w:sz w:val="21"/>
                <w:szCs w:val="28"/>
              </w:rPr>
            </w:pPr>
          </w:p>
        </w:tc>
      </w:tr>
      <w:tr w:rsidR="009F4B09">
        <w:trPr>
          <w:cantSplit/>
          <w:trHeight w:val="340"/>
        </w:trPr>
        <w:tc>
          <w:tcPr>
            <w:tcW w:w="1533" w:type="dxa"/>
          </w:tcPr>
          <w:p w:rsidR="009F4B09" w:rsidRDefault="009F4B09">
            <w:pPr>
              <w:tabs>
                <w:tab w:val="left" w:pos="4111"/>
              </w:tabs>
              <w:spacing w:before="20" w:after="60" w:line="300" w:lineRule="exact"/>
              <w:ind w:left="57"/>
              <w:rPr>
                <w:sz w:val="21"/>
                <w:szCs w:val="28"/>
                <w:rtl/>
                <w:lang w:bidi="ar-EG"/>
              </w:rPr>
            </w:pPr>
            <w:r>
              <w:rPr>
                <w:rFonts w:hint="cs"/>
                <w:sz w:val="21"/>
                <w:szCs w:val="28"/>
                <w:rtl/>
              </w:rPr>
              <w:t>المرجع:</w:t>
            </w:r>
          </w:p>
        </w:tc>
        <w:tc>
          <w:tcPr>
            <w:tcW w:w="3340" w:type="dxa"/>
          </w:tcPr>
          <w:p w:rsidR="009F4B09" w:rsidRDefault="009F4B09" w:rsidP="00C25DAB">
            <w:pPr>
              <w:tabs>
                <w:tab w:val="left" w:pos="4111"/>
              </w:tabs>
              <w:spacing w:before="20" w:line="300" w:lineRule="exact"/>
              <w:ind w:left="57"/>
              <w:rPr>
                <w:b/>
                <w:sz w:val="21"/>
                <w:szCs w:val="28"/>
                <w:rtl/>
                <w:lang w:bidi="ar-EG"/>
              </w:rPr>
            </w:pPr>
            <w:r>
              <w:rPr>
                <w:b/>
                <w:sz w:val="21"/>
                <w:szCs w:val="28"/>
              </w:rPr>
              <w:t>TSB Circular</w:t>
            </w:r>
            <w:r w:rsidR="00C25DAB">
              <w:rPr>
                <w:b/>
                <w:sz w:val="21"/>
                <w:szCs w:val="28"/>
              </w:rPr>
              <w:t xml:space="preserve"> 105</w:t>
            </w:r>
          </w:p>
          <w:p w:rsidR="009F4B09" w:rsidRDefault="009F4B09" w:rsidP="00173D0D">
            <w:pPr>
              <w:tabs>
                <w:tab w:val="right" w:pos="1113"/>
                <w:tab w:val="left" w:pos="4111"/>
              </w:tabs>
              <w:spacing w:before="0" w:after="60" w:line="300" w:lineRule="exact"/>
              <w:ind w:left="57"/>
              <w:rPr>
                <w:bCs/>
                <w:sz w:val="21"/>
                <w:szCs w:val="28"/>
              </w:rPr>
            </w:pPr>
            <w:r>
              <w:rPr>
                <w:bCs/>
                <w:sz w:val="21"/>
                <w:szCs w:val="28"/>
              </w:rPr>
              <w:t>COM</w:t>
            </w:r>
            <w:r w:rsidR="00173D0D">
              <w:rPr>
                <w:bCs/>
                <w:sz w:val="21"/>
                <w:szCs w:val="28"/>
              </w:rPr>
              <w:t xml:space="preserve"> </w:t>
            </w:r>
            <w:r w:rsidR="00C25DAB">
              <w:rPr>
                <w:bCs/>
                <w:sz w:val="21"/>
                <w:szCs w:val="28"/>
              </w:rPr>
              <w:t>17</w:t>
            </w:r>
            <w:r>
              <w:rPr>
                <w:bCs/>
                <w:sz w:val="21"/>
                <w:szCs w:val="28"/>
              </w:rPr>
              <w:t>/</w:t>
            </w:r>
            <w:r w:rsidR="00C25DAB">
              <w:rPr>
                <w:bCs/>
                <w:sz w:val="21"/>
                <w:szCs w:val="28"/>
              </w:rPr>
              <w:t>BGS</w:t>
            </w:r>
          </w:p>
        </w:tc>
        <w:tc>
          <w:tcPr>
            <w:tcW w:w="4760" w:type="dxa"/>
          </w:tcPr>
          <w:p w:rsidR="009F4B09" w:rsidRDefault="009F4B09">
            <w:pPr>
              <w:tabs>
                <w:tab w:val="left" w:pos="284"/>
                <w:tab w:val="left" w:pos="4111"/>
              </w:tabs>
              <w:spacing w:before="20" w:line="300" w:lineRule="exact"/>
              <w:ind w:left="284" w:hanging="227"/>
              <w:rPr>
                <w:sz w:val="21"/>
                <w:szCs w:val="28"/>
                <w:rtl/>
              </w:rPr>
            </w:pPr>
            <w:r>
              <w:rPr>
                <w:rFonts w:hint="cs"/>
                <w:sz w:val="21"/>
                <w:szCs w:val="28"/>
                <w:rtl/>
              </w:rPr>
              <w:t>-</w:t>
            </w:r>
            <w:r>
              <w:rPr>
                <w:sz w:val="21"/>
                <w:szCs w:val="28"/>
                <w:rtl/>
              </w:rPr>
              <w:tab/>
            </w:r>
            <w:r>
              <w:rPr>
                <w:rFonts w:hint="cs"/>
                <w:sz w:val="21"/>
                <w:szCs w:val="28"/>
                <w:rtl/>
              </w:rPr>
              <w:t>إلى إدارات الدول الأعضاء في الاتحاد</w:t>
            </w:r>
          </w:p>
          <w:p w:rsidR="009F4B09" w:rsidRDefault="009F4B09">
            <w:pPr>
              <w:tabs>
                <w:tab w:val="left" w:pos="284"/>
                <w:tab w:val="left" w:pos="4111"/>
              </w:tabs>
              <w:spacing w:before="0" w:after="120" w:line="300" w:lineRule="exact"/>
              <w:ind w:left="284" w:hanging="227"/>
              <w:rPr>
                <w:sz w:val="21"/>
                <w:szCs w:val="28"/>
              </w:rPr>
            </w:pPr>
          </w:p>
        </w:tc>
      </w:tr>
      <w:tr w:rsidR="009F4B09">
        <w:trPr>
          <w:cantSplit/>
        </w:trPr>
        <w:tc>
          <w:tcPr>
            <w:tcW w:w="1533" w:type="dxa"/>
          </w:tcPr>
          <w:p w:rsidR="009F4B09" w:rsidRDefault="009F4B09">
            <w:pPr>
              <w:spacing w:before="20" w:after="60" w:line="300" w:lineRule="exact"/>
              <w:ind w:left="57"/>
              <w:rPr>
                <w:sz w:val="21"/>
                <w:szCs w:val="28"/>
                <w:rtl/>
              </w:rPr>
            </w:pPr>
            <w:r>
              <w:rPr>
                <w:rFonts w:hint="cs"/>
                <w:sz w:val="21"/>
                <w:szCs w:val="28"/>
                <w:rtl/>
                <w:lang w:bidi="ar-SY"/>
              </w:rPr>
              <w:t>الهاتف</w:t>
            </w:r>
            <w:r>
              <w:rPr>
                <w:rFonts w:hint="cs"/>
                <w:sz w:val="21"/>
                <w:szCs w:val="28"/>
                <w:rtl/>
              </w:rPr>
              <w:t>:</w:t>
            </w:r>
          </w:p>
          <w:p w:rsidR="009F4B09" w:rsidRDefault="009F4B09">
            <w:pPr>
              <w:spacing w:before="20" w:after="60" w:line="300" w:lineRule="exact"/>
              <w:ind w:left="57"/>
              <w:rPr>
                <w:sz w:val="21"/>
                <w:szCs w:val="28"/>
              </w:rPr>
            </w:pPr>
            <w:r>
              <w:rPr>
                <w:rFonts w:hint="cs"/>
                <w:sz w:val="21"/>
                <w:szCs w:val="28"/>
                <w:rtl/>
              </w:rPr>
              <w:t>الفاكس:</w:t>
            </w:r>
          </w:p>
          <w:p w:rsidR="009F4B09" w:rsidRDefault="009F4B09">
            <w:pPr>
              <w:spacing w:before="20" w:after="60" w:line="300" w:lineRule="exact"/>
              <w:ind w:left="57"/>
              <w:jc w:val="left"/>
              <w:rPr>
                <w:sz w:val="21"/>
                <w:szCs w:val="28"/>
              </w:rPr>
            </w:pPr>
            <w:r>
              <w:rPr>
                <w:rFonts w:hint="cs"/>
                <w:sz w:val="21"/>
                <w:szCs w:val="28"/>
                <w:rtl/>
              </w:rPr>
              <w:t>البريد الإلكتروني:</w:t>
            </w:r>
          </w:p>
        </w:tc>
        <w:tc>
          <w:tcPr>
            <w:tcW w:w="3340" w:type="dxa"/>
          </w:tcPr>
          <w:p w:rsidR="00661969" w:rsidRDefault="00661969" w:rsidP="00661969">
            <w:pPr>
              <w:tabs>
                <w:tab w:val="left" w:pos="4111"/>
              </w:tabs>
              <w:spacing w:before="20" w:after="60" w:line="300" w:lineRule="exact"/>
              <w:ind w:left="57"/>
              <w:jc w:val="left"/>
              <w:rPr>
                <w:sz w:val="21"/>
                <w:szCs w:val="28"/>
                <w:lang w:val="fr-FR" w:bidi="ar-EG"/>
              </w:rPr>
            </w:pPr>
            <w:r w:rsidRPr="00661969">
              <w:rPr>
                <w:sz w:val="21"/>
                <w:szCs w:val="28"/>
                <w:lang w:val="fr-FR" w:bidi="ar-EG"/>
              </w:rPr>
              <w:t>+41 22 730 5994</w:t>
            </w:r>
          </w:p>
          <w:p w:rsidR="009F4B09" w:rsidRDefault="009F4B09" w:rsidP="00661969">
            <w:pPr>
              <w:tabs>
                <w:tab w:val="left" w:pos="4111"/>
              </w:tabs>
              <w:spacing w:before="20" w:after="60" w:line="300" w:lineRule="exact"/>
              <w:ind w:left="57"/>
              <w:jc w:val="left"/>
              <w:rPr>
                <w:sz w:val="21"/>
                <w:szCs w:val="28"/>
                <w:rtl/>
              </w:rPr>
            </w:pPr>
            <w:r>
              <w:rPr>
                <w:sz w:val="21"/>
                <w:szCs w:val="28"/>
              </w:rPr>
              <w:t>+41 22 730 5853</w:t>
            </w:r>
          </w:p>
          <w:p w:rsidR="009F4B09" w:rsidRDefault="00753B71" w:rsidP="00661969">
            <w:pPr>
              <w:tabs>
                <w:tab w:val="left" w:pos="4111"/>
              </w:tabs>
              <w:spacing w:before="20" w:after="60" w:line="300" w:lineRule="exact"/>
              <w:ind w:left="57"/>
              <w:jc w:val="left"/>
              <w:rPr>
                <w:sz w:val="21"/>
                <w:szCs w:val="28"/>
              </w:rPr>
            </w:pPr>
            <w:hyperlink r:id="rId7" w:history="1">
              <w:r w:rsidR="00661969" w:rsidRPr="00661969">
                <w:rPr>
                  <w:rStyle w:val="Hyperlink"/>
                  <w:sz w:val="21"/>
                  <w:szCs w:val="28"/>
                  <w:lang w:val="fr-FR"/>
                </w:rPr>
                <w:t>tsbsg17@itu.int</w:t>
              </w:r>
            </w:hyperlink>
          </w:p>
        </w:tc>
        <w:tc>
          <w:tcPr>
            <w:tcW w:w="4760" w:type="dxa"/>
          </w:tcPr>
          <w:p w:rsidR="004067A6" w:rsidRPr="004067A6" w:rsidRDefault="004067A6">
            <w:pPr>
              <w:tabs>
                <w:tab w:val="left" w:pos="284"/>
                <w:tab w:val="left" w:pos="4111"/>
              </w:tabs>
              <w:spacing w:before="20" w:after="60" w:line="300" w:lineRule="exact"/>
              <w:ind w:left="284" w:hanging="227"/>
              <w:rPr>
                <w:sz w:val="21"/>
                <w:szCs w:val="28"/>
                <w:rtl/>
              </w:rPr>
            </w:pPr>
          </w:p>
          <w:p w:rsidR="004067A6" w:rsidRPr="004067A6" w:rsidRDefault="004067A6">
            <w:pPr>
              <w:tabs>
                <w:tab w:val="left" w:pos="284"/>
                <w:tab w:val="left" w:pos="4111"/>
              </w:tabs>
              <w:spacing w:before="20" w:after="60" w:line="300" w:lineRule="exact"/>
              <w:ind w:left="284" w:hanging="227"/>
              <w:rPr>
                <w:sz w:val="21"/>
                <w:szCs w:val="28"/>
                <w:rtl/>
              </w:rPr>
            </w:pPr>
          </w:p>
          <w:p w:rsidR="009F4B09" w:rsidRDefault="009F4B09">
            <w:pPr>
              <w:tabs>
                <w:tab w:val="left" w:pos="284"/>
                <w:tab w:val="left" w:pos="4111"/>
              </w:tabs>
              <w:spacing w:before="20" w:after="60" w:line="300" w:lineRule="exact"/>
              <w:ind w:left="284" w:hanging="227"/>
              <w:rPr>
                <w:b/>
                <w:bCs/>
                <w:sz w:val="21"/>
                <w:szCs w:val="28"/>
                <w:rtl/>
              </w:rPr>
            </w:pPr>
            <w:r>
              <w:rPr>
                <w:rFonts w:hint="cs"/>
                <w:b/>
                <w:bCs/>
                <w:sz w:val="21"/>
                <w:szCs w:val="28"/>
                <w:rtl/>
              </w:rPr>
              <w:t>نسخة إلى:</w:t>
            </w:r>
          </w:p>
          <w:p w:rsidR="009F4B09" w:rsidRDefault="009F4B09" w:rsidP="00B7558A">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 xml:space="preserve">أعضاء قطاع </w:t>
            </w:r>
            <w:proofErr w:type="spellStart"/>
            <w:r>
              <w:rPr>
                <w:rFonts w:hint="cs"/>
                <w:sz w:val="21"/>
                <w:szCs w:val="28"/>
                <w:rtl/>
              </w:rPr>
              <w:t>تقييس</w:t>
            </w:r>
            <w:proofErr w:type="spellEnd"/>
            <w:r>
              <w:rPr>
                <w:rFonts w:hint="cs"/>
                <w:sz w:val="21"/>
                <w:szCs w:val="28"/>
                <w:rtl/>
              </w:rPr>
              <w:t xml:space="preserve"> الاتصالات؛</w:t>
            </w:r>
          </w:p>
          <w:p w:rsidR="009F4B09" w:rsidRDefault="009F4B09" w:rsidP="00CC30F9">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t xml:space="preserve">المنتسبين </w:t>
            </w:r>
            <w:r w:rsidR="00CC30F9">
              <w:rPr>
                <w:rFonts w:hint="cs"/>
                <w:sz w:val="21"/>
                <w:szCs w:val="28"/>
                <w:rtl/>
              </w:rPr>
              <w:t>إلى</w:t>
            </w:r>
            <w:r>
              <w:rPr>
                <w:sz w:val="21"/>
                <w:szCs w:val="28"/>
                <w:rtl/>
              </w:rPr>
              <w:t xml:space="preserve"> قطاع </w:t>
            </w:r>
            <w:proofErr w:type="spellStart"/>
            <w:r>
              <w:rPr>
                <w:sz w:val="21"/>
                <w:szCs w:val="28"/>
                <w:rtl/>
              </w:rPr>
              <w:t>تقييس</w:t>
            </w:r>
            <w:proofErr w:type="spellEnd"/>
            <w:r>
              <w:rPr>
                <w:sz w:val="21"/>
                <w:szCs w:val="28"/>
                <w:rtl/>
              </w:rPr>
              <w:t xml:space="preserve"> الاتصالات</w:t>
            </w:r>
            <w:r>
              <w:rPr>
                <w:rFonts w:hint="cs"/>
                <w:sz w:val="21"/>
                <w:szCs w:val="28"/>
                <w:rtl/>
              </w:rPr>
              <w:t>؛</w:t>
            </w:r>
          </w:p>
          <w:p w:rsidR="009F4B09" w:rsidRDefault="009F4B09" w:rsidP="00173D0D">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رئيس لجنة الدراسات</w:t>
            </w:r>
            <w:r w:rsidR="008E4CCA">
              <w:rPr>
                <w:rFonts w:hint="cs"/>
                <w:sz w:val="21"/>
                <w:szCs w:val="28"/>
                <w:rtl/>
              </w:rPr>
              <w:t xml:space="preserve"> </w:t>
            </w:r>
            <w:r w:rsidR="008E4CCA">
              <w:rPr>
                <w:sz w:val="21"/>
                <w:szCs w:val="28"/>
                <w:lang w:bidi="ar-EG"/>
              </w:rPr>
              <w:t>17</w:t>
            </w:r>
            <w:r w:rsidR="00173D0D">
              <w:rPr>
                <w:sz w:val="21"/>
                <w:szCs w:val="28"/>
              </w:rPr>
              <w:t xml:space="preserve"> </w:t>
            </w:r>
            <w:r w:rsidR="00CC30F9">
              <w:rPr>
                <w:rFonts w:hint="cs"/>
                <w:sz w:val="21"/>
                <w:szCs w:val="28"/>
                <w:rtl/>
              </w:rPr>
              <w:t xml:space="preserve"> ونوابه</w:t>
            </w:r>
            <w:r>
              <w:rPr>
                <w:rFonts w:hint="cs"/>
                <w:sz w:val="21"/>
                <w:szCs w:val="28"/>
                <w:rtl/>
              </w:rPr>
              <w:t>؛</w:t>
            </w:r>
          </w:p>
          <w:p w:rsidR="009F4B09" w:rsidRDefault="009F4B09" w:rsidP="00B7558A">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t>مدير مكتب تنمية الاتصالات</w:t>
            </w:r>
            <w:r>
              <w:rPr>
                <w:rFonts w:hint="cs"/>
                <w:sz w:val="21"/>
                <w:szCs w:val="28"/>
                <w:rtl/>
              </w:rPr>
              <w:t>؛</w:t>
            </w:r>
          </w:p>
          <w:p w:rsidR="009F4B09" w:rsidRDefault="009F4B09">
            <w:pPr>
              <w:tabs>
                <w:tab w:val="left" w:pos="284"/>
                <w:tab w:val="left" w:pos="4111"/>
              </w:tabs>
              <w:spacing w:before="0" w:after="60" w:line="300" w:lineRule="exact"/>
              <w:ind w:left="284" w:hanging="227"/>
              <w:rPr>
                <w:sz w:val="21"/>
                <w:szCs w:val="28"/>
                <w:rtl/>
              </w:rPr>
            </w:pPr>
            <w:r>
              <w:rPr>
                <w:rFonts w:hint="cs"/>
                <w:sz w:val="21"/>
                <w:szCs w:val="28"/>
                <w:rtl/>
              </w:rPr>
              <w:t>-</w:t>
            </w:r>
            <w:r>
              <w:rPr>
                <w:sz w:val="21"/>
                <w:szCs w:val="28"/>
                <w:rtl/>
              </w:rPr>
              <w:tab/>
              <w:t xml:space="preserve">مدير مكتب الاتصالات </w:t>
            </w:r>
            <w:proofErr w:type="spellStart"/>
            <w:r>
              <w:rPr>
                <w:sz w:val="21"/>
                <w:szCs w:val="28"/>
                <w:rtl/>
              </w:rPr>
              <w:t>الراديوية</w:t>
            </w:r>
            <w:proofErr w:type="spellEnd"/>
          </w:p>
        </w:tc>
      </w:tr>
    </w:tbl>
    <w:p w:rsidR="00064EC5" w:rsidRDefault="009F4B09" w:rsidP="00E131C3">
      <w:pPr>
        <w:spacing w:before="240"/>
        <w:ind w:left="924" w:hanging="924"/>
        <w:rPr>
          <w:b/>
          <w:bCs/>
          <w:rtl/>
          <w:lang w:bidi="ar-EG"/>
        </w:rPr>
      </w:pPr>
      <w:r w:rsidRPr="005F33FD">
        <w:rPr>
          <w:rFonts w:hint="cs"/>
          <w:rtl/>
        </w:rPr>
        <w:t>الموضوع:</w:t>
      </w:r>
      <w:r w:rsidRPr="005F33FD">
        <w:rPr>
          <w:rtl/>
        </w:rPr>
        <w:tab/>
      </w:r>
      <w:r w:rsidR="004067A6">
        <w:rPr>
          <w:rFonts w:hint="cs"/>
          <w:b/>
          <w:bCs/>
          <w:rtl/>
        </w:rPr>
        <w:t>اجتماع لجنة الدراسات</w:t>
      </w:r>
      <w:r w:rsidR="00064EC5">
        <w:rPr>
          <w:rFonts w:hint="cs"/>
          <w:b/>
          <w:bCs/>
          <w:rtl/>
          <w:lang w:bidi="ar-EG"/>
        </w:rPr>
        <w:t xml:space="preserve"> </w:t>
      </w:r>
      <w:r w:rsidR="00734DF0">
        <w:rPr>
          <w:b/>
          <w:bCs/>
          <w:lang w:bidi="ar-EG"/>
        </w:rPr>
        <w:t>17</w:t>
      </w:r>
      <w:r w:rsidR="00734DF0">
        <w:rPr>
          <w:rFonts w:hint="cs"/>
          <w:b/>
          <w:bCs/>
          <w:rtl/>
          <w:lang w:bidi="ar-EG"/>
        </w:rPr>
        <w:t xml:space="preserve"> </w:t>
      </w:r>
      <w:r w:rsidR="004067A6">
        <w:rPr>
          <w:rFonts w:hint="cs"/>
          <w:b/>
          <w:bCs/>
          <w:rtl/>
          <w:lang w:bidi="ar-EG"/>
        </w:rPr>
        <w:t xml:space="preserve">بهدف الموافقة على </w:t>
      </w:r>
      <w:r w:rsidR="006D49AD" w:rsidRPr="006D49AD">
        <w:rPr>
          <w:rFonts w:hint="cs"/>
          <w:b/>
          <w:bCs/>
          <w:rtl/>
          <w:lang w:bidi="ar-EG"/>
        </w:rPr>
        <w:t xml:space="preserve">مشروع </w:t>
      </w:r>
      <w:r w:rsidR="00173D0D">
        <w:rPr>
          <w:rFonts w:hint="cs"/>
          <w:b/>
          <w:bCs/>
          <w:rtl/>
          <w:lang w:bidi="ar-EG"/>
        </w:rPr>
        <w:t>ال</w:t>
      </w:r>
      <w:r w:rsidR="00734DF0">
        <w:rPr>
          <w:rFonts w:hint="cs"/>
          <w:b/>
          <w:bCs/>
          <w:rtl/>
          <w:lang w:bidi="ar-EG"/>
        </w:rPr>
        <w:t xml:space="preserve">توصيات </w:t>
      </w:r>
      <w:r w:rsidR="00173D0D">
        <w:rPr>
          <w:rFonts w:hint="cs"/>
          <w:b/>
          <w:bCs/>
          <w:rtl/>
          <w:lang w:bidi="ar-EG"/>
        </w:rPr>
        <w:t>ال</w:t>
      </w:r>
      <w:r w:rsidR="00734DF0">
        <w:rPr>
          <w:rFonts w:hint="cs"/>
          <w:b/>
          <w:bCs/>
          <w:rtl/>
          <w:lang w:bidi="ar-EG"/>
        </w:rPr>
        <w:t>جديدة</w:t>
      </w:r>
      <w:r w:rsidR="00BA2CE3">
        <w:rPr>
          <w:b/>
          <w:bCs/>
          <w:lang w:val="fr-FR" w:bidi="ar-EG"/>
        </w:rPr>
        <w:t>ITU</w:t>
      </w:r>
      <w:r w:rsidR="00BA2CE3" w:rsidRPr="00BA2CE3">
        <w:rPr>
          <w:b/>
          <w:bCs/>
          <w:lang w:val="fr-FR" w:bidi="ar-EG"/>
        </w:rPr>
        <w:t>-</w:t>
      </w:r>
      <w:r w:rsidR="00BA2CE3">
        <w:rPr>
          <w:b/>
          <w:bCs/>
          <w:lang w:val="fr-FR" w:bidi="ar-EG"/>
        </w:rPr>
        <w:t>T X.</w:t>
      </w:r>
      <w:r w:rsidR="00734DF0" w:rsidRPr="00734DF0">
        <w:rPr>
          <w:b/>
          <w:bCs/>
          <w:lang w:val="fr-FR" w:bidi="ar-EG"/>
        </w:rPr>
        <w:t>673</w:t>
      </w:r>
      <w:r w:rsidR="00E131C3">
        <w:rPr>
          <w:b/>
          <w:bCs/>
          <w:lang w:bidi="ar-EG"/>
        </w:rPr>
        <w:t xml:space="preserve"> </w:t>
      </w:r>
      <w:r w:rsidR="00734DF0">
        <w:rPr>
          <w:rFonts w:hint="cs"/>
          <w:b/>
          <w:bCs/>
          <w:rtl/>
          <w:lang w:bidi="ar-EG"/>
        </w:rPr>
        <w:t xml:space="preserve"> و</w:t>
      </w:r>
      <w:r w:rsidR="00734DF0" w:rsidRPr="00734DF0">
        <w:rPr>
          <w:rFonts w:cs="Times New Roman"/>
          <w:b/>
          <w:sz w:val="24"/>
          <w:szCs w:val="24"/>
          <w:lang w:val="fr-FR"/>
        </w:rPr>
        <w:t xml:space="preserve"> </w:t>
      </w:r>
      <w:r w:rsidR="00734DF0" w:rsidRPr="00734DF0">
        <w:rPr>
          <w:b/>
          <w:bCs/>
          <w:lang w:val="fr-FR" w:bidi="ar-EG"/>
        </w:rPr>
        <w:t>X.1032</w:t>
      </w:r>
      <w:r w:rsidR="00FF6D39">
        <w:rPr>
          <w:b/>
          <w:bCs/>
          <w:rtl/>
          <w:lang w:val="fr-FR" w:bidi="ar-EG"/>
        </w:rPr>
        <w:br/>
      </w:r>
      <w:r w:rsidR="00FF6D39">
        <w:rPr>
          <w:rFonts w:hint="cs"/>
          <w:b/>
          <w:bCs/>
          <w:rtl/>
          <w:lang w:bidi="ar-EG"/>
        </w:rPr>
        <w:t>و</w:t>
      </w:r>
      <w:r w:rsidR="00FF6D39" w:rsidRPr="00734DF0">
        <w:rPr>
          <w:b/>
          <w:bCs/>
          <w:lang w:val="fr-FR" w:bidi="ar-EG"/>
        </w:rPr>
        <w:t>X.1209</w:t>
      </w:r>
      <w:r w:rsidR="00E131C3">
        <w:rPr>
          <w:rFonts w:hint="cs"/>
          <w:b/>
          <w:bCs/>
          <w:rtl/>
          <w:lang w:bidi="ar-EG"/>
        </w:rPr>
        <w:t xml:space="preserve"> </w:t>
      </w:r>
      <w:r w:rsidR="00734DF0">
        <w:rPr>
          <w:rFonts w:hint="cs"/>
          <w:b/>
          <w:bCs/>
          <w:rtl/>
          <w:lang w:bidi="ar-EG"/>
        </w:rPr>
        <w:t>و</w:t>
      </w:r>
      <w:r w:rsidR="00734DF0" w:rsidRPr="00734DF0">
        <w:rPr>
          <w:rFonts w:cs="Times New Roman"/>
          <w:b/>
          <w:sz w:val="24"/>
          <w:szCs w:val="24"/>
          <w:lang w:val="fr-FR"/>
        </w:rPr>
        <w:t xml:space="preserve"> </w:t>
      </w:r>
      <w:r w:rsidR="00734DF0" w:rsidRPr="00734DF0">
        <w:rPr>
          <w:b/>
          <w:bCs/>
          <w:lang w:val="fr-FR" w:bidi="ar-EG"/>
        </w:rPr>
        <w:t>X.1243</w:t>
      </w:r>
      <w:r w:rsidR="00734DF0">
        <w:rPr>
          <w:rFonts w:hint="cs"/>
          <w:b/>
          <w:bCs/>
          <w:rtl/>
          <w:lang w:bidi="ar-EG"/>
        </w:rPr>
        <w:t>و</w:t>
      </w:r>
      <w:r w:rsidR="00734DF0" w:rsidRPr="00734DF0">
        <w:rPr>
          <w:rFonts w:cs="Times New Roman"/>
          <w:b/>
          <w:sz w:val="24"/>
          <w:szCs w:val="24"/>
          <w:lang w:val="fr-FR"/>
        </w:rPr>
        <w:t xml:space="preserve"> </w:t>
      </w:r>
      <w:r w:rsidR="00734DF0" w:rsidRPr="00734DF0">
        <w:rPr>
          <w:b/>
          <w:bCs/>
          <w:lang w:val="fr-FR" w:bidi="ar-EG"/>
        </w:rPr>
        <w:t>X.1245</w:t>
      </w:r>
      <w:r w:rsidR="00734DF0">
        <w:rPr>
          <w:rFonts w:hint="cs"/>
          <w:b/>
          <w:bCs/>
          <w:rtl/>
          <w:lang w:bidi="ar-EG"/>
        </w:rPr>
        <w:t>و</w:t>
      </w:r>
      <w:r w:rsidR="00BA2CE3" w:rsidRPr="00BA2CE3">
        <w:rPr>
          <w:rFonts w:cs="Times New Roman"/>
          <w:b/>
          <w:sz w:val="24"/>
          <w:szCs w:val="24"/>
          <w:lang w:val="fr-FR"/>
        </w:rPr>
        <w:t xml:space="preserve"> </w:t>
      </w:r>
      <w:r w:rsidR="00BA2CE3" w:rsidRPr="00BA2CE3">
        <w:rPr>
          <w:b/>
          <w:bCs/>
          <w:lang w:val="fr-FR" w:bidi="ar-EG"/>
        </w:rPr>
        <w:t>X.1275</w:t>
      </w:r>
      <w:r w:rsidR="004067A6">
        <w:rPr>
          <w:rFonts w:hint="cs"/>
          <w:b/>
          <w:bCs/>
          <w:rtl/>
          <w:lang w:bidi="ar-EG"/>
        </w:rPr>
        <w:t xml:space="preserve">عملاً بأحكام </w:t>
      </w:r>
      <w:r w:rsidR="005D488B">
        <w:rPr>
          <w:rFonts w:hint="cs"/>
          <w:b/>
          <w:bCs/>
          <w:rtl/>
          <w:lang w:bidi="ar-EG"/>
        </w:rPr>
        <w:t>القسم</w:t>
      </w:r>
      <w:r w:rsidR="004067A6">
        <w:rPr>
          <w:rFonts w:hint="cs"/>
          <w:b/>
          <w:bCs/>
          <w:rtl/>
          <w:lang w:bidi="ar-EG"/>
        </w:rPr>
        <w:t xml:space="preserve"> </w:t>
      </w:r>
      <w:r w:rsidR="004067A6">
        <w:rPr>
          <w:b/>
          <w:bCs/>
          <w:lang w:bidi="ar-EG"/>
        </w:rPr>
        <w:t>9</w:t>
      </w:r>
      <w:r w:rsidR="004067A6">
        <w:rPr>
          <w:rFonts w:hint="cs"/>
          <w:b/>
          <w:bCs/>
          <w:rtl/>
          <w:lang w:bidi="ar-EG"/>
        </w:rPr>
        <w:t xml:space="preserve"> من القرار </w:t>
      </w:r>
      <w:r w:rsidR="004067A6">
        <w:rPr>
          <w:b/>
          <w:bCs/>
          <w:lang w:bidi="ar-EG"/>
        </w:rPr>
        <w:t>1</w:t>
      </w:r>
      <w:r w:rsidR="004067A6">
        <w:rPr>
          <w:rFonts w:hint="cs"/>
          <w:b/>
          <w:bCs/>
          <w:rtl/>
          <w:lang w:bidi="ar-EG"/>
        </w:rPr>
        <w:t xml:space="preserve"> الصادر عن الجمعية العالمية </w:t>
      </w:r>
      <w:proofErr w:type="spellStart"/>
      <w:r w:rsidR="004067A6">
        <w:rPr>
          <w:rFonts w:hint="cs"/>
          <w:b/>
          <w:bCs/>
          <w:rtl/>
          <w:lang w:bidi="ar-EG"/>
        </w:rPr>
        <w:t>لتقييس</w:t>
      </w:r>
      <w:proofErr w:type="spellEnd"/>
      <w:r w:rsidR="004067A6">
        <w:rPr>
          <w:rFonts w:hint="cs"/>
          <w:b/>
          <w:bCs/>
          <w:rtl/>
          <w:lang w:bidi="ar-EG"/>
        </w:rPr>
        <w:t xml:space="preserve"> الاتصالات</w:t>
      </w:r>
      <w:r w:rsidR="0054515F">
        <w:rPr>
          <w:rFonts w:hint="cs"/>
          <w:b/>
          <w:bCs/>
          <w:rtl/>
          <w:lang w:bidi="ar-EG"/>
        </w:rPr>
        <w:t xml:space="preserve"> </w:t>
      </w:r>
      <w:r w:rsidR="004067A6">
        <w:rPr>
          <w:rFonts w:hint="cs"/>
          <w:b/>
          <w:bCs/>
          <w:rtl/>
          <w:lang w:bidi="ar-EG"/>
        </w:rPr>
        <w:t>(</w:t>
      </w:r>
      <w:proofErr w:type="spellStart"/>
      <w:r w:rsidR="00E131C3">
        <w:rPr>
          <w:rFonts w:hint="cs"/>
          <w:b/>
          <w:bCs/>
          <w:rtl/>
          <w:lang w:bidi="ar-EG"/>
        </w:rPr>
        <w:t>جوهانسبرغ</w:t>
      </w:r>
      <w:proofErr w:type="spellEnd"/>
      <w:r w:rsidR="00E131C3">
        <w:rPr>
          <w:rFonts w:hint="cs"/>
          <w:b/>
          <w:bCs/>
          <w:rtl/>
          <w:lang w:bidi="ar-EG"/>
        </w:rPr>
        <w:t>،</w:t>
      </w:r>
      <w:r w:rsidR="004067A6">
        <w:rPr>
          <w:rFonts w:hint="cs"/>
          <w:b/>
          <w:bCs/>
          <w:rtl/>
          <w:lang w:bidi="ar-EG"/>
        </w:rPr>
        <w:t xml:space="preserve"> </w:t>
      </w:r>
      <w:r w:rsidR="004067A6">
        <w:rPr>
          <w:b/>
          <w:bCs/>
          <w:lang w:bidi="ar-EG"/>
        </w:rPr>
        <w:t>200</w:t>
      </w:r>
      <w:r w:rsidR="00E131C3">
        <w:rPr>
          <w:b/>
          <w:bCs/>
          <w:lang w:bidi="ar-EG"/>
        </w:rPr>
        <w:t>8</w:t>
      </w:r>
      <w:r w:rsidR="004067A6">
        <w:rPr>
          <w:rFonts w:hint="cs"/>
          <w:b/>
          <w:bCs/>
          <w:rtl/>
          <w:lang w:bidi="ar-EG"/>
        </w:rPr>
        <w:t>)</w:t>
      </w:r>
    </w:p>
    <w:p w:rsidR="009F4B09" w:rsidRPr="004067A6" w:rsidRDefault="00064EC5" w:rsidP="00173D0D">
      <w:pPr>
        <w:spacing w:before="0"/>
        <w:ind w:left="924" w:hanging="924"/>
        <w:jc w:val="left"/>
        <w:rPr>
          <w:rtl/>
          <w:lang w:bidi="ar-EG"/>
        </w:rPr>
      </w:pPr>
      <w:r>
        <w:rPr>
          <w:rFonts w:hint="cs"/>
          <w:b/>
          <w:bCs/>
          <w:rtl/>
          <w:lang w:bidi="ar-EG"/>
        </w:rPr>
        <w:tab/>
      </w:r>
      <w:r w:rsidR="004067A6">
        <w:rPr>
          <w:rFonts w:hint="cs"/>
          <w:b/>
          <w:bCs/>
          <w:rtl/>
          <w:lang w:bidi="ar-EG"/>
        </w:rPr>
        <w:t xml:space="preserve">جنيف، </w:t>
      </w:r>
      <w:r w:rsidR="00983A6E">
        <w:rPr>
          <w:b/>
          <w:bCs/>
          <w:lang w:bidi="ar-EG"/>
        </w:rPr>
        <w:t>17</w:t>
      </w:r>
      <w:r w:rsidR="00983A6E">
        <w:rPr>
          <w:rFonts w:hint="cs"/>
          <w:b/>
          <w:bCs/>
          <w:rtl/>
          <w:lang w:bidi="ar-EG"/>
        </w:rPr>
        <w:t xml:space="preserve"> ديسمبر </w:t>
      </w:r>
      <w:r w:rsidR="00983A6E">
        <w:rPr>
          <w:b/>
          <w:bCs/>
          <w:lang w:bidi="ar-EG"/>
        </w:rPr>
        <w:t>2010</w:t>
      </w:r>
    </w:p>
    <w:p w:rsidR="009F4B09" w:rsidRPr="005F33FD" w:rsidRDefault="009F4B09" w:rsidP="0082673E">
      <w:pPr>
        <w:spacing w:before="480"/>
        <w:rPr>
          <w:rtl/>
        </w:rPr>
      </w:pPr>
      <w:proofErr w:type="spellStart"/>
      <w:r w:rsidRPr="005F33FD">
        <w:rPr>
          <w:rFonts w:hint="cs"/>
          <w:rtl/>
        </w:rPr>
        <w:t>حضرات</w:t>
      </w:r>
      <w:proofErr w:type="spellEnd"/>
      <w:r w:rsidRPr="005F33FD">
        <w:rPr>
          <w:rFonts w:hint="cs"/>
          <w:rtl/>
        </w:rPr>
        <w:t xml:space="preserve"> </w:t>
      </w:r>
      <w:r w:rsidR="005D488B">
        <w:rPr>
          <w:rFonts w:hint="cs"/>
          <w:rtl/>
        </w:rPr>
        <w:t>السادة</w:t>
      </w:r>
      <w:r w:rsidR="0010144A" w:rsidRPr="0010144A">
        <w:rPr>
          <w:rFonts w:hint="cs"/>
          <w:rtl/>
        </w:rPr>
        <w:t xml:space="preserve"> </w:t>
      </w:r>
      <w:r w:rsidR="005D488B">
        <w:rPr>
          <w:rFonts w:hint="cs"/>
          <w:rtl/>
        </w:rPr>
        <w:t>والسيدات</w:t>
      </w:r>
      <w:r w:rsidRPr="005F33FD">
        <w:rPr>
          <w:rFonts w:hint="cs"/>
          <w:rtl/>
        </w:rPr>
        <w:t>،</w:t>
      </w:r>
    </w:p>
    <w:p w:rsidR="009F4B09" w:rsidRPr="005F33FD" w:rsidRDefault="004067A6" w:rsidP="000C00E7">
      <w:pPr>
        <w:rPr>
          <w:rtl/>
        </w:rPr>
      </w:pPr>
      <w:r>
        <w:rPr>
          <w:rFonts w:hint="cs"/>
          <w:rtl/>
        </w:rPr>
        <w:t>تحية طيبة وبعد</w:t>
      </w:r>
      <w:r w:rsidR="000C00E7">
        <w:rPr>
          <w:rFonts w:hint="cs"/>
          <w:rtl/>
        </w:rPr>
        <w:t>،</w:t>
      </w:r>
    </w:p>
    <w:p w:rsidR="009F4B09" w:rsidRDefault="009F4B09" w:rsidP="000C00E7">
      <w:pPr>
        <w:rPr>
          <w:rtl/>
          <w:lang w:bidi="ar-EG"/>
        </w:rPr>
      </w:pPr>
      <w:r w:rsidRPr="005F33FD">
        <w:t>1</w:t>
      </w:r>
      <w:r w:rsidR="00A26EA0" w:rsidRPr="005F33FD">
        <w:tab/>
      </w:r>
      <w:r w:rsidR="00A26EA0">
        <w:rPr>
          <w:rFonts w:hint="cs"/>
          <w:rtl/>
        </w:rPr>
        <w:t xml:space="preserve">بناءً على طلب رئيس لجنة الدراسات </w:t>
      </w:r>
      <w:r w:rsidR="00105B0B">
        <w:t>17</w:t>
      </w:r>
      <w:r w:rsidR="00A26EA0">
        <w:rPr>
          <w:rFonts w:hint="cs"/>
          <w:rtl/>
          <w:lang w:bidi="ar-EG"/>
        </w:rPr>
        <w:t xml:space="preserve">، المعنية </w:t>
      </w:r>
      <w:r w:rsidR="00105B0B" w:rsidRPr="00105B0B">
        <w:rPr>
          <w:rFonts w:hint="cs"/>
          <w:i/>
          <w:iCs/>
          <w:rtl/>
        </w:rPr>
        <w:t>بالأمن</w:t>
      </w:r>
      <w:r w:rsidR="00A26EA0">
        <w:rPr>
          <w:rFonts w:hint="cs"/>
          <w:rtl/>
          <w:lang w:bidi="ar-EG"/>
        </w:rPr>
        <w:t xml:space="preserve">، أتشرف بأن أعلمكم أن لجنة الدراسات هذه، التي ستجتمع من </w:t>
      </w:r>
      <w:r w:rsidR="00105B0B">
        <w:rPr>
          <w:lang w:bidi="ar-EG"/>
        </w:rPr>
        <w:t>8</w:t>
      </w:r>
      <w:r w:rsidR="00A26EA0">
        <w:rPr>
          <w:rFonts w:hint="cs"/>
          <w:rtl/>
          <w:lang w:bidi="ar-EG"/>
        </w:rPr>
        <w:t xml:space="preserve"> إلى</w:t>
      </w:r>
      <w:r w:rsidR="000C00E7">
        <w:rPr>
          <w:rFonts w:hint="cs"/>
          <w:rtl/>
          <w:lang w:bidi="ar-EG"/>
        </w:rPr>
        <w:t xml:space="preserve"> </w:t>
      </w:r>
      <w:r w:rsidR="00105B0B">
        <w:rPr>
          <w:lang w:bidi="ar-EG"/>
        </w:rPr>
        <w:t>17</w:t>
      </w:r>
      <w:r w:rsidR="00105B0B">
        <w:rPr>
          <w:rFonts w:hint="cs"/>
          <w:rtl/>
          <w:lang w:bidi="ar-EG"/>
        </w:rPr>
        <w:t xml:space="preserve"> ديسمبر </w:t>
      </w:r>
      <w:r w:rsidR="00105B0B">
        <w:rPr>
          <w:lang w:bidi="ar-EG"/>
        </w:rPr>
        <w:t>2010</w:t>
      </w:r>
      <w:r w:rsidR="00A26EA0">
        <w:rPr>
          <w:rFonts w:hint="cs"/>
          <w:rtl/>
          <w:lang w:bidi="ar-EG"/>
        </w:rPr>
        <w:t xml:space="preserve">، تنوي تطبيق الإجراءات الموصوفة في القسم </w:t>
      </w:r>
      <w:r w:rsidR="00A26EA0">
        <w:rPr>
          <w:lang w:bidi="ar-EG"/>
        </w:rPr>
        <w:t>9</w:t>
      </w:r>
      <w:r w:rsidR="00A26EA0">
        <w:rPr>
          <w:rFonts w:hint="cs"/>
          <w:rtl/>
          <w:lang w:bidi="ar-EG"/>
        </w:rPr>
        <w:t xml:space="preserve"> من القرار </w:t>
      </w:r>
      <w:r w:rsidR="00A26EA0">
        <w:rPr>
          <w:lang w:bidi="ar-EG"/>
        </w:rPr>
        <w:t>1</w:t>
      </w:r>
      <w:r w:rsidR="00A26EA0">
        <w:rPr>
          <w:rFonts w:hint="cs"/>
          <w:rtl/>
          <w:lang w:bidi="ar-EG"/>
        </w:rPr>
        <w:t xml:space="preserve"> الصادر عن الجمعية العالمية </w:t>
      </w:r>
      <w:proofErr w:type="spellStart"/>
      <w:r w:rsidR="00A26EA0">
        <w:rPr>
          <w:rFonts w:hint="cs"/>
          <w:rtl/>
          <w:lang w:bidi="ar-EG"/>
        </w:rPr>
        <w:t>لتقييس</w:t>
      </w:r>
      <w:proofErr w:type="spellEnd"/>
      <w:r w:rsidR="00A26EA0">
        <w:rPr>
          <w:rFonts w:hint="cs"/>
          <w:rtl/>
          <w:lang w:bidi="ar-EG"/>
        </w:rPr>
        <w:t xml:space="preserve"> الاتصالات (</w:t>
      </w:r>
      <w:proofErr w:type="spellStart"/>
      <w:r w:rsidR="00CE51A0">
        <w:rPr>
          <w:rFonts w:hint="cs"/>
          <w:rtl/>
          <w:lang w:bidi="ar-EG"/>
        </w:rPr>
        <w:t>جوهانسبرغ</w:t>
      </w:r>
      <w:proofErr w:type="spellEnd"/>
      <w:r w:rsidR="00A26EA0">
        <w:rPr>
          <w:rFonts w:hint="cs"/>
          <w:rtl/>
          <w:lang w:bidi="ar-EG"/>
        </w:rPr>
        <w:t xml:space="preserve">، </w:t>
      </w:r>
      <w:r w:rsidR="00CE51A0">
        <w:rPr>
          <w:lang w:bidi="ar-EG"/>
        </w:rPr>
        <w:t>2008</w:t>
      </w:r>
      <w:r w:rsidR="00A26EA0">
        <w:rPr>
          <w:rFonts w:hint="cs"/>
          <w:rtl/>
          <w:lang w:bidi="ar-EG"/>
        </w:rPr>
        <w:t>) وذلك من أجل الموافقة على مشروع التوصيات المذكورة أعلاه.</w:t>
      </w:r>
    </w:p>
    <w:p w:rsidR="00B04630" w:rsidRPr="00B04630" w:rsidRDefault="00B04630" w:rsidP="000C00E7">
      <w:pPr>
        <w:rPr>
          <w:rtl/>
          <w:lang w:bidi="ar-EG"/>
        </w:rPr>
      </w:pPr>
      <w:r>
        <w:rPr>
          <w:rFonts w:hint="cs"/>
          <w:rtl/>
          <w:lang w:bidi="ar-EG"/>
        </w:rPr>
        <w:t xml:space="preserve">ونظرت لجنة الدراسات </w:t>
      </w:r>
      <w:r>
        <w:rPr>
          <w:lang w:bidi="ar-EG"/>
        </w:rPr>
        <w:t>17</w:t>
      </w:r>
      <w:r>
        <w:rPr>
          <w:rFonts w:hint="cs"/>
          <w:rtl/>
          <w:lang w:bidi="ar-EG"/>
        </w:rPr>
        <w:t xml:space="preserve"> في اجتماعها الذي عقد في أبريل </w:t>
      </w:r>
      <w:r>
        <w:rPr>
          <w:lang w:bidi="ar-EG"/>
        </w:rPr>
        <w:t>2010</w:t>
      </w:r>
      <w:r>
        <w:rPr>
          <w:rFonts w:hint="cs"/>
          <w:rtl/>
          <w:lang w:bidi="ar-EG"/>
        </w:rPr>
        <w:t xml:space="preserve"> في مشروع التوصية </w:t>
      </w:r>
      <w:r w:rsidR="000C00E7">
        <w:rPr>
          <w:lang w:bidi="ar-EG"/>
        </w:rPr>
        <w:t>ITU</w:t>
      </w:r>
      <w:r w:rsidRPr="00B04630">
        <w:rPr>
          <w:lang w:val="fr-FR" w:bidi="ar-EG"/>
        </w:rPr>
        <w:t>-T X.1275</w:t>
      </w:r>
      <w:r>
        <w:rPr>
          <w:rFonts w:hint="cs"/>
          <w:rtl/>
          <w:lang w:val="fr-FR" w:bidi="ar-EG"/>
        </w:rPr>
        <w:t xml:space="preserve"> للموافقة عليها عقب المشاورة الواردة في النشرة </w:t>
      </w:r>
      <w:r>
        <w:rPr>
          <w:lang w:bidi="ar-EG"/>
        </w:rPr>
        <w:t>62</w:t>
      </w:r>
      <w:r>
        <w:rPr>
          <w:rFonts w:hint="cs"/>
          <w:rtl/>
          <w:lang w:bidi="ar-EG"/>
        </w:rPr>
        <w:t xml:space="preserve"> لمكتب </w:t>
      </w:r>
      <w:proofErr w:type="spellStart"/>
      <w:r>
        <w:rPr>
          <w:rFonts w:hint="cs"/>
          <w:rtl/>
          <w:lang w:bidi="ar-EG"/>
        </w:rPr>
        <w:t>تقييس</w:t>
      </w:r>
      <w:proofErr w:type="spellEnd"/>
      <w:r>
        <w:rPr>
          <w:rFonts w:hint="cs"/>
          <w:rtl/>
          <w:lang w:bidi="ar-EG"/>
        </w:rPr>
        <w:t xml:space="preserve"> الاتصالات بتاريخ </w:t>
      </w:r>
      <w:r>
        <w:rPr>
          <w:lang w:bidi="ar-EG"/>
        </w:rPr>
        <w:t>13</w:t>
      </w:r>
      <w:r>
        <w:rPr>
          <w:rFonts w:hint="cs"/>
          <w:rtl/>
          <w:lang w:bidi="ar-EG"/>
        </w:rPr>
        <w:t xml:space="preserve"> أكتوبر </w:t>
      </w:r>
      <w:r>
        <w:rPr>
          <w:lang w:bidi="ar-EG"/>
        </w:rPr>
        <w:t>2009</w:t>
      </w:r>
      <w:r>
        <w:rPr>
          <w:rFonts w:hint="cs"/>
          <w:rtl/>
          <w:lang w:bidi="ar-EG"/>
        </w:rPr>
        <w:t>. وقد وردت تعليقات كثيرة وأعيد تحديد مشروع التوصية.</w:t>
      </w:r>
    </w:p>
    <w:p w:rsidR="004067A6" w:rsidRDefault="004067A6" w:rsidP="0008582E">
      <w:pPr>
        <w:rPr>
          <w:rtl/>
          <w:lang w:bidi="ar-EG"/>
        </w:rPr>
      </w:pPr>
      <w:r>
        <w:rPr>
          <w:lang w:bidi="ar-EG"/>
        </w:rPr>
        <w:t>2</w:t>
      </w:r>
      <w:r w:rsidR="00A26EA0">
        <w:rPr>
          <w:rFonts w:hint="cs"/>
          <w:rtl/>
          <w:lang w:bidi="ar-EG"/>
        </w:rPr>
        <w:tab/>
        <w:t xml:space="preserve">ويشتمل </w:t>
      </w:r>
      <w:r w:rsidR="00A26EA0">
        <w:rPr>
          <w:rFonts w:hint="cs"/>
          <w:b/>
          <w:bCs/>
          <w:rtl/>
          <w:lang w:bidi="ar-EG"/>
        </w:rPr>
        <w:t xml:space="preserve">الملحق </w:t>
      </w:r>
      <w:r w:rsidR="00A26EA0">
        <w:rPr>
          <w:b/>
          <w:bCs/>
          <w:lang w:bidi="ar-EG"/>
        </w:rPr>
        <w:t>1</w:t>
      </w:r>
      <w:r w:rsidR="00A26EA0">
        <w:rPr>
          <w:rFonts w:hint="cs"/>
          <w:rtl/>
          <w:lang w:bidi="ar-EG"/>
        </w:rPr>
        <w:t xml:space="preserve"> بهذه الرسالة على </w:t>
      </w:r>
      <w:r w:rsidR="0008582E">
        <w:rPr>
          <w:rFonts w:hint="cs"/>
          <w:rtl/>
          <w:lang w:bidi="ar-EG"/>
        </w:rPr>
        <w:t>عناوين و</w:t>
      </w:r>
      <w:r w:rsidR="00A26EA0">
        <w:rPr>
          <w:rFonts w:hint="cs"/>
          <w:rtl/>
          <w:lang w:bidi="ar-EG"/>
        </w:rPr>
        <w:t xml:space="preserve">ملخص </w:t>
      </w:r>
      <w:r w:rsidR="0008582E">
        <w:rPr>
          <w:rFonts w:hint="cs"/>
          <w:rtl/>
          <w:lang w:bidi="ar-EG"/>
        </w:rPr>
        <w:t xml:space="preserve">مشاريع توصيات قطاع </w:t>
      </w:r>
      <w:proofErr w:type="spellStart"/>
      <w:r w:rsidR="0008582E">
        <w:rPr>
          <w:rFonts w:hint="cs"/>
          <w:rtl/>
          <w:lang w:bidi="ar-EG"/>
        </w:rPr>
        <w:t>تقييس</w:t>
      </w:r>
      <w:proofErr w:type="spellEnd"/>
      <w:r w:rsidR="0008582E">
        <w:rPr>
          <w:rFonts w:hint="cs"/>
          <w:rtl/>
          <w:lang w:bidi="ar-EG"/>
        </w:rPr>
        <w:t xml:space="preserve"> الاتصالات الجديدة المقترحة والوثائق التي ترد فيها.</w:t>
      </w:r>
    </w:p>
    <w:p w:rsidR="00CC30F9" w:rsidRDefault="004067A6" w:rsidP="00A26EA0">
      <w:pPr>
        <w:rPr>
          <w:lang w:bidi="ar-EG"/>
        </w:rPr>
      </w:pPr>
      <w:r>
        <w:rPr>
          <w:lang w:bidi="ar-EG"/>
        </w:rPr>
        <w:t>3</w:t>
      </w:r>
      <w:r w:rsidR="00A26EA0">
        <w:rPr>
          <w:rFonts w:hint="cs"/>
          <w:rtl/>
          <w:lang w:bidi="ar-EG"/>
        </w:rPr>
        <w:tab/>
      </w:r>
      <w:r w:rsidR="00A26EA0" w:rsidRPr="00CC30F9">
        <w:rPr>
          <w:rFonts w:hint="cs"/>
          <w:spacing w:val="-2"/>
          <w:rtl/>
          <w:lang w:bidi="ar-EG"/>
        </w:rPr>
        <w:t xml:space="preserve">يرجى من أي دولة عضو في الاتحاد أو عضو في القطاع أو منتسب إليه يعلم بوجود براءة اختراع في حيازته أو في حيازة الغير من شأنها أن تشمل كلياً أو جزئياً عناصر من مشروع التوصية (التوصيات) المقترح الموافقة عليها أن يكشف عن مثل هذه المعلومات لمكتب </w:t>
      </w:r>
      <w:proofErr w:type="spellStart"/>
      <w:r w:rsidR="00A26EA0" w:rsidRPr="00CC30F9">
        <w:rPr>
          <w:rFonts w:hint="cs"/>
          <w:spacing w:val="-2"/>
          <w:rtl/>
          <w:lang w:bidi="ar-EG"/>
        </w:rPr>
        <w:t>تقييس</w:t>
      </w:r>
      <w:proofErr w:type="spellEnd"/>
      <w:r w:rsidR="00A26EA0" w:rsidRPr="00CC30F9">
        <w:rPr>
          <w:rFonts w:hint="cs"/>
          <w:spacing w:val="-2"/>
          <w:rtl/>
          <w:lang w:bidi="ar-EG"/>
        </w:rPr>
        <w:t xml:space="preserve"> الاتصالات، عملاً بالسياسة المشتركة </w:t>
      </w:r>
      <w:proofErr w:type="spellStart"/>
      <w:r w:rsidR="00A26EA0" w:rsidRPr="00CC30F9">
        <w:rPr>
          <w:rFonts w:hint="cs"/>
          <w:spacing w:val="-2"/>
          <w:rtl/>
          <w:lang w:bidi="ar-EG"/>
        </w:rPr>
        <w:t>للبراءات</w:t>
      </w:r>
      <w:proofErr w:type="spellEnd"/>
      <w:r w:rsidR="00A26EA0" w:rsidRPr="00CC30F9">
        <w:rPr>
          <w:rFonts w:hint="cs"/>
          <w:spacing w:val="-2"/>
          <w:rtl/>
          <w:lang w:bidi="ar-EG"/>
        </w:rPr>
        <w:t xml:space="preserve"> المعتمدة لدى قطاع </w:t>
      </w:r>
      <w:proofErr w:type="spellStart"/>
      <w:r w:rsidR="00A26EA0" w:rsidRPr="00CC30F9">
        <w:rPr>
          <w:rFonts w:hint="cs"/>
          <w:spacing w:val="-2"/>
          <w:rtl/>
          <w:lang w:bidi="ar-EG"/>
        </w:rPr>
        <w:t>تقييس</w:t>
      </w:r>
      <w:proofErr w:type="spellEnd"/>
      <w:r w:rsidR="00A26EA0" w:rsidRPr="00CC30F9">
        <w:rPr>
          <w:rFonts w:hint="cs"/>
          <w:spacing w:val="-2"/>
          <w:rtl/>
          <w:lang w:bidi="ar-EG"/>
        </w:rPr>
        <w:t xml:space="preserve"> الاتصالات/قطاع الاتصالات </w:t>
      </w:r>
      <w:proofErr w:type="spellStart"/>
      <w:r w:rsidR="00A26EA0" w:rsidRPr="00CC30F9">
        <w:rPr>
          <w:rFonts w:hint="cs"/>
          <w:spacing w:val="-2"/>
          <w:rtl/>
          <w:lang w:bidi="ar-EG"/>
        </w:rPr>
        <w:t>الراديوية</w:t>
      </w:r>
      <w:proofErr w:type="spellEnd"/>
      <w:r w:rsidR="00A26EA0" w:rsidRPr="00CC30F9">
        <w:rPr>
          <w:rFonts w:hint="cs"/>
          <w:spacing w:val="-2"/>
          <w:rtl/>
          <w:lang w:bidi="ar-EG"/>
        </w:rPr>
        <w:t xml:space="preserve">/المنظمة الدولية للتوحيد القياسي/اللجنة </w:t>
      </w:r>
      <w:proofErr w:type="spellStart"/>
      <w:r w:rsidR="00A26EA0" w:rsidRPr="00CC30F9">
        <w:rPr>
          <w:rFonts w:hint="cs"/>
          <w:spacing w:val="-2"/>
          <w:rtl/>
          <w:lang w:bidi="ar-EG"/>
        </w:rPr>
        <w:t>الكهرتقنية</w:t>
      </w:r>
      <w:proofErr w:type="spellEnd"/>
      <w:r w:rsidR="00A26EA0" w:rsidRPr="00CC30F9">
        <w:rPr>
          <w:rFonts w:hint="cs"/>
          <w:spacing w:val="-2"/>
          <w:rtl/>
          <w:lang w:bidi="ar-EG"/>
        </w:rPr>
        <w:t xml:space="preserve"> الدولية </w:t>
      </w:r>
      <w:r w:rsidR="00A26EA0" w:rsidRPr="00CC30F9">
        <w:rPr>
          <w:spacing w:val="-2"/>
          <w:lang w:bidi="ar-EG"/>
        </w:rPr>
        <w:t>(ITU-T/ITU-R/ISO/IEC)</w:t>
      </w:r>
      <w:r w:rsidR="001D39B3">
        <w:rPr>
          <w:rFonts w:hint="cs"/>
          <w:rtl/>
          <w:lang w:bidi="ar-EG"/>
        </w:rPr>
        <w:t>.</w:t>
      </w:r>
    </w:p>
    <w:p w:rsidR="0082673E" w:rsidRPr="001D39B3" w:rsidRDefault="00A26EA0" w:rsidP="0085168F">
      <w:pPr>
        <w:keepNext/>
        <w:keepLines/>
        <w:rPr>
          <w:rtl/>
          <w:lang w:bidi="ar-EG"/>
        </w:rPr>
      </w:pPr>
      <w:r>
        <w:rPr>
          <w:rFonts w:hint="cs"/>
          <w:rtl/>
          <w:lang w:bidi="ar-EG"/>
        </w:rPr>
        <w:lastRenderedPageBreak/>
        <w:t xml:space="preserve">ويمكن النفاذ إلى معلومات براءات الاختراع المتاحة مباشرة على الخط من موقع القطاع على الشبكة العالمية، </w:t>
      </w:r>
      <w:r w:rsidR="0085168F">
        <w:rPr>
          <w:lang w:bidi="ar-EG"/>
        </w:rPr>
        <w:t>(</w:t>
      </w:r>
      <w:hyperlink r:id="rId8" w:history="1">
        <w:r w:rsidRPr="001D39B3">
          <w:rPr>
            <w:rStyle w:val="Hyperlink"/>
            <w:lang w:bidi="ar-EG"/>
          </w:rPr>
          <w:t>www.itu.int/ITU-T/ipr/</w:t>
        </w:r>
      </w:hyperlink>
      <w:r w:rsidR="0085168F">
        <w:rPr>
          <w:lang w:bidi="ar-EG"/>
        </w:rPr>
        <w:t>)</w:t>
      </w:r>
      <w:r>
        <w:rPr>
          <w:rFonts w:hint="cs"/>
          <w:rtl/>
          <w:lang w:bidi="ar-EG"/>
        </w:rPr>
        <w:t>.</w:t>
      </w:r>
    </w:p>
    <w:p w:rsidR="004067A6" w:rsidRDefault="0082673E" w:rsidP="00AA1A6E">
      <w:pPr>
        <w:keepNext/>
        <w:keepLines/>
        <w:rPr>
          <w:rtl/>
          <w:lang w:bidi="ar-EG"/>
        </w:rPr>
      </w:pPr>
      <w:r>
        <w:rPr>
          <w:lang w:bidi="ar-EG"/>
        </w:rPr>
        <w:t>4</w:t>
      </w:r>
      <w:r w:rsidR="00A26EA0">
        <w:rPr>
          <w:rFonts w:hint="cs"/>
          <w:rtl/>
          <w:lang w:bidi="ar-EG"/>
        </w:rPr>
        <w:tab/>
        <w:t xml:space="preserve">وتبعاً لأحكام القسم </w:t>
      </w:r>
      <w:r w:rsidR="00A26EA0">
        <w:rPr>
          <w:lang w:bidi="ar-EG"/>
        </w:rPr>
        <w:t>9</w:t>
      </w:r>
      <w:r w:rsidR="00A26EA0">
        <w:rPr>
          <w:rFonts w:hint="cs"/>
          <w:rtl/>
          <w:lang w:bidi="ar-EG"/>
        </w:rPr>
        <w:t xml:space="preserve"> من القرار </w:t>
      </w:r>
      <w:r w:rsidR="00A26EA0">
        <w:rPr>
          <w:lang w:bidi="ar-EG"/>
        </w:rPr>
        <w:t>1</w:t>
      </w:r>
      <w:r w:rsidR="000C00E7">
        <w:rPr>
          <w:rFonts w:hint="cs"/>
          <w:rtl/>
          <w:lang w:bidi="ar-EG"/>
        </w:rPr>
        <w:t>،</w:t>
      </w:r>
      <w:r w:rsidR="00A26EA0">
        <w:rPr>
          <w:rFonts w:hint="cs"/>
          <w:rtl/>
          <w:lang w:bidi="ar-EG"/>
        </w:rPr>
        <w:t xml:space="preserve"> سأكون ممتناً لو تفضلتم بإعلامي في موعد أقصاه منتصف الليل بالتوقيت العالمي المنسَّق </w:t>
      </w:r>
      <w:r w:rsidR="00A26EA0">
        <w:rPr>
          <w:rFonts w:hint="cs"/>
          <w:b/>
          <w:bCs/>
          <w:rtl/>
          <w:lang w:bidi="ar-EG"/>
        </w:rPr>
        <w:t xml:space="preserve">في </w:t>
      </w:r>
      <w:r w:rsidR="005206E2" w:rsidRPr="00070529">
        <w:rPr>
          <w:rFonts w:hint="cs"/>
          <w:b/>
          <w:bCs/>
          <w:rtl/>
          <w:lang w:bidi="ar-EG"/>
        </w:rPr>
        <w:t>يوم</w:t>
      </w:r>
      <w:r w:rsidR="005206E2" w:rsidRPr="005206E2">
        <w:rPr>
          <w:rFonts w:hint="cs"/>
          <w:rtl/>
          <w:lang w:bidi="ar-EG"/>
        </w:rPr>
        <w:t xml:space="preserve"> </w:t>
      </w:r>
      <w:r w:rsidR="005206E2" w:rsidRPr="00AA1A6E">
        <w:rPr>
          <w:b/>
          <w:bCs/>
          <w:lang w:bidi="ar-EG"/>
        </w:rPr>
        <w:t>26</w:t>
      </w:r>
      <w:r w:rsidR="005206E2" w:rsidRPr="00AA1A6E">
        <w:rPr>
          <w:rFonts w:hint="cs"/>
          <w:b/>
          <w:bCs/>
          <w:rtl/>
          <w:lang w:bidi="ar-EG"/>
        </w:rPr>
        <w:t xml:space="preserve"> نوفمبر </w:t>
      </w:r>
      <w:r w:rsidR="005206E2" w:rsidRPr="00AA1A6E">
        <w:rPr>
          <w:b/>
          <w:bCs/>
          <w:lang w:bidi="ar-EG"/>
        </w:rPr>
        <w:t>2010</w:t>
      </w:r>
      <w:r w:rsidR="005206E2">
        <w:rPr>
          <w:rFonts w:hint="cs"/>
          <w:i/>
          <w:iCs/>
          <w:rtl/>
          <w:lang w:bidi="ar-EG"/>
        </w:rPr>
        <w:t xml:space="preserve"> </w:t>
      </w:r>
      <w:r w:rsidR="00A26EA0">
        <w:rPr>
          <w:rFonts w:hint="cs"/>
          <w:rtl/>
          <w:lang w:bidi="ar-EG"/>
        </w:rPr>
        <w:t>ما إذا كانت إدارتكم تفوِّض السلطة إلى لجنة الدراسات</w:t>
      </w:r>
      <w:r w:rsidR="00AA1A6E">
        <w:rPr>
          <w:rFonts w:hint="cs"/>
          <w:rtl/>
          <w:lang w:bidi="ar-EG"/>
        </w:rPr>
        <w:t xml:space="preserve"> </w:t>
      </w:r>
      <w:r w:rsidR="00AA1A6E">
        <w:rPr>
          <w:lang w:bidi="ar-EG"/>
        </w:rPr>
        <w:t>17</w:t>
      </w:r>
      <w:r w:rsidR="00AA1A6E">
        <w:rPr>
          <w:rFonts w:hint="cs"/>
          <w:rtl/>
          <w:lang w:bidi="ar-EG"/>
        </w:rPr>
        <w:t xml:space="preserve"> </w:t>
      </w:r>
      <w:r w:rsidR="00A26EA0">
        <w:rPr>
          <w:rFonts w:hint="cs"/>
          <w:rtl/>
          <w:lang w:bidi="ar-EG"/>
        </w:rPr>
        <w:t xml:space="preserve">للنظر في </w:t>
      </w:r>
      <w:r w:rsidR="00AA1A6E">
        <w:rPr>
          <w:rFonts w:hint="cs"/>
          <w:rtl/>
          <w:lang w:bidi="ar-EG"/>
        </w:rPr>
        <w:t>مشروع</w:t>
      </w:r>
      <w:r w:rsidR="00A26EA0">
        <w:rPr>
          <w:rFonts w:hint="cs"/>
          <w:rtl/>
          <w:lang w:bidi="ar-EG"/>
        </w:rPr>
        <w:t xml:space="preserve"> التوصيات الجديدة بغرض الموافقة عليها في اجتماع لجنة الدراسات.</w:t>
      </w:r>
    </w:p>
    <w:p w:rsidR="004067A6" w:rsidRDefault="00A26EA0" w:rsidP="00AA1A6E">
      <w:pPr>
        <w:rPr>
          <w:rtl/>
          <w:lang w:bidi="ar-EG"/>
        </w:rPr>
      </w:pPr>
      <w:r>
        <w:rPr>
          <w:rFonts w:hint="cs"/>
          <w:rtl/>
          <w:lang w:bidi="ar-EG"/>
        </w:rPr>
        <w:t>وإذا رأت أي دولة عضو أن عملية النظر بغرض الموافقة ينبغي ألاّ تستمر</w:t>
      </w:r>
      <w:r w:rsidR="000C00E7">
        <w:rPr>
          <w:rFonts w:hint="cs"/>
          <w:rtl/>
          <w:lang w:bidi="ar-EG"/>
        </w:rPr>
        <w:t>،</w:t>
      </w:r>
      <w:r>
        <w:rPr>
          <w:rFonts w:hint="cs"/>
          <w:rtl/>
          <w:lang w:bidi="ar-EG"/>
        </w:rPr>
        <w:t xml:space="preserve"> فعليها أن تبيّن أسباب ذلك الاعتراض وأن تشير إلى التغييرات الممكنة التي من شأنها تيسير مواصلة النظر في مشاريع التوصيات الجديدة والموافقة عليها.</w:t>
      </w:r>
    </w:p>
    <w:p w:rsidR="004067A6" w:rsidRDefault="004E1059" w:rsidP="00733541">
      <w:pPr>
        <w:rPr>
          <w:rtl/>
          <w:lang w:bidi="ar-EG"/>
        </w:rPr>
      </w:pPr>
      <w:r>
        <w:rPr>
          <w:lang w:bidi="ar-EG"/>
        </w:rPr>
        <w:t>5</w:t>
      </w:r>
      <w:r w:rsidR="007A66C2">
        <w:rPr>
          <w:rFonts w:hint="cs"/>
          <w:rtl/>
          <w:lang w:bidi="ar-EG"/>
        </w:rPr>
        <w:tab/>
        <w:t xml:space="preserve">فإذا كان </w:t>
      </w:r>
      <w:r w:rsidR="007A66C2">
        <w:rPr>
          <w:lang w:bidi="ar-EG"/>
        </w:rPr>
        <w:t>70</w:t>
      </w:r>
      <w:r w:rsidR="007A66C2">
        <w:rPr>
          <w:rFonts w:hint="cs"/>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w:t>
      </w:r>
      <w:r w:rsidR="000C00E7">
        <w:rPr>
          <w:rFonts w:hint="cs"/>
          <w:rtl/>
          <w:lang w:bidi="ar-EG"/>
        </w:rPr>
        <w:t>،</w:t>
      </w:r>
      <w:r w:rsidR="007A66C2">
        <w:rPr>
          <w:rFonts w:hint="cs"/>
          <w:rtl/>
          <w:lang w:bidi="ar-EG"/>
        </w:rPr>
        <w:t xml:space="preserve"> عندئذ سوف تكرَّس جلسة عامة </w:t>
      </w:r>
      <w:r w:rsidR="007A66C2">
        <w:rPr>
          <w:rFonts w:hint="cs"/>
          <w:b/>
          <w:bCs/>
          <w:rtl/>
          <w:lang w:bidi="ar-EG"/>
        </w:rPr>
        <w:t>في</w:t>
      </w:r>
      <w:r w:rsidR="00733541">
        <w:rPr>
          <w:rFonts w:hint="cs"/>
          <w:b/>
          <w:bCs/>
          <w:rtl/>
          <w:lang w:bidi="ar-EG"/>
        </w:rPr>
        <w:t xml:space="preserve"> </w:t>
      </w:r>
      <w:r w:rsidR="007E36E3">
        <w:rPr>
          <w:b/>
          <w:bCs/>
          <w:lang w:bidi="ar-EG"/>
        </w:rPr>
        <w:t>17</w:t>
      </w:r>
      <w:r w:rsidR="007E36E3">
        <w:rPr>
          <w:rFonts w:hint="cs"/>
          <w:b/>
          <w:bCs/>
          <w:rtl/>
          <w:lang w:bidi="ar-EG"/>
        </w:rPr>
        <w:t xml:space="preserve"> ديسمبر </w:t>
      </w:r>
      <w:r w:rsidR="007E36E3">
        <w:rPr>
          <w:b/>
          <w:bCs/>
          <w:lang w:bidi="ar-EG"/>
        </w:rPr>
        <w:t>2010</w:t>
      </w:r>
      <w:r w:rsidR="007E36E3">
        <w:rPr>
          <w:rFonts w:hint="cs"/>
          <w:b/>
          <w:bCs/>
          <w:rtl/>
          <w:lang w:bidi="ar-EG"/>
        </w:rPr>
        <w:t xml:space="preserve"> </w:t>
      </w:r>
      <w:r w:rsidR="007A66C2" w:rsidRPr="00F0698D">
        <w:rPr>
          <w:rFonts w:hint="cs"/>
          <w:rtl/>
          <w:lang w:bidi="ar-EG"/>
        </w:rPr>
        <w:t>لتطبيق إجراءات الموافقة.</w:t>
      </w:r>
    </w:p>
    <w:p w:rsidR="00B85152" w:rsidRPr="00F11BC4" w:rsidRDefault="007A66C2" w:rsidP="001D39B3">
      <w:pPr>
        <w:rPr>
          <w:spacing w:val="2"/>
          <w:rtl/>
          <w:lang w:bidi="ar-EG"/>
        </w:rPr>
      </w:pPr>
      <w:r w:rsidRPr="00F11BC4">
        <w:rPr>
          <w:rFonts w:hint="cs"/>
          <w:spacing w:val="2"/>
          <w:rtl/>
          <w:lang w:bidi="ar-EG"/>
        </w:rPr>
        <w:t xml:space="preserve">ولذلك فإنني أدعو إدارتكم إلى إرسال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مدير القطاع بذلك طبقاً لأحكام الرقم </w:t>
      </w:r>
      <w:r w:rsidRPr="00F11BC4">
        <w:rPr>
          <w:spacing w:val="2"/>
          <w:lang w:bidi="ar-EG"/>
        </w:rPr>
        <w:t>239</w:t>
      </w:r>
      <w:r w:rsidRPr="00F11BC4">
        <w:rPr>
          <w:rFonts w:hint="cs"/>
          <w:spacing w:val="2"/>
          <w:rtl/>
          <w:lang w:bidi="ar-EG"/>
        </w:rPr>
        <w:t xml:space="preserve"> من المادة </w:t>
      </w:r>
      <w:r w:rsidRPr="00F11BC4">
        <w:rPr>
          <w:spacing w:val="2"/>
          <w:lang w:bidi="ar-EG"/>
        </w:rPr>
        <w:t>19</w:t>
      </w:r>
      <w:r w:rsidRPr="00F11BC4">
        <w:rPr>
          <w:rFonts w:hint="cs"/>
          <w:spacing w:val="2"/>
          <w:rtl/>
          <w:lang w:bidi="ar-EG"/>
        </w:rPr>
        <w:t xml:space="preserve"> من اتفاقية الاتحاد.</w:t>
      </w:r>
    </w:p>
    <w:p w:rsidR="00B85152" w:rsidRPr="008F5F35" w:rsidRDefault="007A66C2" w:rsidP="00BD2DA0">
      <w:pPr>
        <w:rPr>
          <w:rtl/>
          <w:lang w:bidi="ar-EG"/>
        </w:rPr>
      </w:pPr>
      <w:r>
        <w:rPr>
          <w:lang w:bidi="ar-EG"/>
        </w:rPr>
        <w:t>6</w:t>
      </w:r>
      <w:r>
        <w:rPr>
          <w:rFonts w:hint="cs"/>
          <w:rtl/>
          <w:lang w:bidi="ar-EG"/>
        </w:rPr>
        <w:tab/>
        <w:t xml:space="preserve">ويمكن الاطلاع على جدول الأعمال وجميع المعلومات ذات الصلة فيما يتعلق باجتماع لجنة الدراسات </w:t>
      </w:r>
      <w:r w:rsidR="008F5F35">
        <w:rPr>
          <w:lang w:bidi="ar-EG"/>
        </w:rPr>
        <w:t>17</w:t>
      </w:r>
      <w:r w:rsidR="008F5F35">
        <w:rPr>
          <w:rFonts w:hint="cs"/>
          <w:rtl/>
          <w:lang w:bidi="ar-EG"/>
        </w:rPr>
        <w:t xml:space="preserve"> </w:t>
      </w:r>
      <w:r>
        <w:rPr>
          <w:rFonts w:hint="cs"/>
          <w:rtl/>
          <w:lang w:bidi="ar-EG"/>
        </w:rPr>
        <w:t xml:space="preserve">في الرسالة الجماعية </w:t>
      </w:r>
      <w:r w:rsidR="00BD2DA0">
        <w:rPr>
          <w:lang w:bidi="ar-EG"/>
        </w:rPr>
        <w:t>4/</w:t>
      </w:r>
      <w:r w:rsidR="008F5F35">
        <w:rPr>
          <w:lang w:bidi="ar-EG"/>
        </w:rPr>
        <w:t>17</w:t>
      </w:r>
      <w:r w:rsidR="008F5F35">
        <w:rPr>
          <w:rFonts w:hint="cs"/>
          <w:rtl/>
          <w:lang w:bidi="ar-EG"/>
        </w:rPr>
        <w:t>.</w:t>
      </w:r>
    </w:p>
    <w:p w:rsidR="004579B5" w:rsidRPr="004579B5" w:rsidRDefault="004E1059" w:rsidP="007A66C2">
      <w:pPr>
        <w:rPr>
          <w:rtl/>
          <w:lang w:bidi="ar-EG"/>
        </w:rPr>
      </w:pPr>
      <w:r>
        <w:rPr>
          <w:lang w:bidi="ar-EG"/>
        </w:rPr>
        <w:t>7</w:t>
      </w:r>
      <w:r w:rsidR="007A66C2" w:rsidRPr="007A66C2">
        <w:rPr>
          <w:rFonts w:hint="cs"/>
          <w:rtl/>
          <w:lang w:bidi="ar-EG"/>
        </w:rPr>
        <w:t xml:space="preserve"> </w:t>
      </w:r>
      <w:r w:rsidR="007A66C2">
        <w:rPr>
          <w:rFonts w:hint="cs"/>
          <w:rtl/>
          <w:lang w:bidi="ar-EG"/>
        </w:rPr>
        <w:tab/>
        <w:t xml:space="preserve">وفي أعقاب الاجتماع سوف يعلن مدير مكتب </w:t>
      </w:r>
      <w:proofErr w:type="spellStart"/>
      <w:r w:rsidR="007A66C2">
        <w:rPr>
          <w:rFonts w:hint="cs"/>
          <w:rtl/>
          <w:lang w:bidi="ar-EG"/>
        </w:rPr>
        <w:t>تقييس</w:t>
      </w:r>
      <w:proofErr w:type="spellEnd"/>
      <w:r w:rsidR="007A66C2">
        <w:rPr>
          <w:rFonts w:hint="cs"/>
          <w:rtl/>
          <w:lang w:bidi="ar-EG"/>
        </w:rPr>
        <w:t xml:space="preserve"> الاتصالات، في نشرة معممة، عن القرار المتخذ بشأن هذه التوصية (التوصيات). ولسوف تُنشر هذه المعلومات أيضاً في النشرة التشغيلية للاتحاد.</w:t>
      </w:r>
    </w:p>
    <w:p w:rsidR="009F4B09" w:rsidRPr="005F33FD" w:rsidRDefault="007A66C2" w:rsidP="00F917B1">
      <w:pPr>
        <w:spacing w:before="36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8165EA" w:rsidRDefault="007A66C2" w:rsidP="00F917B1">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 xml:space="preserve">مدير مكتب </w:t>
      </w:r>
      <w:proofErr w:type="spellStart"/>
      <w:r w:rsidRPr="005F33FD">
        <w:rPr>
          <w:rFonts w:hint="cs"/>
          <w:rtl/>
          <w:lang w:bidi="ar-EG"/>
        </w:rPr>
        <w:t>تقييس</w:t>
      </w:r>
      <w:proofErr w:type="spellEnd"/>
      <w:r w:rsidRPr="005F33FD">
        <w:rPr>
          <w:rFonts w:hint="cs"/>
          <w:rtl/>
          <w:lang w:bidi="ar-EG"/>
        </w:rPr>
        <w:t xml:space="preserve"> الاتصالات</w:t>
      </w:r>
    </w:p>
    <w:p w:rsidR="004579B5" w:rsidRDefault="004579B5" w:rsidP="00A655AC">
      <w:pPr>
        <w:jc w:val="left"/>
        <w:rPr>
          <w:rtl/>
          <w:lang w:bidi="ar-EG"/>
        </w:rPr>
      </w:pPr>
    </w:p>
    <w:p w:rsidR="004579B5" w:rsidRDefault="004579B5" w:rsidP="00A655AC">
      <w:pPr>
        <w:jc w:val="left"/>
        <w:rPr>
          <w:rtl/>
          <w:lang w:bidi="ar-EG"/>
        </w:rPr>
      </w:pPr>
    </w:p>
    <w:p w:rsidR="0054515F" w:rsidRDefault="0054515F" w:rsidP="00A655AC">
      <w:pPr>
        <w:jc w:val="left"/>
        <w:rPr>
          <w:rtl/>
          <w:lang w:bidi="ar-EG"/>
        </w:rPr>
      </w:pPr>
    </w:p>
    <w:p w:rsidR="004579B5" w:rsidRPr="004579B5" w:rsidRDefault="007171AE" w:rsidP="00591E68">
      <w:pPr>
        <w:jc w:val="left"/>
        <w:rPr>
          <w:b/>
          <w:bCs/>
          <w:lang w:bidi="ar-EG"/>
        </w:rPr>
      </w:pPr>
      <w:r>
        <w:rPr>
          <w:rFonts w:hint="cs"/>
          <w:b/>
          <w:bCs/>
          <w:rtl/>
          <w:lang w:bidi="ar-EG"/>
        </w:rPr>
        <w:t>الملحق</w:t>
      </w:r>
      <w:r w:rsidR="000C00E7">
        <w:rPr>
          <w:rFonts w:hint="cs"/>
          <w:b/>
          <w:bCs/>
          <w:rtl/>
          <w:lang w:bidi="ar-EG"/>
        </w:rPr>
        <w:t>ات</w:t>
      </w:r>
      <w:r w:rsidR="007A66C2">
        <w:rPr>
          <w:rFonts w:hint="cs"/>
          <w:b/>
          <w:bCs/>
          <w:rtl/>
          <w:lang w:bidi="ar-EG"/>
        </w:rPr>
        <w:t>:</w:t>
      </w:r>
      <w:r>
        <w:rPr>
          <w:rFonts w:hint="cs"/>
          <w:b/>
          <w:bCs/>
          <w:rtl/>
          <w:lang w:bidi="ar-EG"/>
        </w:rPr>
        <w:t xml:space="preserve"> </w:t>
      </w:r>
      <w:r w:rsidRPr="000C00E7">
        <w:rPr>
          <w:lang w:bidi="ar-EG"/>
        </w:rPr>
        <w:t>1</w:t>
      </w:r>
    </w:p>
    <w:p w:rsidR="00FF4798" w:rsidRDefault="00FF4798">
      <w:pPr>
        <w:bidi w:val="0"/>
        <w:spacing w:before="0" w:line="240" w:lineRule="auto"/>
        <w:jc w:val="left"/>
        <w:rPr>
          <w:lang w:bidi="ar-EG"/>
        </w:rPr>
      </w:pPr>
      <w:r>
        <w:rPr>
          <w:rtl/>
          <w:lang w:bidi="ar-EG"/>
        </w:rPr>
        <w:br w:type="page"/>
      </w:r>
    </w:p>
    <w:p w:rsidR="009946A9" w:rsidRPr="00097DC9" w:rsidRDefault="00FF4798" w:rsidP="00FF4798">
      <w:pPr>
        <w:pStyle w:val="Annextitle"/>
        <w:rPr>
          <w:rFonts w:ascii="Times New Roman"/>
          <w:b w:val="0"/>
          <w:bCs w:val="0"/>
          <w:sz w:val="22"/>
          <w:szCs w:val="30"/>
          <w:rtl/>
          <w:lang w:val="en-US" w:bidi="ar-EG"/>
        </w:rPr>
      </w:pPr>
      <w:r w:rsidRPr="00FF4798">
        <w:rPr>
          <w:rFonts w:ascii="Times New Roman" w:hint="cs"/>
          <w:b w:val="0"/>
          <w:bCs w:val="0"/>
          <w:rtl/>
          <w:lang w:bidi="ar-EG"/>
        </w:rPr>
        <w:lastRenderedPageBreak/>
        <w:t xml:space="preserve">الملحـق </w:t>
      </w:r>
      <w:r w:rsidRPr="00FF4798">
        <w:rPr>
          <w:rFonts w:ascii="Times New Roman"/>
          <w:b w:val="0"/>
          <w:bCs w:val="0"/>
          <w:lang w:val="en-US" w:bidi="ar-EG"/>
        </w:rPr>
        <w:t>1</w:t>
      </w:r>
      <w:r w:rsidRPr="00FF4798">
        <w:rPr>
          <w:rFonts w:ascii="Times New Roman" w:hint="cs"/>
          <w:b w:val="0"/>
          <w:bCs w:val="0"/>
          <w:rtl/>
          <w:lang w:val="en-US" w:bidi="ar-EG"/>
        </w:rPr>
        <w:br/>
      </w:r>
      <w:r w:rsidRPr="00097DC9">
        <w:rPr>
          <w:rFonts w:ascii="Times New Roman" w:hint="cs"/>
          <w:b w:val="0"/>
          <w:bCs w:val="0"/>
          <w:sz w:val="22"/>
          <w:szCs w:val="30"/>
          <w:rtl/>
          <w:lang w:val="en-US" w:bidi="ar-EG"/>
        </w:rPr>
        <w:t xml:space="preserve">(للنشرة </w:t>
      </w:r>
      <w:r w:rsidRPr="00097DC9">
        <w:rPr>
          <w:rFonts w:ascii="Times New Roman"/>
          <w:b w:val="0"/>
          <w:bCs w:val="0"/>
          <w:sz w:val="22"/>
          <w:szCs w:val="30"/>
          <w:lang w:val="en-US" w:bidi="ar-EG"/>
        </w:rPr>
        <w:t>105</w:t>
      </w:r>
      <w:r w:rsidRPr="00097DC9">
        <w:rPr>
          <w:rFonts w:ascii="Times New Roman" w:hint="cs"/>
          <w:b w:val="0"/>
          <w:bCs w:val="0"/>
          <w:sz w:val="22"/>
          <w:szCs w:val="30"/>
          <w:rtl/>
          <w:lang w:val="en-US" w:bidi="ar-EG"/>
        </w:rPr>
        <w:t xml:space="preserve"> لمكتب </w:t>
      </w:r>
      <w:proofErr w:type="spellStart"/>
      <w:r w:rsidRPr="00097DC9">
        <w:rPr>
          <w:rFonts w:ascii="Times New Roman" w:hint="cs"/>
          <w:b w:val="0"/>
          <w:bCs w:val="0"/>
          <w:sz w:val="22"/>
          <w:szCs w:val="30"/>
          <w:rtl/>
          <w:lang w:val="en-US" w:bidi="ar-EG"/>
        </w:rPr>
        <w:t>تقييس</w:t>
      </w:r>
      <w:proofErr w:type="spellEnd"/>
      <w:r w:rsidRPr="00097DC9">
        <w:rPr>
          <w:rFonts w:ascii="Times New Roman" w:hint="cs"/>
          <w:b w:val="0"/>
          <w:bCs w:val="0"/>
          <w:sz w:val="22"/>
          <w:szCs w:val="30"/>
          <w:rtl/>
          <w:lang w:val="en-US" w:bidi="ar-EG"/>
        </w:rPr>
        <w:t xml:space="preserve"> الاتصالات)</w:t>
      </w:r>
    </w:p>
    <w:p w:rsidR="00637FB5" w:rsidRDefault="00762ED5" w:rsidP="00FF4798">
      <w:pPr>
        <w:pStyle w:val="Annextitle"/>
        <w:rPr>
          <w:rtl/>
          <w:lang w:bidi="ar-EG"/>
        </w:rPr>
      </w:pPr>
      <w:r>
        <w:rPr>
          <w:rFonts w:hint="cs"/>
          <w:rtl/>
          <w:lang w:bidi="ar-EG"/>
        </w:rPr>
        <w:t>ملخص وموقع النصوص</w:t>
      </w:r>
    </w:p>
    <w:p w:rsidR="00682032" w:rsidRPr="00F917B1" w:rsidRDefault="00252290" w:rsidP="00F917B1">
      <w:pPr>
        <w:pStyle w:val="Headingb"/>
        <w:spacing w:before="360"/>
        <w:rPr>
          <w:rFonts w:ascii="Times New Roman Bold" w:hAnsi="Times New Roman Bold"/>
          <w:bCs/>
          <w:rtl/>
          <w:lang w:bidi="ar-EG"/>
        </w:rPr>
      </w:pPr>
      <w:r w:rsidRPr="00122039">
        <w:rPr>
          <w:rFonts w:ascii="Times New Roman Bold" w:hAnsi="Times New Roman Bold" w:hint="cs"/>
          <w:bCs/>
          <w:rtl/>
          <w:lang w:bidi="ar-EG"/>
        </w:rPr>
        <w:t xml:space="preserve">مشروع توصية جديدة </w:t>
      </w:r>
      <w:r w:rsidR="00FB3A15" w:rsidRPr="00122039">
        <w:rPr>
          <w:rFonts w:ascii="Times New Roman Bold" w:hAnsi="Times New Roman Bold"/>
          <w:bCs/>
          <w:lang w:bidi="ar-EG"/>
        </w:rPr>
        <w:t>ISO/IEC 29168-</w:t>
      </w:r>
      <w:r w:rsidR="00FB3A15">
        <w:rPr>
          <w:rFonts w:ascii="Times New Roman Bold" w:hAnsi="Times New Roman Bold"/>
          <w:bCs/>
          <w:lang w:bidi="ar-EG"/>
        </w:rPr>
        <w:t>2 | </w:t>
      </w:r>
      <w:r w:rsidRPr="00122039">
        <w:rPr>
          <w:rFonts w:ascii="Times New Roman Bold" w:hAnsi="Times New Roman Bold"/>
          <w:bCs/>
          <w:lang w:bidi="ar-EG"/>
        </w:rPr>
        <w:t>ITU-T X.673</w:t>
      </w:r>
      <w:r w:rsidRPr="00122039">
        <w:rPr>
          <w:rFonts w:ascii="Times New Roman Bold" w:hAnsi="Times New Roman Bold" w:hint="cs"/>
          <w:bCs/>
          <w:rtl/>
          <w:lang w:bidi="ar-EG"/>
        </w:rPr>
        <w:t xml:space="preserve">: الإجراءات المطبقة على وكالة تشغيل أنظمة </w:t>
      </w:r>
      <w:proofErr w:type="spellStart"/>
      <w:r w:rsidRPr="00122039">
        <w:rPr>
          <w:rFonts w:ascii="Times New Roman Bold" w:hAnsi="Times New Roman Bold" w:hint="cs"/>
          <w:bCs/>
          <w:rtl/>
          <w:lang w:bidi="ar-EG"/>
        </w:rPr>
        <w:t>استبانة</w:t>
      </w:r>
      <w:proofErr w:type="spellEnd"/>
      <w:r w:rsidRPr="00122039">
        <w:rPr>
          <w:rFonts w:ascii="Times New Roman Bold" w:hAnsi="Times New Roman Bold" w:hint="cs"/>
          <w:bCs/>
          <w:rtl/>
          <w:lang w:bidi="ar-EG"/>
        </w:rPr>
        <w:t xml:space="preserve"> تعرف هوية الشيء</w:t>
      </w:r>
    </w:p>
    <w:p w:rsidR="00252290" w:rsidRPr="00F917B1" w:rsidRDefault="00252290" w:rsidP="00F917B1">
      <w:pPr>
        <w:pStyle w:val="Headingb"/>
        <w:rPr>
          <w:rFonts w:ascii="Times New Roman Bold" w:hAnsi="Times New Roman Bold"/>
          <w:bCs/>
          <w:rtl/>
          <w:lang w:bidi="ar-EG"/>
        </w:rPr>
      </w:pPr>
      <w:r w:rsidRPr="00122039">
        <w:rPr>
          <w:rFonts w:ascii="Times New Roman Bold" w:hAnsi="Times New Roman Bold"/>
          <w:bCs/>
          <w:lang w:bidi="ar-EG"/>
        </w:rPr>
        <w:t>COM 17-R 22</w:t>
      </w:r>
    </w:p>
    <w:p w:rsidR="006079CB" w:rsidRDefault="006079CB" w:rsidP="006079CB">
      <w:pPr>
        <w:pStyle w:val="heading-ib"/>
        <w:rPr>
          <w:i w:val="0"/>
          <w:iCs w:val="0"/>
          <w:rtl/>
          <w:lang w:val="en-US" w:bidi="ar-EG"/>
        </w:rPr>
      </w:pPr>
      <w:r>
        <w:rPr>
          <w:rFonts w:hint="cs"/>
          <w:i w:val="0"/>
          <w:iCs w:val="0"/>
          <w:rtl/>
          <w:lang w:val="en-US" w:bidi="ar-EG"/>
        </w:rPr>
        <w:t>ملخص</w:t>
      </w:r>
    </w:p>
    <w:p w:rsidR="006079CB" w:rsidRDefault="00502D73" w:rsidP="00FB3A15">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تحدد هذه التوصية</w:t>
      </w:r>
      <w:r w:rsidR="00FB3A15">
        <w:rPr>
          <w:rFonts w:hint="eastAsia"/>
          <w:rtl/>
          <w:lang w:bidi="ar-EG"/>
        </w:rPr>
        <w:t> </w:t>
      </w:r>
      <w:r w:rsidR="00FB3A15">
        <w:rPr>
          <w:rFonts w:hint="cs"/>
          <w:rtl/>
          <w:lang w:bidi="ar-EG"/>
        </w:rPr>
        <w:t>|</w:t>
      </w:r>
      <w:r w:rsidR="00FB3A15">
        <w:rPr>
          <w:rFonts w:hint="eastAsia"/>
          <w:rtl/>
          <w:lang w:bidi="ar-EG"/>
        </w:rPr>
        <w:t> </w:t>
      </w:r>
      <w:r>
        <w:rPr>
          <w:rFonts w:hint="cs"/>
          <w:rtl/>
          <w:lang w:bidi="ar-EG"/>
        </w:rPr>
        <w:t xml:space="preserve">المعيار الدولي الأنظمة التي يتعين أن تضطلع </w:t>
      </w:r>
      <w:proofErr w:type="spellStart"/>
      <w:r>
        <w:rPr>
          <w:rFonts w:hint="cs"/>
          <w:rtl/>
          <w:lang w:bidi="ar-EG"/>
        </w:rPr>
        <w:t>بها</w:t>
      </w:r>
      <w:proofErr w:type="spellEnd"/>
      <w:r>
        <w:rPr>
          <w:rFonts w:hint="cs"/>
          <w:rtl/>
          <w:lang w:bidi="ar-EG"/>
        </w:rPr>
        <w:t xml:space="preserve"> أنظمة </w:t>
      </w:r>
      <w:proofErr w:type="spellStart"/>
      <w:r>
        <w:rPr>
          <w:rFonts w:hint="cs"/>
          <w:rtl/>
          <w:lang w:bidi="ar-EG"/>
        </w:rPr>
        <w:t>استبانة</w:t>
      </w:r>
      <w:proofErr w:type="spellEnd"/>
      <w:r>
        <w:rPr>
          <w:rFonts w:hint="cs"/>
          <w:rtl/>
          <w:lang w:bidi="ar-EG"/>
        </w:rPr>
        <w:t xml:space="preserve"> تعرف هوية الشيء لوكالة التشغيل دعماً لأنظمة </w:t>
      </w:r>
      <w:proofErr w:type="spellStart"/>
      <w:r>
        <w:rPr>
          <w:rFonts w:hint="cs"/>
          <w:rtl/>
          <w:lang w:bidi="ar-EG"/>
        </w:rPr>
        <w:t>استبانة</w:t>
      </w:r>
      <w:proofErr w:type="spellEnd"/>
      <w:r>
        <w:rPr>
          <w:rFonts w:hint="cs"/>
          <w:rtl/>
          <w:lang w:bidi="ar-EG"/>
        </w:rPr>
        <w:t xml:space="preserve"> معرف هوية الشيء </w:t>
      </w:r>
      <w:r>
        <w:rPr>
          <w:lang w:bidi="ar-EG"/>
        </w:rPr>
        <w:t>(ORS)</w:t>
      </w:r>
      <w:r>
        <w:rPr>
          <w:rFonts w:hint="cs"/>
          <w:rtl/>
          <w:lang w:bidi="ar-EG"/>
        </w:rPr>
        <w:t xml:space="preserve">. ويشمل مواصفات استخدام </w:t>
      </w:r>
      <w:r>
        <w:rPr>
          <w:lang w:bidi="ar-EG"/>
        </w:rPr>
        <w:t>DNSSEC (NSEC3)</w:t>
      </w:r>
      <w:r>
        <w:rPr>
          <w:rFonts w:hint="cs"/>
          <w:rtl/>
          <w:lang w:bidi="ar-EG"/>
        </w:rPr>
        <w:t xml:space="preserve"> ويتناول قضايا الشحن. كما تحدد أيضاً آليات تسمية وكالة التشغيل باعتبارها سلطة تسجيل </w:t>
      </w:r>
      <w:r>
        <w:rPr>
          <w:lang w:bidi="ar-EG"/>
        </w:rPr>
        <w:t>ISO/IEC</w:t>
      </w:r>
      <w:r>
        <w:rPr>
          <w:rFonts w:hint="cs"/>
          <w:rtl/>
          <w:lang w:bidi="ar-EG"/>
        </w:rPr>
        <w:t>.</w:t>
      </w:r>
    </w:p>
    <w:p w:rsidR="00E27DA6" w:rsidRDefault="00E27DA6" w:rsidP="006079CB">
      <w:pPr>
        <w:tabs>
          <w:tab w:val="left" w:pos="794"/>
          <w:tab w:val="left" w:pos="1191"/>
          <w:tab w:val="left" w:pos="1588"/>
          <w:tab w:val="left" w:pos="1985"/>
        </w:tabs>
        <w:overflowPunct w:val="0"/>
        <w:autoSpaceDE w:val="0"/>
        <w:autoSpaceDN w:val="0"/>
        <w:adjustRightInd w:val="0"/>
        <w:textAlignment w:val="baseline"/>
        <w:rPr>
          <w:rtl/>
          <w:lang w:bidi="ar-EG"/>
        </w:rPr>
      </w:pPr>
      <w:r w:rsidRPr="00F34E18">
        <w:rPr>
          <w:rFonts w:hint="cs"/>
          <w:b/>
          <w:bCs/>
          <w:rtl/>
          <w:lang w:bidi="ar-EG"/>
        </w:rPr>
        <w:t>ملاحظة هامة</w:t>
      </w:r>
      <w:r>
        <w:rPr>
          <w:rFonts w:hint="cs"/>
          <w:rtl/>
          <w:lang w:bidi="ar-EG"/>
        </w:rPr>
        <w:t xml:space="preserve">: سيؤجل تيسر هذا النص إلى حين اختتام اجتماع معالجة التصويت المتعلق بالملف </w:t>
      </w:r>
      <w:r>
        <w:rPr>
          <w:lang w:bidi="ar-EG"/>
        </w:rPr>
        <w:t>FCD</w:t>
      </w:r>
      <w:r>
        <w:rPr>
          <w:rFonts w:hint="cs"/>
          <w:rtl/>
          <w:lang w:bidi="ar-EG"/>
        </w:rPr>
        <w:t xml:space="preserve"> للمنظمتين </w:t>
      </w:r>
      <w:r>
        <w:rPr>
          <w:lang w:bidi="ar-EG"/>
        </w:rPr>
        <w:t>ISO/IEC</w:t>
      </w:r>
      <w:r w:rsidR="00F34E18">
        <w:rPr>
          <w:rFonts w:hint="cs"/>
          <w:rtl/>
          <w:lang w:bidi="ar-EG"/>
        </w:rPr>
        <w:t xml:space="preserve"> (</w:t>
      </w:r>
      <w:r w:rsidR="00F34E18">
        <w:rPr>
          <w:lang w:bidi="ar-EG"/>
        </w:rPr>
        <w:t>27</w:t>
      </w:r>
      <w:r w:rsidR="00F34E18">
        <w:rPr>
          <w:rFonts w:hint="cs"/>
          <w:rtl/>
          <w:lang w:bidi="ar-EG"/>
        </w:rPr>
        <w:t xml:space="preserve"> أغسطس </w:t>
      </w:r>
      <w:r w:rsidR="00F34E18">
        <w:rPr>
          <w:lang w:bidi="ar-EG"/>
        </w:rPr>
        <w:t>2010</w:t>
      </w:r>
      <w:r w:rsidR="00F34E18">
        <w:rPr>
          <w:rFonts w:hint="cs"/>
          <w:rtl/>
          <w:lang w:bidi="ar-EG"/>
        </w:rPr>
        <w:t>)</w:t>
      </w:r>
      <w:r>
        <w:rPr>
          <w:rFonts w:hint="cs"/>
          <w:rtl/>
          <w:lang w:bidi="ar-EG"/>
        </w:rPr>
        <w:t>.</w:t>
      </w:r>
    </w:p>
    <w:p w:rsidR="005250FD" w:rsidRPr="00F917B1" w:rsidRDefault="005250FD" w:rsidP="00F917B1">
      <w:pPr>
        <w:pStyle w:val="Headingb"/>
        <w:spacing w:before="360"/>
        <w:rPr>
          <w:rFonts w:ascii="Times New Roman Bold" w:hAnsi="Times New Roman Bold"/>
          <w:bCs/>
          <w:rtl/>
          <w:lang w:bidi="ar-EG"/>
        </w:rPr>
      </w:pPr>
      <w:r w:rsidRPr="00F917B1">
        <w:rPr>
          <w:rFonts w:ascii="Times New Roman Bold" w:hAnsi="Times New Roman Bold" w:hint="cs"/>
          <w:bCs/>
          <w:rtl/>
          <w:lang w:bidi="ar-EG"/>
        </w:rPr>
        <w:t xml:space="preserve">مشروع توصية جديدة </w:t>
      </w:r>
      <w:r w:rsidRPr="00F917B1">
        <w:rPr>
          <w:rFonts w:ascii="Times New Roman Bold" w:hAnsi="Times New Roman Bold"/>
          <w:bCs/>
          <w:lang w:bidi="ar-EG"/>
        </w:rPr>
        <w:t>ITU-T</w:t>
      </w:r>
      <w:r w:rsidR="00FB3A15" w:rsidRPr="00F917B1">
        <w:rPr>
          <w:rFonts w:ascii="Times New Roman Bold" w:hAnsi="Times New Roman Bold"/>
          <w:bCs/>
          <w:lang w:bidi="ar-EG"/>
        </w:rPr>
        <w:t> </w:t>
      </w:r>
      <w:r w:rsidRPr="00F917B1">
        <w:rPr>
          <w:rFonts w:ascii="Times New Roman Bold" w:hAnsi="Times New Roman Bold"/>
          <w:bCs/>
          <w:lang w:bidi="ar-EG"/>
        </w:rPr>
        <w:t>X.1032</w:t>
      </w:r>
      <w:r w:rsidR="00F272FF" w:rsidRPr="00F917B1">
        <w:rPr>
          <w:rFonts w:ascii="Times New Roman Bold" w:hAnsi="Times New Roman Bold" w:hint="cs"/>
          <w:bCs/>
          <w:rtl/>
          <w:lang w:bidi="ar-EG"/>
        </w:rPr>
        <w:t xml:space="preserve"> (</w:t>
      </w:r>
      <w:proofErr w:type="spellStart"/>
      <w:r w:rsidR="00F34E18" w:rsidRPr="00F917B1">
        <w:rPr>
          <w:rFonts w:ascii="Times New Roman Bold" w:hAnsi="Times New Roman Bold"/>
          <w:bCs/>
          <w:lang w:bidi="ar-EG"/>
        </w:rPr>
        <w:t>X.interfaces</w:t>
      </w:r>
      <w:proofErr w:type="spellEnd"/>
      <w:r w:rsidR="00F272FF" w:rsidRPr="00F917B1">
        <w:rPr>
          <w:rFonts w:ascii="Times New Roman Bold" w:hAnsi="Times New Roman Bold" w:hint="cs"/>
          <w:bCs/>
          <w:rtl/>
          <w:lang w:bidi="ar-EG"/>
        </w:rPr>
        <w:t>)، معمارية العلاقات المشتركة الخارجية لنظام أمن شبكة</w:t>
      </w:r>
      <w:r w:rsidR="00FB3A15" w:rsidRPr="00F917B1">
        <w:rPr>
          <w:rFonts w:ascii="Times New Roman Bold" w:hAnsi="Times New Roman Bold" w:hint="eastAsia"/>
          <w:bCs/>
          <w:rtl/>
          <w:lang w:bidi="ar-EG"/>
        </w:rPr>
        <w:t> </w:t>
      </w:r>
      <w:r w:rsidR="00F272FF" w:rsidRPr="00F917B1">
        <w:rPr>
          <w:rFonts w:ascii="Times New Roman Bold" w:hAnsi="Times New Roman Bold" w:hint="cs"/>
          <w:bCs/>
          <w:rtl/>
          <w:lang w:bidi="ar-EG"/>
        </w:rPr>
        <w:t>اتصالات</w:t>
      </w:r>
    </w:p>
    <w:p w:rsidR="00F272FF" w:rsidRPr="00F917B1" w:rsidRDefault="00F272FF" w:rsidP="00F917B1">
      <w:pPr>
        <w:pStyle w:val="Headingb"/>
        <w:rPr>
          <w:rFonts w:ascii="Times New Roman Bold" w:hAnsi="Times New Roman Bold"/>
          <w:bCs/>
          <w:rtl/>
          <w:lang w:bidi="ar-EG"/>
        </w:rPr>
      </w:pPr>
      <w:r w:rsidRPr="00F917B1">
        <w:rPr>
          <w:rFonts w:ascii="Times New Roman Bold" w:hAnsi="Times New Roman Bold"/>
          <w:bCs/>
          <w:lang w:bidi="ar-EG"/>
        </w:rPr>
        <w:t>COM 17-R 15</w:t>
      </w:r>
    </w:p>
    <w:p w:rsidR="00CA3B2C" w:rsidRDefault="00CA3B2C" w:rsidP="00CA3B2C">
      <w:pPr>
        <w:pStyle w:val="heading-ib"/>
        <w:rPr>
          <w:b w:val="0"/>
          <w:bCs w:val="0"/>
          <w:i w:val="0"/>
          <w:iCs w:val="0"/>
          <w:rtl/>
          <w:lang w:val="en-US" w:bidi="ar-EG"/>
        </w:rPr>
      </w:pPr>
      <w:r w:rsidRPr="00CA3B2C">
        <w:rPr>
          <w:rFonts w:hint="cs"/>
          <w:i w:val="0"/>
          <w:iCs w:val="0"/>
          <w:rtl/>
          <w:lang w:val="en-US" w:bidi="ar-EG"/>
        </w:rPr>
        <w:t>ملخص</w:t>
      </w:r>
    </w:p>
    <w:p w:rsidR="00CA3B2C" w:rsidRDefault="00CA3B2C" w:rsidP="00CA3B2C">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 xml:space="preserve">تقترح هذه التوصية أربعة نماذج تسمح باستعراض العلاقات المشتركة لنظام أمن شبكة اتصالات </w:t>
      </w:r>
      <w:r>
        <w:rPr>
          <w:lang w:bidi="ar-EG"/>
        </w:rPr>
        <w:t>(TNSS)</w:t>
      </w:r>
      <w:r>
        <w:rPr>
          <w:rFonts w:hint="cs"/>
          <w:rtl/>
          <w:lang w:bidi="ar-EG"/>
        </w:rPr>
        <w:t xml:space="preserve"> مع مجموعة متنوعة من الأشياء الخارجية. وبالنسبة لكل شيء، تؤخذ وظائفه الرئيسية في الاعتبار وأثره المحتمل على مبادئ بناء نظام أمن شبكة اتصالات ووظائفها الرئيسية. وتفيد هذه التوصية كأساس لوضع توصيات تفصيلية لأمن الشبكات فيما يتعلق بأثر الأشياء الخارجية.</w:t>
      </w:r>
    </w:p>
    <w:p w:rsidR="00CA3B2C" w:rsidRPr="00F917B1" w:rsidRDefault="00CA3B2C" w:rsidP="00F917B1">
      <w:pPr>
        <w:pStyle w:val="Headingb"/>
        <w:spacing w:before="360"/>
        <w:rPr>
          <w:rFonts w:ascii="Times New Roman Bold" w:hAnsi="Times New Roman Bold"/>
          <w:bCs/>
          <w:rtl/>
          <w:lang w:bidi="ar-EG"/>
        </w:rPr>
      </w:pPr>
      <w:r w:rsidRPr="00F917B1">
        <w:rPr>
          <w:rFonts w:ascii="Times New Roman Bold" w:hAnsi="Times New Roman Bold" w:hint="cs"/>
          <w:bCs/>
          <w:rtl/>
          <w:lang w:bidi="ar-EG"/>
        </w:rPr>
        <w:t xml:space="preserve">مشروع توصية جديدة </w:t>
      </w:r>
      <w:r w:rsidRPr="00F917B1">
        <w:rPr>
          <w:rFonts w:ascii="Times New Roman Bold" w:hAnsi="Times New Roman Bold"/>
          <w:bCs/>
          <w:lang w:bidi="ar-EG"/>
        </w:rPr>
        <w:t>ITU-T X.1209</w:t>
      </w:r>
      <w:r w:rsidRPr="00F917B1">
        <w:rPr>
          <w:rFonts w:ascii="Times New Roman Bold" w:hAnsi="Times New Roman Bold" w:hint="cs"/>
          <w:bCs/>
          <w:rtl/>
          <w:lang w:bidi="ar-EG"/>
        </w:rPr>
        <w:t xml:space="preserve"> (</w:t>
      </w:r>
      <w:proofErr w:type="spellStart"/>
      <w:r w:rsidR="00F34E18" w:rsidRPr="00F917B1">
        <w:rPr>
          <w:rFonts w:ascii="Times New Roman Bold" w:hAnsi="Times New Roman Bold"/>
          <w:bCs/>
          <w:lang w:bidi="ar-EG"/>
        </w:rPr>
        <w:t>X.sisfreq</w:t>
      </w:r>
      <w:proofErr w:type="spellEnd"/>
      <w:r w:rsidRPr="00F917B1">
        <w:rPr>
          <w:rFonts w:ascii="Times New Roman Bold" w:hAnsi="Times New Roman Bold" w:hint="cs"/>
          <w:bCs/>
          <w:rtl/>
          <w:lang w:bidi="ar-EG"/>
        </w:rPr>
        <w:t xml:space="preserve">)، قدرات وسيناريوهات السياق المرتبط بتقاسم وتبادل معلومات الأمن </w:t>
      </w:r>
      <w:proofErr w:type="spellStart"/>
      <w:r w:rsidR="001B3983" w:rsidRPr="00F917B1">
        <w:rPr>
          <w:rFonts w:ascii="Times New Roman Bold" w:hAnsi="Times New Roman Bold" w:hint="cs"/>
          <w:bCs/>
          <w:rtl/>
          <w:lang w:bidi="ar-EG"/>
        </w:rPr>
        <w:t>ﺍﻟﺴﻴﺒﺮاني</w:t>
      </w:r>
      <w:proofErr w:type="spellEnd"/>
    </w:p>
    <w:p w:rsidR="00CA3B2C" w:rsidRPr="00F917B1" w:rsidRDefault="00CA3B2C" w:rsidP="00F917B1">
      <w:pPr>
        <w:pStyle w:val="Headingb"/>
        <w:rPr>
          <w:rFonts w:ascii="Times New Roman Bold" w:hAnsi="Times New Roman Bold"/>
          <w:bCs/>
          <w:rtl/>
          <w:lang w:bidi="ar-EG"/>
        </w:rPr>
      </w:pPr>
      <w:r w:rsidRPr="00F917B1">
        <w:rPr>
          <w:rFonts w:ascii="Times New Roman Bold" w:hAnsi="Times New Roman Bold"/>
          <w:bCs/>
          <w:lang w:bidi="ar-EG"/>
        </w:rPr>
        <w:t>COM 17-R 1</w:t>
      </w:r>
      <w:r w:rsidR="009946A9" w:rsidRPr="00F917B1">
        <w:rPr>
          <w:rFonts w:ascii="Times New Roman Bold" w:hAnsi="Times New Roman Bold"/>
          <w:bCs/>
          <w:lang w:bidi="ar-EG"/>
        </w:rPr>
        <w:t>6</w:t>
      </w:r>
    </w:p>
    <w:p w:rsidR="00CA3B2C" w:rsidRDefault="00CA3B2C" w:rsidP="00CA3B2C">
      <w:pPr>
        <w:pStyle w:val="heading-ib"/>
        <w:rPr>
          <w:b w:val="0"/>
          <w:bCs w:val="0"/>
          <w:i w:val="0"/>
          <w:iCs w:val="0"/>
          <w:rtl/>
          <w:lang w:val="en-US" w:bidi="ar-EG"/>
        </w:rPr>
      </w:pPr>
      <w:r w:rsidRPr="00CA3B2C">
        <w:rPr>
          <w:rFonts w:hint="cs"/>
          <w:i w:val="0"/>
          <w:iCs w:val="0"/>
          <w:rtl/>
          <w:lang w:val="en-US" w:bidi="ar-EG"/>
        </w:rPr>
        <w:t>ملخص</w:t>
      </w:r>
    </w:p>
    <w:p w:rsidR="00CA3B2C" w:rsidRDefault="009946A9" w:rsidP="004B08B1">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 xml:space="preserve">تصف هذه التوصية السيناريوهات رفيعة المستوى وقدرات الدعم لتقاسم وتبادل المعلومات بشأن الأمن </w:t>
      </w:r>
      <w:proofErr w:type="spellStart"/>
      <w:r w:rsidR="004B08B1">
        <w:rPr>
          <w:rFonts w:hint="cs"/>
          <w:rtl/>
          <w:lang w:bidi="ar-EG"/>
        </w:rPr>
        <w:t>ﺍﻟﺴﻴﺒﺮاني</w:t>
      </w:r>
      <w:proofErr w:type="spellEnd"/>
      <w:r w:rsidR="001B3983">
        <w:rPr>
          <w:rFonts w:hint="cs"/>
          <w:rtl/>
          <w:lang w:bidi="ar-EG"/>
        </w:rPr>
        <w:t xml:space="preserve">. وهي تحدد القدرات التي تعتبر هامة لضمان التشغيل البيني بين التطبيقات المتعلقة بتقاسم وتبادل المعلومات بشأن الأمن </w:t>
      </w:r>
      <w:proofErr w:type="spellStart"/>
      <w:r w:rsidR="001B3983">
        <w:rPr>
          <w:rFonts w:hint="cs"/>
          <w:rtl/>
          <w:lang w:bidi="ar-EG"/>
        </w:rPr>
        <w:t>ﺍﻟﺴﻴﺒﺮاني</w:t>
      </w:r>
      <w:proofErr w:type="spellEnd"/>
      <w:r w:rsidR="001B3983">
        <w:rPr>
          <w:rFonts w:hint="cs"/>
          <w:rtl/>
          <w:lang w:bidi="ar-EG"/>
        </w:rPr>
        <w:t>.</w:t>
      </w:r>
    </w:p>
    <w:p w:rsidR="004B08B1" w:rsidRDefault="004B08B1" w:rsidP="004B08B1">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ويمكن استخدام القدرات الموصوفة في السيناريوهات/الحالات لمساعدة الكيانات التي تعمل مسبقاً بطريقة مستقلة للمشاركة في مختلف الأنشطة المنسقة، على سبيل المثال للوقاية من بعض التصرفات أو وقفها أو لتنسيق أنشطة التحليل والتحديد.</w:t>
      </w:r>
    </w:p>
    <w:p w:rsidR="004B08B1" w:rsidRDefault="008A34FD" w:rsidP="004B08B1">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 xml:space="preserve">والهدف من القدرات المذكورة والموصوفة هو تحسين فعالية العمليات المرتبطة بالأمن مع كفالة تقاسم وتبادل معلومات التشغيل البيني بين الأطراف </w:t>
      </w:r>
      <w:proofErr w:type="spellStart"/>
      <w:r>
        <w:rPr>
          <w:rFonts w:hint="cs"/>
          <w:rtl/>
          <w:lang w:bidi="ar-EG"/>
        </w:rPr>
        <w:t>الموثوقة</w:t>
      </w:r>
      <w:proofErr w:type="spellEnd"/>
      <w:r>
        <w:rPr>
          <w:rFonts w:hint="cs"/>
          <w:rtl/>
          <w:lang w:bidi="ar-EG"/>
        </w:rPr>
        <w:t xml:space="preserve"> التي تتعاون من أجل مراقبة وصيانة وإدارة أمن الأنظمة والشبكات، بشكل عام.</w:t>
      </w:r>
    </w:p>
    <w:p w:rsidR="00153068" w:rsidRDefault="00153068" w:rsidP="00F34E18">
      <w:pPr>
        <w:keepNext/>
        <w:tabs>
          <w:tab w:val="left" w:pos="794"/>
          <w:tab w:val="left" w:pos="1191"/>
          <w:tab w:val="left" w:pos="1588"/>
          <w:tab w:val="left" w:pos="1985"/>
        </w:tabs>
        <w:overflowPunct w:val="0"/>
        <w:autoSpaceDE w:val="0"/>
        <w:autoSpaceDN w:val="0"/>
        <w:adjustRightInd w:val="0"/>
        <w:spacing w:before="240"/>
        <w:textAlignment w:val="baseline"/>
        <w:rPr>
          <w:b/>
          <w:bCs/>
          <w:rtl/>
          <w:lang w:bidi="ar-EG"/>
        </w:rPr>
      </w:pPr>
      <w:r>
        <w:rPr>
          <w:rFonts w:hint="cs"/>
          <w:b/>
          <w:bCs/>
          <w:rtl/>
          <w:lang w:bidi="ar-EG"/>
        </w:rPr>
        <w:lastRenderedPageBreak/>
        <w:t xml:space="preserve">مشروع توصية جديدة </w:t>
      </w:r>
      <w:r>
        <w:rPr>
          <w:b/>
          <w:bCs/>
          <w:lang w:bidi="ar-EG"/>
        </w:rPr>
        <w:t>ITU-T X.1243</w:t>
      </w:r>
      <w:r>
        <w:rPr>
          <w:rFonts w:hint="cs"/>
          <w:b/>
          <w:bCs/>
          <w:rtl/>
          <w:lang w:bidi="ar-EG"/>
        </w:rPr>
        <w:t xml:space="preserve"> (</w:t>
      </w:r>
      <w:r w:rsidR="00F34E18">
        <w:rPr>
          <w:b/>
          <w:bCs/>
          <w:lang w:bidi="ar-EG"/>
        </w:rPr>
        <w:t>X.</w:t>
      </w:r>
      <w:r>
        <w:rPr>
          <w:b/>
          <w:bCs/>
          <w:lang w:bidi="ar-EG"/>
        </w:rPr>
        <w:t>tcs-1</w:t>
      </w:r>
      <w:r>
        <w:rPr>
          <w:rFonts w:hint="cs"/>
          <w:b/>
          <w:bCs/>
          <w:rtl/>
          <w:lang w:bidi="ar-EG"/>
        </w:rPr>
        <w:t>)، نظام البوابة التفاعلية لمكافحة الرسائل الاقتحامية</w:t>
      </w:r>
    </w:p>
    <w:p w:rsidR="00153068" w:rsidRDefault="00153068" w:rsidP="00F5257A">
      <w:pPr>
        <w:keepNext/>
        <w:tabs>
          <w:tab w:val="left" w:pos="794"/>
          <w:tab w:val="left" w:pos="1191"/>
          <w:tab w:val="left" w:pos="1588"/>
          <w:tab w:val="left" w:pos="1985"/>
        </w:tabs>
        <w:overflowPunct w:val="0"/>
        <w:autoSpaceDE w:val="0"/>
        <w:autoSpaceDN w:val="0"/>
        <w:adjustRightInd w:val="0"/>
        <w:textAlignment w:val="baseline"/>
        <w:rPr>
          <w:b/>
          <w:bCs/>
          <w:rtl/>
          <w:lang w:bidi="ar-EG"/>
        </w:rPr>
      </w:pPr>
      <w:r>
        <w:rPr>
          <w:b/>
          <w:bCs/>
          <w:lang w:bidi="ar-EG"/>
        </w:rPr>
        <w:t>COM 17-R 17</w:t>
      </w:r>
    </w:p>
    <w:p w:rsidR="00153068" w:rsidRDefault="00153068" w:rsidP="00F5257A">
      <w:pPr>
        <w:pStyle w:val="heading-ib"/>
        <w:keepNext/>
        <w:rPr>
          <w:b w:val="0"/>
          <w:bCs w:val="0"/>
          <w:i w:val="0"/>
          <w:iCs w:val="0"/>
          <w:rtl/>
          <w:lang w:val="en-US" w:bidi="ar-EG"/>
        </w:rPr>
      </w:pPr>
      <w:r w:rsidRPr="00CA3B2C">
        <w:rPr>
          <w:rFonts w:hint="cs"/>
          <w:i w:val="0"/>
          <w:iCs w:val="0"/>
          <w:rtl/>
          <w:lang w:val="en-US" w:bidi="ar-EG"/>
        </w:rPr>
        <w:t>ملخص</w:t>
      </w:r>
    </w:p>
    <w:p w:rsidR="00153068" w:rsidRDefault="00153068" w:rsidP="00153068">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تحدد هذه التوصية نظاماً للبوابة التفاعلية لمكافحة الرسائل الاقتحامية بين الميادين. ويسمح نظام البوابة بإرسال تبليغات بالرسائل الاقتحامية من ميدان إلى آخر وتجنب مرور الرسائل الاقتحامية من ميدان إلى آخر.</w:t>
      </w:r>
    </w:p>
    <w:p w:rsidR="00153068" w:rsidRDefault="00153068" w:rsidP="00153068">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وتحدد هذه التوصية بالإضافة إلى ذلك معمارية نظام البوابة، وتصف الكيانات الأساسية، والبروتوكولات والوظائف وتصف الآليات التي تسمح لنظام البوابة بالكشف عن الرسائل الاقتحامية، وبتقاسم المعلومات واتخاذ تدابير محددة لمكافحة الرسائل الاقتحامية.</w:t>
      </w:r>
    </w:p>
    <w:p w:rsidR="0002759A" w:rsidRPr="00F917B1" w:rsidRDefault="0002759A" w:rsidP="00F917B1">
      <w:pPr>
        <w:pStyle w:val="Headingb"/>
        <w:spacing w:before="360"/>
        <w:rPr>
          <w:rFonts w:ascii="Times New Roman Bold" w:hAnsi="Times New Roman Bold"/>
          <w:bCs/>
          <w:rtl/>
          <w:lang w:bidi="ar-EG"/>
        </w:rPr>
      </w:pPr>
      <w:r w:rsidRPr="00F917B1">
        <w:rPr>
          <w:rFonts w:ascii="Times New Roman Bold" w:hAnsi="Times New Roman Bold" w:hint="cs"/>
          <w:bCs/>
          <w:rtl/>
          <w:lang w:bidi="ar-EG"/>
        </w:rPr>
        <w:t xml:space="preserve">مشروع توصية جديدة </w:t>
      </w:r>
      <w:r w:rsidRPr="00F917B1">
        <w:rPr>
          <w:rFonts w:ascii="Times New Roman Bold" w:hAnsi="Times New Roman Bold"/>
          <w:bCs/>
          <w:lang w:bidi="ar-EG"/>
        </w:rPr>
        <w:t>ITU-T X.1245</w:t>
      </w:r>
      <w:r w:rsidRPr="00F917B1">
        <w:rPr>
          <w:rFonts w:ascii="Times New Roman Bold" w:hAnsi="Times New Roman Bold" w:hint="cs"/>
          <w:bCs/>
          <w:rtl/>
          <w:lang w:bidi="ar-EG"/>
        </w:rPr>
        <w:t xml:space="preserve"> (</w:t>
      </w:r>
      <w:proofErr w:type="spellStart"/>
      <w:r w:rsidR="00F34E18" w:rsidRPr="00F917B1">
        <w:rPr>
          <w:rFonts w:ascii="Times New Roman Bold" w:hAnsi="Times New Roman Bold"/>
          <w:bCs/>
          <w:lang w:bidi="ar-EG"/>
        </w:rPr>
        <w:t>X.</w:t>
      </w:r>
      <w:r w:rsidRPr="00F917B1">
        <w:rPr>
          <w:rFonts w:ascii="Times New Roman Bold" w:hAnsi="Times New Roman Bold"/>
          <w:bCs/>
          <w:lang w:bidi="ar-EG"/>
        </w:rPr>
        <w:t>fcsip</w:t>
      </w:r>
      <w:proofErr w:type="spellEnd"/>
      <w:r w:rsidRPr="00F917B1">
        <w:rPr>
          <w:rFonts w:ascii="Times New Roman Bold" w:hAnsi="Times New Roman Bold" w:hint="cs"/>
          <w:bCs/>
          <w:rtl/>
          <w:lang w:bidi="ar-EG"/>
        </w:rPr>
        <w:t>)، إطار لمكافحة الرسائل الاقتحامية في تطبيقات بروتوكول الإنترنت متعدد الوسائط</w:t>
      </w:r>
    </w:p>
    <w:p w:rsidR="0002759A" w:rsidRPr="00F917B1" w:rsidRDefault="0002759A" w:rsidP="00F917B1">
      <w:pPr>
        <w:pStyle w:val="Headingb"/>
        <w:spacing w:before="120"/>
        <w:rPr>
          <w:rFonts w:ascii="Times New Roman Bold" w:hAnsi="Times New Roman Bold"/>
          <w:bCs/>
          <w:rtl/>
          <w:lang w:bidi="ar-EG"/>
        </w:rPr>
      </w:pPr>
      <w:r w:rsidRPr="00F917B1">
        <w:rPr>
          <w:rFonts w:ascii="Times New Roman Bold" w:hAnsi="Times New Roman Bold"/>
          <w:bCs/>
          <w:lang w:bidi="ar-EG"/>
        </w:rPr>
        <w:t>COM 17-R 18</w:t>
      </w:r>
    </w:p>
    <w:p w:rsidR="0002759A" w:rsidRDefault="0002759A" w:rsidP="0002759A">
      <w:pPr>
        <w:pStyle w:val="heading-ib"/>
        <w:rPr>
          <w:b w:val="0"/>
          <w:bCs w:val="0"/>
          <w:i w:val="0"/>
          <w:iCs w:val="0"/>
          <w:rtl/>
          <w:lang w:val="en-US" w:bidi="ar-EG"/>
        </w:rPr>
      </w:pPr>
      <w:r w:rsidRPr="00CA3B2C">
        <w:rPr>
          <w:rFonts w:hint="cs"/>
          <w:i w:val="0"/>
          <w:iCs w:val="0"/>
          <w:rtl/>
          <w:lang w:val="en-US" w:bidi="ar-EG"/>
        </w:rPr>
        <w:t>ملخص</w:t>
      </w:r>
    </w:p>
    <w:p w:rsidR="0002759A" w:rsidRDefault="0002759A" w:rsidP="0002759A">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 xml:space="preserve">تصف هذه التوصية الإطار العام لمكافحة الرسائل الاقتحامية في تطبيقات بروتوكول الإنترنت متعدد الوسائط من قبيل </w:t>
      </w:r>
      <w:proofErr w:type="spellStart"/>
      <w:r>
        <w:rPr>
          <w:rFonts w:hint="cs"/>
          <w:rtl/>
          <w:lang w:bidi="ar-EG"/>
        </w:rPr>
        <w:t>المهاتفة</w:t>
      </w:r>
      <w:proofErr w:type="spellEnd"/>
      <w:r>
        <w:rPr>
          <w:rFonts w:hint="cs"/>
          <w:rtl/>
          <w:lang w:bidi="ar-EG"/>
        </w:rPr>
        <w:t xml:space="preserve"> باستعمال بروتوكول الإنترنت، والمراسلة الفورية، والمؤتمرات متعددة الوسائط، وما إلى ذلك. </w:t>
      </w:r>
      <w:r w:rsidR="00F34E18">
        <w:rPr>
          <w:rFonts w:hint="cs"/>
          <w:rtl/>
          <w:lang w:bidi="ar-EG"/>
        </w:rPr>
        <w:t>ويتألف الإطار من مجموعة من أربع</w:t>
      </w:r>
      <w:r>
        <w:rPr>
          <w:rFonts w:hint="cs"/>
          <w:rtl/>
          <w:lang w:bidi="ar-EG"/>
        </w:rPr>
        <w:t xml:space="preserve"> وظائف لمكافحة الرسائل الاقتحامية، أي الوظائف المركزية لمكافحة الرسائل الاقتحامية </w:t>
      </w:r>
      <w:r>
        <w:rPr>
          <w:lang w:bidi="ar-EG"/>
        </w:rPr>
        <w:t>(RASF)</w:t>
      </w:r>
      <w:r>
        <w:rPr>
          <w:rFonts w:hint="cs"/>
          <w:rtl/>
          <w:lang w:bidi="ar-EG"/>
        </w:rPr>
        <w:t>، ووظائف مكافحة الرسائل الاقتحامية على جانب المقصد. وتصف هذه التوصية العناصر الوظيفية والسطوح البينية لكل وظيفة من أجل مكافحة الرسائل الاقتحامية في بروتوكول الإنترنت متعدد الوسائط.</w:t>
      </w:r>
    </w:p>
    <w:p w:rsidR="0002759A" w:rsidRPr="00F917B1" w:rsidRDefault="0002759A" w:rsidP="00F917B1">
      <w:pPr>
        <w:pStyle w:val="Headingb"/>
        <w:spacing w:before="360"/>
        <w:rPr>
          <w:rFonts w:ascii="Times New Roman Bold" w:hAnsi="Times New Roman Bold"/>
          <w:bCs/>
          <w:lang w:bidi="ar-EG"/>
        </w:rPr>
      </w:pPr>
      <w:r w:rsidRPr="00F917B1">
        <w:rPr>
          <w:rFonts w:ascii="Times New Roman Bold" w:hAnsi="Times New Roman Bold" w:hint="cs"/>
          <w:bCs/>
          <w:rtl/>
          <w:lang w:bidi="ar-EG"/>
        </w:rPr>
        <w:t xml:space="preserve">مشروع توصية جديدة </w:t>
      </w:r>
      <w:r w:rsidRPr="00F917B1">
        <w:rPr>
          <w:rFonts w:ascii="Times New Roman Bold" w:hAnsi="Times New Roman Bold"/>
          <w:bCs/>
          <w:lang w:bidi="ar-EG"/>
        </w:rPr>
        <w:t>ITU-T X.1275</w:t>
      </w:r>
      <w:r w:rsidRPr="00F917B1">
        <w:rPr>
          <w:rFonts w:ascii="Times New Roman Bold" w:hAnsi="Times New Roman Bold" w:hint="cs"/>
          <w:bCs/>
          <w:rtl/>
          <w:lang w:bidi="ar-EG"/>
        </w:rPr>
        <w:t xml:space="preserve"> (</w:t>
      </w:r>
      <w:proofErr w:type="spellStart"/>
      <w:r w:rsidR="00F34E18" w:rsidRPr="00F917B1">
        <w:rPr>
          <w:rFonts w:ascii="Times New Roman Bold" w:hAnsi="Times New Roman Bold"/>
          <w:bCs/>
          <w:lang w:bidi="ar-EG"/>
        </w:rPr>
        <w:t>X.</w:t>
      </w:r>
      <w:r w:rsidRPr="00F917B1">
        <w:rPr>
          <w:rFonts w:ascii="Times New Roman Bold" w:hAnsi="Times New Roman Bold"/>
          <w:bCs/>
          <w:lang w:bidi="ar-EG"/>
        </w:rPr>
        <w:t>rfpg</w:t>
      </w:r>
      <w:proofErr w:type="spellEnd"/>
      <w:r w:rsidRPr="00F917B1">
        <w:rPr>
          <w:rFonts w:ascii="Times New Roman Bold" w:hAnsi="Times New Roman Bold" w:hint="cs"/>
          <w:bCs/>
          <w:rtl/>
          <w:lang w:bidi="ar-EG"/>
        </w:rPr>
        <w:t xml:space="preserve">)، مبادئ توجيهية تتعلق بحماية معلومات تحديد الهوية الشخصية في التطبيقات التي تستخدم تكنولوجيا </w:t>
      </w:r>
      <w:r w:rsidRPr="00F917B1">
        <w:rPr>
          <w:rFonts w:ascii="Times New Roman Bold" w:hAnsi="Times New Roman Bold"/>
          <w:bCs/>
          <w:lang w:bidi="ar-EG"/>
        </w:rPr>
        <w:t>RFID</w:t>
      </w:r>
    </w:p>
    <w:p w:rsidR="0002759A" w:rsidRPr="00F917B1" w:rsidRDefault="0002759A" w:rsidP="00F917B1">
      <w:pPr>
        <w:pStyle w:val="Headingb"/>
        <w:spacing w:before="120"/>
        <w:rPr>
          <w:rFonts w:ascii="Times New Roman Bold" w:hAnsi="Times New Roman Bold"/>
          <w:bCs/>
          <w:rtl/>
          <w:lang w:bidi="ar-EG"/>
        </w:rPr>
      </w:pPr>
      <w:r w:rsidRPr="00F917B1">
        <w:rPr>
          <w:rFonts w:ascii="Times New Roman Bold" w:hAnsi="Times New Roman Bold"/>
          <w:bCs/>
          <w:lang w:bidi="ar-EG"/>
        </w:rPr>
        <w:t>COM 17-R 21</w:t>
      </w:r>
    </w:p>
    <w:p w:rsidR="0002759A" w:rsidRDefault="0002759A" w:rsidP="0002759A">
      <w:pPr>
        <w:pStyle w:val="heading-ib"/>
        <w:rPr>
          <w:b w:val="0"/>
          <w:bCs w:val="0"/>
          <w:i w:val="0"/>
          <w:iCs w:val="0"/>
          <w:rtl/>
          <w:lang w:val="en-US" w:bidi="ar-EG"/>
        </w:rPr>
      </w:pPr>
      <w:r w:rsidRPr="00CA3B2C">
        <w:rPr>
          <w:rFonts w:hint="cs"/>
          <w:i w:val="0"/>
          <w:iCs w:val="0"/>
          <w:rtl/>
          <w:lang w:val="en-US" w:bidi="ar-EG"/>
        </w:rPr>
        <w:t>ملخص</w:t>
      </w:r>
    </w:p>
    <w:p w:rsidR="0002759A" w:rsidRDefault="0002759A" w:rsidP="0002759A">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lang w:bidi="ar-EG"/>
        </w:rPr>
        <w:t xml:space="preserve">تقر هذه التوصية بأن تكنولوجيا </w:t>
      </w:r>
      <w:r w:rsidRPr="0002759A">
        <w:rPr>
          <w:lang w:bidi="ar-EG"/>
        </w:rPr>
        <w:t>RFID</w:t>
      </w:r>
      <w:r>
        <w:rPr>
          <w:rFonts w:hint="cs"/>
          <w:rtl/>
          <w:lang w:bidi="ar-EG"/>
        </w:rPr>
        <w:t xml:space="preserve"> تنطوي على مخاطر من حيث أن المعلومات المتعلقة تحديداً بالسلع والمنتجات التي يحملها أو ينقلها أفراد يمكن استخدامها لأغراض استغلالية، حتى وإن كانت هذه التكنولوجيا تسهل إلى حد كبير النفاذ إلى هذه المعلومات ونشرها لأغراض مشروعة. ويمكن أن يكون سوء الاستعمال واضحاً، مثلاً، إذ يمكن التوصل إلى تحديد مكان فرد ما أو التدخل في حياته الشخصية عن طريق وسيلة أخرى غير مشروعة. وتوفر هذه التوصية بالتالي مبادئ توجيهية قابلة للتطبيق على إجراءات </w:t>
      </w:r>
      <w:r w:rsidRPr="0002759A">
        <w:rPr>
          <w:lang w:bidi="ar-EG"/>
        </w:rPr>
        <w:t>RFID</w:t>
      </w:r>
      <w:r>
        <w:rPr>
          <w:rFonts w:hint="cs"/>
          <w:rtl/>
          <w:lang w:bidi="ar-EG"/>
        </w:rPr>
        <w:t xml:space="preserve"> التي يمكن استعمالها للاستفادة من مزايا هذه التكنولوجيا مع ضمان حماية معلومات تحديد الهوية الشخصية.</w:t>
      </w:r>
    </w:p>
    <w:p w:rsidR="00E86170" w:rsidRPr="0002759A" w:rsidRDefault="00E86170" w:rsidP="00E86170">
      <w:pPr>
        <w:tabs>
          <w:tab w:val="left" w:pos="794"/>
          <w:tab w:val="left" w:pos="1191"/>
          <w:tab w:val="left" w:pos="1588"/>
          <w:tab w:val="left" w:pos="1985"/>
        </w:tabs>
        <w:overflowPunct w:val="0"/>
        <w:autoSpaceDE w:val="0"/>
        <w:autoSpaceDN w:val="0"/>
        <w:adjustRightInd w:val="0"/>
        <w:spacing w:before="600"/>
        <w:jc w:val="center"/>
        <w:textAlignment w:val="baseline"/>
        <w:rPr>
          <w:rtl/>
          <w:lang w:bidi="ar-EG"/>
        </w:rPr>
      </w:pPr>
      <w:r w:rsidRPr="00E86170">
        <w:rPr>
          <w:rFonts w:hint="cs"/>
          <w:rtl/>
        </w:rPr>
        <w:t>ـــــــ</w:t>
      </w:r>
    </w:p>
    <w:sectPr w:rsidR="00E86170" w:rsidRPr="0002759A" w:rsidSect="00A72D0B">
      <w:headerReference w:type="default" r:id="rId9"/>
      <w:footerReference w:type="default" r:id="rId10"/>
      <w:footerReference w:type="first" r:id="rId11"/>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A9" w:rsidRDefault="009946A9">
      <w:r>
        <w:separator/>
      </w:r>
    </w:p>
  </w:endnote>
  <w:endnote w:type="continuationSeparator" w:id="0">
    <w:p w:rsidR="009946A9" w:rsidRDefault="0099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1D" w:rsidRPr="000D4E75" w:rsidRDefault="00E6761D" w:rsidP="00E6761D">
    <w:pPr>
      <w:pStyle w:val="Footer"/>
      <w:jc w:val="right"/>
      <w:rPr>
        <w:sz w:val="16"/>
        <w:lang w:val="fr-CH"/>
      </w:rPr>
    </w:pPr>
    <w:r>
      <w:rPr>
        <w:sz w:val="16"/>
        <w:lang w:val="fr-CH"/>
      </w:rPr>
      <w:t>ITU-T\BUREAU\CIRC\105A.DOC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946A9">
      <w:tc>
        <w:tcPr>
          <w:tcW w:w="10149" w:type="dxa"/>
        </w:tcPr>
        <w:p w:rsidR="009946A9" w:rsidRDefault="009946A9">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9946A9" w:rsidRDefault="009946A9" w:rsidP="00A26EA0">
          <w:pPr>
            <w:tabs>
              <w:tab w:val="left" w:pos="2084"/>
              <w:tab w:val="left" w:pos="2984"/>
              <w:tab w:val="left" w:pos="3289"/>
              <w:tab w:val="left" w:pos="3344"/>
              <w:tab w:val="left" w:pos="3560"/>
              <w:tab w:val="left" w:pos="5684"/>
              <w:tab w:val="left" w:pos="874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F11BC4">
              <w:rPr>
                <w:rStyle w:val="Hyperlink"/>
                <w:rFonts w:ascii="Futura Lt BT" w:hAnsi="Futura Lt BT"/>
                <w:sz w:val="18"/>
              </w:rPr>
              <w:t>www.itu.int</w:t>
            </w:r>
          </w:hyperlink>
        </w:p>
        <w:p w:rsidR="009946A9" w:rsidRDefault="009946A9">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9946A9" w:rsidRDefault="009946A9" w:rsidP="0019658A">
    <w:pPr>
      <w:pStyle w:val="Footer"/>
      <w:tabs>
        <w:tab w:val="clear" w:pos="4703"/>
        <w:tab w:val="clear" w:pos="9406"/>
        <w:tab w:val="right" w:pos="9617"/>
      </w:tabs>
      <w:bidi w:val="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A9" w:rsidRDefault="009946A9">
      <w:r>
        <w:separator/>
      </w:r>
    </w:p>
  </w:footnote>
  <w:footnote w:type="continuationSeparator" w:id="0">
    <w:p w:rsidR="009946A9" w:rsidRDefault="0099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A9" w:rsidRDefault="009946A9" w:rsidP="008165EA">
    <w:pPr>
      <w:pStyle w:val="Header"/>
      <w:bidi w:val="0"/>
      <w:spacing w:before="0"/>
      <w:jc w:val="center"/>
    </w:pPr>
    <w:r>
      <w:t>- </w:t>
    </w:r>
    <w:r w:rsidR="00753B71">
      <w:rPr>
        <w:rStyle w:val="PageNumber"/>
      </w:rPr>
      <w:fldChar w:fldCharType="begin"/>
    </w:r>
    <w:r>
      <w:rPr>
        <w:rStyle w:val="PageNumber"/>
      </w:rPr>
      <w:instrText xml:space="preserve"> PAGE </w:instrText>
    </w:r>
    <w:r w:rsidR="00753B71">
      <w:rPr>
        <w:rStyle w:val="PageNumber"/>
      </w:rPr>
      <w:fldChar w:fldCharType="separate"/>
    </w:r>
    <w:r w:rsidR="003E45D3">
      <w:rPr>
        <w:rStyle w:val="PageNumber"/>
        <w:noProof/>
      </w:rPr>
      <w:t>4</w:t>
    </w:r>
    <w:r w:rsidR="00753B71">
      <w:rPr>
        <w:rStyle w:val="PageNumber"/>
      </w:rPr>
      <w:fldChar w:fldCharType="end"/>
    </w:r>
    <w: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activeWritingStyle w:appName="MSWord" w:lang="fr-FR" w:vendorID="9" w:dllVersion="512" w:checkStyle="1"/>
  <w:proofState w:spelling="clean"/>
  <w:attachedTemplate r:id="rId1"/>
  <w:stylePaneFormatFilter w:val="3F01"/>
  <w:defaultTabStop w:val="794"/>
  <w:noPunctuationKerning/>
  <w:characterSpacingControl w:val="doNotCompress"/>
  <w:footnotePr>
    <w:footnote w:id="-1"/>
    <w:footnote w:id="0"/>
  </w:footnotePr>
  <w:endnotePr>
    <w:endnote w:id="-1"/>
    <w:endnote w:id="0"/>
  </w:endnotePr>
  <w:compat/>
  <w:rsids>
    <w:rsidRoot w:val="001A2BDF"/>
    <w:rsid w:val="000132B7"/>
    <w:rsid w:val="0002759A"/>
    <w:rsid w:val="00037F62"/>
    <w:rsid w:val="00064EC5"/>
    <w:rsid w:val="00070529"/>
    <w:rsid w:val="00081292"/>
    <w:rsid w:val="0008582E"/>
    <w:rsid w:val="00097DC9"/>
    <w:rsid w:val="000A7621"/>
    <w:rsid w:val="000C00E7"/>
    <w:rsid w:val="0010144A"/>
    <w:rsid w:val="001014A9"/>
    <w:rsid w:val="00105B0B"/>
    <w:rsid w:val="00122039"/>
    <w:rsid w:val="00127FFE"/>
    <w:rsid w:val="001515DC"/>
    <w:rsid w:val="00153068"/>
    <w:rsid w:val="0016089E"/>
    <w:rsid w:val="001737BA"/>
    <w:rsid w:val="00173D0D"/>
    <w:rsid w:val="00180899"/>
    <w:rsid w:val="0019658A"/>
    <w:rsid w:val="001A2BDF"/>
    <w:rsid w:val="001B3983"/>
    <w:rsid w:val="001D1DF8"/>
    <w:rsid w:val="001D39B3"/>
    <w:rsid w:val="001D6103"/>
    <w:rsid w:val="001E252E"/>
    <w:rsid w:val="001F6CD8"/>
    <w:rsid w:val="00224522"/>
    <w:rsid w:val="00235C8A"/>
    <w:rsid w:val="00252290"/>
    <w:rsid w:val="002947F9"/>
    <w:rsid w:val="002B45A1"/>
    <w:rsid w:val="002C5431"/>
    <w:rsid w:val="002E3F3A"/>
    <w:rsid w:val="00301350"/>
    <w:rsid w:val="00363E8E"/>
    <w:rsid w:val="00393E7C"/>
    <w:rsid w:val="003D5DAE"/>
    <w:rsid w:val="003E45D3"/>
    <w:rsid w:val="004067A6"/>
    <w:rsid w:val="00422171"/>
    <w:rsid w:val="004579B5"/>
    <w:rsid w:val="00460024"/>
    <w:rsid w:val="004603FF"/>
    <w:rsid w:val="00496580"/>
    <w:rsid w:val="004B08B1"/>
    <w:rsid w:val="004E1059"/>
    <w:rsid w:val="004E4BB7"/>
    <w:rsid w:val="00502D73"/>
    <w:rsid w:val="005206E2"/>
    <w:rsid w:val="005250FD"/>
    <w:rsid w:val="0054515F"/>
    <w:rsid w:val="00575402"/>
    <w:rsid w:val="00591E68"/>
    <w:rsid w:val="005960F3"/>
    <w:rsid w:val="005D467E"/>
    <w:rsid w:val="005D488B"/>
    <w:rsid w:val="005E007E"/>
    <w:rsid w:val="005F33FD"/>
    <w:rsid w:val="005F6833"/>
    <w:rsid w:val="006079CB"/>
    <w:rsid w:val="00637FB5"/>
    <w:rsid w:val="00661969"/>
    <w:rsid w:val="00682032"/>
    <w:rsid w:val="006D49AD"/>
    <w:rsid w:val="00713A1B"/>
    <w:rsid w:val="007149A7"/>
    <w:rsid w:val="007171AE"/>
    <w:rsid w:val="00733541"/>
    <w:rsid w:val="00734DF0"/>
    <w:rsid w:val="00746048"/>
    <w:rsid w:val="00753B71"/>
    <w:rsid w:val="00762ED5"/>
    <w:rsid w:val="00775E3D"/>
    <w:rsid w:val="007A66C2"/>
    <w:rsid w:val="007A6984"/>
    <w:rsid w:val="007E36E3"/>
    <w:rsid w:val="008165EA"/>
    <w:rsid w:val="008226F2"/>
    <w:rsid w:val="0082673E"/>
    <w:rsid w:val="0085168F"/>
    <w:rsid w:val="00866CFB"/>
    <w:rsid w:val="008A34FD"/>
    <w:rsid w:val="008E4CCA"/>
    <w:rsid w:val="008F5F35"/>
    <w:rsid w:val="009015FD"/>
    <w:rsid w:val="00911629"/>
    <w:rsid w:val="0093679C"/>
    <w:rsid w:val="0094567F"/>
    <w:rsid w:val="00965582"/>
    <w:rsid w:val="00973D3C"/>
    <w:rsid w:val="0097651D"/>
    <w:rsid w:val="00983A6E"/>
    <w:rsid w:val="009946A9"/>
    <w:rsid w:val="009A630E"/>
    <w:rsid w:val="009B0414"/>
    <w:rsid w:val="009D3962"/>
    <w:rsid w:val="009F3DDC"/>
    <w:rsid w:val="009F4B09"/>
    <w:rsid w:val="00A0722A"/>
    <w:rsid w:val="00A26EA0"/>
    <w:rsid w:val="00A655AC"/>
    <w:rsid w:val="00A72D0B"/>
    <w:rsid w:val="00A83A6D"/>
    <w:rsid w:val="00AA1A6E"/>
    <w:rsid w:val="00AB1A52"/>
    <w:rsid w:val="00B04630"/>
    <w:rsid w:val="00B06EFE"/>
    <w:rsid w:val="00B10464"/>
    <w:rsid w:val="00B232BD"/>
    <w:rsid w:val="00B7558A"/>
    <w:rsid w:val="00B805FD"/>
    <w:rsid w:val="00B85152"/>
    <w:rsid w:val="00BA2CE3"/>
    <w:rsid w:val="00BC0CCD"/>
    <w:rsid w:val="00BD2DA0"/>
    <w:rsid w:val="00C25DAB"/>
    <w:rsid w:val="00C42FC9"/>
    <w:rsid w:val="00C56944"/>
    <w:rsid w:val="00C62841"/>
    <w:rsid w:val="00C96833"/>
    <w:rsid w:val="00CA3B2C"/>
    <w:rsid w:val="00CB2C40"/>
    <w:rsid w:val="00CC30F9"/>
    <w:rsid w:val="00CE51A0"/>
    <w:rsid w:val="00CF2045"/>
    <w:rsid w:val="00CF7700"/>
    <w:rsid w:val="00D07074"/>
    <w:rsid w:val="00D64843"/>
    <w:rsid w:val="00D807A7"/>
    <w:rsid w:val="00D82615"/>
    <w:rsid w:val="00D87242"/>
    <w:rsid w:val="00DC561D"/>
    <w:rsid w:val="00DE76C6"/>
    <w:rsid w:val="00E131C3"/>
    <w:rsid w:val="00E27DA6"/>
    <w:rsid w:val="00E6761D"/>
    <w:rsid w:val="00E76382"/>
    <w:rsid w:val="00E86170"/>
    <w:rsid w:val="00E96B35"/>
    <w:rsid w:val="00ED11B8"/>
    <w:rsid w:val="00F0698D"/>
    <w:rsid w:val="00F11BC4"/>
    <w:rsid w:val="00F202BB"/>
    <w:rsid w:val="00F272FF"/>
    <w:rsid w:val="00F318DD"/>
    <w:rsid w:val="00F34E18"/>
    <w:rsid w:val="00F5257A"/>
    <w:rsid w:val="00F83A05"/>
    <w:rsid w:val="00F917B1"/>
    <w:rsid w:val="00FB3A15"/>
    <w:rsid w:val="00FB6B6D"/>
    <w:rsid w:val="00FC593B"/>
    <w:rsid w:val="00FF4798"/>
    <w:rsid w:val="00FF6D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D0B"/>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D0B"/>
    <w:pPr>
      <w:tabs>
        <w:tab w:val="center" w:pos="4703"/>
        <w:tab w:val="right" w:pos="9406"/>
      </w:tabs>
    </w:pPr>
  </w:style>
  <w:style w:type="paragraph" w:styleId="Footer">
    <w:name w:val="footer"/>
    <w:basedOn w:val="Normal"/>
    <w:link w:val="FooterChar"/>
    <w:rsid w:val="00A72D0B"/>
    <w:pPr>
      <w:tabs>
        <w:tab w:val="center" w:pos="4703"/>
        <w:tab w:val="right" w:pos="9406"/>
      </w:tabs>
    </w:pPr>
  </w:style>
  <w:style w:type="character" w:styleId="Hyperlink">
    <w:name w:val="Hyperlink"/>
    <w:basedOn w:val="DefaultParagraphFont"/>
    <w:rsid w:val="00A72D0B"/>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Annextitle">
    <w:name w:val="Annex_title"/>
    <w:basedOn w:val="Normal"/>
    <w:next w:val="Normal"/>
    <w:rsid w:val="00FF47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Normalaftertitle">
    <w:name w:val="Normal after title"/>
    <w:basedOn w:val="Normal"/>
    <w:next w:val="Normal"/>
    <w:rsid w:val="00252290"/>
    <w:pPr>
      <w:overflowPunct w:val="0"/>
      <w:autoSpaceDE w:val="0"/>
      <w:autoSpaceDN w:val="0"/>
      <w:adjustRightInd w:val="0"/>
      <w:spacing w:before="240" w:line="240" w:lineRule="auto"/>
      <w:jc w:val="left"/>
      <w:textAlignment w:val="baseline"/>
    </w:pPr>
    <w:rPr>
      <w:sz w:val="20"/>
      <w:szCs w:val="26"/>
    </w:rPr>
  </w:style>
  <w:style w:type="paragraph" w:customStyle="1" w:styleId="heading-ib">
    <w:name w:val="heading-i_b"/>
    <w:basedOn w:val="Normal"/>
    <w:next w:val="Normal"/>
    <w:rsid w:val="006079CB"/>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character" w:customStyle="1" w:styleId="FooterChar">
    <w:name w:val="Footer Char"/>
    <w:basedOn w:val="DefaultParagraphFont"/>
    <w:link w:val="Footer"/>
    <w:uiPriority w:val="99"/>
    <w:locked/>
    <w:rsid w:val="00081292"/>
    <w:rPr>
      <w:rFonts w:cs="Traditional Arabic"/>
      <w:sz w:val="22"/>
      <w:szCs w:val="30"/>
      <w:lang w:eastAsia="en-US"/>
    </w:rPr>
  </w:style>
  <w:style w:type="paragraph" w:customStyle="1" w:styleId="Headingb">
    <w:name w:val="Heading_b"/>
    <w:basedOn w:val="Normal"/>
    <w:next w:val="Normal"/>
    <w:rsid w:val="00F917B1"/>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character" w:styleId="FollowedHyperlink">
    <w:name w:val="FollowedHyperlink"/>
    <w:basedOn w:val="DefaultParagraphFont"/>
    <w:rsid w:val="00E676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T/i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blue\dfs\xchange\TSB\Norton%20Viard\Circulars\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PA_TSBCIRC1</Template>
  <TotalTime>1</TotalTime>
  <Pages>4</Pages>
  <Words>1119</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7170</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5636166</vt:i4>
      </vt:variant>
      <vt:variant>
        <vt:i4>9</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altalouzi</dc:creator>
  <cp:keywords/>
  <dc:description/>
  <cp:lastModifiedBy>bettini</cp:lastModifiedBy>
  <cp:revision>2</cp:revision>
  <cp:lastPrinted>2010-06-08T15:47:00Z</cp:lastPrinted>
  <dcterms:created xsi:type="dcterms:W3CDTF">2010-06-10T12:32:00Z</dcterms:created>
  <dcterms:modified xsi:type="dcterms:W3CDTF">2010-06-10T12:32:00Z</dcterms:modified>
</cp:coreProperties>
</file>