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Layout w:type="fixed"/>
        <w:tblCellMar>
          <w:left w:w="57" w:type="dxa"/>
          <w:right w:w="57" w:type="dxa"/>
        </w:tblCellMar>
        <w:tblLook w:val="0000" w:firstRow="0" w:lastRow="0" w:firstColumn="0" w:lastColumn="0" w:noHBand="0" w:noVBand="0"/>
      </w:tblPr>
      <w:tblGrid>
        <w:gridCol w:w="1977"/>
        <w:gridCol w:w="2640"/>
        <w:gridCol w:w="840"/>
        <w:gridCol w:w="4500"/>
      </w:tblGrid>
      <w:tr w:rsidR="00FA0C41" w:rsidRPr="00FA0C41">
        <w:trPr>
          <w:cantSplit/>
        </w:trPr>
        <w:tc>
          <w:tcPr>
            <w:tcW w:w="5457" w:type="dxa"/>
            <w:gridSpan w:val="3"/>
          </w:tcPr>
          <w:p w:rsidR="00FA0C41" w:rsidRPr="00FA0C41" w:rsidRDefault="00FA0C41" w:rsidP="00FA0C41">
            <w:pPr>
              <w:rPr>
                <w:sz w:val="20"/>
                <w:lang w:val="fr-CH"/>
              </w:rPr>
            </w:pPr>
            <w:bookmarkStart w:id="0" w:name="dsg" w:colFirst="1" w:colLast="1"/>
            <w:bookmarkStart w:id="1" w:name="dtableau"/>
            <w:r w:rsidRPr="00FA0C41">
              <w:rPr>
                <w:sz w:val="20"/>
                <w:lang w:val="fr-CH"/>
              </w:rPr>
              <w:t>UNION INTERNATIONALE DES TÉLÉCOMMUNICATIONS</w:t>
            </w:r>
          </w:p>
        </w:tc>
        <w:tc>
          <w:tcPr>
            <w:tcW w:w="4500" w:type="dxa"/>
          </w:tcPr>
          <w:p w:rsidR="00FA0C41" w:rsidRPr="00FA0C41" w:rsidRDefault="00FA0C41" w:rsidP="00FA0C41">
            <w:pPr>
              <w:jc w:val="right"/>
              <w:rPr>
                <w:b/>
                <w:bCs/>
                <w:smallCaps/>
                <w:sz w:val="32"/>
                <w:lang w:val="fr-CH"/>
              </w:rPr>
            </w:pPr>
            <w:r>
              <w:rPr>
                <w:b/>
                <w:bCs/>
                <w:smallCaps/>
                <w:sz w:val="32"/>
                <w:lang w:val="fr-CH"/>
              </w:rPr>
              <w:t>COMMISSION D'ÉTUDES 3</w:t>
            </w:r>
          </w:p>
        </w:tc>
      </w:tr>
      <w:tr w:rsidR="00FA0C41" w:rsidRPr="00FA0C41">
        <w:trPr>
          <w:cantSplit/>
          <w:trHeight w:val="780"/>
        </w:trPr>
        <w:tc>
          <w:tcPr>
            <w:tcW w:w="4617" w:type="dxa"/>
            <w:gridSpan w:val="2"/>
            <w:vMerge w:val="restart"/>
            <w:tcBorders>
              <w:bottom w:val="nil"/>
            </w:tcBorders>
          </w:tcPr>
          <w:p w:rsidR="00FA0C41" w:rsidRPr="00FA0C41" w:rsidRDefault="00FA0C41" w:rsidP="00FA0C41">
            <w:pPr>
              <w:rPr>
                <w:b/>
                <w:bCs/>
                <w:sz w:val="26"/>
                <w:lang w:val="fr-CH"/>
              </w:rPr>
            </w:pPr>
            <w:bookmarkStart w:id="2" w:name="dnum" w:colFirst="1" w:colLast="1"/>
            <w:bookmarkEnd w:id="0"/>
            <w:r w:rsidRPr="00FA0C41">
              <w:rPr>
                <w:b/>
                <w:bCs/>
                <w:sz w:val="26"/>
                <w:lang w:val="fr-CH"/>
              </w:rPr>
              <w:t>SECTEUR DE LA NORMALISATION DES TÉLÉCOMMUNICATIONS</w:t>
            </w:r>
          </w:p>
          <w:p w:rsidR="00FA0C41" w:rsidRPr="00FA0C41" w:rsidRDefault="00FA0C41" w:rsidP="00FA0C41">
            <w:pPr>
              <w:rPr>
                <w:smallCaps/>
                <w:sz w:val="20"/>
                <w:lang w:val="fr-CH"/>
              </w:rPr>
            </w:pPr>
            <w:r w:rsidRPr="00FA0C41">
              <w:rPr>
                <w:sz w:val="20"/>
                <w:lang w:val="fr-CH"/>
              </w:rPr>
              <w:t xml:space="preserve">PÉRIODE D’ÉTUDES </w:t>
            </w:r>
            <w:r>
              <w:rPr>
                <w:sz w:val="20"/>
                <w:lang w:val="fr-CH"/>
              </w:rPr>
              <w:t>2009-2012</w:t>
            </w:r>
          </w:p>
        </w:tc>
        <w:tc>
          <w:tcPr>
            <w:tcW w:w="5340" w:type="dxa"/>
            <w:gridSpan w:val="2"/>
            <w:tcBorders>
              <w:bottom w:val="nil"/>
            </w:tcBorders>
          </w:tcPr>
          <w:p w:rsidR="00FA0C41" w:rsidRPr="00FA0C41" w:rsidRDefault="00FA0C41" w:rsidP="00FA0C41">
            <w:pPr>
              <w:jc w:val="right"/>
              <w:rPr>
                <w:b/>
                <w:bCs/>
                <w:sz w:val="40"/>
                <w:lang w:val="fr-CH"/>
              </w:rPr>
            </w:pPr>
            <w:r>
              <w:rPr>
                <w:b/>
                <w:bCs/>
                <w:sz w:val="40"/>
                <w:lang w:val="fr-CH"/>
              </w:rPr>
              <w:t>TD 27 (GT 1/3)-F</w:t>
            </w:r>
          </w:p>
        </w:tc>
      </w:tr>
      <w:tr w:rsidR="00FA0C41" w:rsidRPr="00FA0C41">
        <w:trPr>
          <w:cantSplit/>
          <w:trHeight w:val="355"/>
        </w:trPr>
        <w:tc>
          <w:tcPr>
            <w:tcW w:w="4617" w:type="dxa"/>
            <w:gridSpan w:val="2"/>
            <w:vMerge/>
            <w:tcBorders>
              <w:bottom w:val="single" w:sz="12" w:space="0" w:color="auto"/>
            </w:tcBorders>
          </w:tcPr>
          <w:p w:rsidR="00FA0C41" w:rsidRPr="00FA0C41" w:rsidRDefault="00FA0C41" w:rsidP="00FA0C41">
            <w:pPr>
              <w:rPr>
                <w:b/>
                <w:bCs/>
                <w:sz w:val="26"/>
                <w:lang w:val="fr-CH"/>
              </w:rPr>
            </w:pPr>
            <w:bookmarkStart w:id="3" w:name="dorlang" w:colFirst="1" w:colLast="1"/>
            <w:bookmarkEnd w:id="2"/>
          </w:p>
        </w:tc>
        <w:tc>
          <w:tcPr>
            <w:tcW w:w="5340" w:type="dxa"/>
            <w:gridSpan w:val="2"/>
            <w:tcBorders>
              <w:bottom w:val="single" w:sz="12" w:space="0" w:color="auto"/>
            </w:tcBorders>
          </w:tcPr>
          <w:p w:rsidR="00FA0C41" w:rsidRPr="00FA0C41" w:rsidRDefault="00FA0C41" w:rsidP="00FA0C41">
            <w:pPr>
              <w:jc w:val="right"/>
              <w:rPr>
                <w:b/>
                <w:bCs/>
                <w:sz w:val="28"/>
              </w:rPr>
            </w:pPr>
            <w:r>
              <w:rPr>
                <w:b/>
                <w:bCs/>
                <w:sz w:val="28"/>
              </w:rPr>
              <w:t>Original: anglais</w:t>
            </w:r>
          </w:p>
        </w:tc>
      </w:tr>
      <w:tr w:rsidR="00FA0C41" w:rsidRPr="00FA0C41">
        <w:trPr>
          <w:cantSplit/>
          <w:trHeight w:val="357"/>
        </w:trPr>
        <w:tc>
          <w:tcPr>
            <w:tcW w:w="1977" w:type="dxa"/>
          </w:tcPr>
          <w:p w:rsidR="00FA0C41" w:rsidRPr="00FA0C41" w:rsidRDefault="00FA0C41" w:rsidP="00FA0C41">
            <w:pPr>
              <w:rPr>
                <w:b/>
                <w:bCs/>
              </w:rPr>
            </w:pPr>
            <w:bookmarkStart w:id="4" w:name="dbluepink" w:colFirst="1" w:colLast="1"/>
            <w:bookmarkStart w:id="5" w:name="dmeeting" w:colFirst="2" w:colLast="2"/>
            <w:bookmarkEnd w:id="3"/>
            <w:r>
              <w:rPr>
                <w:b/>
                <w:bCs/>
              </w:rPr>
              <w:t>Question</w:t>
            </w:r>
            <w:r w:rsidRPr="00FA0C41">
              <w:rPr>
                <w:b/>
                <w:bCs/>
              </w:rPr>
              <w:t>:</w:t>
            </w:r>
          </w:p>
        </w:tc>
        <w:tc>
          <w:tcPr>
            <w:tcW w:w="3480" w:type="dxa"/>
            <w:gridSpan w:val="2"/>
          </w:tcPr>
          <w:p w:rsidR="00FA0C41" w:rsidRPr="00FA0C41" w:rsidRDefault="00FA0C41" w:rsidP="00FA0C41">
            <w:r>
              <w:t>1/3</w:t>
            </w:r>
          </w:p>
        </w:tc>
        <w:tc>
          <w:tcPr>
            <w:tcW w:w="4500" w:type="dxa"/>
          </w:tcPr>
          <w:p w:rsidR="00FA0C41" w:rsidRPr="00FA0C41" w:rsidRDefault="00FA0C41" w:rsidP="00FA0C41">
            <w:pPr>
              <w:jc w:val="right"/>
            </w:pPr>
            <w:r w:rsidRPr="00FA0C41">
              <w:t>3-7 septembre 2012</w:t>
            </w:r>
          </w:p>
        </w:tc>
      </w:tr>
      <w:tr w:rsidR="00FA0C41" w:rsidRPr="00FA0C41">
        <w:trPr>
          <w:cantSplit/>
          <w:trHeight w:val="357"/>
        </w:trPr>
        <w:tc>
          <w:tcPr>
            <w:tcW w:w="9957" w:type="dxa"/>
            <w:gridSpan w:val="4"/>
          </w:tcPr>
          <w:p w:rsidR="00FA0C41" w:rsidRPr="00FA0C41" w:rsidRDefault="00FA0C41" w:rsidP="00FA0C41">
            <w:pPr>
              <w:jc w:val="center"/>
              <w:rPr>
                <w:b/>
                <w:bCs/>
              </w:rPr>
            </w:pPr>
            <w:bookmarkStart w:id="6" w:name="dtitle" w:colFirst="0" w:colLast="0"/>
            <w:bookmarkEnd w:id="4"/>
            <w:bookmarkEnd w:id="5"/>
            <w:r w:rsidRPr="00FA0C41">
              <w:rPr>
                <w:b/>
                <w:bCs/>
              </w:rPr>
              <w:t>DOCUMENT TEMPORAIRE</w:t>
            </w:r>
          </w:p>
        </w:tc>
      </w:tr>
      <w:tr w:rsidR="00FA0C41" w:rsidRPr="00FA0C41">
        <w:trPr>
          <w:cantSplit/>
          <w:trHeight w:val="357"/>
        </w:trPr>
        <w:tc>
          <w:tcPr>
            <w:tcW w:w="1977" w:type="dxa"/>
          </w:tcPr>
          <w:p w:rsidR="00FA0C41" w:rsidRPr="00FA0C41" w:rsidRDefault="00FA0C41" w:rsidP="00FA0C41">
            <w:pPr>
              <w:rPr>
                <w:b/>
                <w:bCs/>
              </w:rPr>
            </w:pPr>
            <w:bookmarkStart w:id="7" w:name="dsource" w:colFirst="1" w:colLast="1"/>
            <w:bookmarkEnd w:id="6"/>
            <w:r w:rsidRPr="00FA0C41">
              <w:rPr>
                <w:b/>
                <w:bCs/>
              </w:rPr>
              <w:t>Origine:</w:t>
            </w:r>
          </w:p>
        </w:tc>
        <w:tc>
          <w:tcPr>
            <w:tcW w:w="7980" w:type="dxa"/>
            <w:gridSpan w:val="3"/>
          </w:tcPr>
          <w:p w:rsidR="00FA0C41" w:rsidRPr="00FA0C41" w:rsidRDefault="00FA0C41" w:rsidP="00FA0C41">
            <w:pPr>
              <w:rPr>
                <w:lang w:val="fr-CH"/>
              </w:rPr>
            </w:pPr>
            <w:r>
              <w:rPr>
                <w:lang w:val="fr-CH"/>
              </w:rPr>
              <w:t>TSB</w:t>
            </w:r>
          </w:p>
        </w:tc>
      </w:tr>
      <w:tr w:rsidR="00FA0C41" w:rsidRPr="009E1704">
        <w:trPr>
          <w:cantSplit/>
          <w:trHeight w:val="357"/>
        </w:trPr>
        <w:tc>
          <w:tcPr>
            <w:tcW w:w="1977" w:type="dxa"/>
            <w:tcBorders>
              <w:bottom w:val="single" w:sz="12" w:space="0" w:color="auto"/>
            </w:tcBorders>
          </w:tcPr>
          <w:p w:rsidR="00FA0C41" w:rsidRPr="009E1704" w:rsidRDefault="00FA0C41" w:rsidP="00FA0C41">
            <w:pPr>
              <w:spacing w:after="120"/>
              <w:rPr>
                <w:b/>
                <w:bCs/>
              </w:rPr>
            </w:pPr>
            <w:bookmarkStart w:id="8" w:name="dtitle1" w:colFirst="1" w:colLast="1"/>
            <w:bookmarkEnd w:id="7"/>
            <w:r w:rsidRPr="009E1704">
              <w:rPr>
                <w:b/>
                <w:bCs/>
              </w:rPr>
              <w:t>Titre:</w:t>
            </w:r>
          </w:p>
        </w:tc>
        <w:tc>
          <w:tcPr>
            <w:tcW w:w="7980" w:type="dxa"/>
            <w:gridSpan w:val="3"/>
            <w:tcBorders>
              <w:bottom w:val="single" w:sz="12" w:space="0" w:color="auto"/>
            </w:tcBorders>
          </w:tcPr>
          <w:p w:rsidR="00FA0C41" w:rsidRPr="009E1704" w:rsidRDefault="00633EA1" w:rsidP="003726F5">
            <w:r w:rsidRPr="009E1704">
              <w:rPr>
                <w:szCs w:val="24"/>
              </w:rPr>
              <w:t>Rapport de l'ISOC, l'OCDE et l'UNESCO: Relations entre les contenus locaux, le développement de l'Internet et les prix de l'accès</w:t>
            </w:r>
          </w:p>
        </w:tc>
      </w:tr>
      <w:bookmarkEnd w:id="1"/>
      <w:bookmarkEnd w:id="8"/>
    </w:tbl>
    <w:p w:rsidR="005F3EFF" w:rsidRPr="009E1704" w:rsidRDefault="005F3EFF"/>
    <w:p w:rsidR="00633EA1" w:rsidRPr="009E1704" w:rsidRDefault="00633EA1" w:rsidP="00633EA1">
      <w:pPr>
        <w:outlineLvl w:val="0"/>
        <w:rPr>
          <w:rFonts w:asciiTheme="majorBidi" w:hAnsiTheme="majorBidi" w:cstheme="majorBidi"/>
          <w:b/>
          <w:bCs/>
          <w:kern w:val="36"/>
          <w:szCs w:val="24"/>
        </w:rPr>
      </w:pPr>
      <w:r w:rsidRPr="009E1704">
        <w:rPr>
          <w:rFonts w:asciiTheme="majorBidi" w:hAnsiTheme="majorBidi" w:cstheme="majorBidi"/>
          <w:b/>
          <w:bCs/>
          <w:kern w:val="36"/>
          <w:szCs w:val="24"/>
        </w:rPr>
        <w:t xml:space="preserve">Relations </w:t>
      </w:r>
      <w:r w:rsidRPr="009E1704">
        <w:rPr>
          <w:b/>
          <w:bCs/>
          <w:szCs w:val="24"/>
        </w:rPr>
        <w:t>entre les contenus locaux, le développement de l'Internet et les prix de l'accès</w:t>
      </w:r>
    </w:p>
    <w:p w:rsidR="00633EA1" w:rsidRPr="009E1704" w:rsidRDefault="00633EA1" w:rsidP="00633EA1">
      <w:pPr>
        <w:rPr>
          <w:rFonts w:asciiTheme="majorBidi" w:hAnsiTheme="majorBidi" w:cstheme="majorBidi"/>
          <w:szCs w:val="24"/>
        </w:rPr>
      </w:pPr>
      <w:r w:rsidRPr="009E1704">
        <w:rPr>
          <w:rFonts w:asciiTheme="majorBidi" w:hAnsiTheme="majorBidi" w:cstheme="majorBidi"/>
          <w:b/>
          <w:bCs/>
          <w:szCs w:val="24"/>
        </w:rPr>
        <w:t>Rapport de: Internet Society, OCDE, Organisation des Nations Unies pour l'</w:t>
      </w:r>
      <w:r w:rsidR="009E1704" w:rsidRPr="009E1704">
        <w:rPr>
          <w:rFonts w:asciiTheme="majorBidi" w:hAnsiTheme="majorBidi" w:cstheme="majorBidi"/>
          <w:b/>
          <w:bCs/>
          <w:szCs w:val="24"/>
        </w:rPr>
        <w:t>éducation, la</w:t>
      </w:r>
      <w:r w:rsidRPr="009E1704">
        <w:rPr>
          <w:rFonts w:asciiTheme="majorBidi" w:hAnsiTheme="majorBidi" w:cstheme="majorBidi"/>
          <w:b/>
          <w:bCs/>
          <w:szCs w:val="24"/>
        </w:rPr>
        <w:t xml:space="preserve"> science et la culture </w:t>
      </w:r>
    </w:p>
    <w:p w:rsidR="00633EA1" w:rsidRPr="009E1704" w:rsidRDefault="00633EA1" w:rsidP="00633EA1">
      <w:pPr>
        <w:spacing w:before="360"/>
        <w:rPr>
          <w:rFonts w:asciiTheme="majorBidi" w:hAnsiTheme="majorBidi" w:cstheme="majorBidi"/>
          <w:szCs w:val="24"/>
        </w:rPr>
      </w:pPr>
      <w:r w:rsidRPr="009E1704">
        <w:rPr>
          <w:rFonts w:asciiTheme="majorBidi" w:hAnsiTheme="majorBidi" w:cstheme="majorBidi"/>
          <w:b/>
          <w:bCs/>
          <w:szCs w:val="24"/>
        </w:rPr>
        <w:t>PRINCIPALES CONCLUSIONS</w:t>
      </w:r>
    </w:p>
    <w:p w:rsidR="00633EA1" w:rsidRPr="009E1704" w:rsidRDefault="009016CB" w:rsidP="00A4773F">
      <w:pPr>
        <w:rPr>
          <w:rFonts w:asciiTheme="majorBidi" w:hAnsiTheme="majorBidi" w:cstheme="majorBidi"/>
          <w:szCs w:val="24"/>
        </w:rPr>
      </w:pPr>
      <w:r>
        <w:rPr>
          <w:rFonts w:asciiTheme="majorBidi" w:hAnsiTheme="majorBidi" w:cstheme="majorBidi"/>
          <w:szCs w:val="24"/>
        </w:rPr>
        <w:t>1</w:t>
      </w:r>
      <w:r w:rsidR="00A4773F" w:rsidRPr="009E1704">
        <w:rPr>
          <w:rFonts w:asciiTheme="majorBidi" w:hAnsiTheme="majorBidi" w:cstheme="majorBidi"/>
          <w:szCs w:val="24"/>
        </w:rPr>
        <w:tab/>
      </w:r>
      <w:r w:rsidR="00633EA1" w:rsidRPr="009E1704">
        <w:rPr>
          <w:rFonts w:asciiTheme="majorBidi" w:hAnsiTheme="majorBidi" w:cstheme="majorBidi"/>
          <w:b/>
          <w:bCs/>
          <w:szCs w:val="24"/>
        </w:rPr>
        <w:t>Les sociétés ont un riche patrimoine et un vaste corpus de connaissances qui devraient être reconnus, archivés et partagés</w:t>
      </w:r>
      <w:r w:rsidR="002418DF" w:rsidRPr="009E1704">
        <w:rPr>
          <w:rFonts w:asciiTheme="majorBidi" w:hAnsiTheme="majorBidi" w:cstheme="majorBidi"/>
          <w:b/>
          <w:bCs/>
          <w:szCs w:val="24"/>
        </w:rPr>
        <w:t>,</w:t>
      </w:r>
      <w:r w:rsidR="00633EA1" w:rsidRPr="009E1704">
        <w:rPr>
          <w:rFonts w:asciiTheme="majorBidi" w:hAnsiTheme="majorBidi" w:cstheme="majorBidi"/>
          <w:b/>
          <w:bCs/>
          <w:szCs w:val="24"/>
        </w:rPr>
        <w:t xml:space="preserve"> dans l'intérêt de tous les habitants de la planète</w:t>
      </w:r>
      <w:r w:rsidR="00633EA1" w:rsidRPr="009E1704">
        <w:rPr>
          <w:rFonts w:asciiTheme="majorBidi" w:hAnsiTheme="majorBidi" w:cstheme="majorBidi"/>
          <w:szCs w:val="24"/>
        </w:rPr>
        <w:t xml:space="preserve">. Une grande partie des contenus à l'échelle mondiale reste inaccessible même aux populations locales, à plus forte raison </w:t>
      </w:r>
      <w:r w:rsidR="002418DF" w:rsidRPr="009E1704">
        <w:rPr>
          <w:rFonts w:asciiTheme="majorBidi" w:hAnsiTheme="majorBidi" w:cstheme="majorBidi"/>
          <w:szCs w:val="24"/>
        </w:rPr>
        <w:t>aux</w:t>
      </w:r>
      <w:r w:rsidR="00633EA1" w:rsidRPr="009E1704">
        <w:rPr>
          <w:rFonts w:asciiTheme="majorBidi" w:hAnsiTheme="majorBidi" w:cstheme="majorBidi"/>
          <w:szCs w:val="24"/>
        </w:rPr>
        <w:t xml:space="preserve"> autres populations. De nombreuses raisons expliquent l'existence de cette "fracture</w:t>
      </w:r>
      <w:r w:rsidR="00A4773F" w:rsidRPr="009E1704">
        <w:rPr>
          <w:rFonts w:asciiTheme="majorBidi" w:hAnsiTheme="majorBidi" w:cstheme="majorBidi"/>
          <w:szCs w:val="24"/>
        </w:rPr>
        <w:t>" au niveau des</w:t>
      </w:r>
      <w:r w:rsidR="00633EA1" w:rsidRPr="009E1704">
        <w:rPr>
          <w:rFonts w:asciiTheme="majorBidi" w:hAnsiTheme="majorBidi" w:cstheme="majorBidi"/>
          <w:szCs w:val="24"/>
        </w:rPr>
        <w:t xml:space="preserve"> contenu</w:t>
      </w:r>
      <w:r w:rsidR="00A4773F" w:rsidRPr="009E1704">
        <w:rPr>
          <w:rFonts w:asciiTheme="majorBidi" w:hAnsiTheme="majorBidi" w:cstheme="majorBidi"/>
          <w:szCs w:val="24"/>
        </w:rPr>
        <w:t>s</w:t>
      </w:r>
      <w:r w:rsidR="00633EA1" w:rsidRPr="009E1704">
        <w:rPr>
          <w:rFonts w:asciiTheme="majorBidi" w:hAnsiTheme="majorBidi" w:cstheme="majorBidi"/>
          <w:szCs w:val="24"/>
        </w:rPr>
        <w:t>.</w:t>
      </w:r>
    </w:p>
    <w:p w:rsidR="00633EA1" w:rsidRPr="009E1704" w:rsidRDefault="00633EA1" w:rsidP="001E6EB5">
      <w:pPr>
        <w:rPr>
          <w:rFonts w:asciiTheme="majorBidi" w:hAnsiTheme="majorBidi" w:cstheme="majorBidi"/>
          <w:szCs w:val="24"/>
        </w:rPr>
      </w:pPr>
      <w:r w:rsidRPr="009E1704">
        <w:rPr>
          <w:rFonts w:asciiTheme="majorBidi" w:hAnsiTheme="majorBidi" w:cstheme="majorBidi"/>
          <w:szCs w:val="24"/>
        </w:rPr>
        <w:t>2</w:t>
      </w:r>
      <w:r w:rsidR="00A4773F" w:rsidRPr="009E1704">
        <w:rPr>
          <w:rFonts w:asciiTheme="majorBidi" w:hAnsiTheme="majorBidi" w:cstheme="majorBidi"/>
          <w:szCs w:val="24"/>
        </w:rPr>
        <w:tab/>
      </w:r>
      <w:r w:rsidRPr="009E1704">
        <w:rPr>
          <w:rFonts w:asciiTheme="majorBidi" w:hAnsiTheme="majorBidi" w:cstheme="majorBidi"/>
          <w:b/>
          <w:bCs/>
          <w:szCs w:val="24"/>
        </w:rPr>
        <w:t>Le contenu qui revêt le plus d'importance pour tel ou tel individu est le plus souvent dans sa propre langue et concerne les communautés dans lequel il vit ou travaille</w:t>
      </w:r>
      <w:r w:rsidRPr="009E1704">
        <w:rPr>
          <w:rFonts w:asciiTheme="majorBidi" w:hAnsiTheme="majorBidi" w:cstheme="majorBidi"/>
          <w:szCs w:val="24"/>
        </w:rPr>
        <w:t xml:space="preserve">. Ces communautés peuvent être définies par leur lieu d'implantation, leur culture, leur langue, leur religion, leur appartenance ethnique ou bien encore leur domaine d'intérêt et les individus peuvent appartenir à plusieurs communautés en même temps. Par ailleurs, ces communautés évoluent de sorte que ce qui leur importe change au fil du temps Ce contenu important à leurs yeux est souvent appelé </w:t>
      </w:r>
      <w:r w:rsidR="001E6EB5">
        <w:rPr>
          <w:rFonts w:asciiTheme="majorBidi" w:hAnsiTheme="majorBidi" w:cstheme="majorBidi"/>
          <w:szCs w:val="24"/>
        </w:rPr>
        <w:t>"</w:t>
      </w:r>
      <w:r w:rsidRPr="009E1704">
        <w:rPr>
          <w:rFonts w:asciiTheme="majorBidi" w:hAnsiTheme="majorBidi" w:cstheme="majorBidi"/>
          <w:szCs w:val="24"/>
        </w:rPr>
        <w:t>contenu local</w:t>
      </w:r>
      <w:r w:rsidR="001E6EB5">
        <w:rPr>
          <w:rFonts w:asciiTheme="majorBidi" w:hAnsiTheme="majorBidi" w:cstheme="majorBidi"/>
          <w:szCs w:val="24"/>
        </w:rPr>
        <w:t>"</w:t>
      </w:r>
      <w:r w:rsidRPr="009E1704">
        <w:rPr>
          <w:rFonts w:asciiTheme="majorBidi" w:hAnsiTheme="majorBidi" w:cstheme="majorBidi"/>
          <w:szCs w:val="24"/>
        </w:rPr>
        <w:t xml:space="preserve">. Le terme de communauté est utilisé dans une acception large de façon à inclure non seulement les communautés professionnelles locales (publiques ou privées) mais aussi des créateurs et utilisateurs de contenus non professionnels. </w:t>
      </w:r>
    </w:p>
    <w:p w:rsidR="00633EA1" w:rsidRPr="009E1704" w:rsidRDefault="00633EA1" w:rsidP="009016CB">
      <w:pPr>
        <w:rPr>
          <w:rFonts w:asciiTheme="majorBidi" w:hAnsiTheme="majorBidi" w:cstheme="majorBidi"/>
          <w:szCs w:val="24"/>
        </w:rPr>
      </w:pPr>
      <w:r w:rsidRPr="009E1704">
        <w:rPr>
          <w:rFonts w:asciiTheme="majorBidi" w:hAnsiTheme="majorBidi" w:cstheme="majorBidi"/>
          <w:szCs w:val="24"/>
        </w:rPr>
        <w:t>3</w:t>
      </w:r>
      <w:r w:rsidR="00A4773F" w:rsidRPr="009E1704">
        <w:rPr>
          <w:rFonts w:asciiTheme="majorBidi" w:hAnsiTheme="majorBidi" w:cstheme="majorBidi"/>
          <w:b/>
          <w:bCs/>
          <w:szCs w:val="24"/>
        </w:rPr>
        <w:tab/>
      </w:r>
      <w:r w:rsidRPr="009E1704">
        <w:rPr>
          <w:rFonts w:asciiTheme="majorBidi" w:hAnsiTheme="majorBidi" w:cstheme="majorBidi"/>
          <w:b/>
          <w:bCs/>
          <w:szCs w:val="24"/>
        </w:rPr>
        <w:t>La technologie peut contribuer à la reconnaissance, la création, la préservation, la diffusion et l'utilisation des contenus locaux et l'histoire récente a été le témoin de plusieurs avancées technologiques importantes.</w:t>
      </w:r>
      <w:r w:rsidRPr="009E1704">
        <w:rPr>
          <w:rFonts w:asciiTheme="majorBidi" w:hAnsiTheme="majorBidi" w:cstheme="majorBidi"/>
          <w:szCs w:val="24"/>
        </w:rPr>
        <w:t xml:space="preserve"> Les progrès technologiques tels que l</w:t>
      </w:r>
      <w:r w:rsidR="00A4773F" w:rsidRPr="009E1704">
        <w:rPr>
          <w:rFonts w:asciiTheme="majorBidi" w:hAnsiTheme="majorBidi" w:cstheme="majorBidi"/>
          <w:szCs w:val="24"/>
        </w:rPr>
        <w:t>'imprim</w:t>
      </w:r>
      <w:r w:rsidRPr="009E1704">
        <w:rPr>
          <w:rFonts w:asciiTheme="majorBidi" w:hAnsiTheme="majorBidi" w:cstheme="majorBidi"/>
          <w:szCs w:val="24"/>
        </w:rPr>
        <w:t>e</w:t>
      </w:r>
      <w:r w:rsidR="00A4773F" w:rsidRPr="009E1704">
        <w:rPr>
          <w:rFonts w:asciiTheme="majorBidi" w:hAnsiTheme="majorBidi" w:cstheme="majorBidi"/>
          <w:szCs w:val="24"/>
        </w:rPr>
        <w:t>rie</w:t>
      </w:r>
      <w:r w:rsidRPr="009E1704">
        <w:rPr>
          <w:rFonts w:asciiTheme="majorBidi" w:hAnsiTheme="majorBidi" w:cstheme="majorBidi"/>
          <w:szCs w:val="24"/>
        </w:rPr>
        <w:t>, le phonographe, la téléphonie, la radio, la télévision, les photocopieuses, les supports d'enregistrement, les téléphones mobiles et les ordinateurs personnels, entre autres, ont considérablement accru notre capacité de création et de diffusion des contenus.</w:t>
      </w:r>
    </w:p>
    <w:p w:rsidR="00633EA1" w:rsidRPr="009E1704" w:rsidRDefault="00633EA1" w:rsidP="009016CB">
      <w:pPr>
        <w:keepLines/>
        <w:rPr>
          <w:rFonts w:asciiTheme="majorBidi" w:hAnsiTheme="majorBidi" w:cstheme="majorBidi"/>
          <w:szCs w:val="24"/>
        </w:rPr>
      </w:pPr>
      <w:r w:rsidRPr="009E1704">
        <w:rPr>
          <w:rFonts w:asciiTheme="majorBidi" w:hAnsiTheme="majorBidi" w:cstheme="majorBidi"/>
          <w:szCs w:val="24"/>
        </w:rPr>
        <w:lastRenderedPageBreak/>
        <w:t>4</w:t>
      </w:r>
      <w:r w:rsidR="00A4773F" w:rsidRPr="009E1704">
        <w:rPr>
          <w:rFonts w:asciiTheme="majorBidi" w:hAnsiTheme="majorBidi" w:cstheme="majorBidi"/>
          <w:b/>
          <w:bCs/>
          <w:szCs w:val="24"/>
        </w:rPr>
        <w:tab/>
      </w:r>
      <w:r w:rsidRPr="009E1704">
        <w:rPr>
          <w:rFonts w:asciiTheme="majorBidi" w:hAnsiTheme="majorBidi" w:cstheme="majorBidi"/>
          <w:b/>
          <w:bCs/>
          <w:szCs w:val="24"/>
        </w:rPr>
        <w:t>L'Internet représente une autre avancée sans précédent dans le développement et la diffusion des contenus. L'Internet a avant tout donné aux utilisateurs les moyens de devenir des créateurs de contenus.</w:t>
      </w:r>
      <w:r w:rsidRPr="009E1704">
        <w:rPr>
          <w:rFonts w:asciiTheme="majorBidi" w:hAnsiTheme="majorBidi" w:cstheme="majorBidi"/>
          <w:szCs w:val="24"/>
        </w:rPr>
        <w:t xml:space="preserve"> </w:t>
      </w:r>
      <w:r w:rsidR="009E1704" w:rsidRPr="009E1704">
        <w:rPr>
          <w:rFonts w:asciiTheme="majorBidi" w:hAnsiTheme="majorBidi" w:cstheme="majorBidi"/>
          <w:szCs w:val="24"/>
        </w:rPr>
        <w:t>L'Internet a fourni une plate-forme pour la création de contenus alimentés par le "</w:t>
      </w:r>
      <w:proofErr w:type="spellStart"/>
      <w:r w:rsidR="009E1704" w:rsidRPr="009E1704">
        <w:rPr>
          <w:rFonts w:asciiTheme="majorBidi" w:hAnsiTheme="majorBidi" w:cstheme="majorBidi"/>
          <w:szCs w:val="24"/>
        </w:rPr>
        <w:t>crowdsourcing</w:t>
      </w:r>
      <w:proofErr w:type="spellEnd"/>
      <w:r w:rsidR="009E1704" w:rsidRPr="009E1704">
        <w:rPr>
          <w:rFonts w:asciiTheme="majorBidi" w:hAnsiTheme="majorBidi" w:cstheme="majorBidi"/>
          <w:szCs w:val="24"/>
        </w:rPr>
        <w:t>" et pour les banques de connaissances élaborées au niveau des communautés et examinées par des pairs, telles que Wikip</w:t>
      </w:r>
      <w:r w:rsidR="00003D5B">
        <w:rPr>
          <w:rFonts w:asciiTheme="majorBidi" w:hAnsiTheme="majorBidi" w:cstheme="majorBidi"/>
          <w:szCs w:val="24"/>
        </w:rPr>
        <w:t>é</w:t>
      </w:r>
      <w:r w:rsidR="009E1704" w:rsidRPr="009E1704">
        <w:rPr>
          <w:rFonts w:asciiTheme="majorBidi" w:hAnsiTheme="majorBidi" w:cstheme="majorBidi"/>
          <w:szCs w:val="24"/>
        </w:rPr>
        <w:t>dia.</w:t>
      </w:r>
      <w:r w:rsidR="009E1704">
        <w:rPr>
          <w:rFonts w:asciiTheme="majorBidi" w:hAnsiTheme="majorBidi" w:cstheme="majorBidi"/>
          <w:szCs w:val="24"/>
        </w:rPr>
        <w:t xml:space="preserve"> </w:t>
      </w:r>
      <w:r w:rsidR="009E1704" w:rsidRPr="009E1704">
        <w:rPr>
          <w:rFonts w:asciiTheme="majorBidi" w:hAnsiTheme="majorBidi" w:cstheme="majorBidi"/>
          <w:szCs w:val="24"/>
        </w:rPr>
        <w:t xml:space="preserve">L'Internet a également permis aux individus de mieux choisir et de mieux contrôler les contenus qu'ils utilisent, ce qui n'était pas le cas avec les canaux limités de la radiodiffusion traditionnelle. </w:t>
      </w:r>
      <w:r w:rsidRPr="009E1704">
        <w:rPr>
          <w:rFonts w:asciiTheme="majorBidi" w:hAnsiTheme="majorBidi" w:cstheme="majorBidi"/>
          <w:szCs w:val="24"/>
        </w:rPr>
        <w:t>L'Internet joue un rôle essentiel à tous les niveaux</w:t>
      </w:r>
      <w:r w:rsidR="00A4773F" w:rsidRPr="009E1704">
        <w:rPr>
          <w:rFonts w:asciiTheme="majorBidi" w:hAnsiTheme="majorBidi" w:cstheme="majorBidi"/>
          <w:szCs w:val="24"/>
        </w:rPr>
        <w:t>,</w:t>
      </w:r>
      <w:r w:rsidRPr="009E1704">
        <w:rPr>
          <w:rFonts w:asciiTheme="majorBidi" w:hAnsiTheme="majorBidi" w:cstheme="majorBidi"/>
          <w:szCs w:val="24"/>
        </w:rPr>
        <w:t xml:space="preserve"> depuis la création du contenu jusqu'à sa diffusion</w:t>
      </w:r>
      <w:r w:rsidR="00A4773F" w:rsidRPr="009E1704">
        <w:rPr>
          <w:rFonts w:asciiTheme="majorBidi" w:hAnsiTheme="majorBidi" w:cstheme="majorBidi"/>
          <w:szCs w:val="24"/>
        </w:rPr>
        <w:t>,</w:t>
      </w:r>
      <w:r w:rsidRPr="009E1704">
        <w:rPr>
          <w:rFonts w:asciiTheme="majorBidi" w:hAnsiTheme="majorBidi" w:cstheme="majorBidi"/>
          <w:szCs w:val="24"/>
        </w:rPr>
        <w:t xml:space="preserve"> mais sa contribution la plus importante est</w:t>
      </w:r>
      <w:r w:rsidR="00A4773F" w:rsidRPr="009E1704">
        <w:rPr>
          <w:rFonts w:asciiTheme="majorBidi" w:hAnsiTheme="majorBidi" w:cstheme="majorBidi"/>
          <w:szCs w:val="24"/>
        </w:rPr>
        <w:t>, peut-être,</w:t>
      </w:r>
      <w:r w:rsidRPr="009E1704">
        <w:rPr>
          <w:rFonts w:asciiTheme="majorBidi" w:hAnsiTheme="majorBidi" w:cstheme="majorBidi"/>
          <w:szCs w:val="24"/>
        </w:rPr>
        <w:t xml:space="preserve"> la possibilité qu'il donne aux créateurs de diffuser leurs contenus, largement et pratiquement instantanément</w:t>
      </w:r>
      <w:r w:rsidR="00A4773F" w:rsidRPr="009E1704">
        <w:rPr>
          <w:rFonts w:asciiTheme="majorBidi" w:hAnsiTheme="majorBidi" w:cstheme="majorBidi"/>
          <w:szCs w:val="24"/>
        </w:rPr>
        <w:t>,</w:t>
      </w:r>
      <w:r w:rsidRPr="009E1704">
        <w:rPr>
          <w:rFonts w:asciiTheme="majorBidi" w:hAnsiTheme="majorBidi" w:cstheme="majorBidi"/>
          <w:szCs w:val="24"/>
        </w:rPr>
        <w:t xml:space="preserve"> et à moindre coût. </w:t>
      </w:r>
    </w:p>
    <w:p w:rsidR="00633EA1" w:rsidRPr="009E1704" w:rsidRDefault="00633EA1" w:rsidP="009016CB">
      <w:pPr>
        <w:rPr>
          <w:rFonts w:asciiTheme="majorBidi" w:hAnsiTheme="majorBidi" w:cstheme="majorBidi"/>
          <w:szCs w:val="24"/>
        </w:rPr>
      </w:pPr>
      <w:r w:rsidRPr="009E1704">
        <w:rPr>
          <w:rFonts w:asciiTheme="majorBidi" w:hAnsiTheme="majorBidi" w:cstheme="majorBidi"/>
          <w:szCs w:val="24"/>
        </w:rPr>
        <w:t>5</w:t>
      </w:r>
      <w:r w:rsidR="00A4773F" w:rsidRPr="009E1704">
        <w:rPr>
          <w:rFonts w:asciiTheme="majorBidi" w:hAnsiTheme="majorBidi" w:cstheme="majorBidi"/>
          <w:szCs w:val="24"/>
        </w:rPr>
        <w:tab/>
      </w:r>
      <w:r w:rsidRPr="009E1704">
        <w:rPr>
          <w:rFonts w:asciiTheme="majorBidi" w:hAnsiTheme="majorBidi" w:cstheme="majorBidi"/>
          <w:b/>
          <w:bCs/>
          <w:szCs w:val="24"/>
        </w:rPr>
        <w:t>Les décideurs dans le monde entier au sein des ministères de la culture</w:t>
      </w:r>
      <w:r w:rsidRPr="009E1704">
        <w:rPr>
          <w:rFonts w:asciiTheme="majorBidi" w:hAnsiTheme="majorBidi" w:cstheme="majorBidi"/>
          <w:szCs w:val="24"/>
        </w:rPr>
        <w:t xml:space="preserve"> </w:t>
      </w:r>
      <w:r w:rsidRPr="009E1704">
        <w:rPr>
          <w:rFonts w:asciiTheme="majorBidi" w:hAnsiTheme="majorBidi" w:cstheme="majorBidi"/>
          <w:b/>
          <w:bCs/>
          <w:szCs w:val="24"/>
        </w:rPr>
        <w:t xml:space="preserve">réfléchissent à des moyens d'encourager la création et la préservation du patrimoine culturel, y compris ses éléments </w:t>
      </w:r>
      <w:r w:rsidR="00E97C3E" w:rsidRPr="009E1704">
        <w:rPr>
          <w:rFonts w:asciiTheme="majorBidi" w:hAnsiTheme="majorBidi" w:cstheme="majorBidi"/>
          <w:b/>
          <w:bCs/>
          <w:szCs w:val="24"/>
        </w:rPr>
        <w:t>matériels</w:t>
      </w:r>
      <w:r w:rsidRPr="009E1704">
        <w:rPr>
          <w:rFonts w:asciiTheme="majorBidi" w:hAnsiTheme="majorBidi" w:cstheme="majorBidi"/>
          <w:b/>
          <w:bCs/>
          <w:szCs w:val="24"/>
        </w:rPr>
        <w:t xml:space="preserve">, oraux </w:t>
      </w:r>
      <w:r w:rsidR="00E97C3E" w:rsidRPr="009E1704">
        <w:rPr>
          <w:rFonts w:asciiTheme="majorBidi" w:hAnsiTheme="majorBidi" w:cstheme="majorBidi"/>
          <w:b/>
          <w:bCs/>
          <w:szCs w:val="24"/>
        </w:rPr>
        <w:t>et</w:t>
      </w:r>
      <w:r w:rsidRPr="009E1704">
        <w:rPr>
          <w:rFonts w:asciiTheme="majorBidi" w:hAnsiTheme="majorBidi" w:cstheme="majorBidi"/>
          <w:b/>
          <w:bCs/>
          <w:szCs w:val="24"/>
        </w:rPr>
        <w:t xml:space="preserve"> </w:t>
      </w:r>
      <w:r w:rsidR="00E97C3E" w:rsidRPr="009E1704">
        <w:rPr>
          <w:rFonts w:asciiTheme="majorBidi" w:hAnsiTheme="majorBidi" w:cstheme="majorBidi"/>
          <w:b/>
          <w:bCs/>
          <w:szCs w:val="24"/>
        </w:rPr>
        <w:t>immatériels</w:t>
      </w:r>
      <w:r w:rsidRPr="009E1704">
        <w:rPr>
          <w:rFonts w:asciiTheme="majorBidi" w:hAnsiTheme="majorBidi" w:cstheme="majorBidi"/>
          <w:b/>
          <w:bCs/>
          <w:szCs w:val="24"/>
        </w:rPr>
        <w:t>.</w:t>
      </w:r>
      <w:r w:rsidRPr="009E1704">
        <w:rPr>
          <w:rFonts w:asciiTheme="majorBidi" w:hAnsiTheme="majorBidi" w:cstheme="majorBidi"/>
          <w:szCs w:val="24"/>
        </w:rPr>
        <w:t xml:space="preserve"> Dans le même temps, les décideurs au sein des ministères des communications se mobilisent pour trouver les moyens grâce auxquels les technologies de l'information et de la communication</w:t>
      </w:r>
      <w:r w:rsidR="00E97C3E" w:rsidRPr="009E1704">
        <w:rPr>
          <w:rFonts w:asciiTheme="majorBidi" w:hAnsiTheme="majorBidi" w:cstheme="majorBidi"/>
          <w:szCs w:val="24"/>
        </w:rPr>
        <w:t xml:space="preserve"> et les services utilisant ces technologies</w:t>
      </w:r>
      <w:r w:rsidRPr="009E1704">
        <w:rPr>
          <w:rFonts w:asciiTheme="majorBidi" w:hAnsiTheme="majorBidi" w:cstheme="majorBidi"/>
          <w:szCs w:val="24"/>
        </w:rPr>
        <w:t xml:space="preserve">, tels que l'accès à l'Internet, pourront être disponibles et accessibles à l'ensemble de la population. Ce travail de recherche confirme que les objectifs de ces deux entités gouvernementales importantes sont interdépendants. </w:t>
      </w:r>
    </w:p>
    <w:p w:rsidR="00633EA1" w:rsidRPr="009E1704" w:rsidRDefault="00633EA1" w:rsidP="009016CB">
      <w:pPr>
        <w:rPr>
          <w:rFonts w:asciiTheme="majorBidi" w:hAnsiTheme="majorBidi" w:cstheme="majorBidi"/>
          <w:szCs w:val="24"/>
        </w:rPr>
      </w:pPr>
      <w:r w:rsidRPr="009E1704">
        <w:rPr>
          <w:rFonts w:asciiTheme="majorBidi" w:hAnsiTheme="majorBidi" w:cstheme="majorBidi"/>
          <w:szCs w:val="24"/>
        </w:rPr>
        <w:t>6</w:t>
      </w:r>
      <w:r w:rsidR="00A4773F" w:rsidRPr="009E1704">
        <w:rPr>
          <w:rFonts w:asciiTheme="majorBidi" w:hAnsiTheme="majorBidi" w:cstheme="majorBidi"/>
          <w:szCs w:val="24"/>
        </w:rPr>
        <w:tab/>
      </w:r>
      <w:r w:rsidRPr="009E1704">
        <w:rPr>
          <w:rFonts w:asciiTheme="majorBidi" w:hAnsiTheme="majorBidi" w:cstheme="majorBidi"/>
          <w:b/>
          <w:bCs/>
          <w:szCs w:val="24"/>
        </w:rPr>
        <w:t>Il ressort de</w:t>
      </w:r>
      <w:r w:rsidRPr="009E1704">
        <w:rPr>
          <w:rFonts w:asciiTheme="majorBidi" w:hAnsiTheme="majorBidi" w:cstheme="majorBidi"/>
          <w:szCs w:val="24"/>
        </w:rPr>
        <w:t xml:space="preserve"> </w:t>
      </w:r>
      <w:r w:rsidRPr="009E1704">
        <w:rPr>
          <w:rFonts w:asciiTheme="majorBidi" w:hAnsiTheme="majorBidi" w:cstheme="majorBidi"/>
          <w:b/>
          <w:bCs/>
          <w:szCs w:val="24"/>
        </w:rPr>
        <w:t>ce travail de recherche empirique qu'il existe une forte corrélation entre le développement des infrastructures de réseau et la croissance des contenus locaux, même une fois pris en compte les facteurs économiques et démographiques</w:t>
      </w:r>
      <w:r w:rsidRPr="001E6EB5">
        <w:rPr>
          <w:rFonts w:asciiTheme="majorBidi" w:hAnsiTheme="majorBidi" w:cstheme="majorBidi"/>
          <w:b/>
          <w:bCs/>
          <w:szCs w:val="24"/>
        </w:rPr>
        <w:t>.</w:t>
      </w:r>
      <w:r w:rsidRPr="009E1704">
        <w:rPr>
          <w:rFonts w:asciiTheme="majorBidi" w:hAnsiTheme="majorBidi" w:cstheme="majorBidi"/>
          <w:szCs w:val="24"/>
        </w:rPr>
        <w:t xml:space="preserve"> La relation significative sur le plan statistique est évidente si l'on mesure de diverses manières le contenu local (nombre de domaines de premier niveau visibles utilisés par indicatif de pays</w:t>
      </w:r>
      <w:r w:rsidR="00E97C3E" w:rsidRPr="009E1704">
        <w:rPr>
          <w:rFonts w:asciiTheme="majorBidi" w:hAnsiTheme="majorBidi" w:cstheme="majorBidi"/>
          <w:szCs w:val="24"/>
        </w:rPr>
        <w:t xml:space="preserve"> et</w:t>
      </w:r>
      <w:r w:rsidR="001E6EB5">
        <w:rPr>
          <w:rFonts w:asciiTheme="majorBidi" w:hAnsiTheme="majorBidi" w:cstheme="majorBidi"/>
          <w:szCs w:val="24"/>
        </w:rPr>
        <w:t xml:space="preserve"> par habitant</w:t>
      </w:r>
      <w:r w:rsidRPr="009E1704">
        <w:rPr>
          <w:rFonts w:asciiTheme="majorBidi" w:hAnsiTheme="majorBidi" w:cstheme="majorBidi"/>
          <w:szCs w:val="24"/>
        </w:rPr>
        <w:t xml:space="preserve">; nombre d'articles dans Wikipédia par langue et par habitant et nombre de blogs par habitant) ou l'essor de l'Internet (taux de pénétration du large bande, systèmes autonomes par habitant, largeur de bande internationale par habitant et adresses IPv4 acheminées par habitant). </w:t>
      </w:r>
    </w:p>
    <w:p w:rsidR="00633EA1" w:rsidRPr="009E1704" w:rsidRDefault="00633EA1" w:rsidP="001E6EB5">
      <w:pPr>
        <w:rPr>
          <w:rFonts w:asciiTheme="majorBidi" w:hAnsiTheme="majorBidi" w:cstheme="majorBidi"/>
          <w:szCs w:val="24"/>
        </w:rPr>
      </w:pPr>
      <w:r w:rsidRPr="009E1704">
        <w:rPr>
          <w:rFonts w:asciiTheme="majorBidi" w:hAnsiTheme="majorBidi" w:cstheme="majorBidi"/>
          <w:szCs w:val="24"/>
        </w:rPr>
        <w:t>7.</w:t>
      </w:r>
      <w:r w:rsidR="00A4773F" w:rsidRPr="009E1704">
        <w:rPr>
          <w:rFonts w:asciiTheme="majorBidi" w:hAnsiTheme="majorBidi" w:cstheme="majorBidi"/>
          <w:szCs w:val="24"/>
        </w:rPr>
        <w:tab/>
      </w:r>
      <w:r w:rsidRPr="009E1704">
        <w:rPr>
          <w:rFonts w:asciiTheme="majorBidi" w:hAnsiTheme="majorBidi" w:cstheme="majorBidi"/>
          <w:b/>
          <w:bCs/>
          <w:szCs w:val="24"/>
        </w:rPr>
        <w:t>En outre, ce travail de recherche fait apparaître une relation significative entre le développement de la largeur de bande internationale et le prix de l'accès à l'Internet local.</w:t>
      </w:r>
      <w:r w:rsidRPr="009E1704">
        <w:rPr>
          <w:rFonts w:asciiTheme="majorBidi" w:hAnsiTheme="majorBidi" w:cstheme="majorBidi"/>
          <w:szCs w:val="24"/>
        </w:rPr>
        <w:t xml:space="preserve"> Les résultats montrent</w:t>
      </w:r>
      <w:r w:rsidR="00E97C3E" w:rsidRPr="009E1704">
        <w:rPr>
          <w:rFonts w:asciiTheme="majorBidi" w:hAnsiTheme="majorBidi" w:cstheme="majorBidi"/>
          <w:szCs w:val="24"/>
        </w:rPr>
        <w:t xml:space="preserve"> en effet</w:t>
      </w:r>
      <w:r w:rsidRPr="009E1704">
        <w:rPr>
          <w:rFonts w:asciiTheme="majorBidi" w:hAnsiTheme="majorBidi" w:cstheme="majorBidi"/>
          <w:szCs w:val="24"/>
        </w:rPr>
        <w:t xml:space="preserve"> que, sur les marchés de l'Internet locaux développés, les prix internationaux pour la largeur de bande sont généralement plus bas et vice versa: sur les marchés où le trafic Internet international est intense les prix locaux pour l'accès à l'Internet sont généralement plus bas. Une relation analogue a été observée entre le niveau de développement des réseaux Internet locaux et le niveau des prix internationaux dans les pays en développement. En particulier, les pays où le marché local est plus développé pratiquent généralement des prix plus bas pour les connexions Internet internationales. Cette relation n'est pas apparente dans les pays développés o</w:t>
      </w:r>
      <w:r w:rsidR="000071A7">
        <w:rPr>
          <w:rFonts w:asciiTheme="majorBidi" w:hAnsiTheme="majorBidi" w:cstheme="majorBidi"/>
          <w:szCs w:val="24"/>
        </w:rPr>
        <w:t>ù</w:t>
      </w:r>
      <w:r w:rsidRPr="009E1704">
        <w:rPr>
          <w:rFonts w:asciiTheme="majorBidi" w:hAnsiTheme="majorBidi" w:cstheme="majorBidi"/>
          <w:szCs w:val="24"/>
        </w:rPr>
        <w:t xml:space="preserve"> l'infrastructure Internet est généralement </w:t>
      </w:r>
      <w:r w:rsidR="009E1704" w:rsidRPr="009E1704">
        <w:rPr>
          <w:rFonts w:asciiTheme="majorBidi" w:hAnsiTheme="majorBidi" w:cstheme="majorBidi"/>
          <w:szCs w:val="24"/>
        </w:rPr>
        <w:t xml:space="preserve">beaucoup </w:t>
      </w:r>
      <w:r w:rsidRPr="009E1704">
        <w:rPr>
          <w:rFonts w:asciiTheme="majorBidi" w:hAnsiTheme="majorBidi" w:cstheme="majorBidi"/>
          <w:szCs w:val="24"/>
        </w:rPr>
        <w:t>plus développée.</w:t>
      </w:r>
    </w:p>
    <w:p w:rsidR="00633EA1" w:rsidRDefault="00633EA1" w:rsidP="00633EA1">
      <w:pPr>
        <w:rPr>
          <w:rFonts w:asciiTheme="majorBidi" w:hAnsiTheme="majorBidi" w:cstheme="majorBidi"/>
          <w:szCs w:val="24"/>
        </w:rPr>
      </w:pPr>
    </w:p>
    <w:p w:rsidR="000071A7" w:rsidRPr="009E1704" w:rsidRDefault="000071A7" w:rsidP="00633EA1">
      <w:pPr>
        <w:rPr>
          <w:rFonts w:asciiTheme="majorBidi" w:hAnsiTheme="majorBidi" w:cstheme="majorBidi"/>
          <w:szCs w:val="24"/>
        </w:rPr>
      </w:pPr>
    </w:p>
    <w:p w:rsidR="00633EA1" w:rsidRDefault="00633EA1" w:rsidP="00633EA1">
      <w:pPr>
        <w:rPr>
          <w:rFonts w:asciiTheme="majorBidi" w:hAnsiTheme="majorBidi" w:cstheme="majorBidi"/>
          <w:szCs w:val="24"/>
          <w:lang w:val="fr-CH"/>
        </w:rPr>
      </w:pPr>
      <w:r w:rsidRPr="009E1704">
        <w:rPr>
          <w:rFonts w:asciiTheme="majorBidi" w:hAnsiTheme="majorBidi" w:cstheme="majorBidi"/>
          <w:szCs w:val="24"/>
        </w:rPr>
        <w:t>Pièce jointe: rapport intégral (en anglais uniquement).</w:t>
      </w:r>
    </w:p>
    <w:p w:rsidR="00633EA1" w:rsidRDefault="00633EA1" w:rsidP="00633EA1">
      <w:pPr>
        <w:rPr>
          <w:rFonts w:asciiTheme="majorBidi" w:hAnsiTheme="majorBidi" w:cstheme="majorBidi"/>
          <w:szCs w:val="24"/>
          <w:lang w:val="fr-CH"/>
        </w:rPr>
      </w:pPr>
    </w:p>
    <w:p w:rsidR="00633EA1" w:rsidRPr="001E6EB5" w:rsidRDefault="00633EA1" w:rsidP="0032202E">
      <w:pPr>
        <w:pStyle w:val="Reasons"/>
        <w:rPr>
          <w:lang w:val="fr-CH"/>
        </w:rPr>
      </w:pPr>
    </w:p>
    <w:p w:rsidR="00633EA1" w:rsidRDefault="00633EA1">
      <w:pPr>
        <w:jc w:val="center"/>
      </w:pPr>
      <w:r>
        <w:t>______________</w:t>
      </w:r>
    </w:p>
    <w:p w:rsidR="00633EA1" w:rsidRPr="00633EA1" w:rsidRDefault="00633EA1" w:rsidP="00633EA1">
      <w:pPr>
        <w:rPr>
          <w:lang w:val="fr-CH"/>
        </w:rPr>
      </w:pPr>
    </w:p>
    <w:sectPr w:rsidR="00633EA1" w:rsidRPr="00633EA1" w:rsidSect="00FA0C41">
      <w:headerReference w:type="even" r:id="rId7"/>
      <w:headerReference w:type="default" r:id="rId8"/>
      <w:footerReference w:type="even" r:id="rId9"/>
      <w:footerReference w:type="default" r:id="rId10"/>
      <w:headerReference w:type="first" r:id="rId11"/>
      <w:footerReference w:type="first" r:id="rId12"/>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C41" w:rsidRDefault="00FA0C41">
      <w:r>
        <w:separator/>
      </w:r>
    </w:p>
  </w:endnote>
  <w:endnote w:type="continuationSeparator" w:id="0">
    <w:p w:rsidR="00FA0C41" w:rsidRDefault="00FA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EFF" w:rsidRPr="000071A7" w:rsidRDefault="003726F5">
    <w:pPr>
      <w:pStyle w:val="Footer"/>
      <w:rPr>
        <w:lang w:val="fr-CH"/>
      </w:rPr>
    </w:pPr>
    <w:r>
      <w:fldChar w:fldCharType="begin"/>
    </w:r>
    <w:r>
      <w:instrText xml:space="preserve"> FILENAME \p \* MERGEFORMAT </w:instrText>
    </w:r>
    <w:r>
      <w:fldChar w:fldCharType="separate"/>
    </w:r>
    <w:r w:rsidR="00423837" w:rsidRPr="00423837">
      <w:rPr>
        <w:lang w:val="fr-CH"/>
      </w:rPr>
      <w:t>P</w:t>
    </w:r>
    <w:r w:rsidR="00423837">
      <w:t>:\FRA\ITU-T\COM-T\COM03\DT\WP1-3\027F.docx</w:t>
    </w:r>
    <w:r>
      <w:fldChar w:fldCharType="end"/>
    </w:r>
    <w:r w:rsidR="005F3EFF" w:rsidRPr="000071A7">
      <w:rPr>
        <w:lang w:val="fr-CH"/>
      </w:rPr>
      <w:tab/>
    </w:r>
    <w:r w:rsidR="005F3EFF">
      <w:fldChar w:fldCharType="begin"/>
    </w:r>
    <w:r w:rsidR="005F3EFF">
      <w:instrText xml:space="preserve"> savedate \@ dd.MM.yy </w:instrText>
    </w:r>
    <w:r w:rsidR="005F3EFF">
      <w:fldChar w:fldCharType="separate"/>
    </w:r>
    <w:r>
      <w:t>23.07.12</w:t>
    </w:r>
    <w:r w:rsidR="005F3EFF">
      <w:fldChar w:fldCharType="end"/>
    </w:r>
    <w:r w:rsidR="005F3EFF" w:rsidRPr="000071A7">
      <w:rPr>
        <w:lang w:val="fr-CH"/>
      </w:rPr>
      <w:tab/>
    </w:r>
    <w:r w:rsidR="005F3EFF">
      <w:fldChar w:fldCharType="begin"/>
    </w:r>
    <w:r w:rsidR="005F3EFF">
      <w:instrText xml:space="preserve"> printdate \@ dd.MM.yy </w:instrText>
    </w:r>
    <w:r w:rsidR="005F3EFF">
      <w:fldChar w:fldCharType="separate"/>
    </w:r>
    <w:r w:rsidR="00423837">
      <w:t>23.07.12</w:t>
    </w:r>
    <w:r w:rsidR="005F3E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EA1" w:rsidRPr="003726F5" w:rsidRDefault="00633EA1" w:rsidP="003726F5">
    <w:pPr>
      <w:pStyle w:val="Footer"/>
    </w:pPr>
    <w:bookmarkStart w:id="9" w:name="_GoBack"/>
    <w:bookmarkEnd w:id="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1565"/>
      <w:gridCol w:w="4394"/>
      <w:gridCol w:w="3913"/>
      <w:gridCol w:w="51"/>
    </w:tblGrid>
    <w:tr w:rsidR="00003D5B" w:rsidTr="00003D5B">
      <w:trPr>
        <w:gridAfter w:val="1"/>
        <w:wAfter w:w="51" w:type="dxa"/>
        <w:cantSplit/>
        <w:jc w:val="center"/>
      </w:trPr>
      <w:tc>
        <w:tcPr>
          <w:tcW w:w="1616" w:type="dxa"/>
          <w:gridSpan w:val="2"/>
          <w:tcBorders>
            <w:top w:val="single" w:sz="12" w:space="0" w:color="auto"/>
          </w:tcBorders>
        </w:tcPr>
        <w:p w:rsidR="00003D5B" w:rsidRDefault="00003D5B">
          <w:pPr>
            <w:rPr>
              <w:sz w:val="22"/>
              <w:lang w:val="fr-CH"/>
            </w:rPr>
          </w:pPr>
          <w:r>
            <w:rPr>
              <w:b/>
              <w:bCs/>
              <w:sz w:val="22"/>
              <w:lang w:val="fr-CH"/>
            </w:rPr>
            <w:t>Contact</w:t>
          </w:r>
          <w:r>
            <w:rPr>
              <w:sz w:val="22"/>
              <w:lang w:val="fr-CH"/>
            </w:rPr>
            <w:t>:</w:t>
          </w:r>
        </w:p>
      </w:tc>
      <w:tc>
        <w:tcPr>
          <w:tcW w:w="4394" w:type="dxa"/>
          <w:tcBorders>
            <w:top w:val="single" w:sz="12" w:space="0" w:color="auto"/>
          </w:tcBorders>
        </w:tcPr>
        <w:p w:rsidR="00003D5B" w:rsidRDefault="00003D5B">
          <w:pPr>
            <w:rPr>
              <w:sz w:val="22"/>
              <w:lang w:val="fr-CH"/>
            </w:rPr>
          </w:pPr>
          <w:r>
            <w:rPr>
              <w:sz w:val="22"/>
              <w:lang w:val="fr-CH"/>
            </w:rPr>
            <w:t>TSB</w:t>
          </w:r>
        </w:p>
      </w:tc>
      <w:tc>
        <w:tcPr>
          <w:tcW w:w="3913" w:type="dxa"/>
          <w:tcBorders>
            <w:top w:val="single" w:sz="12" w:space="0" w:color="auto"/>
          </w:tcBorders>
        </w:tcPr>
        <w:p w:rsidR="00003D5B" w:rsidRPr="001E6EB5" w:rsidRDefault="00003D5B" w:rsidP="00003D5B">
          <w:pPr>
            <w:rPr>
              <w:sz w:val="22"/>
              <w:szCs w:val="22"/>
            </w:rPr>
          </w:pPr>
          <w:r w:rsidRPr="001E6EB5">
            <w:rPr>
              <w:sz w:val="22"/>
              <w:szCs w:val="22"/>
            </w:rPr>
            <w:t>Tél.:</w:t>
          </w:r>
          <w:r w:rsidRPr="001E6EB5">
            <w:rPr>
              <w:sz w:val="22"/>
              <w:szCs w:val="22"/>
            </w:rPr>
            <w:tab/>
            <w:t>+41 22 730 5887</w:t>
          </w:r>
          <w:r w:rsidRPr="001E6EB5">
            <w:rPr>
              <w:sz w:val="22"/>
              <w:szCs w:val="22"/>
            </w:rPr>
            <w:br/>
            <w:t>Fax:</w:t>
          </w:r>
          <w:r w:rsidRPr="001E6EB5">
            <w:rPr>
              <w:sz w:val="22"/>
              <w:szCs w:val="22"/>
            </w:rPr>
            <w:tab/>
            <w:t>+41 22 730 5853</w:t>
          </w:r>
          <w:r w:rsidRPr="001E6EB5">
            <w:rPr>
              <w:sz w:val="22"/>
              <w:szCs w:val="22"/>
            </w:rPr>
            <w:br/>
            <w:t>Email</w:t>
          </w:r>
          <w:r w:rsidRPr="001E6EB5">
            <w:rPr>
              <w:sz w:val="22"/>
              <w:szCs w:val="22"/>
            </w:rPr>
            <w:tab/>
          </w:r>
          <w:hyperlink r:id="rId1" w:history="1">
            <w:r w:rsidRPr="001E6EB5">
              <w:rPr>
                <w:rStyle w:val="Hyperlink"/>
                <w:sz w:val="22"/>
                <w:szCs w:val="22"/>
              </w:rPr>
              <w:t>richard.hill@itu.int</w:t>
            </w:r>
          </w:hyperlink>
        </w:p>
      </w:tc>
    </w:tr>
    <w:tr w:rsidR="00003D5B" w:rsidTr="00003D5B">
      <w:trPr>
        <w:gridAfter w:val="1"/>
        <w:wAfter w:w="51" w:type="dxa"/>
        <w:cantSplit/>
        <w:trHeight w:hRule="exact" w:val="113"/>
        <w:jc w:val="center"/>
      </w:trPr>
      <w:tc>
        <w:tcPr>
          <w:tcW w:w="9923" w:type="dxa"/>
          <w:gridSpan w:val="4"/>
        </w:tcPr>
        <w:p w:rsidR="00003D5B" w:rsidRDefault="00003D5B">
          <w:pPr>
            <w:rPr>
              <w:sz w:val="22"/>
            </w:rPr>
          </w:pPr>
        </w:p>
      </w:tc>
    </w:tr>
    <w:tr w:rsidR="00003D5B" w:rsidRPr="00FA0C41" w:rsidTr="00003D5B">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003D5B" w:rsidRPr="00FA0C41" w:rsidRDefault="00003D5B" w:rsidP="004F5B45">
          <w:pPr>
            <w:spacing w:before="0"/>
            <w:rPr>
              <w:sz w:val="18"/>
              <w:lang w:val="fr-CH"/>
            </w:rPr>
          </w:pPr>
          <w:r w:rsidRPr="00FA0C41">
            <w:rPr>
              <w:b/>
              <w:sz w:val="18"/>
              <w:lang w:val="fr-CH"/>
            </w:rPr>
            <w:t>Attention</w:t>
          </w:r>
          <w:r w:rsidRPr="00FA0C41">
            <w:rPr>
              <w:sz w:val="18"/>
              <w:lang w:val="fr-CH"/>
            </w:rPr>
            <w:t xml:space="preserve">: Le présent document n'est pas une publication destinée au public, mais </w:t>
          </w:r>
          <w:r w:rsidRPr="00FA0C41">
            <w:rPr>
              <w:b/>
              <w:sz w:val="18"/>
              <w:lang w:val="fr-CH"/>
            </w:rPr>
            <w:t>un document interne de l'UIT-T</w:t>
          </w:r>
          <w:r w:rsidRPr="00FA0C41">
            <w:rPr>
              <w:sz w:val="18"/>
              <w:lang w:val="fr-CH"/>
            </w:rPr>
            <w:t>, exclusivement réservé à l'usage des Etats Membres de l'UIT, des Membres du Secteur UIT-T et des Associés, de leur personnel et collaborateurs respectifs dans leurs activités se rapportant à l'UIT-T. Il ne doit être mis à disposition de toute autre personne ou entité ou utilisé par toute autre personne ou entité qu'avec l'accord écrit préalable de l'UIT-T.</w:t>
          </w:r>
        </w:p>
      </w:tc>
    </w:tr>
  </w:tbl>
  <w:p w:rsidR="00003D5B" w:rsidRPr="00FA0C41" w:rsidRDefault="00003D5B" w:rsidP="00003D5B">
    <w:pPr>
      <w:spacing w:before="0"/>
      <w:rPr>
        <w:sz w:val="18"/>
        <w:lang w:val="fr-C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C41" w:rsidRDefault="00FA0C41">
      <w:r>
        <w:t>____________________</w:t>
      </w:r>
    </w:p>
  </w:footnote>
  <w:footnote w:type="continuationSeparator" w:id="0">
    <w:p w:rsidR="00FA0C41" w:rsidRDefault="00FA0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6F5" w:rsidRDefault="003726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C41" w:rsidRPr="00FA0C41" w:rsidRDefault="00FA0C41" w:rsidP="00FA0C41">
    <w:pPr>
      <w:pStyle w:val="Header"/>
    </w:pPr>
    <w:r w:rsidRPr="00FA0C41">
      <w:t xml:space="preserve">- </w:t>
    </w:r>
    <w:r w:rsidRPr="00FA0C41">
      <w:fldChar w:fldCharType="begin"/>
    </w:r>
    <w:r w:rsidRPr="00FA0C41">
      <w:instrText xml:space="preserve"> PAGE  \* MERGEFORMAT </w:instrText>
    </w:r>
    <w:r w:rsidRPr="00FA0C41">
      <w:fldChar w:fldCharType="separate"/>
    </w:r>
    <w:r w:rsidR="003726F5">
      <w:rPr>
        <w:noProof/>
      </w:rPr>
      <w:t>2</w:t>
    </w:r>
    <w:r w:rsidRPr="00FA0C41">
      <w:fldChar w:fldCharType="end"/>
    </w:r>
    <w:r w:rsidRPr="00FA0C41">
      <w:t xml:space="preserve"> -</w:t>
    </w:r>
  </w:p>
  <w:p w:rsidR="00FA0C41" w:rsidRPr="00FA0C41" w:rsidRDefault="00FA0C41" w:rsidP="000071A7">
    <w:pPr>
      <w:pStyle w:val="Header"/>
      <w:spacing w:after="240"/>
    </w:pPr>
    <w:r w:rsidRPr="00FA0C41">
      <w:t xml:space="preserve">TD 27 (GT </w:t>
    </w:r>
    <w:r w:rsidR="000071A7">
      <w:t>1</w:t>
    </w:r>
    <w:r w:rsidRPr="00FA0C41">
      <w:t>/3)-F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6F5" w:rsidRDefault="003726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C41"/>
    <w:rsid w:val="00003D5B"/>
    <w:rsid w:val="000071A7"/>
    <w:rsid w:val="001E3C8F"/>
    <w:rsid w:val="001E6EB5"/>
    <w:rsid w:val="002418DF"/>
    <w:rsid w:val="003726F5"/>
    <w:rsid w:val="00423837"/>
    <w:rsid w:val="005F3EFF"/>
    <w:rsid w:val="00633EA1"/>
    <w:rsid w:val="009016CB"/>
    <w:rsid w:val="009E1704"/>
    <w:rsid w:val="00A4773F"/>
    <w:rsid w:val="00AE494E"/>
    <w:rsid w:val="00E97C3E"/>
    <w:rsid w:val="00FA0C41"/>
    <w:rsid w:val="00FD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fr-FR"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aftertitle"/>
    <w:pPr>
      <w:keepNext/>
      <w:keepLines/>
      <w:spacing w:before="480"/>
      <w:jc w:val="center"/>
    </w:pPr>
    <w:rPr>
      <w:b/>
      <w:sz w:val="28"/>
    </w:rPr>
  </w:style>
  <w:style w:type="paragraph" w:customStyle="1" w:styleId="AppendixNotitle">
    <w:name w:val="Appendix_No &amp; title"/>
    <w:basedOn w:val="AnnexNotitle"/>
    <w:next w:val="Normalaftertitle"/>
  </w:style>
  <w:style w:type="paragraph" w:customStyle="1" w:styleId="Artheading">
    <w:name w:val="Art_heading"/>
    <w:basedOn w:val="Normal"/>
    <w:next w:val="Normalaftertitle"/>
    <w:pPr>
      <w:spacing w:before="480"/>
      <w:jc w:val="center"/>
    </w:pPr>
    <w:rPr>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aftertitle"/>
    <w:pPr>
      <w:keepNext/>
      <w:keepLines/>
      <w:spacing w:before="240"/>
      <w:jc w:val="center"/>
    </w:pPr>
    <w:rPr>
      <w:b/>
      <w:sz w:val="28"/>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Pr>
      <w:position w:val="6"/>
      <w:sz w:val="18"/>
    </w:rPr>
  </w:style>
  <w:style w:type="paragraph" w:styleId="FootnoteText">
    <w:name w:val="footnote text"/>
    <w:basedOn w:val="Note"/>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Normalaftertitle">
    <w:name w:val="Normal_after_title"/>
    <w:basedOn w:val="Normal"/>
    <w:next w:val="Normal"/>
    <w:pPr>
      <w:spacing w:before="360"/>
    </w:pPr>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character" w:styleId="EndnoteReference">
    <w:name w:val="endnote reference"/>
    <w:basedOn w:val="DefaultParagraphFont"/>
    <w:rPr>
      <w:vertAlign w:val="superscript"/>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RecNoBR">
    <w:name w:val="Rec_No_BR"/>
    <w:basedOn w:val="Normal"/>
    <w:next w:val="Rectitle"/>
    <w:pPr>
      <w:keepNext/>
      <w:keepLines/>
      <w:spacing w:before="480"/>
      <w:jc w:val="center"/>
    </w:pPr>
    <w:rPr>
      <w:caps/>
      <w:sz w:val="28"/>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pPr>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pPr>
      <w:spacing w:before="80"/>
      <w:ind w:left="1531" w:hanging="851"/>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rPr>
      <w:b w:val="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character" w:styleId="PageNumber">
    <w:name w:val="page number"/>
    <w:basedOn w:val="DefaultParagraphFont"/>
  </w:style>
  <w:style w:type="paragraph" w:customStyle="1" w:styleId="QuestionNoBR">
    <w:name w:val="Question_No_BR"/>
    <w:basedOn w:val="RecNoBR"/>
    <w:next w:val="Questiontitle"/>
  </w:style>
  <w:style w:type="paragraph" w:customStyle="1" w:styleId="Reftitle">
    <w:name w:val="Ref_title"/>
    <w:basedOn w:val="Normal"/>
    <w:next w:val="Reftext"/>
    <w:pPr>
      <w:spacing w:before="480"/>
      <w:jc w:val="center"/>
    </w:pPr>
    <w:rPr>
      <w:b/>
    </w:rPr>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character" w:customStyle="1" w:styleId="Recdef">
    <w:name w:val="Rec_def"/>
    <w:basedOn w:val="DefaultParagraphFont"/>
    <w:rPr>
      <w:b/>
    </w:rPr>
  </w:style>
  <w:style w:type="paragraph" w:customStyle="1" w:styleId="Tableref">
    <w:name w:val="Table_ref"/>
    <w:basedOn w:val="Normal"/>
    <w:next w:val="TabletitleBR"/>
    <w:pPr>
      <w:keepNext/>
      <w:spacing w:before="0" w:after="120"/>
      <w:jc w:val="center"/>
    </w:p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character" w:styleId="CommentReference">
    <w:name w:val="annotation reference"/>
    <w:basedOn w:val="DefaultParagraphFont"/>
    <w:rPr>
      <w:sz w:val="16"/>
      <w:szCs w:val="16"/>
    </w:rPr>
  </w:style>
  <w:style w:type="paragraph" w:styleId="CommentText">
    <w:name w:val="annotation text"/>
    <w:basedOn w:val="Normal"/>
    <w:rPr>
      <w:sz w:val="20"/>
    </w:rPr>
  </w:style>
  <w:style w:type="paragraph" w:customStyle="1" w:styleId="Reasons">
    <w:name w:val="Reasons"/>
    <w:basedOn w:val="Normal"/>
    <w:qFormat/>
    <w:rsid w:val="00633EA1"/>
    <w:pPr>
      <w:tabs>
        <w:tab w:val="clear" w:pos="794"/>
        <w:tab w:val="clear" w:pos="1191"/>
        <w:tab w:val="clear" w:pos="1588"/>
        <w:tab w:val="clear" w:pos="1985"/>
      </w:tabs>
      <w:overflowPunct/>
      <w:autoSpaceDE/>
      <w:autoSpaceDN/>
      <w:adjustRightInd/>
      <w:spacing w:before="0"/>
      <w:textAlignment w:val="auto"/>
    </w:pPr>
    <w:rPr>
      <w:lang w:val="en-US"/>
    </w:rPr>
  </w:style>
  <w:style w:type="character" w:styleId="Hyperlink">
    <w:name w:val="Hyperlink"/>
    <w:basedOn w:val="DefaultParagraphFont"/>
    <w:uiPriority w:val="99"/>
    <w:unhideWhenUsed/>
    <w:rsid w:val="00003D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fr-FR"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aftertitle"/>
    <w:pPr>
      <w:keepNext/>
      <w:keepLines/>
      <w:spacing w:before="480"/>
      <w:jc w:val="center"/>
    </w:pPr>
    <w:rPr>
      <w:b/>
      <w:sz w:val="28"/>
    </w:rPr>
  </w:style>
  <w:style w:type="paragraph" w:customStyle="1" w:styleId="AppendixNotitle">
    <w:name w:val="Appendix_No &amp; title"/>
    <w:basedOn w:val="AnnexNotitle"/>
    <w:next w:val="Normalaftertitle"/>
  </w:style>
  <w:style w:type="paragraph" w:customStyle="1" w:styleId="Artheading">
    <w:name w:val="Art_heading"/>
    <w:basedOn w:val="Normal"/>
    <w:next w:val="Normalaftertitle"/>
    <w:pPr>
      <w:spacing w:before="480"/>
      <w:jc w:val="center"/>
    </w:pPr>
    <w:rPr>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aftertitle"/>
    <w:pPr>
      <w:keepNext/>
      <w:keepLines/>
      <w:spacing w:before="240"/>
      <w:jc w:val="center"/>
    </w:pPr>
    <w:rPr>
      <w:b/>
      <w:sz w:val="28"/>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Pr>
      <w:position w:val="6"/>
      <w:sz w:val="18"/>
    </w:rPr>
  </w:style>
  <w:style w:type="paragraph" w:styleId="FootnoteText">
    <w:name w:val="footnote text"/>
    <w:basedOn w:val="Note"/>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Normalaftertitle">
    <w:name w:val="Normal_after_title"/>
    <w:basedOn w:val="Normal"/>
    <w:next w:val="Normal"/>
    <w:pPr>
      <w:spacing w:before="360"/>
    </w:pPr>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character" w:styleId="EndnoteReference">
    <w:name w:val="endnote reference"/>
    <w:basedOn w:val="DefaultParagraphFont"/>
    <w:rPr>
      <w:vertAlign w:val="superscript"/>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RecNoBR">
    <w:name w:val="Rec_No_BR"/>
    <w:basedOn w:val="Normal"/>
    <w:next w:val="Rectitle"/>
    <w:pPr>
      <w:keepNext/>
      <w:keepLines/>
      <w:spacing w:before="480"/>
      <w:jc w:val="center"/>
    </w:pPr>
    <w:rPr>
      <w:caps/>
      <w:sz w:val="28"/>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pPr>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pPr>
      <w:spacing w:before="80"/>
      <w:ind w:left="1531" w:hanging="851"/>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rPr>
      <w:b w:val="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character" w:styleId="PageNumber">
    <w:name w:val="page number"/>
    <w:basedOn w:val="DefaultParagraphFont"/>
  </w:style>
  <w:style w:type="paragraph" w:customStyle="1" w:styleId="QuestionNoBR">
    <w:name w:val="Question_No_BR"/>
    <w:basedOn w:val="RecNoBR"/>
    <w:next w:val="Questiontitle"/>
  </w:style>
  <w:style w:type="paragraph" w:customStyle="1" w:styleId="Reftitle">
    <w:name w:val="Ref_title"/>
    <w:basedOn w:val="Normal"/>
    <w:next w:val="Reftext"/>
    <w:pPr>
      <w:spacing w:before="480"/>
      <w:jc w:val="center"/>
    </w:pPr>
    <w:rPr>
      <w:b/>
    </w:rPr>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character" w:customStyle="1" w:styleId="Recdef">
    <w:name w:val="Rec_def"/>
    <w:basedOn w:val="DefaultParagraphFont"/>
    <w:rPr>
      <w:b/>
    </w:rPr>
  </w:style>
  <w:style w:type="paragraph" w:customStyle="1" w:styleId="Tableref">
    <w:name w:val="Table_ref"/>
    <w:basedOn w:val="Normal"/>
    <w:next w:val="TabletitleBR"/>
    <w:pPr>
      <w:keepNext/>
      <w:spacing w:before="0" w:after="120"/>
      <w:jc w:val="center"/>
    </w:p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character" w:styleId="CommentReference">
    <w:name w:val="annotation reference"/>
    <w:basedOn w:val="DefaultParagraphFont"/>
    <w:rPr>
      <w:sz w:val="16"/>
      <w:szCs w:val="16"/>
    </w:rPr>
  </w:style>
  <w:style w:type="paragraph" w:styleId="CommentText">
    <w:name w:val="annotation text"/>
    <w:basedOn w:val="Normal"/>
    <w:rPr>
      <w:sz w:val="20"/>
    </w:rPr>
  </w:style>
  <w:style w:type="paragraph" w:customStyle="1" w:styleId="Reasons">
    <w:name w:val="Reasons"/>
    <w:basedOn w:val="Normal"/>
    <w:qFormat/>
    <w:rsid w:val="00633EA1"/>
    <w:pPr>
      <w:tabs>
        <w:tab w:val="clear" w:pos="794"/>
        <w:tab w:val="clear" w:pos="1191"/>
        <w:tab w:val="clear" w:pos="1588"/>
        <w:tab w:val="clear" w:pos="1985"/>
      </w:tabs>
      <w:overflowPunct/>
      <w:autoSpaceDE/>
      <w:autoSpaceDN/>
      <w:adjustRightInd/>
      <w:spacing w:before="0"/>
      <w:textAlignment w:val="auto"/>
    </w:pPr>
    <w:rPr>
      <w:lang w:val="en-US"/>
    </w:rPr>
  </w:style>
  <w:style w:type="character" w:styleId="Hyperlink">
    <w:name w:val="Hyperlink"/>
    <w:basedOn w:val="DefaultParagraphFont"/>
    <w:uiPriority w:val="99"/>
    <w:unhideWhenUsed/>
    <w:rsid w:val="00003D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richard.hill@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idra\Application%20Data\Microsoft\Templates\POOL%20F%20-%20ITU\PF_TSB.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PF_TSB.dotm</Template>
  <TotalTime>49</TotalTime>
  <Pages>2</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DOCUMENT TEMPORAIRE</vt:lpstr>
    </vt:vector>
  </TitlesOfParts>
  <Manager>ITU-T</Manager>
  <Company>International Telecommunication Union (ITU)</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TEMPORAIRE</dc:title>
  <dc:subject/>
  <dc:creator>alidra</dc:creator>
  <cp:keywords/>
  <dc:description>TD 27 (GT 3/3)-F  For: 3-7 septembre 2012_x000d_Document date: _x000d_Saved by PA-106485 at 09:11:48 on 23.07.2012</dc:description>
  <cp:lastModifiedBy>Van Den Heuvel, Patricia</cp:lastModifiedBy>
  <cp:revision>14</cp:revision>
  <cp:lastPrinted>2012-07-23T12:18:00Z</cp:lastPrinted>
  <dcterms:created xsi:type="dcterms:W3CDTF">2012-07-23T07:11:00Z</dcterms:created>
  <dcterms:modified xsi:type="dcterms:W3CDTF">2012-07-24T08:55:00Z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 (GT 3/3)-F</vt:lpwstr>
  </property>
  <property fmtid="{D5CDD505-2E9C-101B-9397-08002B2CF9AE}" pid="3" name="Docdate">
    <vt:lpwstr/>
  </property>
  <property fmtid="{D5CDD505-2E9C-101B-9397-08002B2CF9AE}" pid="4" name="Docorlang">
    <vt:lpwstr>Original: anglais</vt:lpwstr>
  </property>
  <property fmtid="{D5CDD505-2E9C-101B-9397-08002B2CF9AE}" pid="5" name="Docbluepink">
    <vt:lpwstr/>
  </property>
  <property fmtid="{D5CDD505-2E9C-101B-9397-08002B2CF9AE}" pid="6" name="Docdest">
    <vt:lpwstr>3-7 septembre 2012</vt:lpwstr>
  </property>
  <property fmtid="{D5CDD505-2E9C-101B-9397-08002B2CF9AE}" pid="7" name="Docauthor">
    <vt:lpwstr/>
  </property>
</Properties>
</file>