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34" w:tblpY="-675"/>
        <w:tblW w:w="10031" w:type="dxa"/>
        <w:tblLayout w:type="fixed"/>
        <w:tblLook w:val="0000" w:firstRow="0" w:lastRow="0" w:firstColumn="0" w:lastColumn="0" w:noHBand="0" w:noVBand="0"/>
      </w:tblPr>
      <w:tblGrid>
        <w:gridCol w:w="6912"/>
        <w:gridCol w:w="3119"/>
      </w:tblGrid>
      <w:tr w:rsidR="00AA3CCE" w:rsidRPr="005857B8" w:rsidTr="008C5B5B">
        <w:trPr>
          <w:cantSplit/>
        </w:trPr>
        <w:tc>
          <w:tcPr>
            <w:tcW w:w="6912" w:type="dxa"/>
          </w:tcPr>
          <w:p w:rsidR="00AA3CCE" w:rsidRPr="005857B8" w:rsidRDefault="00AA3CCE" w:rsidP="008C5B5B">
            <w:pPr>
              <w:spacing w:before="360" w:after="48" w:line="240" w:lineRule="atLeast"/>
              <w:rPr>
                <w:position w:val="6"/>
              </w:rPr>
            </w:pPr>
            <w:r>
              <w:br w:type="page"/>
            </w:r>
            <w:bookmarkStart w:id="0" w:name="dpp"/>
            <w:bookmarkEnd w:id="0"/>
            <w:r w:rsidRPr="005857B8">
              <w:rPr>
                <w:rFonts w:cs="Times"/>
                <w:b/>
                <w:position w:val="6"/>
                <w:sz w:val="30"/>
                <w:szCs w:val="30"/>
              </w:rPr>
              <w:t>Plenipotentiary Conference (PP-</w:t>
            </w:r>
            <w:r>
              <w:rPr>
                <w:rFonts w:cs="Times"/>
                <w:b/>
                <w:position w:val="6"/>
                <w:sz w:val="30"/>
                <w:szCs w:val="30"/>
              </w:rPr>
              <w:t>14</w:t>
            </w:r>
            <w:r w:rsidRPr="005857B8">
              <w:rPr>
                <w:rFonts w:cs="Times"/>
                <w:b/>
                <w:position w:val="6"/>
                <w:sz w:val="30"/>
                <w:szCs w:val="30"/>
              </w:rPr>
              <w:t>)</w:t>
            </w:r>
            <w:r w:rsidRPr="005857B8">
              <w:rPr>
                <w:rFonts w:cs="Times"/>
                <w:b/>
                <w:position w:val="6"/>
                <w:sz w:val="26"/>
                <w:szCs w:val="26"/>
              </w:rPr>
              <w:br/>
            </w:r>
            <w:r>
              <w:rPr>
                <w:b/>
                <w:bCs/>
                <w:position w:val="6"/>
                <w:szCs w:val="24"/>
              </w:rPr>
              <w:t>Busan, 20 October – 7 November 2014</w:t>
            </w:r>
          </w:p>
        </w:tc>
        <w:tc>
          <w:tcPr>
            <w:tcW w:w="3119" w:type="dxa"/>
          </w:tcPr>
          <w:p w:rsidR="00AA3CCE" w:rsidRPr="005857B8" w:rsidRDefault="00AA3CCE" w:rsidP="008C5B5B">
            <w:pPr>
              <w:spacing w:before="0" w:line="240" w:lineRule="atLeast"/>
            </w:pPr>
            <w:bookmarkStart w:id="1" w:name="ditulogo"/>
            <w:bookmarkEnd w:id="1"/>
            <w:r w:rsidRPr="005857B8">
              <w:rPr>
                <w:noProof/>
                <w:lang w:val="en-US" w:eastAsia="zh-CN"/>
              </w:rPr>
              <w:drawing>
                <wp:inline distT="0" distB="0" distL="0" distR="0" wp14:anchorId="4FA216A1" wp14:editId="184AFC87">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A3CCE" w:rsidRPr="005857B8" w:rsidTr="008C5B5B">
        <w:trPr>
          <w:cantSplit/>
        </w:trPr>
        <w:tc>
          <w:tcPr>
            <w:tcW w:w="6912" w:type="dxa"/>
            <w:tcBorders>
              <w:bottom w:val="single" w:sz="12" w:space="0" w:color="auto"/>
            </w:tcBorders>
          </w:tcPr>
          <w:p w:rsidR="00AA3CCE" w:rsidRPr="005857B8" w:rsidRDefault="00AA3CCE" w:rsidP="008C5B5B">
            <w:pPr>
              <w:spacing w:before="0" w:after="48" w:line="240" w:lineRule="atLeast"/>
              <w:rPr>
                <w:b/>
                <w:smallCaps/>
                <w:szCs w:val="24"/>
              </w:rPr>
            </w:pPr>
          </w:p>
        </w:tc>
        <w:tc>
          <w:tcPr>
            <w:tcW w:w="3119" w:type="dxa"/>
            <w:tcBorders>
              <w:bottom w:val="single" w:sz="12" w:space="0" w:color="auto"/>
            </w:tcBorders>
          </w:tcPr>
          <w:p w:rsidR="00AA3CCE" w:rsidRPr="005857B8" w:rsidRDefault="00AA3CCE" w:rsidP="008C5B5B">
            <w:pPr>
              <w:spacing w:before="0" w:line="240" w:lineRule="atLeast"/>
              <w:rPr>
                <w:szCs w:val="24"/>
              </w:rPr>
            </w:pPr>
          </w:p>
        </w:tc>
      </w:tr>
      <w:tr w:rsidR="00AA3CCE" w:rsidRPr="005857B8" w:rsidTr="008C5B5B">
        <w:trPr>
          <w:cantSplit/>
        </w:trPr>
        <w:tc>
          <w:tcPr>
            <w:tcW w:w="6912" w:type="dxa"/>
            <w:tcBorders>
              <w:top w:val="single" w:sz="12" w:space="0" w:color="auto"/>
            </w:tcBorders>
          </w:tcPr>
          <w:p w:rsidR="00AA3CCE" w:rsidRPr="005857B8" w:rsidRDefault="00AA3CCE" w:rsidP="008C5B5B">
            <w:pPr>
              <w:spacing w:before="0" w:after="48" w:line="240" w:lineRule="atLeast"/>
              <w:rPr>
                <w:b/>
                <w:smallCaps/>
                <w:szCs w:val="24"/>
              </w:rPr>
            </w:pPr>
          </w:p>
        </w:tc>
        <w:tc>
          <w:tcPr>
            <w:tcW w:w="3119" w:type="dxa"/>
            <w:tcBorders>
              <w:top w:val="single" w:sz="12" w:space="0" w:color="auto"/>
            </w:tcBorders>
          </w:tcPr>
          <w:p w:rsidR="00AA3CCE" w:rsidRPr="005857B8" w:rsidRDefault="00AA3CCE" w:rsidP="008C5B5B">
            <w:pPr>
              <w:spacing w:before="0" w:line="240" w:lineRule="atLeast"/>
              <w:rPr>
                <w:szCs w:val="24"/>
              </w:rPr>
            </w:pPr>
          </w:p>
        </w:tc>
      </w:tr>
      <w:tr w:rsidR="00AA3CCE" w:rsidRPr="005857B8" w:rsidTr="008C5B5B">
        <w:trPr>
          <w:cantSplit/>
          <w:trHeight w:val="23"/>
        </w:trPr>
        <w:tc>
          <w:tcPr>
            <w:tcW w:w="6912" w:type="dxa"/>
            <w:vMerge w:val="restart"/>
          </w:tcPr>
          <w:p w:rsidR="00AA3CCE" w:rsidRPr="005857B8" w:rsidRDefault="00AA3CCE" w:rsidP="008C5B5B">
            <w:pPr>
              <w:tabs>
                <w:tab w:val="left" w:pos="851"/>
              </w:tabs>
              <w:spacing w:line="240" w:lineRule="atLeast"/>
              <w:rPr>
                <w:b/>
              </w:rPr>
            </w:pPr>
            <w:bookmarkStart w:id="2" w:name="dmeeting" w:colFirst="0" w:colLast="0"/>
            <w:bookmarkStart w:id="3" w:name="dnum" w:colFirst="1" w:colLast="1"/>
            <w:r w:rsidRPr="005857B8">
              <w:rPr>
                <w:b/>
              </w:rPr>
              <w:t>PLENARY MEETING</w:t>
            </w:r>
          </w:p>
        </w:tc>
        <w:tc>
          <w:tcPr>
            <w:tcW w:w="3119" w:type="dxa"/>
          </w:tcPr>
          <w:p w:rsidR="00AA3CCE" w:rsidRPr="005857B8" w:rsidRDefault="00AA3CCE" w:rsidP="00B62FED">
            <w:pPr>
              <w:tabs>
                <w:tab w:val="left" w:pos="851"/>
              </w:tabs>
              <w:spacing w:before="0" w:line="240" w:lineRule="atLeast"/>
              <w:rPr>
                <w:b/>
              </w:rPr>
            </w:pPr>
            <w:r w:rsidRPr="005857B8">
              <w:rPr>
                <w:b/>
              </w:rPr>
              <w:t xml:space="preserve">Document </w:t>
            </w:r>
            <w:r w:rsidR="00B62FED">
              <w:rPr>
                <w:b/>
              </w:rPr>
              <w:t>171</w:t>
            </w:r>
            <w:r w:rsidRPr="005857B8">
              <w:rPr>
                <w:b/>
              </w:rPr>
              <w:t>-E</w:t>
            </w:r>
          </w:p>
        </w:tc>
      </w:tr>
      <w:tr w:rsidR="00AA3CCE" w:rsidRPr="005857B8" w:rsidTr="008C5B5B">
        <w:trPr>
          <w:cantSplit/>
          <w:trHeight w:val="23"/>
        </w:trPr>
        <w:tc>
          <w:tcPr>
            <w:tcW w:w="6912" w:type="dxa"/>
            <w:vMerge/>
          </w:tcPr>
          <w:p w:rsidR="00AA3CCE" w:rsidRPr="005857B8" w:rsidRDefault="00AA3CCE" w:rsidP="008C5B5B">
            <w:pPr>
              <w:tabs>
                <w:tab w:val="left" w:pos="851"/>
              </w:tabs>
              <w:spacing w:line="240" w:lineRule="atLeast"/>
              <w:rPr>
                <w:b/>
              </w:rPr>
            </w:pPr>
            <w:bookmarkStart w:id="4" w:name="ddate" w:colFirst="1" w:colLast="1"/>
            <w:bookmarkEnd w:id="2"/>
            <w:bookmarkEnd w:id="3"/>
          </w:p>
        </w:tc>
        <w:tc>
          <w:tcPr>
            <w:tcW w:w="3119" w:type="dxa"/>
          </w:tcPr>
          <w:p w:rsidR="00AA3CCE" w:rsidRPr="005857B8" w:rsidRDefault="00B62FED" w:rsidP="00B62FED">
            <w:pPr>
              <w:tabs>
                <w:tab w:val="left" w:pos="993"/>
              </w:tabs>
              <w:spacing w:before="0"/>
              <w:rPr>
                <w:b/>
              </w:rPr>
            </w:pPr>
            <w:r>
              <w:rPr>
                <w:b/>
              </w:rPr>
              <w:t>14 November 2014</w:t>
            </w:r>
          </w:p>
        </w:tc>
      </w:tr>
      <w:tr w:rsidR="00AA3CCE" w:rsidRPr="005857B8" w:rsidTr="008C5B5B">
        <w:trPr>
          <w:cantSplit/>
          <w:trHeight w:val="23"/>
        </w:trPr>
        <w:tc>
          <w:tcPr>
            <w:tcW w:w="6912" w:type="dxa"/>
            <w:vMerge/>
          </w:tcPr>
          <w:p w:rsidR="00AA3CCE" w:rsidRPr="005857B8" w:rsidRDefault="00AA3CCE" w:rsidP="008C5B5B">
            <w:pPr>
              <w:tabs>
                <w:tab w:val="left" w:pos="851"/>
              </w:tabs>
              <w:spacing w:line="240" w:lineRule="atLeast"/>
              <w:rPr>
                <w:b/>
              </w:rPr>
            </w:pPr>
            <w:bookmarkStart w:id="5" w:name="dorlang" w:colFirst="1" w:colLast="1"/>
            <w:bookmarkEnd w:id="4"/>
          </w:p>
        </w:tc>
        <w:tc>
          <w:tcPr>
            <w:tcW w:w="3119" w:type="dxa"/>
          </w:tcPr>
          <w:p w:rsidR="00AA3CCE" w:rsidRPr="005857B8" w:rsidRDefault="00AA3CCE" w:rsidP="008C5B5B">
            <w:pPr>
              <w:tabs>
                <w:tab w:val="left" w:pos="993"/>
              </w:tabs>
              <w:spacing w:before="0"/>
              <w:rPr>
                <w:b/>
              </w:rPr>
            </w:pPr>
            <w:r w:rsidRPr="005857B8">
              <w:rPr>
                <w:b/>
              </w:rPr>
              <w:t xml:space="preserve">Original: </w:t>
            </w:r>
            <w:r>
              <w:rPr>
                <w:b/>
              </w:rPr>
              <w:t>English</w:t>
            </w:r>
          </w:p>
        </w:tc>
      </w:tr>
    </w:tbl>
    <w:tbl>
      <w:tblPr>
        <w:tblW w:w="5086" w:type="pct"/>
        <w:tblLook w:val="0000" w:firstRow="0" w:lastRow="0" w:firstColumn="0" w:lastColumn="0" w:noHBand="0" w:noVBand="0"/>
      </w:tblPr>
      <w:tblGrid>
        <w:gridCol w:w="9811"/>
      </w:tblGrid>
      <w:tr w:rsidR="00AA3CCE" w:rsidRPr="005857B8" w:rsidTr="008C5B5B">
        <w:trPr>
          <w:cantSplit/>
        </w:trPr>
        <w:tc>
          <w:tcPr>
            <w:tcW w:w="5000" w:type="pct"/>
          </w:tcPr>
          <w:bookmarkEnd w:id="5"/>
          <w:p w:rsidR="00AA3CCE" w:rsidRPr="005857B8" w:rsidRDefault="00AA3CCE" w:rsidP="008C5B5B">
            <w:pPr>
              <w:pStyle w:val="Title1"/>
              <w:spacing w:before="720"/>
            </w:pPr>
            <w:r w:rsidRPr="005857B8">
              <w:t>minutes</w:t>
            </w:r>
          </w:p>
          <w:p w:rsidR="00AA3CCE" w:rsidRPr="005857B8" w:rsidRDefault="00AA3CCE" w:rsidP="008C5B5B">
            <w:pPr>
              <w:pStyle w:val="Title1"/>
            </w:pPr>
            <w:r w:rsidRPr="005857B8">
              <w:t>OF THE</w:t>
            </w:r>
          </w:p>
          <w:p w:rsidR="00AA3CCE" w:rsidRPr="005857B8" w:rsidRDefault="00AA3CCE" w:rsidP="008C5B5B">
            <w:pPr>
              <w:pStyle w:val="Title1"/>
            </w:pPr>
            <w:r>
              <w:t>thirteenth</w:t>
            </w:r>
            <w:r w:rsidRPr="005857B8">
              <w:t xml:space="preserve"> plenary meeting</w:t>
            </w:r>
          </w:p>
        </w:tc>
      </w:tr>
      <w:tr w:rsidR="00AA3CCE" w:rsidRPr="005857B8" w:rsidTr="008C5B5B">
        <w:trPr>
          <w:cantSplit/>
        </w:trPr>
        <w:tc>
          <w:tcPr>
            <w:tcW w:w="5000" w:type="pct"/>
          </w:tcPr>
          <w:p w:rsidR="00AA3CCE" w:rsidRPr="005857B8" w:rsidRDefault="00AA3CCE" w:rsidP="00732234">
            <w:pPr>
              <w:pStyle w:val="Normalaftertitle"/>
              <w:jc w:val="center"/>
            </w:pPr>
            <w:r>
              <w:t xml:space="preserve">Monday, 3 November 2014, at </w:t>
            </w:r>
            <w:r w:rsidR="00732234">
              <w:t>1435</w:t>
            </w:r>
            <w:r>
              <w:t xml:space="preserve"> hours</w:t>
            </w:r>
          </w:p>
        </w:tc>
      </w:tr>
      <w:tr w:rsidR="00AA3CCE" w:rsidRPr="005857B8" w:rsidTr="008C5B5B">
        <w:trPr>
          <w:cantSplit/>
        </w:trPr>
        <w:tc>
          <w:tcPr>
            <w:tcW w:w="5000" w:type="pct"/>
          </w:tcPr>
          <w:p w:rsidR="00AA3CCE" w:rsidRPr="005857B8" w:rsidRDefault="00AA3CCE" w:rsidP="008C5B5B">
            <w:pPr>
              <w:jc w:val="center"/>
            </w:pPr>
            <w:r w:rsidRPr="005857B8">
              <w:rPr>
                <w:b/>
                <w:bCs/>
              </w:rPr>
              <w:t>Chairman:</w:t>
            </w:r>
            <w:r w:rsidRPr="005857B8">
              <w:t xml:space="preserve"> </w:t>
            </w:r>
            <w:r>
              <w:t>Mr W. MIN</w:t>
            </w:r>
            <w:r w:rsidRPr="005857B8">
              <w:rPr>
                <w:szCs w:val="24"/>
              </w:rPr>
              <w:t xml:space="preserve"> (</w:t>
            </w:r>
            <w:r>
              <w:rPr>
                <w:szCs w:val="24"/>
              </w:rPr>
              <w:t>Republic of Korea</w:t>
            </w:r>
            <w:r w:rsidRPr="005857B8">
              <w:rPr>
                <w:szCs w:val="24"/>
              </w:rPr>
              <w:t>)</w:t>
            </w:r>
          </w:p>
        </w:tc>
      </w:tr>
    </w:tbl>
    <w:p w:rsidR="00AA3CCE" w:rsidRPr="005857B8" w:rsidRDefault="00AA3CCE" w:rsidP="00AA3CCE"/>
    <w:tbl>
      <w:tblPr>
        <w:tblW w:w="10031" w:type="dxa"/>
        <w:tblLook w:val="0000" w:firstRow="0" w:lastRow="0" w:firstColumn="0" w:lastColumn="0" w:noHBand="0" w:noVBand="0"/>
      </w:tblPr>
      <w:tblGrid>
        <w:gridCol w:w="534"/>
        <w:gridCol w:w="7164"/>
        <w:gridCol w:w="2333"/>
      </w:tblGrid>
      <w:tr w:rsidR="00AA3CCE" w:rsidRPr="005857B8" w:rsidTr="008C5B5B">
        <w:tc>
          <w:tcPr>
            <w:tcW w:w="534" w:type="dxa"/>
          </w:tcPr>
          <w:p w:rsidR="00AA3CCE" w:rsidRPr="005857B8" w:rsidRDefault="00AA3CCE" w:rsidP="008C5B5B">
            <w:pPr>
              <w:pStyle w:val="toc0"/>
            </w:pPr>
          </w:p>
        </w:tc>
        <w:tc>
          <w:tcPr>
            <w:tcW w:w="7164" w:type="dxa"/>
          </w:tcPr>
          <w:p w:rsidR="00AA3CCE" w:rsidRPr="005857B8" w:rsidRDefault="00AA3CCE" w:rsidP="008C5B5B">
            <w:pPr>
              <w:pStyle w:val="toc0"/>
            </w:pPr>
            <w:r w:rsidRPr="005857B8">
              <w:t>Subjects discussed</w:t>
            </w:r>
          </w:p>
        </w:tc>
        <w:tc>
          <w:tcPr>
            <w:tcW w:w="2333" w:type="dxa"/>
          </w:tcPr>
          <w:p w:rsidR="00AA3CCE" w:rsidRPr="005857B8" w:rsidRDefault="00AA3CCE" w:rsidP="008C5B5B">
            <w:pPr>
              <w:pStyle w:val="toc0"/>
              <w:jc w:val="center"/>
            </w:pPr>
            <w:r w:rsidRPr="005857B8">
              <w:t>Documents</w:t>
            </w:r>
          </w:p>
        </w:tc>
      </w:tr>
      <w:tr w:rsidR="00AA3CCE" w:rsidRPr="005857B8" w:rsidTr="008C5B5B">
        <w:tc>
          <w:tcPr>
            <w:tcW w:w="534" w:type="dxa"/>
          </w:tcPr>
          <w:p w:rsidR="00AA3CCE" w:rsidRPr="005857B8" w:rsidRDefault="00732234" w:rsidP="008C5B5B">
            <w:pPr>
              <w:ind w:left="567" w:hanging="567"/>
            </w:pPr>
            <w:r>
              <w:t>1</w:t>
            </w:r>
          </w:p>
        </w:tc>
        <w:tc>
          <w:tcPr>
            <w:tcW w:w="7164" w:type="dxa"/>
          </w:tcPr>
          <w:p w:rsidR="00AA3CCE" w:rsidRPr="005857B8" w:rsidRDefault="00732234" w:rsidP="008C5B5B">
            <w:pPr>
              <w:ind w:left="567" w:hanging="567"/>
            </w:pPr>
            <w:r>
              <w:t>Oral report by the Chairman of Committee 2 (Credentials)</w:t>
            </w:r>
          </w:p>
        </w:tc>
        <w:tc>
          <w:tcPr>
            <w:tcW w:w="2333" w:type="dxa"/>
          </w:tcPr>
          <w:p w:rsidR="00AA3CCE" w:rsidRPr="005857B8" w:rsidRDefault="000E4194" w:rsidP="00160426">
            <w:pPr>
              <w:jc w:val="center"/>
            </w:pPr>
            <w:hyperlink r:id="rId8" w:history="1">
              <w:r w:rsidR="00AA3CCE" w:rsidRPr="00B62FED">
                <w:rPr>
                  <w:rStyle w:val="Hyperlink"/>
                </w:rPr>
                <w:t>1</w:t>
              </w:r>
              <w:r w:rsidR="00160426" w:rsidRPr="00B62FED">
                <w:rPr>
                  <w:rStyle w:val="Hyperlink"/>
                </w:rPr>
                <w:t>3</w:t>
              </w:r>
              <w:r w:rsidR="00AA3CCE" w:rsidRPr="00B62FED">
                <w:rPr>
                  <w:rStyle w:val="Hyperlink"/>
                </w:rPr>
                <w:t>5</w:t>
              </w:r>
            </w:hyperlink>
          </w:p>
        </w:tc>
      </w:tr>
      <w:tr w:rsidR="00AA3CCE" w:rsidRPr="005857B8" w:rsidTr="008C5B5B">
        <w:tc>
          <w:tcPr>
            <w:tcW w:w="534" w:type="dxa"/>
          </w:tcPr>
          <w:p w:rsidR="00AA3CCE" w:rsidRPr="005857B8" w:rsidRDefault="00732234" w:rsidP="008C5B5B">
            <w:pPr>
              <w:ind w:left="567" w:hanging="567"/>
            </w:pPr>
            <w:r>
              <w:t>2</w:t>
            </w:r>
          </w:p>
        </w:tc>
        <w:tc>
          <w:tcPr>
            <w:tcW w:w="7164" w:type="dxa"/>
          </w:tcPr>
          <w:p w:rsidR="00AA3CCE" w:rsidRDefault="00AA3CCE" w:rsidP="00160426">
            <w:r>
              <w:t>Fourth</w:t>
            </w:r>
            <w:r>
              <w:rPr>
                <w:lang w:val="en-US"/>
              </w:rPr>
              <w:t xml:space="preserve"> series of texts submitted by the Editorial Committee for first reading (B4)</w:t>
            </w:r>
          </w:p>
        </w:tc>
        <w:tc>
          <w:tcPr>
            <w:tcW w:w="2333" w:type="dxa"/>
          </w:tcPr>
          <w:p w:rsidR="00AA3CCE" w:rsidRDefault="00B62FED" w:rsidP="008C5B5B">
            <w:pPr>
              <w:jc w:val="center"/>
            </w:pPr>
            <w:hyperlink r:id="rId9" w:history="1">
              <w:r w:rsidR="00160426" w:rsidRPr="00B62FED">
                <w:rPr>
                  <w:rStyle w:val="Hyperlink"/>
                </w:rPr>
                <w:t>130</w:t>
              </w:r>
            </w:hyperlink>
          </w:p>
        </w:tc>
      </w:tr>
      <w:tr w:rsidR="00AA3CCE" w:rsidRPr="005857B8" w:rsidTr="008C5B5B">
        <w:tc>
          <w:tcPr>
            <w:tcW w:w="534" w:type="dxa"/>
          </w:tcPr>
          <w:p w:rsidR="00AA3CCE" w:rsidRPr="005857B8" w:rsidRDefault="00732234" w:rsidP="008C5B5B">
            <w:pPr>
              <w:ind w:left="567" w:hanging="567"/>
            </w:pPr>
            <w:r>
              <w:t>3</w:t>
            </w:r>
          </w:p>
        </w:tc>
        <w:tc>
          <w:tcPr>
            <w:tcW w:w="7164" w:type="dxa"/>
          </w:tcPr>
          <w:p w:rsidR="00AA3CCE" w:rsidRDefault="00160426" w:rsidP="00732234">
            <w:r>
              <w:t>Fourth</w:t>
            </w:r>
            <w:r>
              <w:rPr>
                <w:lang w:val="en-US"/>
              </w:rPr>
              <w:t xml:space="preserve"> series of texts submitted by the Editorial Committee </w:t>
            </w:r>
            <w:r w:rsidR="00732234">
              <w:rPr>
                <w:lang w:val="en-US"/>
              </w:rPr>
              <w:t>-</w:t>
            </w:r>
            <w:r>
              <w:rPr>
                <w:lang w:val="en-US"/>
              </w:rPr>
              <w:t xml:space="preserve"> second reading</w:t>
            </w:r>
          </w:p>
        </w:tc>
        <w:tc>
          <w:tcPr>
            <w:tcW w:w="2333" w:type="dxa"/>
          </w:tcPr>
          <w:p w:rsidR="00AA3CCE" w:rsidRDefault="000E4194" w:rsidP="00160426">
            <w:pPr>
              <w:jc w:val="center"/>
            </w:pPr>
            <w:hyperlink r:id="rId10" w:history="1">
              <w:r w:rsidR="00B62FED" w:rsidRPr="00B62FED">
                <w:rPr>
                  <w:rStyle w:val="Hyperlink"/>
                </w:rPr>
                <w:t>130</w:t>
              </w:r>
            </w:hyperlink>
          </w:p>
        </w:tc>
      </w:tr>
      <w:tr w:rsidR="00160426" w:rsidRPr="005857B8" w:rsidTr="008C5B5B">
        <w:tc>
          <w:tcPr>
            <w:tcW w:w="534" w:type="dxa"/>
          </w:tcPr>
          <w:p w:rsidR="00160426" w:rsidRDefault="00732234" w:rsidP="008C5B5B">
            <w:pPr>
              <w:ind w:left="567" w:hanging="567"/>
            </w:pPr>
            <w:r>
              <w:t>4</w:t>
            </w:r>
          </w:p>
        </w:tc>
        <w:tc>
          <w:tcPr>
            <w:tcW w:w="7164" w:type="dxa"/>
          </w:tcPr>
          <w:p w:rsidR="00160426" w:rsidRDefault="00160426" w:rsidP="00160426">
            <w:r w:rsidRPr="00AA65C6">
              <w:t>F</w:t>
            </w:r>
            <w:r>
              <w:t>ifth</w:t>
            </w:r>
            <w:r w:rsidRPr="00AA65C6">
              <w:rPr>
                <w:lang w:val="en-US"/>
              </w:rPr>
              <w:t xml:space="preserve"> series of texts submitted by the Editorial Committee for first reading</w:t>
            </w:r>
            <w:r>
              <w:rPr>
                <w:lang w:val="en-US"/>
              </w:rPr>
              <w:t xml:space="preserve"> (B5)</w:t>
            </w:r>
          </w:p>
        </w:tc>
        <w:tc>
          <w:tcPr>
            <w:tcW w:w="2333" w:type="dxa"/>
          </w:tcPr>
          <w:p w:rsidR="00160426" w:rsidRDefault="000E4194" w:rsidP="00B62FED">
            <w:pPr>
              <w:jc w:val="center"/>
            </w:pPr>
            <w:hyperlink r:id="rId11" w:history="1">
              <w:r w:rsidR="00B62FED" w:rsidRPr="00B62FED">
                <w:rPr>
                  <w:rStyle w:val="Hyperlink"/>
                </w:rPr>
                <w:t>13</w:t>
              </w:r>
              <w:r w:rsidR="00B62FED">
                <w:rPr>
                  <w:rStyle w:val="Hyperlink"/>
                </w:rPr>
                <w:t>9</w:t>
              </w:r>
            </w:hyperlink>
          </w:p>
        </w:tc>
      </w:tr>
      <w:tr w:rsidR="00160426" w:rsidRPr="005857B8" w:rsidTr="008C5B5B">
        <w:tc>
          <w:tcPr>
            <w:tcW w:w="534" w:type="dxa"/>
          </w:tcPr>
          <w:p w:rsidR="00160426" w:rsidRDefault="00732234" w:rsidP="008C5B5B">
            <w:pPr>
              <w:ind w:left="567" w:hanging="567"/>
            </w:pPr>
            <w:r>
              <w:t>5</w:t>
            </w:r>
          </w:p>
        </w:tc>
        <w:tc>
          <w:tcPr>
            <w:tcW w:w="7164" w:type="dxa"/>
          </w:tcPr>
          <w:p w:rsidR="00160426" w:rsidRPr="00AA65C6" w:rsidRDefault="00160426" w:rsidP="00732234">
            <w:r>
              <w:t>Fifth</w:t>
            </w:r>
            <w:r>
              <w:rPr>
                <w:lang w:val="en-US"/>
              </w:rPr>
              <w:t xml:space="preserve"> series of texts submitted by the Editorial Committee </w:t>
            </w:r>
            <w:r w:rsidR="00732234">
              <w:rPr>
                <w:lang w:val="en-US"/>
              </w:rPr>
              <w:t>-</w:t>
            </w:r>
            <w:r>
              <w:rPr>
                <w:lang w:val="en-US"/>
              </w:rPr>
              <w:t xml:space="preserve"> second reading</w:t>
            </w:r>
          </w:p>
        </w:tc>
        <w:tc>
          <w:tcPr>
            <w:tcW w:w="2333" w:type="dxa"/>
          </w:tcPr>
          <w:p w:rsidR="00160426" w:rsidRDefault="000E4194" w:rsidP="008C5B5B">
            <w:pPr>
              <w:jc w:val="center"/>
            </w:pPr>
            <w:hyperlink r:id="rId12" w:history="1">
              <w:r w:rsidR="00B62FED" w:rsidRPr="00B62FED">
                <w:rPr>
                  <w:rStyle w:val="Hyperlink"/>
                </w:rPr>
                <w:t>13</w:t>
              </w:r>
              <w:r w:rsidR="00B62FED">
                <w:rPr>
                  <w:rStyle w:val="Hyperlink"/>
                </w:rPr>
                <w:t>9</w:t>
              </w:r>
            </w:hyperlink>
          </w:p>
        </w:tc>
      </w:tr>
      <w:tr w:rsidR="00160426" w:rsidRPr="005857B8" w:rsidTr="008C5B5B">
        <w:tc>
          <w:tcPr>
            <w:tcW w:w="534" w:type="dxa"/>
          </w:tcPr>
          <w:p w:rsidR="00160426" w:rsidRDefault="00732234" w:rsidP="008C5B5B">
            <w:pPr>
              <w:ind w:left="567" w:hanging="567"/>
            </w:pPr>
            <w:r>
              <w:t>6</w:t>
            </w:r>
          </w:p>
        </w:tc>
        <w:tc>
          <w:tcPr>
            <w:tcW w:w="7164" w:type="dxa"/>
          </w:tcPr>
          <w:p w:rsidR="00160426" w:rsidRDefault="00160426" w:rsidP="00160426">
            <w:r>
              <w:t>Sixth</w:t>
            </w:r>
            <w:r>
              <w:rPr>
                <w:lang w:val="en-US"/>
              </w:rPr>
              <w:t xml:space="preserve"> series of texts submitted by the Editorial Committee for first reading (B6)</w:t>
            </w:r>
          </w:p>
        </w:tc>
        <w:tc>
          <w:tcPr>
            <w:tcW w:w="2333" w:type="dxa"/>
          </w:tcPr>
          <w:p w:rsidR="00160426" w:rsidRDefault="000E4194" w:rsidP="00B62FED">
            <w:pPr>
              <w:jc w:val="center"/>
            </w:pPr>
            <w:hyperlink r:id="rId13" w:history="1">
              <w:r w:rsidR="00B62FED" w:rsidRPr="00B62FED">
                <w:rPr>
                  <w:rStyle w:val="Hyperlink"/>
                </w:rPr>
                <w:t>1</w:t>
              </w:r>
              <w:r w:rsidR="00B62FED">
                <w:rPr>
                  <w:rStyle w:val="Hyperlink"/>
                </w:rPr>
                <w:t>42</w:t>
              </w:r>
            </w:hyperlink>
          </w:p>
        </w:tc>
      </w:tr>
      <w:tr w:rsidR="00160426" w:rsidRPr="005857B8" w:rsidTr="008C5B5B">
        <w:tc>
          <w:tcPr>
            <w:tcW w:w="534" w:type="dxa"/>
          </w:tcPr>
          <w:p w:rsidR="00160426" w:rsidRDefault="00732234" w:rsidP="008C5B5B">
            <w:pPr>
              <w:ind w:left="567" w:hanging="567"/>
            </w:pPr>
            <w:r>
              <w:t>7</w:t>
            </w:r>
          </w:p>
        </w:tc>
        <w:tc>
          <w:tcPr>
            <w:tcW w:w="7164" w:type="dxa"/>
          </w:tcPr>
          <w:p w:rsidR="00160426" w:rsidRDefault="00160426" w:rsidP="00732234">
            <w:r>
              <w:t>Sixth</w:t>
            </w:r>
            <w:r>
              <w:rPr>
                <w:lang w:val="en-US"/>
              </w:rPr>
              <w:t xml:space="preserve"> series of texts submitted by the Editorial Committee </w:t>
            </w:r>
            <w:r w:rsidR="00732234">
              <w:rPr>
                <w:lang w:val="en-US"/>
              </w:rPr>
              <w:t>-</w:t>
            </w:r>
            <w:r>
              <w:rPr>
                <w:lang w:val="en-US"/>
              </w:rPr>
              <w:t xml:space="preserve"> second reading</w:t>
            </w:r>
          </w:p>
        </w:tc>
        <w:tc>
          <w:tcPr>
            <w:tcW w:w="2333" w:type="dxa"/>
          </w:tcPr>
          <w:p w:rsidR="00160426" w:rsidRDefault="000E4194" w:rsidP="008C5B5B">
            <w:pPr>
              <w:jc w:val="center"/>
            </w:pPr>
            <w:hyperlink r:id="rId14" w:history="1">
              <w:r w:rsidR="00B62FED" w:rsidRPr="00B62FED">
                <w:rPr>
                  <w:rStyle w:val="Hyperlink"/>
                </w:rPr>
                <w:t>1</w:t>
              </w:r>
              <w:r w:rsidR="00B62FED">
                <w:rPr>
                  <w:rStyle w:val="Hyperlink"/>
                </w:rPr>
                <w:t>42</w:t>
              </w:r>
            </w:hyperlink>
          </w:p>
        </w:tc>
      </w:tr>
      <w:tr w:rsidR="00160426" w:rsidRPr="005857B8" w:rsidTr="008C5B5B">
        <w:tc>
          <w:tcPr>
            <w:tcW w:w="534" w:type="dxa"/>
          </w:tcPr>
          <w:p w:rsidR="00160426" w:rsidRDefault="00732234" w:rsidP="008C5B5B">
            <w:pPr>
              <w:ind w:left="567" w:hanging="567"/>
            </w:pPr>
            <w:r>
              <w:t>8</w:t>
            </w:r>
          </w:p>
        </w:tc>
        <w:tc>
          <w:tcPr>
            <w:tcW w:w="7164" w:type="dxa"/>
          </w:tcPr>
          <w:p w:rsidR="00160426" w:rsidRDefault="00160426" w:rsidP="00160426">
            <w:r>
              <w:t>First</w:t>
            </w:r>
            <w:r>
              <w:rPr>
                <w:lang w:val="en-US"/>
              </w:rPr>
              <w:t xml:space="preserve"> series of texts submitted by the Editorial Committee for second reading (R1)</w:t>
            </w:r>
          </w:p>
        </w:tc>
        <w:tc>
          <w:tcPr>
            <w:tcW w:w="2333" w:type="dxa"/>
          </w:tcPr>
          <w:p w:rsidR="00160426" w:rsidRDefault="000E4194" w:rsidP="00B62FED">
            <w:pPr>
              <w:jc w:val="center"/>
            </w:pPr>
            <w:hyperlink r:id="rId15" w:history="1">
              <w:r w:rsidR="00B62FED" w:rsidRPr="00B62FED">
                <w:rPr>
                  <w:rStyle w:val="Hyperlink"/>
                </w:rPr>
                <w:t>1</w:t>
              </w:r>
              <w:r w:rsidR="00B62FED">
                <w:rPr>
                  <w:rStyle w:val="Hyperlink"/>
                </w:rPr>
                <w:t>37</w:t>
              </w:r>
            </w:hyperlink>
          </w:p>
        </w:tc>
      </w:tr>
      <w:tr w:rsidR="00160426" w:rsidRPr="005857B8" w:rsidTr="008C5B5B">
        <w:tc>
          <w:tcPr>
            <w:tcW w:w="534" w:type="dxa"/>
          </w:tcPr>
          <w:p w:rsidR="00160426" w:rsidRDefault="00732234" w:rsidP="00160426">
            <w:pPr>
              <w:ind w:left="567" w:hanging="567"/>
            </w:pPr>
            <w:r>
              <w:t>9</w:t>
            </w:r>
          </w:p>
        </w:tc>
        <w:tc>
          <w:tcPr>
            <w:tcW w:w="7164" w:type="dxa"/>
          </w:tcPr>
          <w:p w:rsidR="00160426" w:rsidRDefault="00160426" w:rsidP="00160426">
            <w:pPr>
              <w:ind w:left="567" w:hanging="567"/>
            </w:pPr>
            <w:r w:rsidRPr="001F4426">
              <w:t xml:space="preserve">Approval of minutes </w:t>
            </w:r>
          </w:p>
        </w:tc>
        <w:tc>
          <w:tcPr>
            <w:tcW w:w="2333" w:type="dxa"/>
          </w:tcPr>
          <w:p w:rsidR="00160426" w:rsidRDefault="00B62FED" w:rsidP="008C5B5B">
            <w:pPr>
              <w:jc w:val="center"/>
            </w:pPr>
            <w:hyperlink r:id="rId16" w:history="1">
              <w:r w:rsidR="00160426" w:rsidRPr="00B62FED">
                <w:rPr>
                  <w:rStyle w:val="Hyperlink"/>
                </w:rPr>
                <w:t>107</w:t>
              </w:r>
            </w:hyperlink>
            <w:r w:rsidR="00160426">
              <w:t xml:space="preserve">, </w:t>
            </w:r>
            <w:hyperlink r:id="rId17" w:history="1">
              <w:r w:rsidR="00160426" w:rsidRPr="00B62FED">
                <w:rPr>
                  <w:rStyle w:val="Hyperlink"/>
                </w:rPr>
                <w:t>108</w:t>
              </w:r>
            </w:hyperlink>
            <w:r w:rsidR="00160426">
              <w:t xml:space="preserve">, </w:t>
            </w:r>
            <w:hyperlink r:id="rId18" w:history="1">
              <w:r w:rsidR="00160426" w:rsidRPr="00B62FED">
                <w:rPr>
                  <w:rStyle w:val="Hyperlink"/>
                </w:rPr>
                <w:t>1</w:t>
              </w:r>
              <w:r w:rsidR="00732234" w:rsidRPr="00B62FED">
                <w:rPr>
                  <w:rStyle w:val="Hyperlink"/>
                </w:rPr>
                <w:t>1</w:t>
              </w:r>
              <w:r w:rsidR="00160426" w:rsidRPr="00B62FED">
                <w:rPr>
                  <w:rStyle w:val="Hyperlink"/>
                </w:rPr>
                <w:t>2</w:t>
              </w:r>
            </w:hyperlink>
            <w:r w:rsidR="00160426">
              <w:t xml:space="preserve">, </w:t>
            </w:r>
            <w:hyperlink r:id="rId19" w:history="1">
              <w:r w:rsidR="00160426" w:rsidRPr="00B62FED">
                <w:rPr>
                  <w:rStyle w:val="Hyperlink"/>
                </w:rPr>
                <w:t>113</w:t>
              </w:r>
            </w:hyperlink>
            <w:r w:rsidR="00160426">
              <w:t>,</w:t>
            </w:r>
            <w:r w:rsidR="00732234">
              <w:t xml:space="preserve"> </w:t>
            </w:r>
            <w:hyperlink r:id="rId20" w:history="1">
              <w:r w:rsidR="00160426" w:rsidRPr="00B62FED">
                <w:rPr>
                  <w:rStyle w:val="Hyperlink"/>
                </w:rPr>
                <w:t>114</w:t>
              </w:r>
            </w:hyperlink>
          </w:p>
        </w:tc>
      </w:tr>
      <w:tr w:rsidR="00732234" w:rsidRPr="005857B8" w:rsidTr="00D47EF1">
        <w:tc>
          <w:tcPr>
            <w:tcW w:w="534" w:type="dxa"/>
          </w:tcPr>
          <w:p w:rsidR="00732234" w:rsidRPr="005857B8" w:rsidRDefault="00732234" w:rsidP="00D47EF1">
            <w:pPr>
              <w:ind w:left="567" w:hanging="567"/>
            </w:pPr>
            <w:bookmarkStart w:id="6" w:name="dbreak"/>
            <w:bookmarkEnd w:id="6"/>
            <w:r w:rsidRPr="005857B8">
              <w:t>1</w:t>
            </w:r>
            <w:r>
              <w:t>0</w:t>
            </w:r>
          </w:p>
        </w:tc>
        <w:tc>
          <w:tcPr>
            <w:tcW w:w="7164" w:type="dxa"/>
          </w:tcPr>
          <w:p w:rsidR="00732234" w:rsidRPr="005857B8" w:rsidRDefault="00732234" w:rsidP="00732234">
            <w:pPr>
              <w:ind w:left="567" w:hanging="567"/>
            </w:pPr>
            <w:r>
              <w:t>Efforts to combat EBOLA</w:t>
            </w:r>
          </w:p>
        </w:tc>
        <w:tc>
          <w:tcPr>
            <w:tcW w:w="2333" w:type="dxa"/>
          </w:tcPr>
          <w:p w:rsidR="00732234" w:rsidRPr="005857B8" w:rsidRDefault="00732234" w:rsidP="00D47EF1">
            <w:pPr>
              <w:jc w:val="center"/>
            </w:pPr>
            <w:r w:rsidRPr="005857B8">
              <w:t>-</w:t>
            </w:r>
          </w:p>
        </w:tc>
      </w:tr>
    </w:tbl>
    <w:p w:rsidR="00AA3CCE" w:rsidRPr="005857B8" w:rsidRDefault="00AA3CCE" w:rsidP="00AA3CCE"/>
    <w:p w:rsidR="00AA3CCE" w:rsidRDefault="00AA3CCE">
      <w:pPr>
        <w:tabs>
          <w:tab w:val="clear" w:pos="567"/>
          <w:tab w:val="clear" w:pos="1134"/>
          <w:tab w:val="clear" w:pos="1701"/>
          <w:tab w:val="clear" w:pos="2268"/>
          <w:tab w:val="clear" w:pos="2835"/>
        </w:tabs>
        <w:overflowPunct/>
        <w:autoSpaceDE/>
        <w:autoSpaceDN/>
        <w:adjustRightInd/>
        <w:spacing w:before="0"/>
        <w:textAlignment w:val="auto"/>
        <w:rPr>
          <w:b/>
          <w:sz w:val="28"/>
        </w:rPr>
      </w:pPr>
      <w:r>
        <w:rPr>
          <w:b/>
          <w:sz w:val="28"/>
        </w:rPr>
        <w:br w:type="page"/>
      </w:r>
    </w:p>
    <w:p w:rsidR="00A104B9" w:rsidRDefault="00732234" w:rsidP="00B62FED">
      <w:pPr>
        <w:pStyle w:val="Heading1"/>
      </w:pPr>
      <w:r>
        <w:lastRenderedPageBreak/>
        <w:t>1</w:t>
      </w:r>
      <w:r w:rsidR="00A104B9">
        <w:tab/>
      </w:r>
      <w:r>
        <w:t>Oral report by the Chairman of Committee 2 (Credentials)</w:t>
      </w:r>
      <w:r w:rsidR="00A104B9">
        <w:t xml:space="preserve"> (Document 135)</w:t>
      </w:r>
    </w:p>
    <w:p w:rsidR="00A104B9" w:rsidRDefault="00732234" w:rsidP="000E4194">
      <w:pPr>
        <w:pStyle w:val="Heading1"/>
        <w:ind w:left="0" w:firstLine="0"/>
      </w:pPr>
      <w:r>
        <w:rPr>
          <w:b w:val="0"/>
          <w:bCs/>
          <w:sz w:val="24"/>
          <w:szCs w:val="24"/>
        </w:rPr>
        <w:t>1</w:t>
      </w:r>
      <w:r w:rsidR="00A104B9">
        <w:rPr>
          <w:b w:val="0"/>
          <w:bCs/>
          <w:sz w:val="24"/>
          <w:szCs w:val="24"/>
        </w:rPr>
        <w:t>.1</w:t>
      </w:r>
      <w:r w:rsidR="00A104B9">
        <w:rPr>
          <w:b w:val="0"/>
          <w:bCs/>
          <w:sz w:val="24"/>
          <w:szCs w:val="24"/>
        </w:rPr>
        <w:tab/>
        <w:t xml:space="preserve">The </w:t>
      </w:r>
      <w:r w:rsidR="00A104B9">
        <w:rPr>
          <w:sz w:val="24"/>
          <w:szCs w:val="24"/>
        </w:rPr>
        <w:t xml:space="preserve">Chairman </w:t>
      </w:r>
      <w:r w:rsidR="00A104B9" w:rsidRPr="00A104B9">
        <w:rPr>
          <w:sz w:val="24"/>
          <w:szCs w:val="24"/>
        </w:rPr>
        <w:t xml:space="preserve">of </w:t>
      </w:r>
      <w:r>
        <w:rPr>
          <w:sz w:val="24"/>
          <w:szCs w:val="24"/>
        </w:rPr>
        <w:t>Committee 2 (Credentials)</w:t>
      </w:r>
      <w:r w:rsidR="00A104B9" w:rsidRPr="00A104B9">
        <w:rPr>
          <w:sz w:val="24"/>
          <w:szCs w:val="24"/>
        </w:rPr>
        <w:t xml:space="preserve"> </w:t>
      </w:r>
      <w:r w:rsidR="00A104B9">
        <w:rPr>
          <w:b w:val="0"/>
          <w:bCs/>
          <w:sz w:val="24"/>
          <w:szCs w:val="24"/>
        </w:rPr>
        <w:t>reported that</w:t>
      </w:r>
      <w:r>
        <w:rPr>
          <w:b w:val="0"/>
          <w:bCs/>
          <w:sz w:val="24"/>
          <w:szCs w:val="24"/>
        </w:rPr>
        <w:t>, as indicated in Document 135,</w:t>
      </w:r>
      <w:r w:rsidR="00A104B9">
        <w:rPr>
          <w:b w:val="0"/>
          <w:bCs/>
          <w:sz w:val="24"/>
          <w:szCs w:val="24"/>
        </w:rPr>
        <w:t xml:space="preserve"> </w:t>
      </w:r>
      <w:r w:rsidR="00317651">
        <w:rPr>
          <w:b w:val="0"/>
          <w:bCs/>
          <w:sz w:val="24"/>
          <w:szCs w:val="24"/>
        </w:rPr>
        <w:t>the delegation of Barbados was fully empowered to represent the Government of Trinidad and Tobago until the end of the Conference</w:t>
      </w:r>
      <w:r w:rsidR="003A4BC1">
        <w:rPr>
          <w:b w:val="0"/>
          <w:bCs/>
          <w:sz w:val="24"/>
          <w:szCs w:val="24"/>
        </w:rPr>
        <w:t xml:space="preserve">, </w:t>
      </w:r>
      <w:r w:rsidR="003A4BC1" w:rsidRPr="003A4BC1">
        <w:rPr>
          <w:b w:val="0"/>
          <w:bCs/>
          <w:sz w:val="24"/>
          <w:szCs w:val="24"/>
        </w:rPr>
        <w:t>to vote and to sign the Final Acts of the Conference on its behalf pursuant to No. 335 of the ITU Convention.</w:t>
      </w:r>
    </w:p>
    <w:p w:rsidR="00480848" w:rsidRPr="00480848" w:rsidRDefault="00732234" w:rsidP="00B62FED">
      <w:r>
        <w:t>1</w:t>
      </w:r>
      <w:r w:rsidR="00480848">
        <w:t>.2</w:t>
      </w:r>
      <w:r w:rsidR="00480848">
        <w:tab/>
      </w:r>
      <w:r>
        <w:t>That information</w:t>
      </w:r>
      <w:r w:rsidR="00480848">
        <w:t xml:space="preserve"> </w:t>
      </w:r>
      <w:r w:rsidR="00480848" w:rsidRPr="00E61AE6">
        <w:t>was</w:t>
      </w:r>
      <w:r w:rsidR="00480848">
        <w:rPr>
          <w:b/>
          <w:bCs/>
        </w:rPr>
        <w:t xml:space="preserve"> noted</w:t>
      </w:r>
      <w:r w:rsidR="00480848">
        <w:t>.</w:t>
      </w:r>
    </w:p>
    <w:p w:rsidR="009C50AB" w:rsidRDefault="00732234" w:rsidP="00B62FED">
      <w:pPr>
        <w:pStyle w:val="Heading1"/>
        <w:rPr>
          <w:lang w:val="en-US"/>
        </w:rPr>
      </w:pPr>
      <w:r>
        <w:t>2</w:t>
      </w:r>
      <w:r w:rsidR="003A4BC1">
        <w:tab/>
      </w:r>
      <w:r w:rsidR="00A104B9">
        <w:t>Fourth</w:t>
      </w:r>
      <w:r w:rsidR="00A104B9">
        <w:rPr>
          <w:lang w:val="en-US"/>
        </w:rPr>
        <w:t xml:space="preserve"> series of texts submitted by the Editorial Committee for first reading (B4) (Document 130)</w:t>
      </w:r>
    </w:p>
    <w:p w:rsidR="00CF7DEE" w:rsidRDefault="00732234" w:rsidP="00B62FED">
      <w:r>
        <w:t>2.1</w:t>
      </w:r>
      <w:r w:rsidR="00CF7DEE">
        <w:tab/>
      </w:r>
      <w:r w:rsidR="00D75C29">
        <w:rPr>
          <w:lang w:val="en-US"/>
        </w:rPr>
        <w:t xml:space="preserve">The </w:t>
      </w:r>
      <w:r w:rsidR="00D75C29" w:rsidRPr="00350296">
        <w:rPr>
          <w:b/>
          <w:bCs/>
          <w:lang w:val="en-US"/>
        </w:rPr>
        <w:t>delegate of the Russian Federation</w:t>
      </w:r>
      <w:r w:rsidR="00D75C29">
        <w:rPr>
          <w:lang w:val="en-US"/>
        </w:rPr>
        <w:t xml:space="preserve"> proposed that an</w:t>
      </w:r>
      <w:r>
        <w:rPr>
          <w:lang w:val="en-US"/>
        </w:rPr>
        <w:t xml:space="preserve">y purely editorial comments on </w:t>
      </w:r>
      <w:r w:rsidR="00D75C29">
        <w:rPr>
          <w:lang w:val="en-US"/>
        </w:rPr>
        <w:t>specific language version</w:t>
      </w:r>
      <w:r>
        <w:rPr>
          <w:lang w:val="en-US"/>
        </w:rPr>
        <w:t>s</w:t>
      </w:r>
      <w:r w:rsidR="00D75C29">
        <w:rPr>
          <w:lang w:val="en-US"/>
        </w:rPr>
        <w:t xml:space="preserve"> of any documents for review should be submitted directly to the Editorial Committee,</w:t>
      </w:r>
      <w:r w:rsidR="00CF7DEE">
        <w:t xml:space="preserve"> rather than being raised in </w:t>
      </w:r>
      <w:r w:rsidR="00F03910">
        <w:t xml:space="preserve">the </w:t>
      </w:r>
      <w:r w:rsidR="008B01D9">
        <w:t>P</w:t>
      </w:r>
      <w:r w:rsidR="00CF7DEE">
        <w:t>lenary.</w:t>
      </w:r>
    </w:p>
    <w:p w:rsidR="00CF7DEE" w:rsidRDefault="00732234" w:rsidP="00B62FED">
      <w:r>
        <w:t>2.2</w:t>
      </w:r>
      <w:r w:rsidR="00CF7DEE">
        <w:tab/>
        <w:t xml:space="preserve">It was so </w:t>
      </w:r>
      <w:r w:rsidR="00CF7DEE">
        <w:rPr>
          <w:b/>
          <w:bCs/>
        </w:rPr>
        <w:t>agreed</w:t>
      </w:r>
      <w:r w:rsidR="00CF7DEE">
        <w:t>.</w:t>
      </w:r>
    </w:p>
    <w:p w:rsidR="00AA65C6" w:rsidRDefault="00AA65C6" w:rsidP="00B62FED">
      <w:pPr>
        <w:rPr>
          <w:b/>
          <w:bCs/>
          <w:lang w:val="en-US"/>
        </w:rPr>
      </w:pPr>
      <w:r>
        <w:rPr>
          <w:b/>
          <w:bCs/>
          <w:lang w:val="en-US"/>
        </w:rPr>
        <w:t xml:space="preserve">Draft </w:t>
      </w:r>
      <w:r w:rsidRPr="005A025B">
        <w:rPr>
          <w:b/>
          <w:bCs/>
          <w:lang w:val="en-US"/>
        </w:rPr>
        <w:t>R</w:t>
      </w:r>
      <w:r>
        <w:rPr>
          <w:b/>
          <w:bCs/>
          <w:lang w:val="en-US"/>
        </w:rPr>
        <w:t>esolution</w:t>
      </w:r>
      <w:r w:rsidRPr="005A025B">
        <w:rPr>
          <w:b/>
          <w:bCs/>
          <w:lang w:val="en-US"/>
        </w:rPr>
        <w:t xml:space="preserve"> 2 (R</w:t>
      </w:r>
      <w:r>
        <w:rPr>
          <w:b/>
          <w:bCs/>
          <w:lang w:val="en-US"/>
        </w:rPr>
        <w:t>ev</w:t>
      </w:r>
      <w:r w:rsidRPr="005A025B">
        <w:rPr>
          <w:b/>
          <w:bCs/>
          <w:lang w:val="en-US"/>
        </w:rPr>
        <w:t>. B</w:t>
      </w:r>
      <w:r>
        <w:rPr>
          <w:b/>
          <w:bCs/>
          <w:lang w:val="en-US"/>
        </w:rPr>
        <w:t>usan</w:t>
      </w:r>
      <w:r w:rsidRPr="005A025B">
        <w:rPr>
          <w:b/>
          <w:bCs/>
          <w:lang w:val="en-US"/>
        </w:rPr>
        <w:t>, 2014)</w:t>
      </w:r>
      <w:r>
        <w:rPr>
          <w:b/>
          <w:bCs/>
          <w:lang w:val="en-US"/>
        </w:rPr>
        <w:t xml:space="preserve"> - </w:t>
      </w:r>
      <w:r w:rsidRPr="005A025B">
        <w:rPr>
          <w:b/>
          <w:bCs/>
          <w:lang w:val="en-US"/>
        </w:rPr>
        <w:t xml:space="preserve">World telecommunication/information and communication technology policy forum </w:t>
      </w:r>
    </w:p>
    <w:p w:rsidR="00AA65C6" w:rsidRPr="00AA65C6" w:rsidRDefault="00732234" w:rsidP="00B62FED">
      <w:pPr>
        <w:rPr>
          <w:lang w:val="en-US"/>
        </w:rPr>
      </w:pPr>
      <w:r>
        <w:rPr>
          <w:lang w:val="en-US"/>
        </w:rPr>
        <w:t>2.3</w:t>
      </w:r>
      <w:r w:rsidR="00AA65C6">
        <w:rPr>
          <w:lang w:val="en-US"/>
        </w:rPr>
        <w:tab/>
      </w:r>
      <w:r w:rsidRPr="00732234">
        <w:rPr>
          <w:b/>
          <w:bCs/>
          <w:lang w:val="en-US"/>
        </w:rPr>
        <w:t>A</w:t>
      </w:r>
      <w:r w:rsidR="00AA65C6" w:rsidRPr="00AA65C6">
        <w:rPr>
          <w:b/>
          <w:bCs/>
          <w:lang w:val="en-US"/>
        </w:rPr>
        <w:t>dopted</w:t>
      </w:r>
      <w:r w:rsidR="00AA65C6">
        <w:rPr>
          <w:lang w:val="en-US"/>
        </w:rPr>
        <w:t>.</w:t>
      </w:r>
    </w:p>
    <w:p w:rsidR="002C30E7" w:rsidRPr="00A104B9" w:rsidRDefault="006147B6" w:rsidP="00B62FED">
      <w:pPr>
        <w:rPr>
          <w:lang w:val="en-US"/>
        </w:rPr>
      </w:pPr>
      <w:r>
        <w:rPr>
          <w:b/>
          <w:bCs/>
          <w:lang w:val="en-US"/>
        </w:rPr>
        <w:t>D</w:t>
      </w:r>
      <w:r w:rsidR="00A104B9">
        <w:rPr>
          <w:b/>
          <w:bCs/>
          <w:lang w:val="en-US"/>
        </w:rPr>
        <w:t xml:space="preserve">raft </w:t>
      </w:r>
      <w:r w:rsidR="002C30E7" w:rsidRPr="002C30E7">
        <w:rPr>
          <w:b/>
          <w:bCs/>
          <w:lang w:val="en-US"/>
        </w:rPr>
        <w:t>R</w:t>
      </w:r>
      <w:r w:rsidR="002C30E7">
        <w:rPr>
          <w:b/>
          <w:bCs/>
          <w:lang w:val="en-US"/>
        </w:rPr>
        <w:t>esolution</w:t>
      </w:r>
      <w:r w:rsidR="002C30E7" w:rsidRPr="002C30E7">
        <w:rPr>
          <w:b/>
          <w:bCs/>
          <w:lang w:val="en-US"/>
        </w:rPr>
        <w:t xml:space="preserve"> 70 (R</w:t>
      </w:r>
      <w:r w:rsidR="002C30E7">
        <w:rPr>
          <w:b/>
          <w:bCs/>
          <w:lang w:val="en-US"/>
        </w:rPr>
        <w:t>ev</w:t>
      </w:r>
      <w:r w:rsidR="002C30E7" w:rsidRPr="002C30E7">
        <w:rPr>
          <w:b/>
          <w:bCs/>
          <w:lang w:val="en-US"/>
        </w:rPr>
        <w:t>. B</w:t>
      </w:r>
      <w:r w:rsidR="002C30E7">
        <w:rPr>
          <w:b/>
          <w:bCs/>
          <w:lang w:val="en-US"/>
        </w:rPr>
        <w:t>usan</w:t>
      </w:r>
      <w:r w:rsidR="002C30E7" w:rsidRPr="002C30E7">
        <w:rPr>
          <w:b/>
          <w:bCs/>
          <w:lang w:val="en-US"/>
        </w:rPr>
        <w:t>, 2014)</w:t>
      </w:r>
      <w:r w:rsidR="002C30E7">
        <w:rPr>
          <w:b/>
          <w:bCs/>
          <w:lang w:val="en-US"/>
        </w:rPr>
        <w:t xml:space="preserve"> - </w:t>
      </w:r>
      <w:r w:rsidR="002C30E7" w:rsidRPr="002C30E7">
        <w:rPr>
          <w:b/>
          <w:bCs/>
          <w:lang w:val="en-US"/>
        </w:rPr>
        <w:t>Mainstreaming a gender perspective in ITU and promotion of gender equality and the empowerment of women through information and communication technologies</w:t>
      </w:r>
    </w:p>
    <w:p w:rsidR="004B39B9" w:rsidRDefault="00732234" w:rsidP="00B62FED">
      <w:r>
        <w:t>2.4</w:t>
      </w:r>
      <w:r w:rsidR="002C30E7">
        <w:tab/>
        <w:t xml:space="preserve">The </w:t>
      </w:r>
      <w:r w:rsidR="002C30E7">
        <w:rPr>
          <w:b/>
          <w:bCs/>
        </w:rPr>
        <w:t xml:space="preserve">Chairman of the Editorial Committee </w:t>
      </w:r>
      <w:r w:rsidR="002C30E7">
        <w:t xml:space="preserve">said that the square brackets </w:t>
      </w:r>
      <w:r w:rsidR="00D75C29">
        <w:t>in</w:t>
      </w:r>
      <w:r w:rsidR="00F03910">
        <w:t xml:space="preserve"> the</w:t>
      </w:r>
      <w:r w:rsidR="002C30E7">
        <w:t xml:space="preserve"> </w:t>
      </w:r>
      <w:r w:rsidR="002C30E7">
        <w:rPr>
          <w:i/>
          <w:iCs/>
        </w:rPr>
        <w:t xml:space="preserve">taking into account </w:t>
      </w:r>
      <w:r w:rsidR="00F03910" w:rsidRPr="00F03910">
        <w:t>section</w:t>
      </w:r>
      <w:r w:rsidR="00F03910">
        <w:rPr>
          <w:i/>
          <w:iCs/>
        </w:rPr>
        <w:t xml:space="preserve"> </w:t>
      </w:r>
      <w:r w:rsidR="00D75C29">
        <w:t>sh</w:t>
      </w:r>
      <w:r w:rsidR="002C30E7">
        <w:t>ould be removed</w:t>
      </w:r>
      <w:r w:rsidR="008B454A">
        <w:t>;</w:t>
      </w:r>
      <w:r w:rsidR="002C30E7">
        <w:t xml:space="preserve"> the </w:t>
      </w:r>
      <w:r w:rsidR="00F03910">
        <w:t xml:space="preserve">revised </w:t>
      </w:r>
      <w:r w:rsidR="002C30E7">
        <w:t xml:space="preserve">resolution </w:t>
      </w:r>
      <w:r>
        <w:t xml:space="preserve">mentioned in that paragraph </w:t>
      </w:r>
      <w:r w:rsidR="002C30E7">
        <w:t xml:space="preserve">had been approved by Committee 6 and </w:t>
      </w:r>
      <w:r w:rsidR="00F03910">
        <w:t>reviewed</w:t>
      </w:r>
      <w:r w:rsidR="002C30E7">
        <w:t xml:space="preserve"> by the Editorial Committee in the meantime, and would be published</w:t>
      </w:r>
      <w:r w:rsidR="00F03910">
        <w:t xml:space="preserve"> </w:t>
      </w:r>
      <w:r w:rsidR="008B01D9">
        <w:t>in</w:t>
      </w:r>
      <w:r w:rsidR="00F03910">
        <w:t xml:space="preserve"> the seventh series of texts (B7) submitted by Committee 4 to the Plenary</w:t>
      </w:r>
      <w:r w:rsidR="002C30E7">
        <w:t xml:space="preserve">. </w:t>
      </w:r>
    </w:p>
    <w:p w:rsidR="00AA65C6" w:rsidRDefault="00732234" w:rsidP="00B62FED">
      <w:r>
        <w:t>2.5</w:t>
      </w:r>
      <w:r>
        <w:tab/>
        <w:t>Draft R</w:t>
      </w:r>
      <w:r w:rsidR="00AA65C6">
        <w:t xml:space="preserve">esolution </w:t>
      </w:r>
      <w:r>
        <w:t xml:space="preserve">70 (Rev. Busan) </w:t>
      </w:r>
      <w:r w:rsidR="00AA65C6">
        <w:t xml:space="preserve">was </w:t>
      </w:r>
      <w:r w:rsidR="00AA65C6">
        <w:rPr>
          <w:b/>
          <w:bCs/>
        </w:rPr>
        <w:t xml:space="preserve">adopted </w:t>
      </w:r>
      <w:r w:rsidR="00AA65C6">
        <w:t>as amended.</w:t>
      </w:r>
    </w:p>
    <w:p w:rsidR="00AA65C6" w:rsidRDefault="00AA65C6" w:rsidP="00B62FED">
      <w:pPr>
        <w:rPr>
          <w:b/>
          <w:bCs/>
          <w:lang w:val="en-US"/>
        </w:rPr>
      </w:pPr>
      <w:r>
        <w:rPr>
          <w:b/>
          <w:bCs/>
          <w:lang w:val="en-US"/>
        </w:rPr>
        <w:t xml:space="preserve">Draft </w:t>
      </w:r>
      <w:r w:rsidRPr="00E25EFE">
        <w:rPr>
          <w:b/>
          <w:bCs/>
          <w:lang w:val="en-US"/>
        </w:rPr>
        <w:t>R</w:t>
      </w:r>
      <w:r>
        <w:rPr>
          <w:b/>
          <w:bCs/>
          <w:lang w:val="en-US"/>
        </w:rPr>
        <w:t>esolution</w:t>
      </w:r>
      <w:r w:rsidRPr="00E25EFE">
        <w:rPr>
          <w:b/>
          <w:bCs/>
          <w:lang w:val="en-US"/>
        </w:rPr>
        <w:t xml:space="preserve"> WG-PL/2 (B</w:t>
      </w:r>
      <w:r>
        <w:rPr>
          <w:b/>
          <w:bCs/>
          <w:lang w:val="en-US"/>
        </w:rPr>
        <w:t>usan</w:t>
      </w:r>
      <w:r w:rsidRPr="00E25EFE">
        <w:rPr>
          <w:b/>
          <w:bCs/>
          <w:lang w:val="en-US"/>
        </w:rPr>
        <w:t>, 2014)</w:t>
      </w:r>
      <w:r>
        <w:rPr>
          <w:b/>
          <w:bCs/>
          <w:lang w:val="en-US"/>
        </w:rPr>
        <w:t xml:space="preserve"> - </w:t>
      </w:r>
      <w:r w:rsidRPr="00E25EFE">
        <w:rPr>
          <w:b/>
          <w:bCs/>
          <w:lang w:val="en-US"/>
        </w:rPr>
        <w:t>Protecting telecommunication service users/consumers</w:t>
      </w:r>
    </w:p>
    <w:p w:rsidR="00AA65C6" w:rsidRDefault="00AA65C6" w:rsidP="00B62FED">
      <w:pPr>
        <w:rPr>
          <w:b/>
          <w:bCs/>
          <w:lang w:val="en-US"/>
        </w:rPr>
      </w:pPr>
      <w:r>
        <w:rPr>
          <w:b/>
          <w:bCs/>
          <w:lang w:val="en-US"/>
        </w:rPr>
        <w:t xml:space="preserve">Draft </w:t>
      </w:r>
      <w:r w:rsidRPr="00E25EFE">
        <w:rPr>
          <w:b/>
          <w:bCs/>
          <w:lang w:val="en-US"/>
        </w:rPr>
        <w:t>R</w:t>
      </w:r>
      <w:r>
        <w:rPr>
          <w:b/>
          <w:bCs/>
          <w:lang w:val="en-US"/>
        </w:rPr>
        <w:t>esolution</w:t>
      </w:r>
      <w:r w:rsidRPr="00E25EFE">
        <w:rPr>
          <w:b/>
          <w:bCs/>
          <w:lang w:val="en-US"/>
        </w:rPr>
        <w:t xml:space="preserve"> WG-PL/3 (B</w:t>
      </w:r>
      <w:r>
        <w:rPr>
          <w:b/>
          <w:bCs/>
          <w:lang w:val="en-US"/>
        </w:rPr>
        <w:t>usan</w:t>
      </w:r>
      <w:r w:rsidRPr="00E25EFE">
        <w:rPr>
          <w:b/>
          <w:bCs/>
          <w:lang w:val="en-US"/>
        </w:rPr>
        <w:t>, 2014)</w:t>
      </w:r>
      <w:r>
        <w:rPr>
          <w:b/>
          <w:bCs/>
          <w:lang w:val="en-US"/>
        </w:rPr>
        <w:t xml:space="preserve"> - </w:t>
      </w:r>
      <w:r w:rsidRPr="00E25EFE">
        <w:rPr>
          <w:b/>
          <w:bCs/>
          <w:lang w:val="en-US"/>
        </w:rPr>
        <w:t>Facilitating the Internet of Things to prepare for a globally connected world</w:t>
      </w:r>
    </w:p>
    <w:p w:rsidR="00AA65C6" w:rsidRDefault="00732234" w:rsidP="00B62FED">
      <w:pPr>
        <w:snapToGrid w:val="0"/>
      </w:pPr>
      <w:r>
        <w:t>2.6</w:t>
      </w:r>
      <w:r w:rsidR="00AA65C6">
        <w:tab/>
      </w:r>
      <w:r w:rsidRPr="00732234">
        <w:rPr>
          <w:b/>
          <w:bCs/>
        </w:rPr>
        <w:t>A</w:t>
      </w:r>
      <w:r w:rsidR="00AA65C6">
        <w:rPr>
          <w:b/>
          <w:bCs/>
        </w:rPr>
        <w:t>dopted</w:t>
      </w:r>
      <w:r w:rsidR="00AA65C6">
        <w:t xml:space="preserve">. </w:t>
      </w:r>
    </w:p>
    <w:p w:rsidR="00CF7DEE" w:rsidRDefault="00732234" w:rsidP="00B62FED">
      <w:pPr>
        <w:snapToGrid w:val="0"/>
        <w:rPr>
          <w:b/>
          <w:bCs/>
          <w:lang w:val="en-US"/>
        </w:rPr>
      </w:pPr>
      <w:r>
        <w:rPr>
          <w:lang w:val="en-US"/>
        </w:rPr>
        <w:t>2.7</w:t>
      </w:r>
      <w:r w:rsidR="00CF7DEE">
        <w:rPr>
          <w:lang w:val="en-US"/>
        </w:rPr>
        <w:tab/>
        <w:t xml:space="preserve">The fourth series of texts submitted by the Editorial Committee for first reading (B4) (Document 130), as amended, was </w:t>
      </w:r>
      <w:r w:rsidR="00CF7DEE">
        <w:rPr>
          <w:b/>
          <w:bCs/>
          <w:lang w:val="en-US"/>
        </w:rPr>
        <w:t>approved.</w:t>
      </w:r>
    </w:p>
    <w:p w:rsidR="00D75C29" w:rsidRDefault="00732234" w:rsidP="00B62FED">
      <w:pPr>
        <w:pStyle w:val="Heading1"/>
        <w:rPr>
          <w:lang w:val="en-US"/>
        </w:rPr>
      </w:pPr>
      <w:r>
        <w:t>3</w:t>
      </w:r>
      <w:r w:rsidR="00D75C29">
        <w:tab/>
        <w:t>Fourth</w:t>
      </w:r>
      <w:r w:rsidR="00D75C29">
        <w:rPr>
          <w:lang w:val="en-US"/>
        </w:rPr>
        <w:t xml:space="preserve"> series of texts submitted by the Editorial Committee </w:t>
      </w:r>
      <w:r>
        <w:rPr>
          <w:lang w:val="en-US"/>
        </w:rPr>
        <w:t>-</w:t>
      </w:r>
      <w:r w:rsidR="00D75C29">
        <w:rPr>
          <w:lang w:val="en-US"/>
        </w:rPr>
        <w:t xml:space="preserve"> second reading (Document 130)</w:t>
      </w:r>
    </w:p>
    <w:p w:rsidR="00D60294" w:rsidRDefault="00732234" w:rsidP="00B62FED">
      <w:pPr>
        <w:snapToGrid w:val="0"/>
      </w:pPr>
      <w:r>
        <w:t>3.1</w:t>
      </w:r>
      <w:r w:rsidR="00D60294">
        <w:tab/>
        <w:t xml:space="preserve">The fourth series of texts submitted by the Editorial Committee </w:t>
      </w:r>
      <w:r w:rsidR="00E61AE6">
        <w:t>(Document 130)</w:t>
      </w:r>
      <w:r>
        <w:t>, as amended on first reading,</w:t>
      </w:r>
      <w:r w:rsidR="00E61AE6">
        <w:t xml:space="preserve"> </w:t>
      </w:r>
      <w:r w:rsidR="00D60294">
        <w:t xml:space="preserve">was </w:t>
      </w:r>
      <w:r w:rsidR="00D60294" w:rsidRPr="00D60294">
        <w:rPr>
          <w:b/>
          <w:bCs/>
        </w:rPr>
        <w:t>approved</w:t>
      </w:r>
      <w:r w:rsidR="00D60294">
        <w:t xml:space="preserve"> on second reading.</w:t>
      </w:r>
    </w:p>
    <w:p w:rsidR="00AA65C6" w:rsidRDefault="00732234" w:rsidP="00B62FED">
      <w:pPr>
        <w:pStyle w:val="Heading1"/>
        <w:rPr>
          <w:lang w:val="en-US"/>
        </w:rPr>
      </w:pPr>
      <w:r>
        <w:rPr>
          <w:szCs w:val="28"/>
        </w:rPr>
        <w:lastRenderedPageBreak/>
        <w:t>4</w:t>
      </w:r>
      <w:r w:rsidR="00D60294" w:rsidRPr="00AA65C6">
        <w:rPr>
          <w:szCs w:val="28"/>
        </w:rPr>
        <w:tab/>
      </w:r>
      <w:r w:rsidR="00AA65C6" w:rsidRPr="00AA65C6">
        <w:t>F</w:t>
      </w:r>
      <w:r w:rsidR="00AA65C6">
        <w:t>ifth</w:t>
      </w:r>
      <w:r w:rsidR="00AA65C6" w:rsidRPr="00AA65C6">
        <w:rPr>
          <w:lang w:val="en-US"/>
        </w:rPr>
        <w:t xml:space="preserve"> series of texts submitted by the Editorial Committee for first reading</w:t>
      </w:r>
      <w:r w:rsidR="00AA65C6">
        <w:rPr>
          <w:lang w:val="en-US"/>
        </w:rPr>
        <w:t xml:space="preserve"> (B5) (Document 139)</w:t>
      </w:r>
    </w:p>
    <w:p w:rsidR="00EB3B3A" w:rsidRDefault="00EB3B3A" w:rsidP="00B62FED">
      <w:pPr>
        <w:spacing w:before="160"/>
        <w:rPr>
          <w:b/>
          <w:bCs/>
          <w:lang w:val="en-US"/>
        </w:rPr>
      </w:pPr>
      <w:r w:rsidRPr="00EB3B3A">
        <w:rPr>
          <w:b/>
          <w:bCs/>
          <w:lang w:val="en-US"/>
        </w:rPr>
        <w:t>Draft Resolution 25 (</w:t>
      </w:r>
      <w:r w:rsidR="00C41E13">
        <w:rPr>
          <w:b/>
          <w:bCs/>
          <w:lang w:val="en-US"/>
        </w:rPr>
        <w:t xml:space="preserve">Rev. </w:t>
      </w:r>
      <w:r w:rsidRPr="00EB3B3A">
        <w:rPr>
          <w:b/>
          <w:bCs/>
          <w:lang w:val="en-US"/>
        </w:rPr>
        <w:t>Busan, 2014) - Strengthening the regional pre</w:t>
      </w:r>
      <w:r w:rsidR="00C41E13">
        <w:rPr>
          <w:b/>
          <w:bCs/>
          <w:lang w:val="en-US"/>
        </w:rPr>
        <w:t>sence</w:t>
      </w:r>
    </w:p>
    <w:p w:rsidR="00EB3B3A" w:rsidRDefault="00EB3B3A" w:rsidP="00B62FED">
      <w:pPr>
        <w:spacing w:before="160"/>
        <w:rPr>
          <w:b/>
          <w:bCs/>
          <w:lang w:val="en-US"/>
        </w:rPr>
      </w:pPr>
      <w:r>
        <w:rPr>
          <w:b/>
          <w:bCs/>
          <w:lang w:val="en-US"/>
        </w:rPr>
        <w:t xml:space="preserve">Draft </w:t>
      </w:r>
      <w:r w:rsidRPr="00EB3B3A">
        <w:rPr>
          <w:b/>
          <w:bCs/>
          <w:lang w:val="en-US"/>
        </w:rPr>
        <w:t>Resolution 94</w:t>
      </w:r>
      <w:r>
        <w:rPr>
          <w:b/>
          <w:bCs/>
          <w:lang w:val="en-US"/>
        </w:rPr>
        <w:t xml:space="preserve"> (</w:t>
      </w:r>
      <w:r w:rsidR="00C41E13">
        <w:rPr>
          <w:b/>
          <w:bCs/>
          <w:lang w:val="en-US"/>
        </w:rPr>
        <w:t xml:space="preserve">Rev. </w:t>
      </w:r>
      <w:r>
        <w:rPr>
          <w:b/>
          <w:bCs/>
          <w:lang w:val="en-US"/>
        </w:rPr>
        <w:t>Busan, 2014) - A</w:t>
      </w:r>
      <w:r w:rsidRPr="00EB3B3A">
        <w:rPr>
          <w:b/>
          <w:bCs/>
          <w:lang w:val="en-US"/>
        </w:rPr>
        <w:t xml:space="preserve">uditing of the </w:t>
      </w:r>
      <w:r w:rsidR="00C41E13">
        <w:rPr>
          <w:b/>
          <w:bCs/>
          <w:lang w:val="en-US"/>
        </w:rPr>
        <w:t>a</w:t>
      </w:r>
      <w:r w:rsidRPr="00EB3B3A">
        <w:rPr>
          <w:b/>
          <w:bCs/>
          <w:lang w:val="en-US"/>
        </w:rPr>
        <w:t>ccounts of the Union</w:t>
      </w:r>
    </w:p>
    <w:p w:rsidR="00EB3B3A" w:rsidRDefault="00EB3B3A" w:rsidP="00B62FED">
      <w:pPr>
        <w:spacing w:before="160"/>
        <w:rPr>
          <w:b/>
          <w:bCs/>
          <w:lang w:val="en-US"/>
        </w:rPr>
      </w:pPr>
      <w:r>
        <w:rPr>
          <w:b/>
          <w:bCs/>
          <w:lang w:val="en-US"/>
        </w:rPr>
        <w:t xml:space="preserve">Draft </w:t>
      </w:r>
      <w:r w:rsidRPr="00EB3B3A">
        <w:rPr>
          <w:b/>
          <w:bCs/>
          <w:lang w:val="en-US"/>
        </w:rPr>
        <w:t>Resolution 123</w:t>
      </w:r>
      <w:r>
        <w:rPr>
          <w:b/>
          <w:bCs/>
          <w:lang w:val="en-US"/>
        </w:rPr>
        <w:t xml:space="preserve"> (</w:t>
      </w:r>
      <w:r w:rsidR="00413C98">
        <w:rPr>
          <w:b/>
          <w:bCs/>
          <w:lang w:val="en-US"/>
        </w:rPr>
        <w:t xml:space="preserve">Rev. </w:t>
      </w:r>
      <w:r>
        <w:rPr>
          <w:b/>
          <w:bCs/>
          <w:lang w:val="en-US"/>
        </w:rPr>
        <w:t>Busan, 2014) -</w:t>
      </w:r>
      <w:r w:rsidRPr="00EB3B3A">
        <w:rPr>
          <w:b/>
          <w:bCs/>
          <w:lang w:val="en-US"/>
        </w:rPr>
        <w:t xml:space="preserve"> Bridging the standardization gap between develop</w:t>
      </w:r>
      <w:r w:rsidR="00F03910">
        <w:rPr>
          <w:b/>
          <w:bCs/>
          <w:lang w:val="en-US"/>
        </w:rPr>
        <w:t xml:space="preserve">ing </w:t>
      </w:r>
      <w:r w:rsidRPr="00EB3B3A">
        <w:rPr>
          <w:b/>
          <w:bCs/>
          <w:lang w:val="en-US"/>
        </w:rPr>
        <w:t>and develop</w:t>
      </w:r>
      <w:r w:rsidR="00732234">
        <w:rPr>
          <w:b/>
          <w:bCs/>
          <w:lang w:val="en-US"/>
        </w:rPr>
        <w:t>ed</w:t>
      </w:r>
      <w:r w:rsidRPr="00EB3B3A">
        <w:rPr>
          <w:b/>
          <w:bCs/>
          <w:lang w:val="en-US"/>
        </w:rPr>
        <w:t xml:space="preserve"> countries</w:t>
      </w:r>
    </w:p>
    <w:p w:rsidR="00EB3B3A" w:rsidRDefault="00EB3B3A" w:rsidP="00B62FED">
      <w:pPr>
        <w:spacing w:before="160"/>
        <w:rPr>
          <w:b/>
          <w:bCs/>
          <w:lang w:val="en-US"/>
        </w:rPr>
      </w:pPr>
      <w:r>
        <w:rPr>
          <w:b/>
          <w:bCs/>
          <w:lang w:val="en-US"/>
        </w:rPr>
        <w:t xml:space="preserve">Draft </w:t>
      </w:r>
      <w:r w:rsidRPr="00EB3B3A">
        <w:rPr>
          <w:b/>
          <w:bCs/>
          <w:lang w:val="en-US"/>
        </w:rPr>
        <w:t>Resolution 137</w:t>
      </w:r>
      <w:r>
        <w:rPr>
          <w:b/>
          <w:bCs/>
          <w:lang w:val="en-US"/>
        </w:rPr>
        <w:t xml:space="preserve"> (</w:t>
      </w:r>
      <w:r w:rsidR="00413C98">
        <w:rPr>
          <w:b/>
          <w:bCs/>
          <w:lang w:val="en-US"/>
        </w:rPr>
        <w:t xml:space="preserve">Rev. </w:t>
      </w:r>
      <w:r>
        <w:rPr>
          <w:b/>
          <w:bCs/>
          <w:lang w:val="en-US"/>
        </w:rPr>
        <w:t xml:space="preserve">Busan, 2014) </w:t>
      </w:r>
      <w:r w:rsidR="00413C98">
        <w:rPr>
          <w:b/>
          <w:bCs/>
          <w:lang w:val="en-US"/>
        </w:rPr>
        <w:t>–</w:t>
      </w:r>
      <w:r w:rsidRPr="00EB3B3A">
        <w:rPr>
          <w:b/>
          <w:bCs/>
          <w:lang w:val="en-US"/>
        </w:rPr>
        <w:t xml:space="preserve"> </w:t>
      </w:r>
      <w:r>
        <w:rPr>
          <w:b/>
          <w:bCs/>
          <w:lang w:val="en-US"/>
        </w:rPr>
        <w:t>N</w:t>
      </w:r>
      <w:r w:rsidR="00413C98">
        <w:rPr>
          <w:b/>
          <w:bCs/>
          <w:lang w:val="en-US"/>
        </w:rPr>
        <w:t>ext-</w:t>
      </w:r>
      <w:r w:rsidRPr="00EB3B3A">
        <w:rPr>
          <w:b/>
          <w:bCs/>
          <w:lang w:val="en-US"/>
        </w:rPr>
        <w:t xml:space="preserve">generation network deployment in developing </w:t>
      </w:r>
      <w:r>
        <w:rPr>
          <w:b/>
          <w:bCs/>
          <w:lang w:val="en-US"/>
        </w:rPr>
        <w:t>c</w:t>
      </w:r>
      <w:r w:rsidRPr="00EB3B3A">
        <w:rPr>
          <w:b/>
          <w:bCs/>
          <w:lang w:val="en-US"/>
        </w:rPr>
        <w:t>ountries</w:t>
      </w:r>
    </w:p>
    <w:p w:rsidR="00EB3B3A" w:rsidRDefault="006E0B29" w:rsidP="00B62FED">
      <w:pPr>
        <w:spacing w:before="160"/>
        <w:rPr>
          <w:b/>
          <w:bCs/>
          <w:lang w:val="en-US"/>
        </w:rPr>
      </w:pPr>
      <w:r>
        <w:rPr>
          <w:b/>
          <w:bCs/>
          <w:lang w:val="en-US"/>
        </w:rPr>
        <w:t xml:space="preserve">Draft </w:t>
      </w:r>
      <w:r w:rsidRPr="006E0B29">
        <w:rPr>
          <w:b/>
          <w:bCs/>
          <w:lang w:val="en-US"/>
        </w:rPr>
        <w:t>Resolution 144</w:t>
      </w:r>
      <w:r>
        <w:rPr>
          <w:b/>
          <w:bCs/>
          <w:lang w:val="en-US"/>
        </w:rPr>
        <w:t xml:space="preserve"> (</w:t>
      </w:r>
      <w:r w:rsidR="00413C98">
        <w:rPr>
          <w:b/>
          <w:bCs/>
          <w:lang w:val="en-US"/>
        </w:rPr>
        <w:t xml:space="preserve">Rev. </w:t>
      </w:r>
      <w:r>
        <w:rPr>
          <w:b/>
          <w:bCs/>
          <w:lang w:val="en-US"/>
        </w:rPr>
        <w:t>Busan, 2014) -</w:t>
      </w:r>
      <w:r w:rsidR="00413C98">
        <w:rPr>
          <w:b/>
          <w:bCs/>
          <w:lang w:val="en-US"/>
        </w:rPr>
        <w:t xml:space="preserve"> Availability of model host-</w:t>
      </w:r>
      <w:r w:rsidRPr="006E0B29">
        <w:rPr>
          <w:b/>
          <w:bCs/>
          <w:lang w:val="en-US"/>
        </w:rPr>
        <w:t xml:space="preserve">country agreements in advance </w:t>
      </w:r>
      <w:r>
        <w:rPr>
          <w:b/>
          <w:bCs/>
          <w:lang w:val="en-US"/>
        </w:rPr>
        <w:t>f</w:t>
      </w:r>
      <w:r w:rsidRPr="006E0B29">
        <w:rPr>
          <w:b/>
          <w:bCs/>
          <w:lang w:val="en-US"/>
        </w:rPr>
        <w:t>or conferences and assemblies of the Union held away from Geneva</w:t>
      </w:r>
    </w:p>
    <w:p w:rsidR="006E0B29" w:rsidRDefault="006E0B29" w:rsidP="00B62FED">
      <w:pPr>
        <w:spacing w:before="160"/>
        <w:rPr>
          <w:b/>
          <w:bCs/>
          <w:lang w:val="en-US"/>
        </w:rPr>
      </w:pPr>
      <w:r>
        <w:rPr>
          <w:b/>
          <w:bCs/>
          <w:lang w:val="en-US"/>
        </w:rPr>
        <w:t xml:space="preserve">Draft </w:t>
      </w:r>
      <w:r w:rsidRPr="006E0B29">
        <w:rPr>
          <w:b/>
          <w:bCs/>
          <w:lang w:val="en-US"/>
        </w:rPr>
        <w:t>Resolution 154</w:t>
      </w:r>
      <w:r>
        <w:rPr>
          <w:b/>
          <w:bCs/>
          <w:lang w:val="en-US"/>
        </w:rPr>
        <w:t xml:space="preserve"> (</w:t>
      </w:r>
      <w:r w:rsidR="00413C98">
        <w:rPr>
          <w:b/>
          <w:bCs/>
          <w:lang w:val="en-US"/>
        </w:rPr>
        <w:t xml:space="preserve">Rev. </w:t>
      </w:r>
      <w:r>
        <w:rPr>
          <w:b/>
          <w:bCs/>
          <w:lang w:val="en-US"/>
        </w:rPr>
        <w:t>Busan, 2014) -</w:t>
      </w:r>
      <w:r w:rsidRPr="006E0B29">
        <w:rPr>
          <w:b/>
          <w:bCs/>
          <w:lang w:val="en-US"/>
        </w:rPr>
        <w:t xml:space="preserve"> Use of the six official languages of the Union on an equal footing</w:t>
      </w:r>
    </w:p>
    <w:p w:rsidR="006E0B29" w:rsidRDefault="006E0B29" w:rsidP="00B62FED">
      <w:pPr>
        <w:spacing w:before="160"/>
        <w:rPr>
          <w:b/>
          <w:bCs/>
          <w:lang w:val="en-US"/>
        </w:rPr>
      </w:pPr>
      <w:r>
        <w:rPr>
          <w:b/>
          <w:bCs/>
          <w:lang w:val="en-US"/>
        </w:rPr>
        <w:t xml:space="preserve">Draft </w:t>
      </w:r>
      <w:r w:rsidRPr="006E0B29">
        <w:rPr>
          <w:b/>
          <w:bCs/>
          <w:lang w:val="en-US"/>
        </w:rPr>
        <w:t>Resolution 174</w:t>
      </w:r>
      <w:r>
        <w:rPr>
          <w:b/>
          <w:bCs/>
          <w:lang w:val="en-US"/>
        </w:rPr>
        <w:t xml:space="preserve"> (</w:t>
      </w:r>
      <w:r w:rsidR="00413C98">
        <w:rPr>
          <w:b/>
          <w:bCs/>
          <w:lang w:val="en-US"/>
        </w:rPr>
        <w:t xml:space="preserve">Rev. </w:t>
      </w:r>
      <w:r>
        <w:rPr>
          <w:b/>
          <w:bCs/>
          <w:lang w:val="en-US"/>
        </w:rPr>
        <w:t>Busan, 2014) -</w:t>
      </w:r>
      <w:r w:rsidRPr="006E0B29">
        <w:rPr>
          <w:b/>
          <w:bCs/>
          <w:lang w:val="en-US"/>
        </w:rPr>
        <w:t xml:space="preserve"> ITU's role with regard to international public policy issues relating</w:t>
      </w:r>
      <w:r w:rsidR="00413C98">
        <w:rPr>
          <w:b/>
          <w:bCs/>
          <w:lang w:val="en-US"/>
        </w:rPr>
        <w:t xml:space="preserve"> to the risk of illicit use of i</w:t>
      </w:r>
      <w:r w:rsidRPr="006E0B29">
        <w:rPr>
          <w:b/>
          <w:bCs/>
          <w:lang w:val="en-US"/>
        </w:rPr>
        <w:t xml:space="preserve">nformation and </w:t>
      </w:r>
      <w:r w:rsidR="00413C98">
        <w:rPr>
          <w:b/>
          <w:bCs/>
          <w:lang w:val="en-US"/>
        </w:rPr>
        <w:t>c</w:t>
      </w:r>
      <w:r w:rsidRPr="006E0B29">
        <w:rPr>
          <w:b/>
          <w:bCs/>
          <w:lang w:val="en-US"/>
        </w:rPr>
        <w:t xml:space="preserve">ommunication </w:t>
      </w:r>
      <w:r w:rsidR="00413C98">
        <w:rPr>
          <w:b/>
          <w:bCs/>
          <w:lang w:val="en-US"/>
        </w:rPr>
        <w:t>t</w:t>
      </w:r>
      <w:r w:rsidRPr="006E0B29">
        <w:rPr>
          <w:b/>
          <w:bCs/>
          <w:lang w:val="en-US"/>
        </w:rPr>
        <w:t>echnologies</w:t>
      </w:r>
    </w:p>
    <w:p w:rsidR="006E0B29" w:rsidRDefault="00732234" w:rsidP="00B62FED">
      <w:pPr>
        <w:spacing w:before="160"/>
        <w:rPr>
          <w:lang w:val="en-US"/>
        </w:rPr>
      </w:pPr>
      <w:r>
        <w:rPr>
          <w:lang w:val="en-US"/>
        </w:rPr>
        <w:t>4.</w:t>
      </w:r>
      <w:r w:rsidR="006E0B29" w:rsidRPr="006E0B29">
        <w:rPr>
          <w:lang w:val="en-US"/>
        </w:rPr>
        <w:t>1</w:t>
      </w:r>
      <w:r w:rsidR="006E0B29" w:rsidRPr="006E0B29">
        <w:rPr>
          <w:lang w:val="en-US"/>
        </w:rPr>
        <w:tab/>
      </w:r>
      <w:r w:rsidRPr="00732234">
        <w:rPr>
          <w:b/>
          <w:bCs/>
          <w:lang w:val="en-US"/>
        </w:rPr>
        <w:t>A</w:t>
      </w:r>
      <w:r w:rsidR="006E0B29" w:rsidRPr="006E0B29">
        <w:rPr>
          <w:b/>
          <w:bCs/>
          <w:lang w:val="en-US"/>
        </w:rPr>
        <w:t>dopted</w:t>
      </w:r>
      <w:r w:rsidR="006E0B29">
        <w:rPr>
          <w:lang w:val="en-US"/>
        </w:rPr>
        <w:t>.</w:t>
      </w:r>
    </w:p>
    <w:p w:rsidR="0000595D" w:rsidRDefault="00732234" w:rsidP="00B62FED">
      <w:pPr>
        <w:spacing w:before="160"/>
        <w:rPr>
          <w:lang w:val="en-US"/>
        </w:rPr>
      </w:pPr>
      <w:r>
        <w:rPr>
          <w:lang w:val="en-US"/>
        </w:rPr>
        <w:t>4</w:t>
      </w:r>
      <w:r w:rsidR="006E0B29">
        <w:rPr>
          <w:lang w:val="en-US"/>
        </w:rPr>
        <w:t>.2</w:t>
      </w:r>
      <w:r w:rsidR="006E0B29">
        <w:rPr>
          <w:lang w:val="en-US"/>
        </w:rPr>
        <w:tab/>
        <w:t xml:space="preserve">The </w:t>
      </w:r>
      <w:r w:rsidR="006E0B29">
        <w:rPr>
          <w:b/>
          <w:bCs/>
          <w:lang w:val="en-US"/>
        </w:rPr>
        <w:t xml:space="preserve">delegate of the Islamic Republic of Iran </w:t>
      </w:r>
      <w:r w:rsidR="006E0B29" w:rsidRPr="006E0B29">
        <w:rPr>
          <w:lang w:val="en-US"/>
        </w:rPr>
        <w:t>stated for the record that</w:t>
      </w:r>
      <w:r w:rsidR="006E0B29">
        <w:rPr>
          <w:lang w:val="en-US"/>
        </w:rPr>
        <w:t xml:space="preserve"> </w:t>
      </w:r>
      <w:r w:rsidR="00F03910">
        <w:rPr>
          <w:lang w:val="en-US"/>
        </w:rPr>
        <w:t>WRC-15</w:t>
      </w:r>
      <w:r w:rsidR="006E0B29">
        <w:rPr>
          <w:lang w:val="en-US"/>
        </w:rPr>
        <w:t>,</w:t>
      </w:r>
      <w:r w:rsidR="006E0B29" w:rsidRPr="006E0B29">
        <w:rPr>
          <w:lang w:val="en-US"/>
        </w:rPr>
        <w:t xml:space="preserve"> in dealing with </w:t>
      </w:r>
      <w:r w:rsidR="006E0B29">
        <w:rPr>
          <w:lang w:val="en-US"/>
        </w:rPr>
        <w:t>the</w:t>
      </w:r>
      <w:r w:rsidR="00E61AE6">
        <w:rPr>
          <w:lang w:val="en-US"/>
        </w:rPr>
        <w:t xml:space="preserve"> agenda</w:t>
      </w:r>
      <w:r w:rsidR="006E0B29">
        <w:rPr>
          <w:lang w:val="en-US"/>
        </w:rPr>
        <w:t xml:space="preserve"> item </w:t>
      </w:r>
      <w:r w:rsidR="00E61AE6">
        <w:rPr>
          <w:lang w:val="en-US"/>
        </w:rPr>
        <w:t>covered by Resolution 174 (Rev. Busan, 2014)</w:t>
      </w:r>
      <w:r w:rsidR="006E0B29">
        <w:rPr>
          <w:lang w:val="en-US"/>
        </w:rPr>
        <w:t>, would</w:t>
      </w:r>
      <w:r w:rsidR="006E0B29" w:rsidRPr="006E0B29">
        <w:rPr>
          <w:lang w:val="en-US"/>
        </w:rPr>
        <w:t xml:space="preserve"> need to take into account the </w:t>
      </w:r>
      <w:r w:rsidR="00E61AE6">
        <w:rPr>
          <w:lang w:val="en-US"/>
        </w:rPr>
        <w:t xml:space="preserve">resolution’s </w:t>
      </w:r>
      <w:r w:rsidR="006E0B29" w:rsidRPr="006E0B29">
        <w:rPr>
          <w:lang w:val="en-US"/>
        </w:rPr>
        <w:t>objectives and purposes</w:t>
      </w:r>
      <w:r w:rsidR="006E0B29">
        <w:rPr>
          <w:lang w:val="en-US"/>
        </w:rPr>
        <w:t>.</w:t>
      </w:r>
    </w:p>
    <w:p w:rsidR="006E6708" w:rsidRDefault="006E6708" w:rsidP="00B62FED">
      <w:pPr>
        <w:spacing w:before="160"/>
        <w:rPr>
          <w:lang w:val="en-US"/>
        </w:rPr>
      </w:pPr>
      <w:r>
        <w:rPr>
          <w:b/>
          <w:bCs/>
          <w:lang w:val="en-US"/>
        </w:rPr>
        <w:t xml:space="preserve">Draft </w:t>
      </w:r>
      <w:r w:rsidRPr="006E6708">
        <w:rPr>
          <w:b/>
          <w:bCs/>
          <w:lang w:val="en-US"/>
        </w:rPr>
        <w:t>Resolution W</w:t>
      </w:r>
      <w:r>
        <w:rPr>
          <w:b/>
          <w:bCs/>
          <w:lang w:val="en-US"/>
        </w:rPr>
        <w:t>G</w:t>
      </w:r>
      <w:r w:rsidR="00413C98">
        <w:rPr>
          <w:b/>
          <w:bCs/>
          <w:lang w:val="en-US"/>
        </w:rPr>
        <w:t>-</w:t>
      </w:r>
      <w:r w:rsidRPr="006E6708">
        <w:rPr>
          <w:b/>
          <w:bCs/>
          <w:lang w:val="en-US"/>
        </w:rPr>
        <w:t>P</w:t>
      </w:r>
      <w:r>
        <w:rPr>
          <w:b/>
          <w:bCs/>
          <w:lang w:val="en-US"/>
        </w:rPr>
        <w:t>L</w:t>
      </w:r>
      <w:r w:rsidRPr="006E6708">
        <w:rPr>
          <w:b/>
          <w:bCs/>
          <w:lang w:val="en-US"/>
        </w:rPr>
        <w:t>/4</w:t>
      </w:r>
      <w:r>
        <w:rPr>
          <w:b/>
          <w:bCs/>
          <w:lang w:val="en-US"/>
        </w:rPr>
        <w:t xml:space="preserve"> (Busan, 2014) -</w:t>
      </w:r>
      <w:r w:rsidRPr="006E6708">
        <w:rPr>
          <w:b/>
          <w:bCs/>
          <w:lang w:val="en-US"/>
        </w:rPr>
        <w:t xml:space="preserve"> Empowerment of youth through </w:t>
      </w:r>
      <w:r>
        <w:rPr>
          <w:b/>
          <w:bCs/>
          <w:lang w:val="en-US"/>
        </w:rPr>
        <w:t>t</w:t>
      </w:r>
      <w:r w:rsidRPr="006E6708">
        <w:rPr>
          <w:b/>
          <w:bCs/>
          <w:lang w:val="en-US"/>
        </w:rPr>
        <w:t>elecommunication/information and communication technology</w:t>
      </w:r>
    </w:p>
    <w:p w:rsidR="006E6708" w:rsidRDefault="00732234" w:rsidP="00B62FED">
      <w:pPr>
        <w:spacing w:before="160"/>
        <w:rPr>
          <w:lang w:val="en-US"/>
        </w:rPr>
      </w:pPr>
      <w:r>
        <w:rPr>
          <w:lang w:val="en-US"/>
        </w:rPr>
        <w:t>4</w:t>
      </w:r>
      <w:r w:rsidR="006E6708">
        <w:rPr>
          <w:lang w:val="en-US"/>
        </w:rPr>
        <w:t>.3</w:t>
      </w:r>
      <w:r w:rsidR="006E6708">
        <w:rPr>
          <w:lang w:val="en-US"/>
        </w:rPr>
        <w:tab/>
        <w:t xml:space="preserve">The </w:t>
      </w:r>
      <w:r w:rsidR="006E6708">
        <w:rPr>
          <w:b/>
          <w:bCs/>
          <w:lang w:val="en-US"/>
        </w:rPr>
        <w:t>Chairman of the Editorial Committee</w:t>
      </w:r>
      <w:r w:rsidR="006E6708">
        <w:rPr>
          <w:lang w:val="en-US"/>
        </w:rPr>
        <w:t xml:space="preserve">, referring to </w:t>
      </w:r>
      <w:r w:rsidR="006E6708" w:rsidRPr="006E6708">
        <w:rPr>
          <w:i/>
          <w:iCs/>
          <w:lang w:val="en-US"/>
        </w:rPr>
        <w:t>recalling</w:t>
      </w:r>
      <w:r w:rsidR="006E6708" w:rsidRPr="006E6708">
        <w:rPr>
          <w:lang w:val="en-US"/>
        </w:rPr>
        <w:t xml:space="preserve"> </w:t>
      </w:r>
      <w:r w:rsidR="006E6708" w:rsidRPr="006E6708">
        <w:rPr>
          <w:i/>
          <w:iCs/>
          <w:lang w:val="en-US"/>
        </w:rPr>
        <w:t>b)</w:t>
      </w:r>
      <w:r w:rsidR="006E6708">
        <w:rPr>
          <w:lang w:val="en-US"/>
        </w:rPr>
        <w:t>,</w:t>
      </w:r>
      <w:r w:rsidR="006E6708">
        <w:rPr>
          <w:i/>
          <w:iCs/>
          <w:lang w:val="en-US"/>
        </w:rPr>
        <w:t xml:space="preserve"> </w:t>
      </w:r>
      <w:r w:rsidR="006E6708">
        <w:rPr>
          <w:lang w:val="en-US"/>
        </w:rPr>
        <w:t>noted</w:t>
      </w:r>
      <w:r w:rsidR="006E6708" w:rsidRPr="006E6708">
        <w:rPr>
          <w:lang w:val="en-US"/>
        </w:rPr>
        <w:t xml:space="preserve"> that</w:t>
      </w:r>
      <w:r w:rsidR="006E6708">
        <w:rPr>
          <w:i/>
          <w:iCs/>
          <w:lang w:val="en-US"/>
        </w:rPr>
        <w:t xml:space="preserve"> </w:t>
      </w:r>
      <w:r w:rsidR="00F03910" w:rsidRPr="00F03910">
        <w:rPr>
          <w:lang w:val="en-US"/>
        </w:rPr>
        <w:t>draft</w:t>
      </w:r>
      <w:r w:rsidR="00F03910">
        <w:rPr>
          <w:i/>
          <w:iCs/>
          <w:lang w:val="en-US"/>
        </w:rPr>
        <w:t xml:space="preserve"> </w:t>
      </w:r>
      <w:r w:rsidR="00413C98">
        <w:rPr>
          <w:lang w:val="en-US"/>
        </w:rPr>
        <w:t xml:space="preserve">revised </w:t>
      </w:r>
      <w:r w:rsidR="006E6708" w:rsidRPr="006E6708">
        <w:rPr>
          <w:lang w:val="en-US"/>
        </w:rPr>
        <w:t>Resolution 169 ha</w:t>
      </w:r>
      <w:r w:rsidR="006E6708">
        <w:rPr>
          <w:lang w:val="en-US"/>
        </w:rPr>
        <w:t>d</w:t>
      </w:r>
      <w:r w:rsidR="006E6708" w:rsidRPr="006E6708">
        <w:rPr>
          <w:lang w:val="en-US"/>
        </w:rPr>
        <w:t xml:space="preserve"> not </w:t>
      </w:r>
      <w:r w:rsidR="006E6708">
        <w:rPr>
          <w:lang w:val="en-US"/>
        </w:rPr>
        <w:t xml:space="preserve">yet </w:t>
      </w:r>
      <w:r w:rsidR="006E6708" w:rsidRPr="006E6708">
        <w:rPr>
          <w:lang w:val="en-US"/>
        </w:rPr>
        <w:t xml:space="preserve">been </w:t>
      </w:r>
      <w:r w:rsidR="00413C98">
        <w:rPr>
          <w:lang w:val="en-US"/>
        </w:rPr>
        <w:t>submitted to the Editorial Committee</w:t>
      </w:r>
      <w:r w:rsidR="006E6708">
        <w:rPr>
          <w:lang w:val="en-US"/>
        </w:rPr>
        <w:t xml:space="preserve">. The square brackets </w:t>
      </w:r>
      <w:r w:rsidR="00F03910">
        <w:rPr>
          <w:lang w:val="en-US"/>
        </w:rPr>
        <w:t xml:space="preserve">in </w:t>
      </w:r>
      <w:r w:rsidR="00F03910" w:rsidRPr="008B01D9">
        <w:rPr>
          <w:i/>
          <w:iCs/>
          <w:lang w:val="en-US"/>
        </w:rPr>
        <w:t>recalling</w:t>
      </w:r>
      <w:r w:rsidR="00F03910">
        <w:rPr>
          <w:lang w:val="en-US"/>
        </w:rPr>
        <w:t xml:space="preserve"> </w:t>
      </w:r>
      <w:r w:rsidR="00F03910" w:rsidRPr="00C21F43">
        <w:rPr>
          <w:i/>
          <w:iCs/>
          <w:lang w:val="en-US"/>
        </w:rPr>
        <w:t>b)</w:t>
      </w:r>
      <w:r w:rsidR="00F03910">
        <w:rPr>
          <w:lang w:val="en-US"/>
        </w:rPr>
        <w:t xml:space="preserve"> </w:t>
      </w:r>
      <w:r w:rsidR="006E6708" w:rsidRPr="00F03910">
        <w:rPr>
          <w:lang w:val="en-US"/>
        </w:rPr>
        <w:t>would</w:t>
      </w:r>
      <w:r w:rsidR="006E6708">
        <w:rPr>
          <w:lang w:val="en-US"/>
        </w:rPr>
        <w:t xml:space="preserve"> be removed once </w:t>
      </w:r>
      <w:r w:rsidR="00E61AE6">
        <w:rPr>
          <w:lang w:val="en-US"/>
        </w:rPr>
        <w:t>th</w:t>
      </w:r>
      <w:r>
        <w:rPr>
          <w:lang w:val="en-US"/>
        </w:rPr>
        <w:t>at</w:t>
      </w:r>
      <w:r w:rsidR="00E61AE6">
        <w:rPr>
          <w:lang w:val="en-US"/>
        </w:rPr>
        <w:t xml:space="preserve"> resolution</w:t>
      </w:r>
      <w:r w:rsidR="006E6708">
        <w:rPr>
          <w:lang w:val="en-US"/>
        </w:rPr>
        <w:t xml:space="preserve"> had been adopted.</w:t>
      </w:r>
    </w:p>
    <w:p w:rsidR="006E6708" w:rsidRDefault="00732234" w:rsidP="00B62FED">
      <w:pPr>
        <w:spacing w:before="160"/>
        <w:rPr>
          <w:lang w:val="en-US"/>
        </w:rPr>
      </w:pPr>
      <w:r>
        <w:rPr>
          <w:lang w:val="en-US"/>
        </w:rPr>
        <w:t>4</w:t>
      </w:r>
      <w:r w:rsidR="006E6708">
        <w:rPr>
          <w:lang w:val="en-US"/>
        </w:rPr>
        <w:t>.4</w:t>
      </w:r>
      <w:r w:rsidR="006E6708">
        <w:rPr>
          <w:lang w:val="en-US"/>
        </w:rPr>
        <w:tab/>
      </w:r>
      <w:r>
        <w:rPr>
          <w:lang w:val="en-US"/>
        </w:rPr>
        <w:t>On that understanding, draft R</w:t>
      </w:r>
      <w:r w:rsidR="006E6708">
        <w:rPr>
          <w:lang w:val="en-US"/>
        </w:rPr>
        <w:t xml:space="preserve">esolution </w:t>
      </w:r>
      <w:r>
        <w:rPr>
          <w:lang w:val="en-US"/>
        </w:rPr>
        <w:t xml:space="preserve">WG-PL/4 (Busan, 2014) </w:t>
      </w:r>
      <w:r w:rsidR="006E6708">
        <w:rPr>
          <w:lang w:val="en-US"/>
        </w:rPr>
        <w:t xml:space="preserve">was </w:t>
      </w:r>
      <w:r w:rsidR="006E6708">
        <w:rPr>
          <w:b/>
          <w:bCs/>
          <w:lang w:val="en-US"/>
        </w:rPr>
        <w:t>adopted</w:t>
      </w:r>
      <w:r w:rsidR="006E6708">
        <w:rPr>
          <w:lang w:val="en-US"/>
        </w:rPr>
        <w:t>.</w:t>
      </w:r>
    </w:p>
    <w:p w:rsidR="006E6708" w:rsidRDefault="00732234" w:rsidP="00B62FED">
      <w:pPr>
        <w:spacing w:before="160"/>
      </w:pPr>
      <w:r>
        <w:t>4</w:t>
      </w:r>
      <w:r w:rsidR="006E6708">
        <w:t>.5</w:t>
      </w:r>
      <w:r w:rsidR="006E6708">
        <w:tab/>
        <w:t xml:space="preserve">The </w:t>
      </w:r>
      <w:r w:rsidR="006E6708">
        <w:rPr>
          <w:b/>
          <w:bCs/>
        </w:rPr>
        <w:t xml:space="preserve">delegate of Costa Rica, </w:t>
      </w:r>
      <w:r w:rsidR="006E6708">
        <w:t xml:space="preserve">recognizing that </w:t>
      </w:r>
      <w:r w:rsidR="006E6708" w:rsidRPr="006E6708">
        <w:t xml:space="preserve">digital inclusion </w:t>
      </w:r>
      <w:r w:rsidR="006E6708">
        <w:t>wa</w:t>
      </w:r>
      <w:r w:rsidR="006E6708" w:rsidRPr="006E6708">
        <w:t>s fundamental for constructing an integrated</w:t>
      </w:r>
      <w:r w:rsidR="006E6708">
        <w:t xml:space="preserve"> and</w:t>
      </w:r>
      <w:r w:rsidR="006E6708" w:rsidRPr="006E6708">
        <w:t xml:space="preserve"> inclusive society based on solidarity</w:t>
      </w:r>
      <w:r w:rsidR="006E6708">
        <w:t xml:space="preserve">, said that action was </w:t>
      </w:r>
      <w:r w:rsidR="006E6708" w:rsidRPr="006E6708">
        <w:t>need</w:t>
      </w:r>
      <w:r w:rsidR="006E6708">
        <w:t>ed</w:t>
      </w:r>
      <w:r w:rsidR="006E6708" w:rsidRPr="006E6708">
        <w:t xml:space="preserve"> to ensure that eve</w:t>
      </w:r>
      <w:r w:rsidR="006E6708">
        <w:t>ryone had</w:t>
      </w:r>
      <w:r w:rsidR="006E6708" w:rsidRPr="006E6708">
        <w:t xml:space="preserve"> affordable access to </w:t>
      </w:r>
      <w:r w:rsidR="006E6708">
        <w:t>information and communication technology</w:t>
      </w:r>
      <w:r w:rsidR="006E6708" w:rsidRPr="006E6708">
        <w:t xml:space="preserve">.  </w:t>
      </w:r>
      <w:r w:rsidR="006E6708">
        <w:t xml:space="preserve">More had to be done to promote </w:t>
      </w:r>
      <w:r w:rsidR="006E6708" w:rsidRPr="006E6708">
        <w:t xml:space="preserve">international cooperation in </w:t>
      </w:r>
      <w:r w:rsidR="006E6708">
        <w:t>that</w:t>
      </w:r>
      <w:r w:rsidR="006E6708" w:rsidRPr="006E6708">
        <w:t xml:space="preserve"> regard</w:t>
      </w:r>
      <w:r w:rsidR="006E6708">
        <w:t>, so as</w:t>
      </w:r>
      <w:r w:rsidR="006E6708" w:rsidRPr="006E6708">
        <w:t xml:space="preserve"> to </w:t>
      </w:r>
      <w:r w:rsidR="006E6708">
        <w:t xml:space="preserve">establish more </w:t>
      </w:r>
      <w:r>
        <w:t>spaces where</w:t>
      </w:r>
      <w:r w:rsidR="006E6708" w:rsidRPr="006E6708">
        <w:t xml:space="preserve"> young people </w:t>
      </w:r>
      <w:r w:rsidR="006E6708">
        <w:t>could</w:t>
      </w:r>
      <w:r w:rsidR="006E6708" w:rsidRPr="006E6708">
        <w:t xml:space="preserve"> learn, create, participate in and use digital technologies</w:t>
      </w:r>
      <w:r>
        <w:t>,</w:t>
      </w:r>
      <w:r w:rsidR="006E6708" w:rsidRPr="006E6708">
        <w:t xml:space="preserve"> </w:t>
      </w:r>
      <w:r w:rsidR="006E6708">
        <w:t xml:space="preserve">with a view </w:t>
      </w:r>
      <w:r w:rsidR="006E6708" w:rsidRPr="006E6708">
        <w:t>to promoting the development of affordable and accessible services</w:t>
      </w:r>
      <w:r w:rsidR="006E6708">
        <w:t>.</w:t>
      </w:r>
      <w:r w:rsidR="006E6708" w:rsidRPr="006E6708">
        <w:t xml:space="preserve"> </w:t>
      </w:r>
    </w:p>
    <w:p w:rsidR="006E6708" w:rsidRDefault="00732234" w:rsidP="00B62FED">
      <w:pPr>
        <w:spacing w:before="160"/>
      </w:pPr>
      <w:r>
        <w:t>4</w:t>
      </w:r>
      <w:r w:rsidR="00F80B67">
        <w:t>.6</w:t>
      </w:r>
      <w:r w:rsidR="00F80B67">
        <w:tab/>
        <w:t xml:space="preserve">The </w:t>
      </w:r>
      <w:r w:rsidR="00F80B67">
        <w:rPr>
          <w:b/>
          <w:bCs/>
        </w:rPr>
        <w:t xml:space="preserve">delegate of Argentina </w:t>
      </w:r>
      <w:r w:rsidR="00F80B67" w:rsidRPr="00F80B67">
        <w:t>thank</w:t>
      </w:r>
      <w:r w:rsidR="00F80B67">
        <w:t>ed</w:t>
      </w:r>
      <w:r w:rsidR="00F80B67" w:rsidRPr="00F80B67">
        <w:t xml:space="preserve"> </w:t>
      </w:r>
      <w:r w:rsidR="00F80B67">
        <w:t xml:space="preserve">the </w:t>
      </w:r>
      <w:r w:rsidR="00F80B67" w:rsidRPr="00F80B67">
        <w:t>CITEL countries</w:t>
      </w:r>
      <w:r w:rsidR="00F80B67">
        <w:t>, in particular</w:t>
      </w:r>
      <w:r w:rsidR="00F80B67" w:rsidRPr="00F80B67">
        <w:t xml:space="preserve"> Costa Rica</w:t>
      </w:r>
      <w:r w:rsidR="00F80B67">
        <w:t>,</w:t>
      </w:r>
      <w:r w:rsidR="00F80B67" w:rsidRPr="00F80B67">
        <w:t xml:space="preserve"> for </w:t>
      </w:r>
      <w:r w:rsidR="00F80B67">
        <w:t xml:space="preserve">having submitted </w:t>
      </w:r>
      <w:r w:rsidR="00F03910">
        <w:t>draft R</w:t>
      </w:r>
      <w:r w:rsidR="00F80B67" w:rsidRPr="00F80B67">
        <w:t>esolution</w:t>
      </w:r>
      <w:r w:rsidR="00F03910">
        <w:t xml:space="preserve"> WG-PL</w:t>
      </w:r>
      <w:r w:rsidR="008B01D9">
        <w:t>/</w:t>
      </w:r>
      <w:r w:rsidR="00F03910">
        <w:t>4</w:t>
      </w:r>
      <w:r w:rsidR="00F80B67">
        <w:t>,</w:t>
      </w:r>
      <w:r w:rsidR="00F80B67" w:rsidRPr="00F80B67">
        <w:t xml:space="preserve"> and the ITU </w:t>
      </w:r>
      <w:bookmarkStart w:id="7" w:name="_GoBack"/>
      <w:bookmarkEnd w:id="7"/>
      <w:r>
        <w:t>s</w:t>
      </w:r>
      <w:r w:rsidR="00F80B67" w:rsidRPr="00F80B67">
        <w:t>ecretariat</w:t>
      </w:r>
      <w:r w:rsidR="00F80B67">
        <w:t xml:space="preserve"> for having </w:t>
      </w:r>
      <w:r w:rsidR="00E61AE6">
        <w:t>la</w:t>
      </w:r>
      <w:r>
        <w:t>u</w:t>
      </w:r>
      <w:r w:rsidR="00E61AE6">
        <w:t>nched</w:t>
      </w:r>
      <w:r w:rsidR="00F80B67" w:rsidRPr="00F80B67">
        <w:t xml:space="preserve"> </w:t>
      </w:r>
      <w:r w:rsidR="008618D2">
        <w:t xml:space="preserve">the </w:t>
      </w:r>
      <w:r w:rsidR="00F80B67">
        <w:t>successful</w:t>
      </w:r>
      <w:r w:rsidR="008618D2">
        <w:t xml:space="preserve"> Young</w:t>
      </w:r>
      <w:r w:rsidR="00F80B67">
        <w:t xml:space="preserve"> </w:t>
      </w:r>
      <w:r w:rsidR="008618D2">
        <w:t xml:space="preserve">ICT </w:t>
      </w:r>
      <w:r w:rsidR="008323C2">
        <w:t xml:space="preserve">Policy Leaders </w:t>
      </w:r>
      <w:r w:rsidR="00333259">
        <w:t>initiative</w:t>
      </w:r>
      <w:r w:rsidR="00F03910">
        <w:t xml:space="preserve"> at the c</w:t>
      </w:r>
      <w:r w:rsidR="008323C2">
        <w:t>onference</w:t>
      </w:r>
      <w:r w:rsidR="00F80B67" w:rsidRPr="00F80B67">
        <w:t xml:space="preserve">.  </w:t>
      </w:r>
    </w:p>
    <w:p w:rsidR="00F80B67" w:rsidRDefault="00732234" w:rsidP="00B62FED">
      <w:pPr>
        <w:spacing w:before="160"/>
      </w:pPr>
      <w:r>
        <w:t>4</w:t>
      </w:r>
      <w:r w:rsidR="00F80B67">
        <w:t>.7</w:t>
      </w:r>
      <w:r w:rsidR="00F80B67">
        <w:tab/>
      </w:r>
      <w:r w:rsidR="009E2392">
        <w:t xml:space="preserve">The </w:t>
      </w:r>
      <w:r w:rsidR="009E2392" w:rsidRPr="009E2392">
        <w:rPr>
          <w:b/>
          <w:bCs/>
        </w:rPr>
        <w:t>delegate of the United Arab Emirates</w:t>
      </w:r>
      <w:r w:rsidR="009E2392">
        <w:t>, speaking on behalf of the Arab Group, expressed appreciation for the efforts made by all stakeholders to draft the resolution, which would help young people bolster their activities at ITU, in particular with regard to information and communication technologies.</w:t>
      </w:r>
    </w:p>
    <w:p w:rsidR="009E2392" w:rsidRDefault="00732234" w:rsidP="00B62FED">
      <w:pPr>
        <w:spacing w:before="160"/>
      </w:pPr>
      <w:r>
        <w:lastRenderedPageBreak/>
        <w:t>4</w:t>
      </w:r>
      <w:r w:rsidR="00B84751">
        <w:t>.8</w:t>
      </w:r>
      <w:r w:rsidR="00B84751">
        <w:tab/>
        <w:t xml:space="preserve">The </w:t>
      </w:r>
      <w:r w:rsidR="00B84751">
        <w:rPr>
          <w:b/>
          <w:bCs/>
        </w:rPr>
        <w:t>delegate of Grenada</w:t>
      </w:r>
      <w:r w:rsidR="00B84751">
        <w:t xml:space="preserve">, speaking on behalf of the Caribbean nations, </w:t>
      </w:r>
      <w:r w:rsidR="00B84751" w:rsidRPr="00B84751">
        <w:t xml:space="preserve">also </w:t>
      </w:r>
      <w:r w:rsidR="00B84751">
        <w:t xml:space="preserve">expressed appreciation for the resolution and the impact it would have on the </w:t>
      </w:r>
      <w:r w:rsidR="00B84751" w:rsidRPr="00B84751">
        <w:t xml:space="preserve">lives </w:t>
      </w:r>
      <w:r w:rsidR="00B84751">
        <w:t>of</w:t>
      </w:r>
      <w:r w:rsidR="00B84751" w:rsidRPr="00B84751">
        <w:t xml:space="preserve"> young people</w:t>
      </w:r>
      <w:r w:rsidR="00B84751">
        <w:t xml:space="preserve">. The </w:t>
      </w:r>
      <w:r w:rsidR="00B84751" w:rsidRPr="00B84751">
        <w:t>level of mentorship</w:t>
      </w:r>
      <w:r w:rsidR="00B84751">
        <w:t xml:space="preserve"> thus ensured guaranteed that young people had a </w:t>
      </w:r>
      <w:r w:rsidR="00B84751" w:rsidRPr="00B84751">
        <w:t xml:space="preserve">future, not only </w:t>
      </w:r>
      <w:r w:rsidR="00B84751">
        <w:t xml:space="preserve">at ITU </w:t>
      </w:r>
      <w:r w:rsidR="00B84751" w:rsidRPr="00B84751">
        <w:t xml:space="preserve">but in the world of </w:t>
      </w:r>
      <w:r w:rsidR="00B84751">
        <w:t>information and communication technology in general.</w:t>
      </w:r>
    </w:p>
    <w:p w:rsidR="008618D2" w:rsidRDefault="00732234" w:rsidP="00B62FED">
      <w:pPr>
        <w:spacing w:before="160"/>
      </w:pPr>
      <w:r>
        <w:t>4</w:t>
      </w:r>
      <w:r w:rsidR="008618D2">
        <w:t>.9</w:t>
      </w:r>
      <w:r w:rsidR="008618D2">
        <w:tab/>
        <w:t xml:space="preserve">The </w:t>
      </w:r>
      <w:r w:rsidR="008618D2">
        <w:rPr>
          <w:b/>
          <w:bCs/>
        </w:rPr>
        <w:t xml:space="preserve">delegate of Comoros </w:t>
      </w:r>
      <w:r w:rsidR="008323C2">
        <w:t>noted that</w:t>
      </w:r>
      <w:r w:rsidR="00E61AE6">
        <w:t xml:space="preserve">, thanks to </w:t>
      </w:r>
      <w:r w:rsidR="00E61AE6" w:rsidRPr="008618D2">
        <w:t xml:space="preserve">the </w:t>
      </w:r>
      <w:r w:rsidR="00E61AE6">
        <w:t>Young ICT Policy Leaders initiative,</w:t>
      </w:r>
      <w:r w:rsidR="008323C2">
        <w:t xml:space="preserve"> a first group of young people had attended </w:t>
      </w:r>
      <w:r>
        <w:t>PP-14</w:t>
      </w:r>
      <w:r w:rsidR="00F03910">
        <w:t>,</w:t>
      </w:r>
      <w:r w:rsidR="008323C2">
        <w:t xml:space="preserve"> and </w:t>
      </w:r>
      <w:r w:rsidR="00F03910">
        <w:t xml:space="preserve">she </w:t>
      </w:r>
      <w:r w:rsidR="00BD70C2">
        <w:t xml:space="preserve">trusted </w:t>
      </w:r>
      <w:r w:rsidR="008618D2" w:rsidRPr="008618D2">
        <w:t xml:space="preserve">that </w:t>
      </w:r>
      <w:r w:rsidR="008323C2">
        <w:t xml:space="preserve">another group </w:t>
      </w:r>
      <w:r w:rsidR="00BD70C2">
        <w:t>would</w:t>
      </w:r>
      <w:r w:rsidR="008618D2" w:rsidRPr="008618D2">
        <w:t xml:space="preserve"> be able to attend the next </w:t>
      </w:r>
      <w:r>
        <w:t>plenipotentiary</w:t>
      </w:r>
      <w:r w:rsidR="00333259">
        <w:t xml:space="preserve"> </w:t>
      </w:r>
      <w:r>
        <w:t>c</w:t>
      </w:r>
      <w:r w:rsidR="008618D2" w:rsidRPr="008618D2">
        <w:t>onference</w:t>
      </w:r>
      <w:r w:rsidR="008323C2">
        <w:t>. She</w:t>
      </w:r>
      <w:r w:rsidR="008618D2" w:rsidRPr="008618D2">
        <w:t xml:space="preserve"> encourage</w:t>
      </w:r>
      <w:r w:rsidR="00BD70C2">
        <w:t>d</w:t>
      </w:r>
      <w:r w:rsidR="008618D2" w:rsidRPr="008618D2">
        <w:t xml:space="preserve"> Member States to </w:t>
      </w:r>
      <w:r>
        <w:t>create</w:t>
      </w:r>
      <w:r w:rsidR="008618D2" w:rsidRPr="008618D2">
        <w:t xml:space="preserve"> platforms </w:t>
      </w:r>
      <w:r>
        <w:t>for</w:t>
      </w:r>
      <w:r w:rsidR="008618D2" w:rsidRPr="008618D2">
        <w:t xml:space="preserve"> follow</w:t>
      </w:r>
      <w:r>
        <w:t>ing</w:t>
      </w:r>
      <w:r w:rsidR="008618D2" w:rsidRPr="008618D2">
        <w:t xml:space="preserve"> up </w:t>
      </w:r>
      <w:r w:rsidR="00BD70C2">
        <w:t xml:space="preserve">the </w:t>
      </w:r>
      <w:r w:rsidR="008618D2" w:rsidRPr="008618D2">
        <w:t xml:space="preserve">development and involvement of young people who </w:t>
      </w:r>
      <w:r w:rsidR="00BD70C2">
        <w:t xml:space="preserve">had </w:t>
      </w:r>
      <w:r w:rsidR="008618D2" w:rsidRPr="008618D2">
        <w:t>participate</w:t>
      </w:r>
      <w:r w:rsidR="00BD70C2">
        <w:t>d</w:t>
      </w:r>
      <w:r w:rsidR="008618D2" w:rsidRPr="008618D2">
        <w:t xml:space="preserve"> in the </w:t>
      </w:r>
      <w:r w:rsidR="00333259">
        <w:t>initiative</w:t>
      </w:r>
      <w:r w:rsidR="00BD70C2">
        <w:t>.</w:t>
      </w:r>
    </w:p>
    <w:p w:rsidR="008323C2" w:rsidRDefault="00732234" w:rsidP="00B62FED">
      <w:pPr>
        <w:spacing w:before="160"/>
      </w:pPr>
      <w:r>
        <w:t>4</w:t>
      </w:r>
      <w:r w:rsidR="00A12117">
        <w:t xml:space="preserve">.10 The </w:t>
      </w:r>
      <w:r w:rsidR="00A12117">
        <w:rPr>
          <w:b/>
          <w:bCs/>
        </w:rPr>
        <w:t xml:space="preserve">delegate of Vanuatu </w:t>
      </w:r>
      <w:r w:rsidR="00A12117">
        <w:t xml:space="preserve">also thanked </w:t>
      </w:r>
      <w:r w:rsidR="00A12117" w:rsidRPr="00A12117">
        <w:t xml:space="preserve">ITU for initiating the Young ICT Policy Leaders </w:t>
      </w:r>
      <w:r w:rsidR="00333259">
        <w:t>initiative</w:t>
      </w:r>
      <w:r w:rsidR="00A12117">
        <w:t xml:space="preserve">, which should be </w:t>
      </w:r>
      <w:r w:rsidR="00A12117" w:rsidRPr="00A12117">
        <w:t>continue</w:t>
      </w:r>
      <w:r w:rsidR="00A12117">
        <w:t>d</w:t>
      </w:r>
      <w:r w:rsidR="00A12117" w:rsidRPr="00A12117">
        <w:t>.</w:t>
      </w:r>
      <w:r w:rsidR="00A12117">
        <w:t xml:space="preserve"> </w:t>
      </w:r>
      <w:r w:rsidR="00EC424F">
        <w:t xml:space="preserve">He commended the </w:t>
      </w:r>
      <w:r w:rsidR="00A12117" w:rsidRPr="00A12117">
        <w:t xml:space="preserve">young professionals </w:t>
      </w:r>
      <w:r w:rsidR="00EC424F">
        <w:t xml:space="preserve">who had drafted the </w:t>
      </w:r>
      <w:r w:rsidR="00A12117">
        <w:t>r</w:t>
      </w:r>
      <w:r w:rsidR="00A12117" w:rsidRPr="00A12117">
        <w:t>esolution</w:t>
      </w:r>
      <w:r w:rsidR="000870EC">
        <w:t xml:space="preserve">, which his government saw as a means of encouraging </w:t>
      </w:r>
      <w:r w:rsidR="00EC424F">
        <w:t>young people</w:t>
      </w:r>
      <w:r w:rsidR="00A12117" w:rsidRPr="00A12117">
        <w:t xml:space="preserve"> to </w:t>
      </w:r>
      <w:r w:rsidR="000870EC">
        <w:t>participate</w:t>
      </w:r>
      <w:r w:rsidR="000870EC" w:rsidRPr="000870EC">
        <w:t xml:space="preserve"> </w:t>
      </w:r>
      <w:r w:rsidR="000870EC" w:rsidRPr="00A12117">
        <w:t>actively</w:t>
      </w:r>
      <w:r w:rsidR="00A12117" w:rsidRPr="00A12117">
        <w:t xml:space="preserve"> in innovative economic activities.  </w:t>
      </w:r>
    </w:p>
    <w:p w:rsidR="00AC6EF8" w:rsidRDefault="00AC6EF8" w:rsidP="00B62FED">
      <w:pPr>
        <w:spacing w:before="160"/>
        <w:rPr>
          <w:b/>
          <w:bCs/>
        </w:rPr>
      </w:pPr>
      <w:r w:rsidRPr="00AC6EF8">
        <w:rPr>
          <w:b/>
          <w:bCs/>
        </w:rPr>
        <w:t>Draft Resolution WG</w:t>
      </w:r>
      <w:r w:rsidR="00333259">
        <w:rPr>
          <w:b/>
          <w:bCs/>
        </w:rPr>
        <w:t>-</w:t>
      </w:r>
      <w:r w:rsidRPr="00AC6EF8">
        <w:rPr>
          <w:b/>
          <w:bCs/>
        </w:rPr>
        <w:t>PL/5 (Busan, 2014) – To promote efforts for capacity building on software</w:t>
      </w:r>
      <w:r w:rsidR="00333259">
        <w:rPr>
          <w:b/>
          <w:bCs/>
        </w:rPr>
        <w:t>-</w:t>
      </w:r>
      <w:r w:rsidRPr="00AC6EF8">
        <w:rPr>
          <w:b/>
          <w:bCs/>
        </w:rPr>
        <w:t>defined networking in developing countries</w:t>
      </w:r>
    </w:p>
    <w:p w:rsidR="00AC6EF8" w:rsidRDefault="00AC6EF8" w:rsidP="00B62FED">
      <w:pPr>
        <w:spacing w:before="160"/>
        <w:rPr>
          <w:b/>
          <w:bCs/>
        </w:rPr>
      </w:pPr>
      <w:r>
        <w:rPr>
          <w:b/>
          <w:bCs/>
        </w:rPr>
        <w:t xml:space="preserve">Draft </w:t>
      </w:r>
      <w:r w:rsidR="00F03910">
        <w:rPr>
          <w:b/>
          <w:bCs/>
        </w:rPr>
        <w:t>Resolution COM</w:t>
      </w:r>
      <w:r w:rsidRPr="00AC6EF8">
        <w:rPr>
          <w:b/>
          <w:bCs/>
        </w:rPr>
        <w:t>5/2</w:t>
      </w:r>
      <w:r>
        <w:rPr>
          <w:b/>
          <w:bCs/>
        </w:rPr>
        <w:t xml:space="preserve"> (Busan, 2014) - S</w:t>
      </w:r>
      <w:r w:rsidRPr="00AC6EF8">
        <w:rPr>
          <w:b/>
          <w:bCs/>
        </w:rPr>
        <w:t>trengthening the role of ITU with regard</w:t>
      </w:r>
      <w:r>
        <w:rPr>
          <w:b/>
          <w:bCs/>
        </w:rPr>
        <w:t xml:space="preserve"> to transparency and confidence-</w:t>
      </w:r>
      <w:r w:rsidRPr="00AC6EF8">
        <w:rPr>
          <w:b/>
          <w:bCs/>
        </w:rPr>
        <w:t>building measures in outer space activities</w:t>
      </w:r>
    </w:p>
    <w:p w:rsidR="00AC6EF8" w:rsidRDefault="00732234" w:rsidP="00B62FED">
      <w:pPr>
        <w:spacing w:before="160"/>
      </w:pPr>
      <w:r>
        <w:t>4</w:t>
      </w:r>
      <w:r w:rsidR="00AC6EF8">
        <w:t>.11</w:t>
      </w:r>
      <w:r w:rsidR="00AC6EF8">
        <w:tab/>
      </w:r>
      <w:r w:rsidRPr="00732234">
        <w:rPr>
          <w:b/>
          <w:bCs/>
        </w:rPr>
        <w:t>A</w:t>
      </w:r>
      <w:r w:rsidR="00AC6EF8">
        <w:rPr>
          <w:b/>
          <w:bCs/>
        </w:rPr>
        <w:t>dopted</w:t>
      </w:r>
      <w:r w:rsidR="00AC6EF8">
        <w:t>.</w:t>
      </w:r>
    </w:p>
    <w:p w:rsidR="00472D83" w:rsidRDefault="00732234" w:rsidP="00B62FED">
      <w:pPr>
        <w:snapToGrid w:val="0"/>
        <w:spacing w:before="160"/>
        <w:rPr>
          <w:b/>
          <w:bCs/>
          <w:lang w:val="en-US"/>
        </w:rPr>
      </w:pPr>
      <w:r>
        <w:rPr>
          <w:lang w:val="en-US"/>
        </w:rPr>
        <w:t>4</w:t>
      </w:r>
      <w:r w:rsidR="00472D83">
        <w:rPr>
          <w:lang w:val="en-US"/>
        </w:rPr>
        <w:t>.12</w:t>
      </w:r>
      <w:r w:rsidR="00472D83">
        <w:rPr>
          <w:lang w:val="en-US"/>
        </w:rPr>
        <w:tab/>
        <w:t xml:space="preserve">The fifth series of texts submitted by the Editorial Committee for first reading (B5) (Document 139) was </w:t>
      </w:r>
      <w:r w:rsidR="00472D83">
        <w:rPr>
          <w:b/>
          <w:bCs/>
          <w:lang w:val="en-US"/>
        </w:rPr>
        <w:t>approved.</w:t>
      </w:r>
    </w:p>
    <w:p w:rsidR="00472D83" w:rsidRDefault="00732234" w:rsidP="00B62FED">
      <w:pPr>
        <w:pStyle w:val="Heading1"/>
        <w:spacing w:before="240"/>
        <w:rPr>
          <w:lang w:val="en-US"/>
        </w:rPr>
      </w:pPr>
      <w:r>
        <w:t>5</w:t>
      </w:r>
      <w:r w:rsidR="00472D83">
        <w:tab/>
        <w:t>Fifth</w:t>
      </w:r>
      <w:r w:rsidR="00472D83">
        <w:rPr>
          <w:lang w:val="en-US"/>
        </w:rPr>
        <w:t xml:space="preserve"> series of texts submit</w:t>
      </w:r>
      <w:r>
        <w:rPr>
          <w:lang w:val="en-US"/>
        </w:rPr>
        <w:t xml:space="preserve">ted by the Editorial Committee - </w:t>
      </w:r>
      <w:r w:rsidR="00472D83">
        <w:rPr>
          <w:lang w:val="en-US"/>
        </w:rPr>
        <w:t>second reading (Document 139)</w:t>
      </w:r>
    </w:p>
    <w:p w:rsidR="00472D83" w:rsidRDefault="00732234" w:rsidP="00B62FED">
      <w:pPr>
        <w:snapToGrid w:val="0"/>
        <w:spacing w:before="160"/>
      </w:pPr>
      <w:r>
        <w:t>5</w:t>
      </w:r>
      <w:r w:rsidR="00472D83">
        <w:t>.1</w:t>
      </w:r>
      <w:r w:rsidR="00472D83">
        <w:tab/>
        <w:t xml:space="preserve">The fifth series of texts submitted by the Editorial Committee </w:t>
      </w:r>
      <w:r w:rsidR="00E61AE6">
        <w:t xml:space="preserve">(Document 139) </w:t>
      </w:r>
      <w:r w:rsidR="00472D83">
        <w:t xml:space="preserve">was </w:t>
      </w:r>
      <w:r w:rsidR="00472D83" w:rsidRPr="00D60294">
        <w:rPr>
          <w:b/>
          <w:bCs/>
        </w:rPr>
        <w:t>approved</w:t>
      </w:r>
      <w:r w:rsidR="00472D83">
        <w:t xml:space="preserve"> on second reading.</w:t>
      </w:r>
    </w:p>
    <w:p w:rsidR="0012001A" w:rsidRDefault="00732234" w:rsidP="00B62FED">
      <w:pPr>
        <w:pStyle w:val="Heading1"/>
        <w:spacing w:before="240"/>
        <w:rPr>
          <w:lang w:val="en-US"/>
        </w:rPr>
      </w:pPr>
      <w:r>
        <w:t>6</w:t>
      </w:r>
      <w:r w:rsidR="0012001A">
        <w:tab/>
        <w:t>Sixth</w:t>
      </w:r>
      <w:r w:rsidR="0012001A">
        <w:rPr>
          <w:lang w:val="en-US"/>
        </w:rPr>
        <w:t xml:space="preserve"> series of texts submitted by the Editorial Committee for first reading (B6) (Document 142)</w:t>
      </w:r>
    </w:p>
    <w:p w:rsidR="0012001A" w:rsidRDefault="00B2712C" w:rsidP="00B62FED">
      <w:pPr>
        <w:snapToGrid w:val="0"/>
        <w:spacing w:before="160"/>
        <w:rPr>
          <w:b/>
          <w:bCs/>
          <w:lang w:val="en-US"/>
        </w:rPr>
      </w:pPr>
      <w:r w:rsidRPr="00B2712C">
        <w:rPr>
          <w:b/>
          <w:bCs/>
          <w:lang w:val="en-US"/>
        </w:rPr>
        <w:t>Draft Resolution 131 (</w:t>
      </w:r>
      <w:r>
        <w:rPr>
          <w:b/>
          <w:bCs/>
          <w:lang w:val="en-US"/>
        </w:rPr>
        <w:t xml:space="preserve">Rev. </w:t>
      </w:r>
      <w:r w:rsidRPr="00B2712C">
        <w:rPr>
          <w:b/>
          <w:bCs/>
          <w:lang w:val="en-US"/>
        </w:rPr>
        <w:t>Busan, 2014) - Measuring information and communication technologies to build an integrating and inclusive information society</w:t>
      </w:r>
    </w:p>
    <w:p w:rsidR="00B2712C" w:rsidRDefault="00D82B3C" w:rsidP="00B62FED">
      <w:pPr>
        <w:snapToGrid w:val="0"/>
        <w:spacing w:before="160"/>
        <w:rPr>
          <w:b/>
          <w:bCs/>
          <w:lang w:val="en-US"/>
        </w:rPr>
      </w:pPr>
      <w:r>
        <w:rPr>
          <w:b/>
          <w:bCs/>
          <w:lang w:val="en-US"/>
        </w:rPr>
        <w:t xml:space="preserve">Draft </w:t>
      </w:r>
      <w:r w:rsidRPr="00D82B3C">
        <w:rPr>
          <w:b/>
          <w:bCs/>
          <w:lang w:val="en-US"/>
        </w:rPr>
        <w:t>Resolution 139</w:t>
      </w:r>
      <w:r>
        <w:rPr>
          <w:b/>
          <w:bCs/>
          <w:lang w:val="en-US"/>
        </w:rPr>
        <w:t xml:space="preserve"> (Rev. Busan, 2014) - U</w:t>
      </w:r>
      <w:r w:rsidRPr="00D82B3C">
        <w:rPr>
          <w:b/>
          <w:bCs/>
          <w:lang w:val="en-US"/>
        </w:rPr>
        <w:t>se of telecommunications/</w:t>
      </w:r>
      <w:r>
        <w:rPr>
          <w:b/>
          <w:bCs/>
          <w:lang w:val="en-US"/>
        </w:rPr>
        <w:t>i</w:t>
      </w:r>
      <w:r w:rsidRPr="00D82B3C">
        <w:rPr>
          <w:b/>
          <w:bCs/>
          <w:lang w:val="en-US"/>
        </w:rPr>
        <w:t xml:space="preserve">nformation and </w:t>
      </w:r>
      <w:r>
        <w:rPr>
          <w:b/>
          <w:bCs/>
          <w:lang w:val="en-US"/>
        </w:rPr>
        <w:t>c</w:t>
      </w:r>
      <w:r w:rsidRPr="00D82B3C">
        <w:rPr>
          <w:b/>
          <w:bCs/>
          <w:lang w:val="en-US"/>
        </w:rPr>
        <w:t xml:space="preserve">ommunication </w:t>
      </w:r>
      <w:r>
        <w:rPr>
          <w:b/>
          <w:bCs/>
          <w:lang w:val="en-US"/>
        </w:rPr>
        <w:t>t</w:t>
      </w:r>
      <w:r w:rsidRPr="00D82B3C">
        <w:rPr>
          <w:b/>
          <w:bCs/>
          <w:lang w:val="en-US"/>
        </w:rPr>
        <w:t xml:space="preserve">echnologies to bridge the digital divide and build an inclusive </w:t>
      </w:r>
      <w:r>
        <w:rPr>
          <w:b/>
          <w:bCs/>
          <w:lang w:val="en-US"/>
        </w:rPr>
        <w:t>i</w:t>
      </w:r>
      <w:r w:rsidRPr="00D82B3C">
        <w:rPr>
          <w:b/>
          <w:bCs/>
          <w:lang w:val="en-US"/>
        </w:rPr>
        <w:t xml:space="preserve">nformation </w:t>
      </w:r>
      <w:r>
        <w:rPr>
          <w:b/>
          <w:bCs/>
          <w:lang w:val="en-US"/>
        </w:rPr>
        <w:t>s</w:t>
      </w:r>
      <w:r w:rsidRPr="00D82B3C">
        <w:rPr>
          <w:b/>
          <w:bCs/>
          <w:lang w:val="en-US"/>
        </w:rPr>
        <w:t>ociety</w:t>
      </w:r>
    </w:p>
    <w:p w:rsidR="00D82B3C" w:rsidRPr="00B2712C" w:rsidRDefault="00F9400C" w:rsidP="00B62FED">
      <w:pPr>
        <w:snapToGrid w:val="0"/>
        <w:spacing w:before="160"/>
        <w:rPr>
          <w:b/>
          <w:bCs/>
          <w:lang w:val="en-US"/>
        </w:rPr>
      </w:pPr>
      <w:r>
        <w:rPr>
          <w:b/>
          <w:bCs/>
          <w:lang w:val="en-US"/>
        </w:rPr>
        <w:t xml:space="preserve">Draft </w:t>
      </w:r>
      <w:r w:rsidRPr="00F9400C">
        <w:rPr>
          <w:b/>
          <w:bCs/>
          <w:lang w:val="en-US"/>
        </w:rPr>
        <w:t>Resolution 176</w:t>
      </w:r>
      <w:r>
        <w:rPr>
          <w:b/>
          <w:bCs/>
          <w:lang w:val="en-US"/>
        </w:rPr>
        <w:t xml:space="preserve"> (Rev. Busan, 2014) - H</w:t>
      </w:r>
      <w:r w:rsidRPr="00F9400C">
        <w:rPr>
          <w:b/>
          <w:bCs/>
          <w:lang w:val="en-US"/>
        </w:rPr>
        <w:t>uman exposure to and measurement of electromagnetic fields</w:t>
      </w:r>
    </w:p>
    <w:p w:rsidR="00F9400C" w:rsidRDefault="00732234" w:rsidP="00B62FED">
      <w:pPr>
        <w:spacing w:before="160"/>
      </w:pPr>
      <w:r>
        <w:t>6</w:t>
      </w:r>
      <w:r w:rsidR="00F9400C">
        <w:t>.1</w:t>
      </w:r>
      <w:r w:rsidR="00F9400C">
        <w:tab/>
      </w:r>
      <w:r w:rsidRPr="00732234">
        <w:rPr>
          <w:b/>
          <w:bCs/>
        </w:rPr>
        <w:t>A</w:t>
      </w:r>
      <w:r w:rsidR="00F9400C">
        <w:rPr>
          <w:b/>
          <w:bCs/>
        </w:rPr>
        <w:t>dopted</w:t>
      </w:r>
      <w:r w:rsidR="00F9400C">
        <w:t>.</w:t>
      </w:r>
    </w:p>
    <w:p w:rsidR="00F9400C" w:rsidRDefault="00732234" w:rsidP="00B62FED">
      <w:pPr>
        <w:snapToGrid w:val="0"/>
        <w:spacing w:before="160"/>
        <w:rPr>
          <w:b/>
          <w:bCs/>
          <w:lang w:val="en-US"/>
        </w:rPr>
      </w:pPr>
      <w:r>
        <w:rPr>
          <w:lang w:val="en-US"/>
        </w:rPr>
        <w:t>6</w:t>
      </w:r>
      <w:r w:rsidR="00F9400C">
        <w:rPr>
          <w:lang w:val="en-US"/>
        </w:rPr>
        <w:t>.2</w:t>
      </w:r>
      <w:r w:rsidR="00F9400C">
        <w:rPr>
          <w:lang w:val="en-US"/>
        </w:rPr>
        <w:tab/>
        <w:t xml:space="preserve">The sixth series of texts submitted by the Editorial Committee for first reading (B6) (Document 142) was </w:t>
      </w:r>
      <w:r w:rsidR="00F9400C">
        <w:rPr>
          <w:b/>
          <w:bCs/>
          <w:lang w:val="en-US"/>
        </w:rPr>
        <w:t>approved.</w:t>
      </w:r>
    </w:p>
    <w:p w:rsidR="00F9400C" w:rsidRDefault="00732234" w:rsidP="00B62FED">
      <w:pPr>
        <w:pStyle w:val="Heading1"/>
        <w:spacing w:before="240"/>
        <w:rPr>
          <w:lang w:val="en-US"/>
        </w:rPr>
      </w:pPr>
      <w:r>
        <w:lastRenderedPageBreak/>
        <w:t>7</w:t>
      </w:r>
      <w:r w:rsidR="00F9400C">
        <w:tab/>
        <w:t>Sixth</w:t>
      </w:r>
      <w:r w:rsidR="00F9400C">
        <w:rPr>
          <w:lang w:val="en-US"/>
        </w:rPr>
        <w:t xml:space="preserve"> series of texts submitted by the Editorial Committee </w:t>
      </w:r>
      <w:r>
        <w:rPr>
          <w:lang w:val="en-US"/>
        </w:rPr>
        <w:t>-</w:t>
      </w:r>
      <w:r w:rsidR="00F9400C">
        <w:rPr>
          <w:lang w:val="en-US"/>
        </w:rPr>
        <w:t xml:space="preserve"> second </w:t>
      </w:r>
      <w:r w:rsidR="009D43BE">
        <w:rPr>
          <w:lang w:val="en-US"/>
        </w:rPr>
        <w:t>reading (</w:t>
      </w:r>
      <w:r w:rsidR="00F9400C">
        <w:rPr>
          <w:lang w:val="en-US"/>
        </w:rPr>
        <w:t>Document 142)</w:t>
      </w:r>
    </w:p>
    <w:p w:rsidR="00F9400C" w:rsidRDefault="00732234" w:rsidP="00B62FED">
      <w:pPr>
        <w:snapToGrid w:val="0"/>
        <w:spacing w:before="160"/>
        <w:rPr>
          <w:lang w:val="en-US"/>
        </w:rPr>
      </w:pPr>
      <w:r>
        <w:rPr>
          <w:lang w:val="en-US"/>
        </w:rPr>
        <w:t>7</w:t>
      </w:r>
      <w:r w:rsidR="00F9400C" w:rsidRPr="00F9400C">
        <w:rPr>
          <w:lang w:val="en-US"/>
        </w:rPr>
        <w:t>.1</w:t>
      </w:r>
      <w:r w:rsidR="00F9400C">
        <w:rPr>
          <w:lang w:val="en-US"/>
        </w:rPr>
        <w:tab/>
        <w:t xml:space="preserve">The sixth series of texts submitted by the Editorial Committee </w:t>
      </w:r>
      <w:r w:rsidR="00E61AE6">
        <w:rPr>
          <w:lang w:val="en-US"/>
        </w:rPr>
        <w:t xml:space="preserve">(Document 142) </w:t>
      </w:r>
      <w:r w:rsidR="00F9400C">
        <w:rPr>
          <w:lang w:val="en-US"/>
        </w:rPr>
        <w:t xml:space="preserve">was </w:t>
      </w:r>
      <w:r w:rsidR="00F9400C">
        <w:rPr>
          <w:b/>
          <w:bCs/>
          <w:lang w:val="en-US"/>
        </w:rPr>
        <w:t>approved</w:t>
      </w:r>
      <w:r w:rsidR="00E61AE6" w:rsidRPr="00E61AE6">
        <w:rPr>
          <w:lang w:val="en-US"/>
        </w:rPr>
        <w:t xml:space="preserve"> </w:t>
      </w:r>
      <w:r w:rsidR="00E61AE6">
        <w:rPr>
          <w:lang w:val="en-US"/>
        </w:rPr>
        <w:t>on second reading</w:t>
      </w:r>
      <w:r w:rsidR="00F9400C" w:rsidRPr="00F9400C">
        <w:rPr>
          <w:lang w:val="en-US"/>
        </w:rPr>
        <w:t>.</w:t>
      </w:r>
    </w:p>
    <w:p w:rsidR="00F9400C" w:rsidRDefault="00732234" w:rsidP="00B62FED">
      <w:pPr>
        <w:pStyle w:val="Heading1"/>
        <w:spacing w:before="240"/>
        <w:rPr>
          <w:lang w:val="en-US"/>
        </w:rPr>
      </w:pPr>
      <w:r>
        <w:t>8</w:t>
      </w:r>
      <w:r w:rsidR="00F9400C">
        <w:tab/>
        <w:t>First</w:t>
      </w:r>
      <w:r w:rsidR="00F9400C">
        <w:rPr>
          <w:lang w:val="en-US"/>
        </w:rPr>
        <w:t xml:space="preserve"> series of texts submitted by the Editorial Committee for second </w:t>
      </w:r>
      <w:r w:rsidR="009D43BE">
        <w:rPr>
          <w:lang w:val="en-US"/>
        </w:rPr>
        <w:t>reading (</w:t>
      </w:r>
      <w:r w:rsidR="004F0992">
        <w:rPr>
          <w:lang w:val="en-US"/>
        </w:rPr>
        <w:t xml:space="preserve">R1) </w:t>
      </w:r>
      <w:r w:rsidR="00F9400C">
        <w:rPr>
          <w:lang w:val="en-US"/>
        </w:rPr>
        <w:t>(Document 137)</w:t>
      </w:r>
    </w:p>
    <w:p w:rsidR="00F9400C" w:rsidRDefault="00F9400C" w:rsidP="00B62FED">
      <w:pPr>
        <w:snapToGrid w:val="0"/>
        <w:spacing w:before="160"/>
        <w:rPr>
          <w:b/>
          <w:bCs/>
          <w:lang w:val="en-US"/>
        </w:rPr>
      </w:pPr>
      <w:r w:rsidRPr="00F9400C">
        <w:rPr>
          <w:b/>
          <w:bCs/>
          <w:lang w:val="en-US"/>
        </w:rPr>
        <w:t>Draft Decision COM6/1 (Busan, 2014) - Monitoring mechanism on ITU programmes and projects</w:t>
      </w:r>
    </w:p>
    <w:p w:rsidR="00416616" w:rsidRDefault="00F03910" w:rsidP="00B62FED">
      <w:pPr>
        <w:snapToGrid w:val="0"/>
        <w:spacing w:before="160"/>
        <w:rPr>
          <w:lang w:val="en-US"/>
        </w:rPr>
      </w:pPr>
      <w:r>
        <w:rPr>
          <w:lang w:val="en-US"/>
        </w:rPr>
        <w:t>8</w:t>
      </w:r>
      <w:r w:rsidR="00416616" w:rsidRPr="00416616">
        <w:rPr>
          <w:lang w:val="en-US"/>
        </w:rPr>
        <w:t>.1</w:t>
      </w:r>
      <w:r w:rsidR="00416616">
        <w:rPr>
          <w:lang w:val="en-US"/>
        </w:rPr>
        <w:tab/>
        <w:t xml:space="preserve">The </w:t>
      </w:r>
      <w:r w:rsidR="00732234">
        <w:rPr>
          <w:b/>
          <w:bCs/>
          <w:lang w:val="en-US"/>
        </w:rPr>
        <w:t>Chairman of Committee 6</w:t>
      </w:r>
      <w:r w:rsidR="00416616">
        <w:rPr>
          <w:lang w:val="en-US"/>
        </w:rPr>
        <w:t xml:space="preserve"> said that the square brackets in </w:t>
      </w:r>
      <w:r w:rsidR="00416616">
        <w:rPr>
          <w:i/>
          <w:iCs/>
          <w:lang w:val="en-US"/>
        </w:rPr>
        <w:t>instructs the Secretary-General</w:t>
      </w:r>
      <w:r w:rsidR="00E61AE6">
        <w:rPr>
          <w:i/>
          <w:iCs/>
          <w:lang w:val="en-US"/>
        </w:rPr>
        <w:t xml:space="preserve"> </w:t>
      </w:r>
      <w:r w:rsidR="00E61AE6" w:rsidRPr="00732234">
        <w:rPr>
          <w:lang w:val="en-US"/>
        </w:rPr>
        <w:t>1</w:t>
      </w:r>
      <w:r w:rsidR="00416616">
        <w:rPr>
          <w:lang w:val="en-US"/>
        </w:rPr>
        <w:t xml:space="preserve"> </w:t>
      </w:r>
      <w:r>
        <w:rPr>
          <w:lang w:val="en-US"/>
        </w:rPr>
        <w:t xml:space="preserve">should be removed </w:t>
      </w:r>
      <w:r w:rsidR="00416616">
        <w:rPr>
          <w:lang w:val="en-US"/>
        </w:rPr>
        <w:t>and the text between the square brackets changed to read “</w:t>
      </w:r>
      <w:r w:rsidR="00416616" w:rsidRPr="00416616">
        <w:rPr>
          <w:lang w:val="en-US"/>
        </w:rPr>
        <w:t>and to grant an open access to relevant stakeholders</w:t>
      </w:r>
      <w:r w:rsidR="00416616">
        <w:rPr>
          <w:lang w:val="en-US"/>
        </w:rPr>
        <w:t>”.</w:t>
      </w:r>
    </w:p>
    <w:p w:rsidR="00416616" w:rsidRPr="00416616" w:rsidRDefault="00732234" w:rsidP="00B62FED">
      <w:pPr>
        <w:snapToGrid w:val="0"/>
        <w:spacing w:before="160"/>
        <w:rPr>
          <w:lang w:val="en-US"/>
        </w:rPr>
      </w:pPr>
      <w:r>
        <w:rPr>
          <w:lang w:val="en-US"/>
        </w:rPr>
        <w:t>8</w:t>
      </w:r>
      <w:r w:rsidR="00416616">
        <w:rPr>
          <w:lang w:val="en-US"/>
        </w:rPr>
        <w:t>.2.</w:t>
      </w:r>
      <w:r w:rsidR="00416616">
        <w:rPr>
          <w:lang w:val="en-US"/>
        </w:rPr>
        <w:tab/>
        <w:t xml:space="preserve">The draft </w:t>
      </w:r>
      <w:r w:rsidR="008B01D9">
        <w:rPr>
          <w:lang w:val="en-US"/>
        </w:rPr>
        <w:t>decision</w:t>
      </w:r>
      <w:r w:rsidR="00F03910">
        <w:rPr>
          <w:lang w:val="en-US"/>
        </w:rPr>
        <w:t>, as amended,</w:t>
      </w:r>
      <w:r w:rsidR="00416616">
        <w:rPr>
          <w:lang w:val="en-US"/>
        </w:rPr>
        <w:t xml:space="preserve"> was </w:t>
      </w:r>
      <w:r w:rsidR="00416616">
        <w:rPr>
          <w:b/>
          <w:bCs/>
          <w:lang w:val="en-US"/>
        </w:rPr>
        <w:t>adopted</w:t>
      </w:r>
      <w:r w:rsidR="00416616">
        <w:rPr>
          <w:lang w:val="en-US"/>
        </w:rPr>
        <w:t>.</w:t>
      </w:r>
    </w:p>
    <w:p w:rsidR="00F9400C" w:rsidRDefault="00F9400C" w:rsidP="00B62FED">
      <w:pPr>
        <w:snapToGrid w:val="0"/>
        <w:spacing w:before="160"/>
        <w:rPr>
          <w:b/>
          <w:bCs/>
          <w:lang w:val="en-US"/>
        </w:rPr>
      </w:pPr>
      <w:r>
        <w:rPr>
          <w:b/>
          <w:bCs/>
          <w:lang w:val="en-US"/>
        </w:rPr>
        <w:t xml:space="preserve">Draft </w:t>
      </w:r>
      <w:r w:rsidRPr="00F9400C">
        <w:rPr>
          <w:b/>
          <w:bCs/>
          <w:lang w:val="en-US"/>
        </w:rPr>
        <w:t>R</w:t>
      </w:r>
      <w:r>
        <w:rPr>
          <w:b/>
          <w:bCs/>
          <w:lang w:val="en-US"/>
        </w:rPr>
        <w:t>esolution</w:t>
      </w:r>
      <w:r w:rsidRPr="00F9400C">
        <w:rPr>
          <w:b/>
          <w:bCs/>
          <w:lang w:val="en-US"/>
        </w:rPr>
        <w:t xml:space="preserve"> COM6/1 (B</w:t>
      </w:r>
      <w:r>
        <w:rPr>
          <w:b/>
          <w:bCs/>
          <w:lang w:val="en-US"/>
        </w:rPr>
        <w:t>usan</w:t>
      </w:r>
      <w:r w:rsidRPr="00F9400C">
        <w:rPr>
          <w:b/>
          <w:bCs/>
          <w:lang w:val="en-US"/>
        </w:rPr>
        <w:t>, 2014)</w:t>
      </w:r>
      <w:r>
        <w:rPr>
          <w:b/>
          <w:bCs/>
          <w:lang w:val="en-US"/>
        </w:rPr>
        <w:t xml:space="preserve"> - </w:t>
      </w:r>
      <w:r w:rsidRPr="00F9400C">
        <w:rPr>
          <w:b/>
          <w:bCs/>
          <w:lang w:val="en-US"/>
        </w:rPr>
        <w:t>Strategy for the coordination of efforts among the three Sectors the Union</w:t>
      </w:r>
    </w:p>
    <w:p w:rsidR="00F9400C" w:rsidRDefault="00732234" w:rsidP="00B62FED">
      <w:pPr>
        <w:snapToGrid w:val="0"/>
        <w:spacing w:before="160"/>
        <w:rPr>
          <w:lang w:val="en-US"/>
        </w:rPr>
      </w:pPr>
      <w:r>
        <w:rPr>
          <w:lang w:val="en-US"/>
        </w:rPr>
        <w:t>8</w:t>
      </w:r>
      <w:r w:rsidR="00F9400C" w:rsidRPr="00F9400C">
        <w:rPr>
          <w:lang w:val="en-US"/>
        </w:rPr>
        <w:t>.</w:t>
      </w:r>
      <w:r w:rsidR="00C62555">
        <w:rPr>
          <w:lang w:val="en-US"/>
        </w:rPr>
        <w:t>3</w:t>
      </w:r>
      <w:r w:rsidR="00F9400C" w:rsidRPr="00F9400C">
        <w:rPr>
          <w:lang w:val="en-US"/>
        </w:rPr>
        <w:tab/>
      </w:r>
      <w:r w:rsidR="00F9400C">
        <w:rPr>
          <w:lang w:val="en-US"/>
        </w:rPr>
        <w:t xml:space="preserve">The </w:t>
      </w:r>
      <w:r w:rsidR="00F9400C">
        <w:rPr>
          <w:b/>
          <w:bCs/>
          <w:lang w:val="en-US"/>
        </w:rPr>
        <w:t xml:space="preserve">Chairman of the Editorial Committee </w:t>
      </w:r>
      <w:r w:rsidR="00F9400C">
        <w:rPr>
          <w:lang w:val="en-US"/>
        </w:rPr>
        <w:t xml:space="preserve">pointed out that </w:t>
      </w:r>
      <w:r w:rsidR="00F9400C" w:rsidRPr="00F9400C">
        <w:rPr>
          <w:i/>
          <w:iCs/>
          <w:lang w:val="en-US"/>
        </w:rPr>
        <w:t>instructs the Directors of the Radiocommunication Bureau, the Telecommunication Standardization Bureau, and the Telecommunication Development Bureau</w:t>
      </w:r>
      <w:r w:rsidR="00E61AE6">
        <w:rPr>
          <w:i/>
          <w:iCs/>
          <w:lang w:val="en-US"/>
        </w:rPr>
        <w:t xml:space="preserve"> </w:t>
      </w:r>
      <w:r w:rsidR="00E61AE6" w:rsidRPr="00732234">
        <w:rPr>
          <w:lang w:val="en-US"/>
        </w:rPr>
        <w:t>3</w:t>
      </w:r>
      <w:r w:rsidR="00F9400C" w:rsidRPr="00F9400C">
        <w:rPr>
          <w:lang w:val="en-US"/>
        </w:rPr>
        <w:t xml:space="preserve"> </w:t>
      </w:r>
      <w:r w:rsidR="00F9400C">
        <w:rPr>
          <w:lang w:val="en-US"/>
        </w:rPr>
        <w:t xml:space="preserve">contained </w:t>
      </w:r>
      <w:r w:rsidR="00F9400C" w:rsidRPr="00F9400C">
        <w:rPr>
          <w:lang w:val="en-US"/>
        </w:rPr>
        <w:t xml:space="preserve">a revised text agreed between </w:t>
      </w:r>
      <w:r w:rsidR="00F9400C">
        <w:rPr>
          <w:lang w:val="en-US"/>
        </w:rPr>
        <w:t xml:space="preserve">the </w:t>
      </w:r>
      <w:r w:rsidR="00F9400C" w:rsidRPr="00F9400C">
        <w:rPr>
          <w:lang w:val="en-US"/>
        </w:rPr>
        <w:t>Russia</w:t>
      </w:r>
      <w:r w:rsidR="00F9400C">
        <w:rPr>
          <w:lang w:val="en-US"/>
        </w:rPr>
        <w:t>n Federation and</w:t>
      </w:r>
      <w:r w:rsidR="00F9400C" w:rsidRPr="00F9400C">
        <w:rPr>
          <w:lang w:val="en-US"/>
        </w:rPr>
        <w:t xml:space="preserve"> </w:t>
      </w:r>
      <w:r w:rsidR="00F9400C">
        <w:rPr>
          <w:lang w:val="en-US"/>
        </w:rPr>
        <w:t xml:space="preserve">the Islamic Republic of </w:t>
      </w:r>
      <w:r w:rsidR="00F9400C" w:rsidRPr="00F9400C">
        <w:rPr>
          <w:lang w:val="en-US"/>
        </w:rPr>
        <w:t>Iran</w:t>
      </w:r>
      <w:r w:rsidR="00F9400C">
        <w:rPr>
          <w:lang w:val="en-US"/>
        </w:rPr>
        <w:t>.</w:t>
      </w:r>
    </w:p>
    <w:p w:rsidR="00C62555" w:rsidRDefault="00732234" w:rsidP="00B62FED">
      <w:pPr>
        <w:snapToGrid w:val="0"/>
        <w:spacing w:before="160"/>
        <w:rPr>
          <w:lang w:val="en-US"/>
        </w:rPr>
      </w:pPr>
      <w:r>
        <w:rPr>
          <w:lang w:val="en-US"/>
        </w:rPr>
        <w:t>8</w:t>
      </w:r>
      <w:r w:rsidR="00C62555">
        <w:rPr>
          <w:lang w:val="en-US"/>
        </w:rPr>
        <w:t>.4</w:t>
      </w:r>
      <w:r w:rsidR="00C62555">
        <w:rPr>
          <w:lang w:val="en-US"/>
        </w:rPr>
        <w:tab/>
        <w:t xml:space="preserve">The draft resolution was </w:t>
      </w:r>
      <w:r w:rsidR="00C62555">
        <w:rPr>
          <w:b/>
          <w:bCs/>
          <w:lang w:val="en-US"/>
        </w:rPr>
        <w:t>adopted</w:t>
      </w:r>
      <w:r w:rsidR="00C62555">
        <w:rPr>
          <w:lang w:val="en-US"/>
        </w:rPr>
        <w:t>.</w:t>
      </w:r>
    </w:p>
    <w:p w:rsidR="00C62555" w:rsidRPr="00C62555" w:rsidRDefault="00C62555" w:rsidP="00B62FED">
      <w:pPr>
        <w:snapToGrid w:val="0"/>
        <w:spacing w:before="160"/>
        <w:rPr>
          <w:b/>
          <w:bCs/>
          <w:lang w:val="en-US"/>
        </w:rPr>
      </w:pPr>
      <w:r>
        <w:rPr>
          <w:b/>
          <w:bCs/>
          <w:lang w:val="en-US"/>
        </w:rPr>
        <w:t xml:space="preserve">SUP Resolution </w:t>
      </w:r>
      <w:r w:rsidRPr="00C62555">
        <w:rPr>
          <w:b/>
          <w:bCs/>
          <w:lang w:val="en-US"/>
        </w:rPr>
        <w:t>171 (G</w:t>
      </w:r>
      <w:r>
        <w:rPr>
          <w:b/>
          <w:bCs/>
          <w:lang w:val="en-US"/>
        </w:rPr>
        <w:t>uadalajara</w:t>
      </w:r>
      <w:r w:rsidRPr="00C62555">
        <w:rPr>
          <w:b/>
          <w:bCs/>
          <w:lang w:val="en-US"/>
        </w:rPr>
        <w:t>, 2010)</w:t>
      </w:r>
      <w:r>
        <w:rPr>
          <w:b/>
          <w:bCs/>
          <w:lang w:val="en-US"/>
        </w:rPr>
        <w:t xml:space="preserve"> </w:t>
      </w:r>
      <w:r w:rsidRPr="00C62555">
        <w:rPr>
          <w:b/>
          <w:bCs/>
          <w:lang w:val="en-US"/>
        </w:rPr>
        <w:t xml:space="preserve">- Preparations for the 2012 </w:t>
      </w:r>
      <w:r w:rsidR="00732234">
        <w:rPr>
          <w:b/>
          <w:bCs/>
          <w:lang w:val="en-US"/>
        </w:rPr>
        <w:t>w</w:t>
      </w:r>
      <w:r w:rsidRPr="00C62555">
        <w:rPr>
          <w:b/>
          <w:bCs/>
          <w:lang w:val="en-US"/>
        </w:rPr>
        <w:t xml:space="preserve">orld </w:t>
      </w:r>
      <w:r w:rsidR="00732234">
        <w:rPr>
          <w:b/>
          <w:bCs/>
          <w:lang w:val="en-US"/>
        </w:rPr>
        <w:t>c</w:t>
      </w:r>
      <w:r w:rsidRPr="00C62555">
        <w:rPr>
          <w:b/>
          <w:bCs/>
          <w:lang w:val="en-US"/>
        </w:rPr>
        <w:t xml:space="preserve">onference on </w:t>
      </w:r>
      <w:r w:rsidR="00732234">
        <w:rPr>
          <w:b/>
          <w:bCs/>
          <w:lang w:val="en-US"/>
        </w:rPr>
        <w:t>i</w:t>
      </w:r>
      <w:r w:rsidRPr="00C62555">
        <w:rPr>
          <w:b/>
          <w:bCs/>
          <w:lang w:val="en-US"/>
        </w:rPr>
        <w:t xml:space="preserve">nternational </w:t>
      </w:r>
      <w:r w:rsidR="00732234">
        <w:rPr>
          <w:b/>
          <w:bCs/>
          <w:lang w:val="en-US"/>
        </w:rPr>
        <w:t>t</w:t>
      </w:r>
      <w:r w:rsidRPr="00C62555">
        <w:rPr>
          <w:b/>
          <w:bCs/>
          <w:lang w:val="en-US"/>
        </w:rPr>
        <w:t>elecommunications</w:t>
      </w:r>
    </w:p>
    <w:p w:rsidR="00C62555" w:rsidRPr="00C62555" w:rsidRDefault="00732234" w:rsidP="00B62FED">
      <w:pPr>
        <w:snapToGrid w:val="0"/>
        <w:spacing w:before="160"/>
        <w:rPr>
          <w:lang w:val="en-US"/>
        </w:rPr>
      </w:pPr>
      <w:r>
        <w:rPr>
          <w:lang w:val="en-US"/>
        </w:rPr>
        <w:t>8</w:t>
      </w:r>
      <w:r w:rsidR="00C62555">
        <w:rPr>
          <w:lang w:val="en-US"/>
        </w:rPr>
        <w:t>.5</w:t>
      </w:r>
      <w:r w:rsidR="00C62555">
        <w:rPr>
          <w:lang w:val="en-US"/>
        </w:rPr>
        <w:tab/>
      </w:r>
      <w:r>
        <w:rPr>
          <w:b/>
          <w:bCs/>
          <w:lang w:val="en-US"/>
        </w:rPr>
        <w:t>Approved</w:t>
      </w:r>
      <w:r w:rsidR="00C62555">
        <w:rPr>
          <w:lang w:val="en-US"/>
        </w:rPr>
        <w:t>.</w:t>
      </w:r>
    </w:p>
    <w:p w:rsidR="004F0992" w:rsidRDefault="00732234" w:rsidP="00B62FED">
      <w:pPr>
        <w:snapToGrid w:val="0"/>
        <w:spacing w:before="160"/>
        <w:rPr>
          <w:lang w:val="en-US"/>
        </w:rPr>
      </w:pPr>
      <w:r>
        <w:rPr>
          <w:lang w:val="en-US"/>
        </w:rPr>
        <w:t>8</w:t>
      </w:r>
      <w:r w:rsidR="004F0992">
        <w:rPr>
          <w:lang w:val="en-US"/>
        </w:rPr>
        <w:t>.6</w:t>
      </w:r>
      <w:r w:rsidR="004F0992">
        <w:rPr>
          <w:lang w:val="en-US"/>
        </w:rPr>
        <w:tab/>
        <w:t xml:space="preserve">The first series of texts submitted by the Editorial Committee for second reading (R1) </w:t>
      </w:r>
      <w:r w:rsidR="00E61AE6">
        <w:rPr>
          <w:lang w:val="en-US"/>
        </w:rPr>
        <w:t>(</w:t>
      </w:r>
      <w:r w:rsidR="004F0992">
        <w:rPr>
          <w:lang w:val="en-US"/>
        </w:rPr>
        <w:t xml:space="preserve">Document 137) was </w:t>
      </w:r>
      <w:r w:rsidR="004F0992">
        <w:rPr>
          <w:b/>
          <w:bCs/>
          <w:lang w:val="en-US"/>
        </w:rPr>
        <w:t>approved</w:t>
      </w:r>
      <w:r w:rsidR="00F03910">
        <w:rPr>
          <w:lang w:val="en-US"/>
        </w:rPr>
        <w:t xml:space="preserve"> as amended</w:t>
      </w:r>
      <w:r w:rsidR="004F0992" w:rsidRPr="00F9400C">
        <w:rPr>
          <w:lang w:val="en-US"/>
        </w:rPr>
        <w:t>.</w:t>
      </w:r>
    </w:p>
    <w:p w:rsidR="00AA3CCE" w:rsidRPr="001F4426" w:rsidRDefault="00732234" w:rsidP="00B62FED">
      <w:pPr>
        <w:pStyle w:val="Heading1"/>
        <w:spacing w:before="240"/>
      </w:pPr>
      <w:r>
        <w:t>9</w:t>
      </w:r>
      <w:r w:rsidR="00AA3CCE" w:rsidRPr="001F4426">
        <w:tab/>
        <w:t xml:space="preserve">Approval of minutes (Documents </w:t>
      </w:r>
      <w:r w:rsidR="00AA3CCE">
        <w:t>107, 108, 112, 113 and 114</w:t>
      </w:r>
      <w:r w:rsidR="00AA3CCE" w:rsidRPr="001F4426">
        <w:t>)</w:t>
      </w:r>
    </w:p>
    <w:p w:rsidR="00AA3CCE" w:rsidRDefault="00732234" w:rsidP="00B62FED">
      <w:pPr>
        <w:spacing w:before="160"/>
      </w:pPr>
      <w:r>
        <w:t>9</w:t>
      </w:r>
      <w:r w:rsidR="00AA3CCE" w:rsidRPr="001F4426">
        <w:t>.1</w:t>
      </w:r>
      <w:r w:rsidR="00AA3CCE" w:rsidRPr="001F4426">
        <w:tab/>
        <w:t xml:space="preserve">The </w:t>
      </w:r>
      <w:r w:rsidR="00AA3CCE" w:rsidRPr="001F4426">
        <w:rPr>
          <w:b/>
          <w:bCs/>
        </w:rPr>
        <w:t xml:space="preserve">delegate of </w:t>
      </w:r>
      <w:r w:rsidR="00AA3CCE">
        <w:rPr>
          <w:b/>
          <w:bCs/>
        </w:rPr>
        <w:t>Japan</w:t>
      </w:r>
      <w:r w:rsidR="00AA3CCE">
        <w:t>, referring to paragraph</w:t>
      </w:r>
      <w:r>
        <w:t xml:space="preserve"> </w:t>
      </w:r>
      <w:r w:rsidR="00AA3CCE">
        <w:t xml:space="preserve">13.1 of the minutes of the first plenary meeting (Document </w:t>
      </w:r>
      <w:r>
        <w:t>107), said that the title of Mr</w:t>
      </w:r>
      <w:r w:rsidR="00AA3CCE">
        <w:t xml:space="preserve"> Kosaburo Nishime of Japan should be changed to that of State Minister.</w:t>
      </w:r>
    </w:p>
    <w:p w:rsidR="008B01D9" w:rsidRPr="008B01D9" w:rsidRDefault="008B01D9" w:rsidP="00B62FED">
      <w:pPr>
        <w:spacing w:before="160"/>
      </w:pPr>
      <w:r>
        <w:t>9.2</w:t>
      </w:r>
      <w:r>
        <w:tab/>
        <w:t xml:space="preserve">The </w:t>
      </w:r>
      <w:r>
        <w:rPr>
          <w:b/>
          <w:bCs/>
        </w:rPr>
        <w:t>Chairman</w:t>
      </w:r>
      <w:r>
        <w:t xml:space="preserve"> requested delegations that wished to make</w:t>
      </w:r>
      <w:r w:rsidR="00C21F43">
        <w:t xml:space="preserve"> any further </w:t>
      </w:r>
      <w:r>
        <w:t>amendments to the minutes to hand their amendments in to the secretariat.</w:t>
      </w:r>
    </w:p>
    <w:p w:rsidR="00AA3CCE" w:rsidRDefault="00732234" w:rsidP="00B62FED">
      <w:pPr>
        <w:spacing w:before="160"/>
      </w:pPr>
      <w:r>
        <w:t>9</w:t>
      </w:r>
      <w:r w:rsidR="00AA3CCE" w:rsidRPr="001F4426">
        <w:t>.</w:t>
      </w:r>
      <w:r w:rsidR="008B01D9">
        <w:t>3</w:t>
      </w:r>
      <w:r w:rsidR="00AA3CCE" w:rsidRPr="001F4426">
        <w:tab/>
      </w:r>
      <w:r>
        <w:t>On that understanding, t</w:t>
      </w:r>
      <w:r w:rsidR="00AA3CCE">
        <w:t>he</w:t>
      </w:r>
      <w:r w:rsidR="00AA3CCE" w:rsidRPr="001F4426">
        <w:t xml:space="preserve"> minutes of the first plenary meeting (Document </w:t>
      </w:r>
      <w:r>
        <w:t>107)</w:t>
      </w:r>
      <w:r w:rsidR="008B01D9">
        <w:rPr>
          <w:b/>
          <w:bCs/>
        </w:rPr>
        <w:t xml:space="preserve"> </w:t>
      </w:r>
      <w:r w:rsidR="008B01D9">
        <w:t xml:space="preserve">as amended, </w:t>
      </w:r>
      <w:r w:rsidR="00AA3CCE" w:rsidRPr="001F4426">
        <w:t xml:space="preserve">the second plenary meeting (Document </w:t>
      </w:r>
      <w:r w:rsidR="00AA3CCE">
        <w:t>108</w:t>
      </w:r>
      <w:r w:rsidR="00AA3CCE" w:rsidRPr="001F4426">
        <w:t>), the thi</w:t>
      </w:r>
      <w:r w:rsidR="00AA3CCE">
        <w:t>rd plenary meeting (Document 112</w:t>
      </w:r>
      <w:r w:rsidR="00AA3CCE" w:rsidRPr="001F4426">
        <w:t>), the four</w:t>
      </w:r>
      <w:r w:rsidR="00AA3CCE">
        <w:t>th plenary meeting (Document 113</w:t>
      </w:r>
      <w:r w:rsidR="00AA3CCE" w:rsidRPr="001F4426">
        <w:t>) and the fif</w:t>
      </w:r>
      <w:r w:rsidR="00AA3CCE">
        <w:t>th plenary meeting (Document 114</w:t>
      </w:r>
      <w:r w:rsidR="00AA3CCE" w:rsidRPr="001F4426">
        <w:t>)</w:t>
      </w:r>
      <w:r>
        <w:t xml:space="preserve"> were </w:t>
      </w:r>
      <w:r>
        <w:rPr>
          <w:b/>
          <w:bCs/>
        </w:rPr>
        <w:t>approved</w:t>
      </w:r>
      <w:r w:rsidR="00AA3CCE" w:rsidRPr="001F4426">
        <w:t>.</w:t>
      </w:r>
    </w:p>
    <w:p w:rsidR="00732234" w:rsidRPr="00BF40C1" w:rsidRDefault="00732234" w:rsidP="00B62FED">
      <w:pPr>
        <w:pStyle w:val="Heading1"/>
        <w:spacing w:before="240"/>
      </w:pPr>
      <w:r w:rsidRPr="00BF40C1">
        <w:t>1</w:t>
      </w:r>
      <w:r>
        <w:t>0</w:t>
      </w:r>
      <w:r>
        <w:tab/>
        <w:t>Efforts to combat Ebola</w:t>
      </w:r>
    </w:p>
    <w:p w:rsidR="00732234" w:rsidRPr="00BF40C1" w:rsidRDefault="00732234" w:rsidP="00B62FED">
      <w:pPr>
        <w:spacing w:before="160"/>
      </w:pPr>
      <w:r w:rsidRPr="00BF40C1">
        <w:t>1</w:t>
      </w:r>
      <w:r>
        <w:t>0</w:t>
      </w:r>
      <w:r w:rsidRPr="00BF40C1">
        <w:t xml:space="preserve">.1 </w:t>
      </w:r>
      <w:r w:rsidRPr="00BF40C1">
        <w:tab/>
        <w:t xml:space="preserve">The </w:t>
      </w:r>
      <w:r w:rsidRPr="00BF40C1">
        <w:rPr>
          <w:b/>
        </w:rPr>
        <w:t xml:space="preserve">Chairman </w:t>
      </w:r>
      <w:r>
        <w:t xml:space="preserve">reported </w:t>
      </w:r>
      <w:r w:rsidRPr="00BF40C1">
        <w:t xml:space="preserve">that </w:t>
      </w:r>
      <w:r>
        <w:t>the Japanese delegation had announced a contribution to ITU of CHF 180,000 in support of the development of mobile applications for Ebola prevention.</w:t>
      </w:r>
    </w:p>
    <w:p w:rsidR="00732234" w:rsidRDefault="00732234" w:rsidP="00B62FED">
      <w:pPr>
        <w:spacing w:before="160"/>
      </w:pPr>
      <w:r>
        <w:lastRenderedPageBreak/>
        <w:t>10.2</w:t>
      </w:r>
      <w:r>
        <w:tab/>
        <w:t xml:space="preserve">The </w:t>
      </w:r>
      <w:r>
        <w:rPr>
          <w:b/>
          <w:bCs/>
        </w:rPr>
        <w:t xml:space="preserve">delegate of South </w:t>
      </w:r>
      <w:r w:rsidRPr="00732234">
        <w:t>Africa</w:t>
      </w:r>
      <w:r>
        <w:t xml:space="preserve"> made the following statement relating to the new resol</w:t>
      </w:r>
      <w:r w:rsidR="00F03910">
        <w:t>ution proposed by Sierra Leone in Document 140</w:t>
      </w:r>
      <w:r>
        <w:t xml:space="preserve"> on using ICTs to break the chain of health-related emergencies such as Ebola virus transmission:</w:t>
      </w:r>
    </w:p>
    <w:p w:rsidR="008D2730" w:rsidRDefault="008D2730" w:rsidP="00B62FED">
      <w:pPr>
        <w:spacing w:before="160"/>
        <w:rPr>
          <w:lang w:val="en-US"/>
        </w:rPr>
      </w:pPr>
      <w:r>
        <w:rPr>
          <w:lang w:val="en-US"/>
        </w:rPr>
        <w:t>“On behalf of the South African Government, I am pleased to address plenary in support of the resolution on Ebola.</w:t>
      </w:r>
    </w:p>
    <w:p w:rsidR="008D2730" w:rsidRDefault="008D2730" w:rsidP="00B62FED">
      <w:pPr>
        <w:spacing w:before="160"/>
        <w:rPr>
          <w:lang w:val="en-US"/>
        </w:rPr>
      </w:pPr>
      <w:r>
        <w:rPr>
          <w:lang w:val="en-US"/>
        </w:rPr>
        <w:t>The South African Government set aside R32.6 million to support containment and prevent further spread of the virus in South Africa, and for the deployment of mobile laboratories, experts, training and technical support to affected countries; and to raise a further R250 million through its Ebola Response Fund, aimed at assisting the worst afflicted West African nations. Government has extended appeals to the private sector to donate money to the fund.</w:t>
      </w:r>
    </w:p>
    <w:p w:rsidR="008D2730" w:rsidRDefault="008D2730" w:rsidP="00B62FED">
      <w:pPr>
        <w:spacing w:before="160"/>
        <w:rPr>
          <w:lang w:val="en-US"/>
        </w:rPr>
      </w:pPr>
      <w:r>
        <w:rPr>
          <w:lang w:val="en-US"/>
        </w:rPr>
        <w:t>A team of South African medical experts in the West African States of Guinea, Sierra Leone, and Liberia are helping to fight the spread of the Ebola Virus. This team of highly trained specialists is equipped with a mobile laboratory to diagnose the disease throughout that Region and for training of health care workers.</w:t>
      </w:r>
    </w:p>
    <w:p w:rsidR="008D2730" w:rsidRDefault="008D2730" w:rsidP="00B62FED">
      <w:pPr>
        <w:spacing w:before="160"/>
        <w:rPr>
          <w:lang w:val="en-US"/>
        </w:rPr>
      </w:pPr>
      <w:r>
        <w:rPr>
          <w:lang w:val="en-US"/>
        </w:rPr>
        <w:t>We therefore commend all countries that have lent their support for this initiative by the ITU. We therefore pledge our support to the affected Governments and, once again, commend the ITU on prioritizing this urgent matter.”</w:t>
      </w:r>
    </w:p>
    <w:p w:rsidR="00AA3CCE" w:rsidRPr="009950FC" w:rsidRDefault="008D2730" w:rsidP="00B62FED">
      <w:pPr>
        <w:spacing w:before="160"/>
      </w:pPr>
      <w:r>
        <w:t>10.3</w:t>
      </w:r>
      <w:r w:rsidR="00AA3CCE">
        <w:tab/>
        <w:t xml:space="preserve">The </w:t>
      </w:r>
      <w:r w:rsidR="00AA3CCE">
        <w:rPr>
          <w:b/>
          <w:bCs/>
        </w:rPr>
        <w:t xml:space="preserve">Chairman </w:t>
      </w:r>
      <w:r w:rsidR="00AA3CCE">
        <w:t>underscored the importance of contributions for fighting the Ebola virus</w:t>
      </w:r>
      <w:r>
        <w:t>.</w:t>
      </w:r>
      <w:r w:rsidR="00AA3CCE">
        <w:t xml:space="preserve"> </w:t>
      </w:r>
    </w:p>
    <w:p w:rsidR="00AA3CCE" w:rsidRDefault="00AA3CCE" w:rsidP="00B62FED">
      <w:pPr>
        <w:spacing w:before="160"/>
        <w:rPr>
          <w:b/>
          <w:bCs/>
        </w:rPr>
      </w:pPr>
      <w:r>
        <w:rPr>
          <w:b/>
          <w:bCs/>
        </w:rPr>
        <w:t>The meeting rose at 1515 hours.</w:t>
      </w:r>
    </w:p>
    <w:p w:rsidR="00B62FED" w:rsidRPr="00CB394B" w:rsidRDefault="00B62FED" w:rsidP="00B62FED">
      <w:pPr>
        <w:spacing w:before="160"/>
        <w:rPr>
          <w:b/>
          <w:bCs/>
        </w:rPr>
      </w:pPr>
    </w:p>
    <w:p w:rsidR="0012001A" w:rsidRPr="00AA3CCE" w:rsidRDefault="00160426" w:rsidP="00B62FED">
      <w:pPr>
        <w:snapToGrid w:val="0"/>
        <w:spacing w:before="160"/>
      </w:pPr>
      <w:r>
        <w:t>The Secretary-General:</w:t>
      </w:r>
      <w:r>
        <w:tab/>
      </w:r>
      <w:r>
        <w:tab/>
      </w:r>
      <w:r>
        <w:tab/>
      </w:r>
      <w:r>
        <w:tab/>
      </w:r>
      <w:r>
        <w:tab/>
      </w:r>
      <w:r>
        <w:tab/>
      </w:r>
      <w:r>
        <w:tab/>
      </w:r>
      <w:r>
        <w:tab/>
        <w:t>The Chairman:</w:t>
      </w:r>
      <w:r>
        <w:br/>
        <w:t>H. TOURÉ</w:t>
      </w:r>
      <w:r>
        <w:tab/>
      </w:r>
      <w:r>
        <w:tab/>
      </w:r>
      <w:r>
        <w:tab/>
      </w:r>
      <w:r>
        <w:tab/>
      </w:r>
      <w:r>
        <w:tab/>
      </w:r>
      <w:r>
        <w:tab/>
      </w:r>
      <w:r>
        <w:tab/>
      </w:r>
      <w:r>
        <w:tab/>
      </w:r>
      <w:r>
        <w:tab/>
      </w:r>
      <w:r>
        <w:tab/>
        <w:t>W. MIN</w:t>
      </w:r>
    </w:p>
    <w:p w:rsidR="00472D83" w:rsidRPr="00472D83" w:rsidRDefault="00472D83" w:rsidP="00B62FED">
      <w:pPr>
        <w:spacing w:before="160"/>
        <w:rPr>
          <w:lang w:val="en-US"/>
        </w:rPr>
      </w:pPr>
    </w:p>
    <w:p w:rsidR="00AC6EF8" w:rsidRPr="00AC6EF8" w:rsidRDefault="00AC6EF8" w:rsidP="00B62FED">
      <w:pPr>
        <w:spacing w:before="160"/>
      </w:pPr>
    </w:p>
    <w:sectPr w:rsidR="00AC6EF8" w:rsidRPr="00AC6EF8" w:rsidSect="00361097">
      <w:headerReference w:type="default" r:id="rId21"/>
      <w:footerReference w:type="first" r:id="rId2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3A2" w:rsidRDefault="004E63A2">
      <w:r>
        <w:separator/>
      </w:r>
    </w:p>
  </w:endnote>
  <w:endnote w:type="continuationSeparator" w:id="0">
    <w:p w:rsidR="004E63A2" w:rsidRDefault="004E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A2" w:rsidRPr="00B62FED" w:rsidRDefault="004E63A2" w:rsidP="00B62FED">
    <w:pPr>
      <w:pStyle w:val="firstfooter0"/>
      <w:spacing w:before="0" w:beforeAutospacing="0" w:after="0" w:afterAutospacing="0"/>
      <w:jc w:val="center"/>
      <w:rPr>
        <w:rFonts w:ascii="Symbol" w:hAnsi="Symbol"/>
        <w:sz w:val="32"/>
        <w:szCs w:val="28"/>
        <w:lang w:val="en-GB"/>
      </w:rPr>
    </w:pPr>
    <w:r w:rsidRPr="00B62FED">
      <w:rPr>
        <w:rFonts w:ascii="Symbol" w:hAnsi="Symbol"/>
        <w:sz w:val="32"/>
        <w:szCs w:val="28"/>
        <w:lang w:val="en-GB"/>
      </w:rPr>
      <w:t></w:t>
    </w:r>
    <w:r w:rsidRPr="00B62FED">
      <w:rPr>
        <w:sz w:val="28"/>
        <w:szCs w:val="28"/>
        <w:lang w:val="en-GB"/>
      </w:rPr>
      <w:t> </w:t>
    </w:r>
    <w:hyperlink r:id="rId1" w:history="1">
      <w:r w:rsidR="00B62FED" w:rsidRPr="00B62FED">
        <w:rPr>
          <w:rStyle w:val="Hyperlink"/>
          <w:sz w:val="22"/>
          <w:szCs w:val="22"/>
          <w:lang w:val="en-GB"/>
        </w:rPr>
        <w:t>www.itu.int/plenipotentiary/</w:t>
      </w:r>
    </w:hyperlink>
    <w:r w:rsidRPr="00B62FED">
      <w:rPr>
        <w:sz w:val="28"/>
        <w:szCs w:val="28"/>
        <w:lang w:val="en-GB"/>
      </w:rPr>
      <w:t xml:space="preserve"> </w:t>
    </w:r>
    <w:r w:rsidRPr="00B62FED">
      <w:rPr>
        <w:rFonts w:ascii="Symbol" w:hAnsi="Symbol"/>
        <w:sz w:val="32"/>
        <w:szCs w:val="28"/>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3A2" w:rsidRDefault="004E63A2">
      <w:r>
        <w:t>____________________</w:t>
      </w:r>
    </w:p>
  </w:footnote>
  <w:footnote w:type="continuationSeparator" w:id="0">
    <w:p w:rsidR="004E63A2" w:rsidRDefault="004E6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A2" w:rsidRDefault="00C07ED0" w:rsidP="00494797">
    <w:pPr>
      <w:pStyle w:val="Header"/>
      <w:rPr>
        <w:rStyle w:val="PageNumber"/>
      </w:rPr>
    </w:pPr>
    <w:r>
      <w:rPr>
        <w:rStyle w:val="PageNumber"/>
      </w:rPr>
      <w:fldChar w:fldCharType="begin"/>
    </w:r>
    <w:r w:rsidR="004E63A2">
      <w:rPr>
        <w:rStyle w:val="PageNumber"/>
      </w:rPr>
      <w:instrText xml:space="preserve"> PAGE </w:instrText>
    </w:r>
    <w:r>
      <w:rPr>
        <w:rStyle w:val="PageNumber"/>
      </w:rPr>
      <w:fldChar w:fldCharType="separate"/>
    </w:r>
    <w:r w:rsidR="000E4194">
      <w:rPr>
        <w:rStyle w:val="PageNumber"/>
        <w:noProof/>
      </w:rPr>
      <w:t>4</w:t>
    </w:r>
    <w:r>
      <w:rPr>
        <w:rStyle w:val="PageNumber"/>
      </w:rPr>
      <w:fldChar w:fldCharType="end"/>
    </w:r>
    <w:r w:rsidR="004E63A2">
      <w:rPr>
        <w:rStyle w:val="PageNumber"/>
      </w:rPr>
      <w:t>/</w:t>
    </w:r>
    <w:r>
      <w:rPr>
        <w:rStyle w:val="PageNumber"/>
      </w:rPr>
      <w:fldChar w:fldCharType="begin"/>
    </w:r>
    <w:r w:rsidR="004E63A2">
      <w:rPr>
        <w:rStyle w:val="PageNumber"/>
      </w:rPr>
      <w:instrText xml:space="preserve"> NUMPAGES </w:instrText>
    </w:r>
    <w:r>
      <w:rPr>
        <w:rStyle w:val="PageNumber"/>
      </w:rPr>
      <w:fldChar w:fldCharType="separate"/>
    </w:r>
    <w:r w:rsidR="000E4194">
      <w:rPr>
        <w:rStyle w:val="PageNumber"/>
        <w:noProof/>
      </w:rPr>
      <w:t>6</w:t>
    </w:r>
    <w:r>
      <w:rPr>
        <w:rStyle w:val="PageNumber"/>
      </w:rPr>
      <w:fldChar w:fldCharType="end"/>
    </w:r>
    <w:r w:rsidR="00B62FED">
      <w:rPr>
        <w:rStyle w:val="PageNumber"/>
      </w:rPr>
      <w:br/>
      <w:t>PP-14/171-E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AB"/>
    <w:rsid w:val="00000AF8"/>
    <w:rsid w:val="00001935"/>
    <w:rsid w:val="000048E4"/>
    <w:rsid w:val="0000595D"/>
    <w:rsid w:val="00010B2A"/>
    <w:rsid w:val="00011208"/>
    <w:rsid w:val="000143FA"/>
    <w:rsid w:val="00014808"/>
    <w:rsid w:val="00015E97"/>
    <w:rsid w:val="00082EB9"/>
    <w:rsid w:val="0008540E"/>
    <w:rsid w:val="000870EC"/>
    <w:rsid w:val="00094B4F"/>
    <w:rsid w:val="000A1015"/>
    <w:rsid w:val="000B03F9"/>
    <w:rsid w:val="000B0A77"/>
    <w:rsid w:val="000B0D6C"/>
    <w:rsid w:val="000B5BB9"/>
    <w:rsid w:val="000B7152"/>
    <w:rsid w:val="000C4701"/>
    <w:rsid w:val="000E4194"/>
    <w:rsid w:val="000E4C7A"/>
    <w:rsid w:val="000E5E15"/>
    <w:rsid w:val="000F5A9A"/>
    <w:rsid w:val="000F73D1"/>
    <w:rsid w:val="001001C5"/>
    <w:rsid w:val="00105EFE"/>
    <w:rsid w:val="00106777"/>
    <w:rsid w:val="00114BA3"/>
    <w:rsid w:val="00115DEC"/>
    <w:rsid w:val="0012001A"/>
    <w:rsid w:val="00123F09"/>
    <w:rsid w:val="00136175"/>
    <w:rsid w:val="00140FF0"/>
    <w:rsid w:val="00146057"/>
    <w:rsid w:val="00160426"/>
    <w:rsid w:val="0016633C"/>
    <w:rsid w:val="00171990"/>
    <w:rsid w:val="00195B70"/>
    <w:rsid w:val="00196613"/>
    <w:rsid w:val="001A0EEB"/>
    <w:rsid w:val="001A53C0"/>
    <w:rsid w:val="001B02CB"/>
    <w:rsid w:val="001B18AB"/>
    <w:rsid w:val="001B70D1"/>
    <w:rsid w:val="001C3804"/>
    <w:rsid w:val="001D3322"/>
    <w:rsid w:val="001E01A5"/>
    <w:rsid w:val="001E1C8F"/>
    <w:rsid w:val="0020386B"/>
    <w:rsid w:val="002115E0"/>
    <w:rsid w:val="00232B31"/>
    <w:rsid w:val="00235A3B"/>
    <w:rsid w:val="00243BE4"/>
    <w:rsid w:val="00257188"/>
    <w:rsid w:val="002578B4"/>
    <w:rsid w:val="00260844"/>
    <w:rsid w:val="00267D12"/>
    <w:rsid w:val="002706AC"/>
    <w:rsid w:val="00281792"/>
    <w:rsid w:val="0028799E"/>
    <w:rsid w:val="002962A8"/>
    <w:rsid w:val="002C30E7"/>
    <w:rsid w:val="002F36B9"/>
    <w:rsid w:val="002F5FA2"/>
    <w:rsid w:val="003126B0"/>
    <w:rsid w:val="00314127"/>
    <w:rsid w:val="00314C12"/>
    <w:rsid w:val="00317651"/>
    <w:rsid w:val="003261C3"/>
    <w:rsid w:val="00333259"/>
    <w:rsid w:val="003453DA"/>
    <w:rsid w:val="00357754"/>
    <w:rsid w:val="003578E4"/>
    <w:rsid w:val="00361097"/>
    <w:rsid w:val="00373A0D"/>
    <w:rsid w:val="00375076"/>
    <w:rsid w:val="00375BBA"/>
    <w:rsid w:val="00395CE4"/>
    <w:rsid w:val="003A4BC1"/>
    <w:rsid w:val="003A5FFB"/>
    <w:rsid w:val="003A7FB6"/>
    <w:rsid w:val="003B3751"/>
    <w:rsid w:val="003C33EC"/>
    <w:rsid w:val="003E352F"/>
    <w:rsid w:val="003F5771"/>
    <w:rsid w:val="004014B0"/>
    <w:rsid w:val="004059B0"/>
    <w:rsid w:val="00413C98"/>
    <w:rsid w:val="00416616"/>
    <w:rsid w:val="00426AC1"/>
    <w:rsid w:val="00435AA4"/>
    <w:rsid w:val="00435EA8"/>
    <w:rsid w:val="004360BB"/>
    <w:rsid w:val="0045533C"/>
    <w:rsid w:val="004606DA"/>
    <w:rsid w:val="00463092"/>
    <w:rsid w:val="004676C0"/>
    <w:rsid w:val="00472D83"/>
    <w:rsid w:val="00474E00"/>
    <w:rsid w:val="00480848"/>
    <w:rsid w:val="004835DB"/>
    <w:rsid w:val="00491D2D"/>
    <w:rsid w:val="004924D2"/>
    <w:rsid w:val="00494797"/>
    <w:rsid w:val="004961B3"/>
    <w:rsid w:val="004B0C10"/>
    <w:rsid w:val="004B39B9"/>
    <w:rsid w:val="004C19D7"/>
    <w:rsid w:val="004C297B"/>
    <w:rsid w:val="004C5822"/>
    <w:rsid w:val="004C73C9"/>
    <w:rsid w:val="004E01FA"/>
    <w:rsid w:val="004E63A2"/>
    <w:rsid w:val="004E6764"/>
    <w:rsid w:val="004F041D"/>
    <w:rsid w:val="004F0992"/>
    <w:rsid w:val="004F1C55"/>
    <w:rsid w:val="00504FE5"/>
    <w:rsid w:val="00507348"/>
    <w:rsid w:val="00522C97"/>
    <w:rsid w:val="005356FD"/>
    <w:rsid w:val="00547D75"/>
    <w:rsid w:val="00551C8B"/>
    <w:rsid w:val="00554E24"/>
    <w:rsid w:val="00555A0F"/>
    <w:rsid w:val="00567130"/>
    <w:rsid w:val="0057034B"/>
    <w:rsid w:val="005741C3"/>
    <w:rsid w:val="00581E8F"/>
    <w:rsid w:val="00586A98"/>
    <w:rsid w:val="005927A4"/>
    <w:rsid w:val="00596B48"/>
    <w:rsid w:val="005A025B"/>
    <w:rsid w:val="005B10E8"/>
    <w:rsid w:val="005B5026"/>
    <w:rsid w:val="005C3315"/>
    <w:rsid w:val="005E1CC3"/>
    <w:rsid w:val="005F05C8"/>
    <w:rsid w:val="00604079"/>
    <w:rsid w:val="006147B6"/>
    <w:rsid w:val="00617BE4"/>
    <w:rsid w:val="00620233"/>
    <w:rsid w:val="006404B0"/>
    <w:rsid w:val="0066499C"/>
    <w:rsid w:val="006A7108"/>
    <w:rsid w:val="006B40DA"/>
    <w:rsid w:val="006C5D5D"/>
    <w:rsid w:val="006E0B29"/>
    <w:rsid w:val="006E215D"/>
    <w:rsid w:val="006E57C8"/>
    <w:rsid w:val="006E6708"/>
    <w:rsid w:val="006E70E1"/>
    <w:rsid w:val="00701ABB"/>
    <w:rsid w:val="00711035"/>
    <w:rsid w:val="007130ED"/>
    <w:rsid w:val="0071582A"/>
    <w:rsid w:val="00722595"/>
    <w:rsid w:val="00732234"/>
    <w:rsid w:val="0073319E"/>
    <w:rsid w:val="00733C8A"/>
    <w:rsid w:val="0073750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A7448"/>
    <w:rsid w:val="007B0E06"/>
    <w:rsid w:val="007B30FC"/>
    <w:rsid w:val="007C3643"/>
    <w:rsid w:val="007E00D2"/>
    <w:rsid w:val="007E2AD4"/>
    <w:rsid w:val="007F200E"/>
    <w:rsid w:val="00803E91"/>
    <w:rsid w:val="0082780C"/>
    <w:rsid w:val="008323C2"/>
    <w:rsid w:val="008333C7"/>
    <w:rsid w:val="00833E0F"/>
    <w:rsid w:val="008404FD"/>
    <w:rsid w:val="00850AEF"/>
    <w:rsid w:val="00860C6A"/>
    <w:rsid w:val="008618D2"/>
    <w:rsid w:val="00862891"/>
    <w:rsid w:val="00875048"/>
    <w:rsid w:val="00875BE1"/>
    <w:rsid w:val="00877715"/>
    <w:rsid w:val="00895CE3"/>
    <w:rsid w:val="0089603F"/>
    <w:rsid w:val="00897970"/>
    <w:rsid w:val="008B01D9"/>
    <w:rsid w:val="008B454A"/>
    <w:rsid w:val="008B5A71"/>
    <w:rsid w:val="008D2730"/>
    <w:rsid w:val="008D3BE2"/>
    <w:rsid w:val="008D4D98"/>
    <w:rsid w:val="008E2A7B"/>
    <w:rsid w:val="008E6352"/>
    <w:rsid w:val="008E6E9B"/>
    <w:rsid w:val="008F2C56"/>
    <w:rsid w:val="008F3C99"/>
    <w:rsid w:val="00900D5B"/>
    <w:rsid w:val="009236FE"/>
    <w:rsid w:val="00940E00"/>
    <w:rsid w:val="00945D4B"/>
    <w:rsid w:val="00950E0F"/>
    <w:rsid w:val="009630FA"/>
    <w:rsid w:val="00967670"/>
    <w:rsid w:val="00970996"/>
    <w:rsid w:val="009800CC"/>
    <w:rsid w:val="009A078E"/>
    <w:rsid w:val="009A2B30"/>
    <w:rsid w:val="009A4211"/>
    <w:rsid w:val="009A47A2"/>
    <w:rsid w:val="009B69D6"/>
    <w:rsid w:val="009C50AB"/>
    <w:rsid w:val="009D43BE"/>
    <w:rsid w:val="009E2392"/>
    <w:rsid w:val="009E425E"/>
    <w:rsid w:val="009E4322"/>
    <w:rsid w:val="009F4384"/>
    <w:rsid w:val="009F442D"/>
    <w:rsid w:val="009F50DA"/>
    <w:rsid w:val="00A06D56"/>
    <w:rsid w:val="00A104B9"/>
    <w:rsid w:val="00A12117"/>
    <w:rsid w:val="00A314A2"/>
    <w:rsid w:val="00A619C5"/>
    <w:rsid w:val="00A8262F"/>
    <w:rsid w:val="00A84B32"/>
    <w:rsid w:val="00A84B3A"/>
    <w:rsid w:val="00A93B71"/>
    <w:rsid w:val="00AA1094"/>
    <w:rsid w:val="00AA3CCE"/>
    <w:rsid w:val="00AA65C6"/>
    <w:rsid w:val="00AB0B32"/>
    <w:rsid w:val="00AB5C39"/>
    <w:rsid w:val="00AB75A9"/>
    <w:rsid w:val="00AC6EF8"/>
    <w:rsid w:val="00AD1C5C"/>
    <w:rsid w:val="00AD566F"/>
    <w:rsid w:val="00AF66A7"/>
    <w:rsid w:val="00B1733E"/>
    <w:rsid w:val="00B21184"/>
    <w:rsid w:val="00B25A86"/>
    <w:rsid w:val="00B2712C"/>
    <w:rsid w:val="00B304B9"/>
    <w:rsid w:val="00B55E1A"/>
    <w:rsid w:val="00B57988"/>
    <w:rsid w:val="00B62032"/>
    <w:rsid w:val="00B62FED"/>
    <w:rsid w:val="00B65F8C"/>
    <w:rsid w:val="00B7263B"/>
    <w:rsid w:val="00B73F47"/>
    <w:rsid w:val="00B7638A"/>
    <w:rsid w:val="00B80DF9"/>
    <w:rsid w:val="00B840D8"/>
    <w:rsid w:val="00B84751"/>
    <w:rsid w:val="00B84D42"/>
    <w:rsid w:val="00B96467"/>
    <w:rsid w:val="00B9704F"/>
    <w:rsid w:val="00BA154E"/>
    <w:rsid w:val="00BA37CE"/>
    <w:rsid w:val="00BA4692"/>
    <w:rsid w:val="00BC6FDB"/>
    <w:rsid w:val="00BC7DE8"/>
    <w:rsid w:val="00BD70C2"/>
    <w:rsid w:val="00BE0966"/>
    <w:rsid w:val="00BF40C1"/>
    <w:rsid w:val="00BF43BA"/>
    <w:rsid w:val="00BF5722"/>
    <w:rsid w:val="00BF6268"/>
    <w:rsid w:val="00BF720B"/>
    <w:rsid w:val="00C04511"/>
    <w:rsid w:val="00C07ED0"/>
    <w:rsid w:val="00C16846"/>
    <w:rsid w:val="00C21F43"/>
    <w:rsid w:val="00C34851"/>
    <w:rsid w:val="00C41E13"/>
    <w:rsid w:val="00C42A5B"/>
    <w:rsid w:val="00C53AC2"/>
    <w:rsid w:val="00C56038"/>
    <w:rsid w:val="00C62555"/>
    <w:rsid w:val="00C72664"/>
    <w:rsid w:val="00C86F24"/>
    <w:rsid w:val="00CA38C9"/>
    <w:rsid w:val="00CB4984"/>
    <w:rsid w:val="00CB5DD7"/>
    <w:rsid w:val="00CB77D5"/>
    <w:rsid w:val="00CC14F0"/>
    <w:rsid w:val="00CE3B0F"/>
    <w:rsid w:val="00CE40BB"/>
    <w:rsid w:val="00CF1C71"/>
    <w:rsid w:val="00CF7DEE"/>
    <w:rsid w:val="00D07696"/>
    <w:rsid w:val="00D11956"/>
    <w:rsid w:val="00D15A98"/>
    <w:rsid w:val="00D500DC"/>
    <w:rsid w:val="00D528CD"/>
    <w:rsid w:val="00D54B39"/>
    <w:rsid w:val="00D60294"/>
    <w:rsid w:val="00D64FF3"/>
    <w:rsid w:val="00D657A2"/>
    <w:rsid w:val="00D75C29"/>
    <w:rsid w:val="00D760C8"/>
    <w:rsid w:val="00D80C52"/>
    <w:rsid w:val="00D82B3C"/>
    <w:rsid w:val="00D83FFD"/>
    <w:rsid w:val="00D8617D"/>
    <w:rsid w:val="00D92563"/>
    <w:rsid w:val="00DC7C10"/>
    <w:rsid w:val="00DD26B1"/>
    <w:rsid w:val="00DD46D7"/>
    <w:rsid w:val="00DD5177"/>
    <w:rsid w:val="00DE16B8"/>
    <w:rsid w:val="00DE4CC2"/>
    <w:rsid w:val="00DF23FC"/>
    <w:rsid w:val="00DF39CD"/>
    <w:rsid w:val="00E0094D"/>
    <w:rsid w:val="00E13427"/>
    <w:rsid w:val="00E1374D"/>
    <w:rsid w:val="00E20134"/>
    <w:rsid w:val="00E2421B"/>
    <w:rsid w:val="00E24CB2"/>
    <w:rsid w:val="00E25EFE"/>
    <w:rsid w:val="00E3536D"/>
    <w:rsid w:val="00E44456"/>
    <w:rsid w:val="00E553B9"/>
    <w:rsid w:val="00E56E57"/>
    <w:rsid w:val="00E61AE6"/>
    <w:rsid w:val="00E6599B"/>
    <w:rsid w:val="00E726DE"/>
    <w:rsid w:val="00E871C2"/>
    <w:rsid w:val="00EA1BAA"/>
    <w:rsid w:val="00EB3B3A"/>
    <w:rsid w:val="00EC3826"/>
    <w:rsid w:val="00EC424F"/>
    <w:rsid w:val="00ED401C"/>
    <w:rsid w:val="00EE333B"/>
    <w:rsid w:val="00EF2642"/>
    <w:rsid w:val="00EF3681"/>
    <w:rsid w:val="00F03910"/>
    <w:rsid w:val="00F10790"/>
    <w:rsid w:val="00F10E7C"/>
    <w:rsid w:val="00F13C1E"/>
    <w:rsid w:val="00F20BC2"/>
    <w:rsid w:val="00F342E4"/>
    <w:rsid w:val="00F35330"/>
    <w:rsid w:val="00F41C91"/>
    <w:rsid w:val="00F433A4"/>
    <w:rsid w:val="00F4421A"/>
    <w:rsid w:val="00F47316"/>
    <w:rsid w:val="00F55DA5"/>
    <w:rsid w:val="00F5645F"/>
    <w:rsid w:val="00F80B67"/>
    <w:rsid w:val="00F9400C"/>
    <w:rsid w:val="00F95ABE"/>
    <w:rsid w:val="00F9756D"/>
    <w:rsid w:val="00FB1CDF"/>
    <w:rsid w:val="00FB5F12"/>
    <w:rsid w:val="00FD417F"/>
    <w:rsid w:val="00FD7B1D"/>
    <w:rsid w:val="00FD7DF4"/>
    <w:rsid w:val="00FE1E22"/>
    <w:rsid w:val="00FE27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5:docId w15:val="{847C0BA0-4BA5-4146-8D42-1F5E435B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A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character" w:customStyle="1" w:styleId="HeadingbChar">
    <w:name w:val="Heading_b Char"/>
    <w:basedOn w:val="DefaultParagraphFont"/>
    <w:link w:val="Headingb"/>
    <w:rsid w:val="009C50AB"/>
    <w:rPr>
      <w:rFonts w:ascii="Calibri" w:hAnsi="Calibri"/>
      <w:b/>
      <w:sz w:val="24"/>
      <w:lang w:val="en-GB" w:eastAsia="en-US"/>
    </w:rPr>
  </w:style>
  <w:style w:type="character" w:styleId="Strong">
    <w:name w:val="Strong"/>
    <w:uiPriority w:val="22"/>
    <w:qFormat/>
    <w:rsid w:val="009C50AB"/>
    <w:rPr>
      <w:lang w:val="en-US"/>
    </w:rPr>
  </w:style>
  <w:style w:type="paragraph" w:styleId="EndnoteText">
    <w:name w:val="endnote text"/>
    <w:basedOn w:val="Normal"/>
    <w:link w:val="EndnoteTextChar"/>
    <w:rsid w:val="009C50AB"/>
    <w:pPr>
      <w:spacing w:before="0"/>
    </w:pPr>
    <w:rPr>
      <w:sz w:val="20"/>
      <w:lang w:val="fr-FR"/>
    </w:rPr>
  </w:style>
  <w:style w:type="character" w:customStyle="1" w:styleId="EndnoteTextChar">
    <w:name w:val="Endnote Text Char"/>
    <w:basedOn w:val="DefaultParagraphFont"/>
    <w:link w:val="EndnoteText"/>
    <w:rsid w:val="009C50AB"/>
    <w:rPr>
      <w:rFonts w:ascii="Calibri" w:hAnsi="Calibri"/>
      <w:lang w:val="fr-FR" w:eastAsia="en-US"/>
    </w:rPr>
  </w:style>
  <w:style w:type="paragraph" w:styleId="BalloonText">
    <w:name w:val="Balloon Text"/>
    <w:basedOn w:val="Normal"/>
    <w:link w:val="BalloonTextChar"/>
    <w:rsid w:val="001A53C0"/>
    <w:pPr>
      <w:spacing w:before="0"/>
    </w:pPr>
    <w:rPr>
      <w:rFonts w:ascii="Tahoma" w:hAnsi="Tahoma" w:cs="Tahoma"/>
      <w:sz w:val="16"/>
      <w:szCs w:val="16"/>
    </w:rPr>
  </w:style>
  <w:style w:type="character" w:customStyle="1" w:styleId="BalloonTextChar">
    <w:name w:val="Balloon Text Char"/>
    <w:basedOn w:val="DefaultParagraphFont"/>
    <w:link w:val="BalloonText"/>
    <w:rsid w:val="001A53C0"/>
    <w:rPr>
      <w:rFonts w:ascii="Tahoma" w:hAnsi="Tahoma" w:cs="Tahoma"/>
      <w:sz w:val="16"/>
      <w:szCs w:val="16"/>
      <w:lang w:val="en-GB" w:eastAsia="en-US"/>
    </w:rPr>
  </w:style>
  <w:style w:type="character" w:styleId="CommentReference">
    <w:name w:val="annotation reference"/>
    <w:basedOn w:val="DefaultParagraphFont"/>
    <w:rsid w:val="00D75C29"/>
    <w:rPr>
      <w:sz w:val="16"/>
      <w:szCs w:val="16"/>
    </w:rPr>
  </w:style>
  <w:style w:type="paragraph" w:styleId="CommentText">
    <w:name w:val="annotation text"/>
    <w:basedOn w:val="Normal"/>
    <w:link w:val="CommentTextChar"/>
    <w:rsid w:val="00D75C29"/>
    <w:rPr>
      <w:sz w:val="20"/>
    </w:rPr>
  </w:style>
  <w:style w:type="character" w:customStyle="1" w:styleId="CommentTextChar">
    <w:name w:val="Comment Text Char"/>
    <w:basedOn w:val="DefaultParagraphFont"/>
    <w:link w:val="CommentText"/>
    <w:rsid w:val="00D75C29"/>
    <w:rPr>
      <w:rFonts w:ascii="Calibri" w:hAnsi="Calibri"/>
      <w:lang w:val="en-GB" w:eastAsia="en-US"/>
    </w:rPr>
  </w:style>
  <w:style w:type="paragraph" w:styleId="CommentSubject">
    <w:name w:val="annotation subject"/>
    <w:basedOn w:val="CommentText"/>
    <w:next w:val="CommentText"/>
    <w:link w:val="CommentSubjectChar"/>
    <w:rsid w:val="00D75C29"/>
    <w:rPr>
      <w:b/>
      <w:bCs/>
    </w:rPr>
  </w:style>
  <w:style w:type="character" w:customStyle="1" w:styleId="CommentSubjectChar">
    <w:name w:val="Comment Subject Char"/>
    <w:basedOn w:val="CommentTextChar"/>
    <w:link w:val="CommentSubject"/>
    <w:rsid w:val="00D75C29"/>
    <w:rPr>
      <w:rFonts w:ascii="Calibri" w:hAnsi="Calibri"/>
      <w:b/>
      <w:bCs/>
      <w:lang w:val="en-GB" w:eastAsia="en-US"/>
    </w:rPr>
  </w:style>
  <w:style w:type="character" w:customStyle="1" w:styleId="FooterChar">
    <w:name w:val="Footer Char"/>
    <w:basedOn w:val="DefaultParagraphFont"/>
    <w:link w:val="Footer"/>
    <w:uiPriority w:val="99"/>
    <w:rsid w:val="001B02CB"/>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628">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35/en" TargetMode="External"/><Relationship Id="rId13" Type="http://schemas.openxmlformats.org/officeDocument/2006/relationships/hyperlink" Target="http://www.itu.int/md/S14-PP-C-0142/en" TargetMode="External"/><Relationship Id="rId18" Type="http://schemas.openxmlformats.org/officeDocument/2006/relationships/hyperlink" Target="http://www.itu.int/md/S14-PP-C-0112/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tu.int/md/S14-PP-C-0139/en" TargetMode="External"/><Relationship Id="rId17" Type="http://schemas.openxmlformats.org/officeDocument/2006/relationships/hyperlink" Target="http://www.itu.int/md/S14-PP-C-0108/en" TargetMode="External"/><Relationship Id="rId2" Type="http://schemas.openxmlformats.org/officeDocument/2006/relationships/styles" Target="styles.xml"/><Relationship Id="rId16" Type="http://schemas.openxmlformats.org/officeDocument/2006/relationships/hyperlink" Target="http://www.itu.int/md/S14-PP-C-0107/en" TargetMode="External"/><Relationship Id="rId20" Type="http://schemas.openxmlformats.org/officeDocument/2006/relationships/hyperlink" Target="http://www.itu.int/md/S14-PP-C-0114/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4-PP-C-0139/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S14-PP-C-0137/en" TargetMode="External"/><Relationship Id="rId23" Type="http://schemas.openxmlformats.org/officeDocument/2006/relationships/fontTable" Target="fontTable.xml"/><Relationship Id="rId10" Type="http://schemas.openxmlformats.org/officeDocument/2006/relationships/hyperlink" Target="http://www.itu.int/md/S14-PP-C-0130/en" TargetMode="External"/><Relationship Id="rId19" Type="http://schemas.openxmlformats.org/officeDocument/2006/relationships/hyperlink" Target="http://www.itu.int/md/S14-PP-C-0113/en" TargetMode="External"/><Relationship Id="rId4" Type="http://schemas.openxmlformats.org/officeDocument/2006/relationships/webSettings" Target="webSettings.xml"/><Relationship Id="rId9" Type="http://schemas.openxmlformats.org/officeDocument/2006/relationships/hyperlink" Target="http://www.itu.int/md/S14-PP-C-0130/en" TargetMode="External"/><Relationship Id="rId14" Type="http://schemas.openxmlformats.org/officeDocument/2006/relationships/hyperlink" Target="http://www.itu.int/md/S14-PP-C-0142/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rke\Application%20Data\Microsoft\Templates\POOL%20E%20-%20ITU\PE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ECDE-10C9-4FCD-B446-F26E3B58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PE_PP10.dotm</Template>
  <TotalTime>1</TotalTime>
  <Pages>6</Pages>
  <Words>1927</Words>
  <Characters>10989</Characters>
  <Application>Microsoft Office Word</Application>
  <DocSecurity>0</DocSecurity>
  <Lines>91</Lines>
  <Paragraphs>25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12891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janin</dc:creator>
  <cp:keywords>PP-10</cp:keywords>
  <cp:lastModifiedBy>Janin, Patricia</cp:lastModifiedBy>
  <cp:revision>3</cp:revision>
  <cp:lastPrinted>2014-11-14T13:29:00Z</cp:lastPrinted>
  <dcterms:created xsi:type="dcterms:W3CDTF">2014-11-14T13:30:00Z</dcterms:created>
  <dcterms:modified xsi:type="dcterms:W3CDTF">2014-11-28T12:50:00Z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132-E</vt:lpwstr>
  </property>
  <property fmtid="{D5CDD505-2E9C-101B-9397-08002B2CF9AE}" pid="3" name="Docdate">
    <vt:lpwstr>15 October 2010</vt:lpwstr>
  </property>
  <property fmtid="{D5CDD505-2E9C-101B-9397-08002B2CF9AE}" pid="4" name="Docorlang">
    <vt:lpwstr>Original: English/French</vt:lpwstr>
  </property>
  <property fmtid="{D5CDD505-2E9C-101B-9397-08002B2CF9AE}" pid="5" name="Docbluepink">
    <vt:lpwstr/>
  </property>
  <property fmtid="{D5CDD505-2E9C-101B-9397-08002B2CF9AE}" pid="6" name="Docdest">
    <vt:lpwstr>PLENARY MEETING</vt:lpwstr>
  </property>
  <property fmtid="{D5CDD505-2E9C-101B-9397-08002B2CF9AE}" pid="7" name="Docauthor">
    <vt:lpwstr/>
  </property>
</Properties>
</file>