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A046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eastAsia="SimSun" w:cs="Traditional Arabic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rFonts w:eastAsia="SimSun" w:cs="Traditional Arabic"/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eastAsia="SimSun" w:cs="Traditional Arabic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eastAsia="SimSun" w:cs="Traditional Arabic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56E7568D" wp14:editId="03F055F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rPr>
                <w:rFonts w:ascii="Calibri" w:eastAsia="SimSun" w:hAnsi="Calibri" w:cs="Traditional Arabic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8C10D9" w:rsidRDefault="00101C60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eastAsia="SimSun" w:cs="Traditional Arabic"/>
                <w:b/>
                <w:szCs w:val="24"/>
                <w:lang w:val="en-US"/>
              </w:rPr>
              <w:t xml:space="preserve">Document </w:t>
            </w:r>
            <w:r w:rsidR="00BD1614">
              <w:rPr>
                <w:rFonts w:eastAsia="SimSun" w:cs="Traditional Arabic"/>
                <w:b/>
                <w:szCs w:val="24"/>
                <w:lang w:val="en-US"/>
              </w:rPr>
              <w:t>108</w:t>
            </w:r>
            <w:r w:rsidR="005F63BD" w:rsidRPr="00F44B1A">
              <w:rPr>
                <w:rFonts w:eastAsia="SimSun" w:cs="Traditional Arabic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24 </w:t>
            </w:r>
            <w:proofErr w:type="spellStart"/>
            <w:r w:rsidRPr="008C10D9">
              <w:rPr>
                <w:rFonts w:eastAsia="SimSun" w:cs="Traditional Arabic"/>
                <w:b/>
                <w:szCs w:val="24"/>
                <w:lang w:val="en-US"/>
              </w:rPr>
              <w:t>octobre</w:t>
            </w:r>
            <w:proofErr w:type="spellEnd"/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eastAsia="SimSun" w:cs="Traditional Arabic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eastAsia="SimSun" w:cs="Traditional Arabic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2A6F8F" w:rsidRDefault="00BD1614" w:rsidP="003C2F61">
            <w:pPr>
              <w:pStyle w:val="Source"/>
              <w:spacing w:before="240"/>
              <w:rPr>
                <w:lang w:val="en-US"/>
              </w:rPr>
            </w:pPr>
            <w:bookmarkStart w:id="4" w:name="dsource" w:colFirst="0" w:colLast="0"/>
            <w:bookmarkEnd w:id="3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3C2F61" w:rsidRDefault="00BD1614" w:rsidP="003C2F61">
            <w:pPr>
              <w:pStyle w:val="Title1"/>
              <w:rPr>
                <w:rFonts w:eastAsia="SimSun" w:cs="Traditional Arabic"/>
                <w:lang w:val="fr-CH"/>
              </w:rPr>
            </w:pPr>
            <w:bookmarkStart w:id="5" w:name="dtitle1" w:colFirst="0" w:colLast="0"/>
            <w:bookmarkEnd w:id="4"/>
            <w:r w:rsidRPr="00101C60">
              <w:rPr>
                <w:rFonts w:eastAsia="SimSun" w:cs="Traditional Arabic"/>
                <w:lang w:val="fr-CH"/>
              </w:rPr>
              <w:t xml:space="preserve">Procès verbal </w:t>
            </w:r>
          </w:p>
          <w:p w:rsidR="003C2F61" w:rsidRDefault="00101C60" w:rsidP="003C2F61">
            <w:pPr>
              <w:pStyle w:val="Title1"/>
              <w:rPr>
                <w:rFonts w:eastAsia="SimSun" w:cs="Traditional Arabic"/>
                <w:lang w:val="fr-CH"/>
              </w:rPr>
            </w:pPr>
            <w:r>
              <w:rPr>
                <w:rFonts w:eastAsia="SimSun" w:cs="Traditional Arabic"/>
                <w:lang w:val="fr-CH"/>
              </w:rPr>
              <w:t>de la</w:t>
            </w:r>
          </w:p>
          <w:p w:rsidR="00BD1614" w:rsidRDefault="00BD1614" w:rsidP="003C2F61">
            <w:pPr>
              <w:pStyle w:val="Title1"/>
              <w:rPr>
                <w:rFonts w:eastAsia="SimSun" w:cs="Traditional Arabic"/>
                <w:lang w:val="fr-CH"/>
              </w:rPr>
            </w:pPr>
            <w:r w:rsidRPr="00101C60">
              <w:rPr>
                <w:rFonts w:eastAsia="SimSun" w:cs="Traditional Arabic"/>
                <w:lang w:val="fr-CH"/>
              </w:rPr>
              <w:t>deuxième séance plénière</w:t>
            </w:r>
          </w:p>
          <w:p w:rsidR="000B4A61" w:rsidRDefault="000B4A61" w:rsidP="000B4A61">
            <w:pPr>
              <w:jc w:val="center"/>
            </w:pPr>
            <w:r w:rsidRPr="007C5284">
              <w:t>Mardi 21 octobre 2014 à 9</w:t>
            </w:r>
            <w:r>
              <w:t> h </w:t>
            </w:r>
            <w:r w:rsidRPr="007C5284">
              <w:t>50</w:t>
            </w:r>
          </w:p>
          <w:p w:rsidR="000B4A61" w:rsidRPr="000B4A61" w:rsidRDefault="000B4A61" w:rsidP="000B4A61">
            <w:pPr>
              <w:jc w:val="center"/>
              <w:rPr>
                <w:lang w:val="fr-CH"/>
              </w:rPr>
            </w:pPr>
            <w:r w:rsidRPr="000B4A61">
              <w:rPr>
                <w:b/>
              </w:rPr>
              <w:t>Président</w:t>
            </w:r>
            <w:r>
              <w:t xml:space="preserve">: M. </w:t>
            </w:r>
            <w:r w:rsidRPr="007C5284">
              <w:t>W. MIN</w:t>
            </w:r>
            <w:r w:rsidRPr="007C5284">
              <w:rPr>
                <w:szCs w:val="24"/>
              </w:rPr>
              <w:t xml:space="preserve"> (République de Corée</w:t>
            </w:r>
            <w:r w:rsidRPr="007C5284">
              <w:t>)</w:t>
            </w:r>
          </w:p>
        </w:tc>
      </w:tr>
      <w:bookmarkEnd w:id="5"/>
    </w:tbl>
    <w:p w:rsidR="000D15FB" w:rsidRDefault="000D15FB" w:rsidP="00E60DA1">
      <w:pPr>
        <w:rPr>
          <w:lang w:val="fr-CH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01C60" w:rsidRPr="00DE3610" w:rsidTr="005172B4">
        <w:tc>
          <w:tcPr>
            <w:tcW w:w="534" w:type="dxa"/>
          </w:tcPr>
          <w:p w:rsidR="00101C60" w:rsidRPr="007C5284" w:rsidRDefault="00101C60" w:rsidP="005172B4">
            <w:pPr>
              <w:pStyle w:val="toc0"/>
            </w:pPr>
          </w:p>
        </w:tc>
        <w:tc>
          <w:tcPr>
            <w:tcW w:w="7164" w:type="dxa"/>
          </w:tcPr>
          <w:p w:rsidR="00101C60" w:rsidRPr="007C5284" w:rsidRDefault="00101C60" w:rsidP="005172B4">
            <w:pPr>
              <w:pStyle w:val="toc0"/>
              <w:spacing w:after="120"/>
            </w:pPr>
            <w:r w:rsidRPr="007C5284">
              <w:t>Sujets traités</w:t>
            </w:r>
          </w:p>
        </w:tc>
        <w:tc>
          <w:tcPr>
            <w:tcW w:w="2333" w:type="dxa"/>
          </w:tcPr>
          <w:p w:rsidR="00101C60" w:rsidRPr="007C5284" w:rsidRDefault="00101C60" w:rsidP="005172B4">
            <w:pPr>
              <w:pStyle w:val="toc0"/>
              <w:spacing w:after="120"/>
              <w:jc w:val="center"/>
            </w:pPr>
            <w:r w:rsidRPr="007C5284">
              <w:t>Documents</w:t>
            </w:r>
          </w:p>
        </w:tc>
      </w:tr>
      <w:tr w:rsidR="00101C60" w:rsidRPr="007C5284" w:rsidTr="005172B4">
        <w:tc>
          <w:tcPr>
            <w:tcW w:w="534" w:type="dxa"/>
          </w:tcPr>
          <w:p w:rsidR="00101C60" w:rsidRPr="00F13C97" w:rsidRDefault="00101C60" w:rsidP="005172B4">
            <w:pPr>
              <w:pStyle w:val="Index1"/>
              <w:rPr>
                <w:rFonts w:asciiTheme="minorHAnsi" w:hAnsiTheme="minorHAnsi"/>
                <w:lang w:val="fr-FR"/>
              </w:rPr>
            </w:pPr>
            <w:r w:rsidRPr="00F13C97">
              <w:rPr>
                <w:rFonts w:asciiTheme="minorHAnsi" w:hAnsiTheme="minorHAnsi"/>
                <w:lang w:val="fr-FR"/>
              </w:rPr>
              <w:t>1</w:t>
            </w:r>
          </w:p>
        </w:tc>
        <w:tc>
          <w:tcPr>
            <w:tcW w:w="7164" w:type="dxa"/>
          </w:tcPr>
          <w:p w:rsidR="00101C60" w:rsidRPr="007C5284" w:rsidRDefault="00101C60" w:rsidP="005172B4">
            <w:pPr>
              <w:pStyle w:val="Index1"/>
              <w:rPr>
                <w:lang w:val="fr-FR"/>
              </w:rPr>
            </w:pPr>
            <w:r w:rsidRPr="007C5284">
              <w:rPr>
                <w:rFonts w:asciiTheme="minorHAnsi" w:hAnsiTheme="minorHAnsi"/>
                <w:lang w:val="fr-FR"/>
              </w:rPr>
              <w:t>Montant définitif de l</w:t>
            </w:r>
            <w:r>
              <w:rPr>
                <w:rFonts w:asciiTheme="minorHAnsi" w:hAnsiTheme="minorHAnsi"/>
                <w:lang w:val="fr-FR"/>
              </w:rPr>
              <w:t>'</w:t>
            </w:r>
            <w:r w:rsidRPr="007C5284">
              <w:rPr>
                <w:rFonts w:asciiTheme="minorHAnsi" w:hAnsiTheme="minorHAnsi"/>
                <w:lang w:val="fr-FR"/>
              </w:rPr>
              <w:t>unité contributive et date limite à laquelle il</w:t>
            </w:r>
            <w:r w:rsidRPr="007C5284">
              <w:rPr>
                <w:lang w:val="fr-FR"/>
              </w:rPr>
              <w:t xml:space="preserve"> </w:t>
            </w:r>
            <w:r w:rsidRPr="007C5284">
              <w:rPr>
                <w:rFonts w:asciiTheme="minorHAnsi" w:hAnsiTheme="minorHAnsi"/>
                <w:lang w:val="fr-FR"/>
              </w:rPr>
              <w:t>convient d</w:t>
            </w:r>
            <w:r>
              <w:rPr>
                <w:rFonts w:asciiTheme="minorHAnsi" w:hAnsiTheme="minorHAnsi"/>
                <w:lang w:val="fr-FR"/>
              </w:rPr>
              <w:t>'</w:t>
            </w:r>
            <w:r w:rsidRPr="007C5284">
              <w:rPr>
                <w:rFonts w:asciiTheme="minorHAnsi" w:hAnsiTheme="minorHAnsi"/>
                <w:lang w:val="fr-FR"/>
              </w:rPr>
              <w:t xml:space="preserve">informer le Secrétariat du choix définitif de la classe de contribution </w:t>
            </w:r>
          </w:p>
        </w:tc>
        <w:tc>
          <w:tcPr>
            <w:tcW w:w="2333" w:type="dxa"/>
          </w:tcPr>
          <w:p w:rsidR="00101C60" w:rsidRPr="007C5284" w:rsidRDefault="00101C60" w:rsidP="005172B4">
            <w:pPr>
              <w:pStyle w:val="Index1"/>
              <w:jc w:val="center"/>
              <w:rPr>
                <w:lang w:val="fr-FR"/>
              </w:rPr>
            </w:pPr>
            <w:r w:rsidRPr="007C5284">
              <w:rPr>
                <w:rFonts w:asciiTheme="minorHAnsi" w:hAnsiTheme="minorHAnsi"/>
                <w:lang w:val="fr-FR"/>
              </w:rPr>
              <w:sym w:font="Symbol" w:char="F02D"/>
            </w:r>
          </w:p>
        </w:tc>
      </w:tr>
      <w:tr w:rsidR="00101C60" w:rsidRPr="007C5284" w:rsidTr="005172B4">
        <w:tc>
          <w:tcPr>
            <w:tcW w:w="534" w:type="dxa"/>
          </w:tcPr>
          <w:p w:rsidR="00101C60" w:rsidRPr="007C5284" w:rsidRDefault="00101C60" w:rsidP="005172B4">
            <w:r w:rsidRPr="007C5284">
              <w:rPr>
                <w:rFonts w:asciiTheme="minorHAnsi" w:hAnsiTheme="minorHAnsi"/>
              </w:rPr>
              <w:t>2</w:t>
            </w:r>
          </w:p>
        </w:tc>
        <w:tc>
          <w:tcPr>
            <w:tcW w:w="7164" w:type="dxa"/>
          </w:tcPr>
          <w:p w:rsidR="00101C60" w:rsidRPr="007C5284" w:rsidRDefault="00101C60" w:rsidP="005172B4">
            <w:r w:rsidRPr="007C5284">
              <w:rPr>
                <w:rFonts w:asciiTheme="minorHAnsi" w:hAnsiTheme="minorHAnsi"/>
              </w:rPr>
              <w:t xml:space="preserve">Rapport du Conseil sur la mise en </w:t>
            </w:r>
            <w:proofErr w:type="spellStart"/>
            <w:r w:rsidRPr="007C5284">
              <w:rPr>
                <w:rFonts w:asciiTheme="minorHAnsi" w:hAnsiTheme="minorHAnsi"/>
              </w:rPr>
              <w:t>oeuvre</w:t>
            </w:r>
            <w:proofErr w:type="spellEnd"/>
            <w:r w:rsidRPr="007C5284">
              <w:rPr>
                <w:rFonts w:asciiTheme="minorHAnsi" w:hAnsiTheme="minorHAnsi"/>
              </w:rPr>
              <w:t xml:space="preserve"> du Plan stratégique et l</w:t>
            </w:r>
            <w:r>
              <w:rPr>
                <w:rFonts w:asciiTheme="minorHAnsi" w:hAnsiTheme="minorHAnsi"/>
              </w:rPr>
              <w:t>'</w:t>
            </w:r>
            <w:r w:rsidRPr="007C5284">
              <w:rPr>
                <w:rFonts w:asciiTheme="minorHAnsi" w:hAnsiTheme="minorHAnsi"/>
              </w:rPr>
              <w:t>activité de l</w:t>
            </w:r>
            <w:r>
              <w:rPr>
                <w:rFonts w:asciiTheme="minorHAnsi" w:hAnsiTheme="minorHAnsi"/>
              </w:rPr>
              <w:t>'</w:t>
            </w:r>
            <w:r w:rsidRPr="007C5284">
              <w:rPr>
                <w:rFonts w:asciiTheme="minorHAnsi" w:hAnsiTheme="minorHAnsi"/>
              </w:rPr>
              <w:t>Union</w:t>
            </w:r>
          </w:p>
        </w:tc>
        <w:tc>
          <w:tcPr>
            <w:tcW w:w="2333" w:type="dxa"/>
          </w:tcPr>
          <w:p w:rsidR="00101C60" w:rsidRPr="007C5284" w:rsidRDefault="00800126" w:rsidP="005172B4">
            <w:pPr>
              <w:jc w:val="center"/>
            </w:pPr>
            <w:hyperlink r:id="rId12" w:history="1">
              <w:r w:rsidR="00101C60" w:rsidRPr="00E304BA">
                <w:rPr>
                  <w:rStyle w:val="Hyperlink"/>
                  <w:rFonts w:asciiTheme="minorHAnsi" w:hAnsiTheme="minorHAnsi"/>
                </w:rPr>
                <w:t>20 + Add.1</w:t>
              </w:r>
            </w:hyperlink>
          </w:p>
        </w:tc>
      </w:tr>
      <w:tr w:rsidR="00101C60" w:rsidRPr="007C5284" w:rsidTr="005172B4">
        <w:tc>
          <w:tcPr>
            <w:tcW w:w="534" w:type="dxa"/>
          </w:tcPr>
          <w:p w:rsidR="00101C60" w:rsidRPr="007C5284" w:rsidRDefault="00101C60" w:rsidP="005172B4">
            <w:pPr>
              <w:pStyle w:val="Index1"/>
              <w:rPr>
                <w:lang w:val="fr-FR"/>
              </w:rPr>
            </w:pPr>
            <w:r w:rsidRPr="007C5284">
              <w:rPr>
                <w:rFonts w:asciiTheme="minorHAnsi" w:hAnsiTheme="minorHAnsi"/>
                <w:lang w:val="fr-FR"/>
              </w:rPr>
              <w:t>3</w:t>
            </w:r>
          </w:p>
        </w:tc>
        <w:tc>
          <w:tcPr>
            <w:tcW w:w="7164" w:type="dxa"/>
          </w:tcPr>
          <w:p w:rsidR="00101C60" w:rsidRPr="007C5284" w:rsidRDefault="00101C60" w:rsidP="005172B4">
            <w:pPr>
              <w:pStyle w:val="Index1"/>
              <w:rPr>
                <w:lang w:val="fr-FR"/>
              </w:rPr>
            </w:pPr>
            <w:r w:rsidRPr="007C5284">
              <w:rPr>
                <w:rFonts w:asciiTheme="minorHAnsi" w:hAnsiTheme="minorHAnsi"/>
                <w:lang w:val="fr-FR"/>
              </w:rPr>
              <w:t>Déclarations de politique générale (suite)</w:t>
            </w:r>
          </w:p>
        </w:tc>
        <w:tc>
          <w:tcPr>
            <w:tcW w:w="2333" w:type="dxa"/>
          </w:tcPr>
          <w:p w:rsidR="00101C60" w:rsidRPr="007C5284" w:rsidRDefault="00101C60" w:rsidP="005172B4">
            <w:pPr>
              <w:pStyle w:val="Index1"/>
              <w:jc w:val="center"/>
              <w:rPr>
                <w:lang w:val="fr-FR"/>
              </w:rPr>
            </w:pPr>
            <w:r w:rsidRPr="007C5284">
              <w:rPr>
                <w:rFonts w:asciiTheme="minorHAnsi" w:hAnsiTheme="minorHAnsi"/>
                <w:lang w:val="fr-FR"/>
              </w:rPr>
              <w:sym w:font="Symbol" w:char="F02D"/>
            </w:r>
          </w:p>
        </w:tc>
      </w:tr>
    </w:tbl>
    <w:p w:rsidR="00101C60" w:rsidRPr="00101C60" w:rsidRDefault="00101C60" w:rsidP="00E60DA1">
      <w:pPr>
        <w:rPr>
          <w:lang w:val="fr-CH"/>
        </w:rPr>
      </w:pPr>
    </w:p>
    <w:p w:rsidR="00BD161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01C60" w:rsidRPr="00DB0BC5" w:rsidRDefault="00101C60" w:rsidP="00101C60">
      <w:pPr>
        <w:pStyle w:val="Heading1"/>
        <w:rPr>
          <w:lang w:val="fr-CH"/>
        </w:rPr>
      </w:pPr>
      <w:r w:rsidRPr="00DB0BC5">
        <w:rPr>
          <w:lang w:val="fr-CH"/>
        </w:rPr>
        <w:t>1</w:t>
      </w:r>
      <w:r w:rsidRPr="00DB0BC5">
        <w:rPr>
          <w:lang w:val="fr-CH"/>
        </w:rPr>
        <w:tab/>
        <w:t xml:space="preserve">Montant définitif de l'unité contributive et date limite à laquelle il convient d'informer le Secrétariat du choix définitif de la classe de contribution </w:t>
      </w:r>
    </w:p>
    <w:p w:rsidR="00101C60" w:rsidRPr="007C5284" w:rsidRDefault="00101C60" w:rsidP="00101C60">
      <w:r w:rsidRPr="007C5284">
        <w:t>1.1</w:t>
      </w:r>
      <w:r w:rsidRPr="007C5284">
        <w:tab/>
        <w:t xml:space="preserve">Le </w:t>
      </w:r>
      <w:r w:rsidRPr="007C5284">
        <w:rPr>
          <w:b/>
        </w:rPr>
        <w:t xml:space="preserve">Secrétaire général </w:t>
      </w:r>
      <w:r w:rsidRPr="007C5284">
        <w:t>déclare qu</w:t>
      </w:r>
      <w:r>
        <w:t>'</w:t>
      </w:r>
      <w:r w:rsidRPr="007C5284">
        <w:t xml:space="preserve">une prévision réaliste des </w:t>
      </w:r>
      <w:r w:rsidRPr="00DE3610">
        <w:t>recettes</w:t>
      </w:r>
      <w:r w:rsidRPr="007C5284">
        <w:t xml:space="preserve"> est indispensable pour arrêter un plan financier équilibré. C</w:t>
      </w:r>
      <w:r>
        <w:t>'</w:t>
      </w:r>
      <w:r w:rsidRPr="007C5284">
        <w:t>est pourquoi il serait extrêmement utile que la Conférence approuve dès que possible une limite supérieure définitive de l</w:t>
      </w:r>
      <w:r>
        <w:t>'</w:t>
      </w:r>
      <w:r w:rsidRPr="007C5284">
        <w:t>unité contributive. Conformément au numéro 161B de la Constitution, le Conseil a recommandé que cette limite demeure inchangée, pour la période 2016-2019,</w:t>
      </w:r>
      <w:r>
        <w:t xml:space="preserve"> </w:t>
      </w:r>
      <w:r w:rsidRPr="007C5284">
        <w:t>à 318 000 CHF, montant qui a été utilisé pour la planification budgétaire au cours des quatre dernières années. Le Secrétaire général invite la Conférence à approuver cette recommandation du Conseil et prie les Etats Membres d</w:t>
      </w:r>
      <w:r>
        <w:t>'</w:t>
      </w:r>
      <w:r w:rsidRPr="007C5284">
        <w:t>informer l</w:t>
      </w:r>
      <w:r>
        <w:t>'</w:t>
      </w:r>
      <w:r w:rsidRPr="007C5284">
        <w:t>UIT de leur choix définitif en ce qui concerne la classe de contri</w:t>
      </w:r>
      <w:r>
        <w:t>bution au plus tard le lundi 27 </w:t>
      </w:r>
      <w:r w:rsidR="00F13C97">
        <w:t>octobre 2014 à </w:t>
      </w:r>
      <w:r w:rsidRPr="007C5284">
        <w:t>7 h 59, heure locale (</w:t>
      </w:r>
      <w:r>
        <w:t>soit le dimanche 26 </w:t>
      </w:r>
      <w:r w:rsidRPr="007C5284">
        <w:t>octobre à 23</w:t>
      </w:r>
      <w:r>
        <w:t> h </w:t>
      </w:r>
      <w:r w:rsidRPr="007C5284">
        <w:t>59, heure de Genève).</w:t>
      </w:r>
    </w:p>
    <w:p w:rsidR="00101C60" w:rsidRPr="007C5284" w:rsidRDefault="00101C60" w:rsidP="00101C60">
      <w:r w:rsidRPr="007C5284">
        <w:t>1.2</w:t>
      </w:r>
      <w:r w:rsidRPr="007C5284">
        <w:tab/>
        <w:t xml:space="preserve">Le </w:t>
      </w:r>
      <w:r w:rsidRPr="007C5284">
        <w:rPr>
          <w:b/>
        </w:rPr>
        <w:t xml:space="preserve">Président </w:t>
      </w:r>
      <w:r w:rsidRPr="007C5284">
        <w:t xml:space="preserve">invite les participants </w:t>
      </w:r>
      <w:r>
        <w:t>à</w:t>
      </w:r>
      <w:r w:rsidRPr="007C5284">
        <w:t xml:space="preserve"> la Conférence à approuver la recommandation du Conseil et, par conséquent, à fixer la limite supérieure définitive de l</w:t>
      </w:r>
      <w:r>
        <w:t>'</w:t>
      </w:r>
      <w:r w:rsidRPr="007C5284">
        <w:t>unité contributive à</w:t>
      </w:r>
      <w:r w:rsidR="00B031BA">
        <w:t> </w:t>
      </w:r>
      <w:r w:rsidRPr="007C5284">
        <w:t xml:space="preserve">318 000 CHF, et à </w:t>
      </w:r>
      <w:r w:rsidRPr="00DE3610">
        <w:t>accepter</w:t>
      </w:r>
      <w:r w:rsidRPr="007C5284">
        <w:t xml:space="preserve"> la date limite proposée par le Secrétaire général.</w:t>
      </w:r>
    </w:p>
    <w:p w:rsidR="00101C60" w:rsidRPr="007C5284" w:rsidRDefault="00101C60" w:rsidP="00101C60">
      <w:pPr>
        <w:pStyle w:val="ListParagraph"/>
        <w:numPr>
          <w:ilvl w:val="0"/>
          <w:numId w:val="0"/>
        </w:numPr>
        <w:tabs>
          <w:tab w:val="clear" w:pos="794"/>
          <w:tab w:val="left" w:pos="709"/>
        </w:tabs>
        <w:spacing w:line="240" w:lineRule="auto"/>
        <w:rPr>
          <w:rFonts w:ascii="Calibri" w:hAnsi="Calibri"/>
          <w:szCs w:val="20"/>
          <w:lang w:val="fr-FR" w:eastAsia="en-US"/>
        </w:rPr>
      </w:pPr>
      <w:r w:rsidRPr="007C5284">
        <w:rPr>
          <w:lang w:val="fr-FR"/>
        </w:rPr>
        <w:t>1.3</w:t>
      </w:r>
      <w:r w:rsidRPr="007C5284">
        <w:rPr>
          <w:lang w:val="fr-FR"/>
        </w:rPr>
        <w:tab/>
      </w:r>
      <w:r w:rsidRPr="007C5284">
        <w:rPr>
          <w:rFonts w:ascii="Calibri" w:hAnsi="Calibri"/>
          <w:szCs w:val="20"/>
          <w:lang w:val="fr-FR" w:eastAsia="en-US"/>
        </w:rPr>
        <w:t xml:space="preserve">Il en est ainsi </w:t>
      </w:r>
      <w:r w:rsidRPr="007C5284">
        <w:rPr>
          <w:rFonts w:ascii="Calibri" w:hAnsi="Calibri"/>
          <w:b/>
          <w:bCs/>
          <w:szCs w:val="20"/>
          <w:lang w:val="fr-FR" w:eastAsia="en-US"/>
        </w:rPr>
        <w:t>décidé</w:t>
      </w:r>
      <w:r w:rsidR="00CD2ECD">
        <w:rPr>
          <w:rFonts w:ascii="Calibri" w:hAnsi="Calibri"/>
          <w:szCs w:val="20"/>
          <w:lang w:val="fr-FR" w:eastAsia="en-US"/>
        </w:rPr>
        <w:t>.</w:t>
      </w:r>
    </w:p>
    <w:p w:rsidR="00101C60" w:rsidRPr="007C5284" w:rsidRDefault="00101C60" w:rsidP="00101C60">
      <w:pPr>
        <w:pStyle w:val="Heading1"/>
        <w:spacing w:before="240"/>
      </w:pPr>
      <w:r w:rsidRPr="007C5284">
        <w:t>2</w:t>
      </w:r>
      <w:r w:rsidRPr="007C5284">
        <w:tab/>
      </w:r>
      <w:r w:rsidRPr="007C5284">
        <w:rPr>
          <w:rFonts w:asciiTheme="minorHAnsi" w:hAnsiTheme="minorHAnsi"/>
        </w:rPr>
        <w:t xml:space="preserve">Rapport du Conseil sur la mise en </w:t>
      </w:r>
      <w:proofErr w:type="spellStart"/>
      <w:r w:rsidRPr="007C5284">
        <w:rPr>
          <w:rFonts w:asciiTheme="minorHAnsi" w:hAnsiTheme="minorHAnsi"/>
        </w:rPr>
        <w:t>oeuvre</w:t>
      </w:r>
      <w:proofErr w:type="spellEnd"/>
      <w:r w:rsidRPr="007C5284">
        <w:rPr>
          <w:rFonts w:asciiTheme="minorHAnsi" w:hAnsiTheme="minorHAnsi"/>
        </w:rPr>
        <w:t xml:space="preserve"> du Plan stratégique et l</w:t>
      </w:r>
      <w:r>
        <w:rPr>
          <w:rFonts w:asciiTheme="minorHAnsi" w:hAnsiTheme="minorHAnsi"/>
        </w:rPr>
        <w:t>'</w:t>
      </w:r>
      <w:r w:rsidRPr="007C5284">
        <w:rPr>
          <w:rFonts w:asciiTheme="minorHAnsi" w:hAnsiTheme="minorHAnsi"/>
        </w:rPr>
        <w:t>activité de l</w:t>
      </w:r>
      <w:r>
        <w:rPr>
          <w:rFonts w:asciiTheme="minorHAnsi" w:hAnsiTheme="minorHAnsi"/>
        </w:rPr>
        <w:t>'</w:t>
      </w:r>
      <w:r w:rsidRPr="007C5284">
        <w:rPr>
          <w:rFonts w:asciiTheme="minorHAnsi" w:hAnsiTheme="minorHAnsi"/>
        </w:rPr>
        <w:t>Union</w:t>
      </w:r>
      <w:r w:rsidRPr="007C5284">
        <w:t xml:space="preserve"> (Document 20 et Addendum 1)</w:t>
      </w:r>
    </w:p>
    <w:p w:rsidR="00101C60" w:rsidRPr="007C5284" w:rsidRDefault="00101C60" w:rsidP="00101C60">
      <w:r w:rsidRPr="007C5284">
        <w:t>2.1</w:t>
      </w:r>
      <w:r w:rsidRPr="007C5284">
        <w:tab/>
        <w:t xml:space="preserve">Le </w:t>
      </w:r>
      <w:r w:rsidRPr="007C5284">
        <w:rPr>
          <w:b/>
        </w:rPr>
        <w:t xml:space="preserve">Président </w:t>
      </w:r>
      <w:r w:rsidRPr="007C5284">
        <w:t xml:space="preserve">invite les participants </w:t>
      </w:r>
      <w:r>
        <w:t>à</w:t>
      </w:r>
      <w:r w:rsidRPr="007C5284">
        <w:t xml:space="preserve"> la Conférence à visionner une présentation vidéo consacrée aux activités de l</w:t>
      </w:r>
      <w:r>
        <w:t>'</w:t>
      </w:r>
      <w:r w:rsidRPr="007C5284">
        <w:t>Union.</w:t>
      </w:r>
    </w:p>
    <w:p w:rsidR="00101C60" w:rsidRPr="007C5284" w:rsidRDefault="00101C60" w:rsidP="00CD2ECD">
      <w:r w:rsidRPr="007C5284">
        <w:t>2.2</w:t>
      </w:r>
      <w:r w:rsidRPr="007C5284">
        <w:tab/>
        <w:t xml:space="preserve">Le </w:t>
      </w:r>
      <w:r w:rsidRPr="007C5284">
        <w:rPr>
          <w:b/>
          <w:bCs/>
        </w:rPr>
        <w:t>Président du Conseil</w:t>
      </w:r>
      <w:r w:rsidRPr="007C5284">
        <w:t>, présentant le Document 20 et l</w:t>
      </w:r>
      <w:r>
        <w:t>'</w:t>
      </w:r>
      <w:r w:rsidRPr="007C5284">
        <w:t>Addendum 1 audit document, déclare qu</w:t>
      </w:r>
      <w:r>
        <w:t>'</w:t>
      </w:r>
      <w:r w:rsidRPr="007C5284">
        <w:t>à la demande des Etats Membres, la direction a axé les activités de l</w:t>
      </w:r>
      <w:r>
        <w:t>'</w:t>
      </w:r>
      <w:r w:rsidRPr="007C5284">
        <w:t xml:space="preserve">Union sur la réalisation de ses </w:t>
      </w:r>
      <w:r>
        <w:t>buts</w:t>
      </w:r>
      <w:r w:rsidRPr="007C5284">
        <w:t xml:space="preserve"> stratégiques. Depuis la session de mai 2014 du Conseil, le rapport figurant dans le Document 20 a été mis à jour afin de prendre en compte les résultats les plus récents de différentes manifestations, notamment la Conférence mondiale de développement des télécommunications, la manifestation de haut niveau SMSI</w:t>
      </w:r>
      <w:r w:rsidRPr="00AB65F2">
        <w:t>+10 accueillie</w:t>
      </w:r>
      <w:r w:rsidRPr="007C5284">
        <w:t xml:space="preserve"> par l</w:t>
      </w:r>
      <w:r>
        <w:t>'</w:t>
      </w:r>
      <w:r w:rsidRPr="007C5284">
        <w:t>UIT en</w:t>
      </w:r>
      <w:r>
        <w:t xml:space="preserve"> </w:t>
      </w:r>
      <w:r w:rsidR="00CD2ECD">
        <w:t>juin </w:t>
      </w:r>
      <w:r w:rsidRPr="007C5284">
        <w:t xml:space="preserve">2014, </w:t>
      </w:r>
      <w:r w:rsidR="00CD2ECD">
        <w:t>le </w:t>
      </w:r>
      <w:r w:rsidRPr="007C5284">
        <w:t>14</w:t>
      </w:r>
      <w:r>
        <w:t>è</w:t>
      </w:r>
      <w:r w:rsidRPr="007C5284">
        <w:t>me Colloque mondial des régulateurs, qui s</w:t>
      </w:r>
      <w:r>
        <w:t>'</w:t>
      </w:r>
      <w:r w:rsidRPr="007C5284">
        <w:t>est tenu à Bahreïn, en juin 2014, et les résultats financiers finals de la manifestation ITU TELECOM World. Un rapport sur les activités du Groupe de travail du Conseil sur le SMSI depuis la PP-10 a également été ajouté</w:t>
      </w:r>
      <w:r w:rsidR="00CD2ECD">
        <w:t xml:space="preserve"> en application de la décision prise par le Conseil lors de la séance finale</w:t>
      </w:r>
      <w:r w:rsidRPr="007C5284">
        <w:t>.</w:t>
      </w:r>
    </w:p>
    <w:p w:rsidR="00101C60" w:rsidRPr="007C5284" w:rsidRDefault="00101C60" w:rsidP="00101C60">
      <w:r w:rsidRPr="007C5284">
        <w:t>2.3</w:t>
      </w:r>
      <w:r w:rsidRPr="007C5284">
        <w:tab/>
        <w:t xml:space="preserve">Le </w:t>
      </w:r>
      <w:r w:rsidRPr="007C5284">
        <w:rPr>
          <w:b/>
          <w:bCs/>
        </w:rPr>
        <w:t>Président</w:t>
      </w:r>
      <w:r w:rsidRPr="007C5284">
        <w:t xml:space="preserve"> remercie et félicite le Président du Conseil pour tout le travail qu</w:t>
      </w:r>
      <w:r>
        <w:t>'</w:t>
      </w:r>
      <w:r w:rsidRPr="007C5284">
        <w:t>il a effectué</w:t>
      </w:r>
      <w:r>
        <w:t xml:space="preserve"> </w:t>
      </w:r>
      <w:r w:rsidRPr="007C5284">
        <w:t>pendant la session de 2014 du Conseil.</w:t>
      </w:r>
    </w:p>
    <w:p w:rsidR="00101C60" w:rsidRPr="007C5284" w:rsidRDefault="00101C60" w:rsidP="00101C60">
      <w:r w:rsidRPr="007C5284">
        <w:t>2.4</w:t>
      </w:r>
      <w:r w:rsidRPr="007C5284">
        <w:tab/>
        <w:t xml:space="preserve">Le </w:t>
      </w:r>
      <w:r w:rsidRPr="007C5284">
        <w:rPr>
          <w:b/>
          <w:bCs/>
        </w:rPr>
        <w:t>délégué de la Fédération de Russie</w:t>
      </w:r>
      <w:r w:rsidRPr="007C5284">
        <w:t xml:space="preserve"> demande que le rapport du Groupe de travail du Conseil sur le SMSI figurant dans l</w:t>
      </w:r>
      <w:r>
        <w:t>'Addendum </w:t>
      </w:r>
      <w:r w:rsidRPr="007C5284">
        <w:t>1 au Document 20 soit attribué au Groupe de travail de la plénière, pour examen, en lien avec la révision des Résolutions 140 (</w:t>
      </w:r>
      <w:proofErr w:type="spellStart"/>
      <w:r w:rsidRPr="007C5284">
        <w:t>Rév</w:t>
      </w:r>
      <w:proofErr w:type="spellEnd"/>
      <w:r w:rsidRPr="007C5284">
        <w:t>. Guadalajara, 2010) et 172 (Guadalajara, 2010) de la Conférence de plénipotentiaires, puisqu</w:t>
      </w:r>
      <w:r>
        <w:t>'</w:t>
      </w:r>
      <w:r w:rsidRPr="007C5284">
        <w:t>il contient des recommandations spécifiques à cet égard.</w:t>
      </w:r>
    </w:p>
    <w:p w:rsidR="00101C60" w:rsidRPr="007C5284" w:rsidRDefault="00101C60" w:rsidP="00F13C97">
      <w:pPr>
        <w:rPr>
          <w:b/>
          <w:bCs/>
        </w:rPr>
      </w:pPr>
      <w:r w:rsidRPr="007C5284">
        <w:t>2.5</w:t>
      </w:r>
      <w:r w:rsidRPr="007C5284">
        <w:tab/>
        <w:t xml:space="preserve">Le </w:t>
      </w:r>
      <w:r w:rsidRPr="007C5284">
        <w:rPr>
          <w:b/>
          <w:bCs/>
        </w:rPr>
        <w:t>Président</w:t>
      </w:r>
      <w:r w:rsidRPr="007C5284">
        <w:t xml:space="preserve"> invite la conférence à approuver le</w:t>
      </w:r>
      <w:r>
        <w:t xml:space="preserve"> Document </w:t>
      </w:r>
      <w:r w:rsidRPr="007C5284">
        <w:t>20 et l</w:t>
      </w:r>
      <w:r>
        <w:t>'Addendum </w:t>
      </w:r>
      <w:r w:rsidRPr="007C5284">
        <w:t xml:space="preserve">1 </w:t>
      </w:r>
      <w:r>
        <w:t xml:space="preserve">audit </w:t>
      </w:r>
      <w:r w:rsidR="00F13C97">
        <w:t>d</w:t>
      </w:r>
      <w:r w:rsidRPr="007C5284">
        <w:t>ocument</w:t>
      </w:r>
      <w:r w:rsidR="00F13C97">
        <w:t>,</w:t>
      </w:r>
      <w:r w:rsidRPr="007C5284">
        <w:t xml:space="preserve"> </w:t>
      </w:r>
      <w:r>
        <w:t>contenant</w:t>
      </w:r>
      <w:r w:rsidRPr="007C5284">
        <w:t xml:space="preserve"> </w:t>
      </w:r>
      <w:r>
        <w:t>le</w:t>
      </w:r>
      <w:r w:rsidRPr="007C5284">
        <w:t xml:space="preserve"> rapport du Conseil sur la </w:t>
      </w:r>
      <w:r w:rsidRPr="007C5284">
        <w:rPr>
          <w:rFonts w:asciiTheme="minorHAnsi" w:hAnsiTheme="minorHAnsi"/>
        </w:rPr>
        <w:t xml:space="preserve">mise en </w:t>
      </w:r>
      <w:proofErr w:type="spellStart"/>
      <w:r w:rsidRPr="007C5284">
        <w:rPr>
          <w:rFonts w:asciiTheme="minorHAnsi" w:hAnsiTheme="minorHAnsi"/>
        </w:rPr>
        <w:t>oeuvre</w:t>
      </w:r>
      <w:proofErr w:type="spellEnd"/>
      <w:r w:rsidRPr="007C5284">
        <w:rPr>
          <w:rFonts w:asciiTheme="minorHAnsi" w:hAnsiTheme="minorHAnsi"/>
        </w:rPr>
        <w:t xml:space="preserve"> du Plan stratégique et l</w:t>
      </w:r>
      <w:r>
        <w:rPr>
          <w:rFonts w:asciiTheme="minorHAnsi" w:hAnsiTheme="minorHAnsi"/>
        </w:rPr>
        <w:t>'</w:t>
      </w:r>
      <w:r w:rsidRPr="007C5284">
        <w:rPr>
          <w:rFonts w:asciiTheme="minorHAnsi" w:hAnsiTheme="minorHAnsi"/>
        </w:rPr>
        <w:t>activité de l</w:t>
      </w:r>
      <w:r>
        <w:rPr>
          <w:rFonts w:asciiTheme="minorHAnsi" w:hAnsiTheme="minorHAnsi"/>
        </w:rPr>
        <w:t>'</w:t>
      </w:r>
      <w:r w:rsidRPr="007C5284">
        <w:rPr>
          <w:rFonts w:asciiTheme="minorHAnsi" w:hAnsiTheme="minorHAnsi"/>
        </w:rPr>
        <w:t>Union</w:t>
      </w:r>
      <w:r w:rsidRPr="007C5284">
        <w:rPr>
          <w:bCs/>
        </w:rPr>
        <w:t>, étant entendu que l</w:t>
      </w:r>
      <w:r>
        <w:rPr>
          <w:bCs/>
        </w:rPr>
        <w:t>'</w:t>
      </w:r>
      <w:r w:rsidRPr="007C5284">
        <w:rPr>
          <w:bCs/>
        </w:rPr>
        <w:t xml:space="preserve">Addendum 1 sera examiné par le Groupe de travail de la plénière. </w:t>
      </w:r>
    </w:p>
    <w:p w:rsidR="00101C60" w:rsidRPr="007C5284" w:rsidRDefault="00101C60" w:rsidP="00101C60">
      <w:pPr>
        <w:rPr>
          <w:b/>
        </w:rPr>
      </w:pPr>
      <w:r w:rsidRPr="007C5284">
        <w:rPr>
          <w:bCs/>
        </w:rPr>
        <w:t>2.6</w:t>
      </w:r>
      <w:r w:rsidRPr="007C5284">
        <w:rPr>
          <w:bCs/>
        </w:rPr>
        <w:tab/>
      </w:r>
      <w:r w:rsidRPr="007C5284">
        <w:t xml:space="preserve">Il en est ainsi </w:t>
      </w:r>
      <w:r w:rsidRPr="007C5284">
        <w:rPr>
          <w:b/>
          <w:bCs/>
        </w:rPr>
        <w:t>décidé</w:t>
      </w:r>
      <w:r w:rsidRPr="007C5284">
        <w:rPr>
          <w:b/>
        </w:rPr>
        <w:t>.</w:t>
      </w:r>
    </w:p>
    <w:p w:rsidR="00101C60" w:rsidRPr="007C5284" w:rsidRDefault="00101C60" w:rsidP="00F13C97">
      <w:pPr>
        <w:pStyle w:val="Heading1"/>
      </w:pPr>
      <w:r w:rsidRPr="007C5284">
        <w:lastRenderedPageBreak/>
        <w:t>3</w:t>
      </w:r>
      <w:r w:rsidRPr="007C5284">
        <w:tab/>
      </w:r>
      <w:r w:rsidRPr="007C5284">
        <w:rPr>
          <w:rFonts w:asciiTheme="minorHAnsi" w:hAnsiTheme="minorHAnsi"/>
        </w:rPr>
        <w:t xml:space="preserve">Déclarations de politique générale </w:t>
      </w:r>
      <w:r w:rsidRPr="007C5284">
        <w:t>(suite)</w:t>
      </w:r>
      <w:r w:rsidR="00F13C97">
        <w:rPr>
          <w:rStyle w:val="FootnoteReference"/>
        </w:rPr>
        <w:footnoteReference w:customMarkFollows="1" w:id="1"/>
        <w:t>*</w:t>
      </w:r>
    </w:p>
    <w:p w:rsidR="00101C60" w:rsidRPr="007C5284" w:rsidRDefault="00101C60" w:rsidP="00101C60">
      <w:pPr>
        <w:rPr>
          <w:rFonts w:asciiTheme="minorHAnsi" w:hAnsiTheme="minorHAnsi"/>
          <w:szCs w:val="24"/>
        </w:rPr>
      </w:pPr>
      <w:r w:rsidRPr="007C5284">
        <w:t>3.1</w:t>
      </w:r>
      <w:r w:rsidRPr="007C5284">
        <w:tab/>
      </w:r>
      <w:r w:rsidRPr="007C5284">
        <w:rPr>
          <w:rFonts w:asciiTheme="minorHAnsi" w:hAnsiTheme="minorHAnsi"/>
          <w:szCs w:val="24"/>
        </w:rPr>
        <w:t>Les orateurs dont les noms figurent ci-après ont fait une déclaration de politique générale:</w:t>
      </w:r>
    </w:p>
    <w:p w:rsidR="00101C60" w:rsidRPr="007C5284" w:rsidRDefault="00101C60" w:rsidP="00101C60">
      <w:pPr>
        <w:pStyle w:val="enumlev1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Ahmad </w:t>
      </w:r>
      <w:proofErr w:type="spellStart"/>
      <w:r w:rsidRPr="007C5284">
        <w:rPr>
          <w:rFonts w:asciiTheme="minorHAnsi" w:hAnsiTheme="minorHAnsi"/>
          <w:szCs w:val="24"/>
        </w:rPr>
        <w:t>Shabery</w:t>
      </w:r>
      <w:proofErr w:type="spellEnd"/>
      <w:r w:rsidRPr="007C5284">
        <w:rPr>
          <w:rFonts w:asciiTheme="minorHAnsi" w:hAnsiTheme="minorHAnsi"/>
          <w:szCs w:val="24"/>
        </w:rPr>
        <w:t xml:space="preserve"> CHEEK, Ministre des communications et du multimédia (Malaisie);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</w:t>
      </w:r>
      <w:proofErr w:type="spellStart"/>
      <w:r w:rsidRPr="007C5284">
        <w:rPr>
          <w:rFonts w:asciiTheme="minorHAnsi" w:hAnsiTheme="minorHAnsi"/>
          <w:szCs w:val="24"/>
        </w:rPr>
        <w:t>Lihua</w:t>
      </w:r>
      <w:proofErr w:type="spellEnd"/>
      <w:r w:rsidRPr="007C5284">
        <w:rPr>
          <w:rFonts w:asciiTheme="minorHAnsi" w:hAnsiTheme="minorHAnsi"/>
          <w:szCs w:val="24"/>
        </w:rPr>
        <w:t xml:space="preserve"> LIU, Vice-Ministre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industrie et des technologies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 (Chine);</w:t>
      </w:r>
    </w:p>
    <w:p w:rsidR="00101C60" w:rsidRPr="007C5284" w:rsidRDefault="00101C60" w:rsidP="00F13C97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M.</w:t>
      </w:r>
      <w:r>
        <w:rPr>
          <w:rFonts w:asciiTheme="minorHAnsi" w:hAnsiTheme="minorHAnsi"/>
          <w:szCs w:val="24"/>
        </w:rPr>
        <w:t xml:space="preserve"> </w:t>
      </w:r>
      <w:proofErr w:type="spellStart"/>
      <w:r w:rsidRPr="007C5284">
        <w:rPr>
          <w:rFonts w:asciiTheme="minorHAnsi" w:hAnsiTheme="minorHAnsi"/>
          <w:szCs w:val="24"/>
        </w:rPr>
        <w:t>Ernis</w:t>
      </w:r>
      <w:proofErr w:type="spellEnd"/>
      <w:r w:rsidRPr="007C5284">
        <w:rPr>
          <w:rFonts w:asciiTheme="minorHAnsi" w:hAnsiTheme="minorHAnsi"/>
          <w:szCs w:val="24"/>
        </w:rPr>
        <w:t xml:space="preserve"> MAMYRKANOV, Vice-Ministre des transports et</w:t>
      </w:r>
      <w:r w:rsidR="00F13C97">
        <w:rPr>
          <w:rFonts w:asciiTheme="minorHAnsi" w:hAnsiTheme="minorHAnsi"/>
          <w:szCs w:val="24"/>
        </w:rPr>
        <w:t xml:space="preserve"> des communications (République </w:t>
      </w:r>
      <w:r w:rsidRPr="007C5284">
        <w:rPr>
          <w:rFonts w:asciiTheme="minorHAnsi" w:hAnsiTheme="minorHAnsi"/>
          <w:szCs w:val="24"/>
        </w:rPr>
        <w:t>kirghize);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</w:t>
      </w:r>
      <w:proofErr w:type="spellStart"/>
      <w:r w:rsidRPr="007C5284">
        <w:rPr>
          <w:rFonts w:asciiTheme="minorHAnsi" w:hAnsiTheme="minorHAnsi"/>
          <w:szCs w:val="24"/>
        </w:rPr>
        <w:t>Volodymyr</w:t>
      </w:r>
      <w:proofErr w:type="spellEnd"/>
      <w:r w:rsidRPr="007C5284">
        <w:rPr>
          <w:rFonts w:asciiTheme="minorHAnsi" w:hAnsiTheme="minorHAnsi"/>
          <w:szCs w:val="24"/>
        </w:rPr>
        <w:t xml:space="preserve"> ZVIERIEV, Président, </w:t>
      </w:r>
      <w:r w:rsidRPr="007C5284">
        <w:rPr>
          <w:rFonts w:asciiTheme="minorHAnsi" w:hAnsiTheme="minorHAnsi" w:cs="Segoe UI"/>
          <w:color w:val="000000"/>
          <w:szCs w:val="24"/>
          <w:shd w:val="clear" w:color="auto" w:fill="FFFFFF"/>
        </w:rPr>
        <w:t>Service d</w:t>
      </w:r>
      <w:r>
        <w:rPr>
          <w:rFonts w:asciiTheme="minorHAnsi" w:hAnsiTheme="minorHAnsi" w:cs="Segoe UI"/>
          <w:color w:val="000000"/>
          <w:szCs w:val="24"/>
          <w:shd w:val="clear" w:color="auto" w:fill="FFFFFF"/>
        </w:rPr>
        <w:t>'</w:t>
      </w:r>
      <w:r w:rsidRPr="007C5284">
        <w:rPr>
          <w:rFonts w:asciiTheme="minorHAnsi" w:hAnsiTheme="minorHAnsi" w:cs="Segoe UI"/>
          <w:color w:val="000000"/>
          <w:szCs w:val="24"/>
          <w:shd w:val="clear" w:color="auto" w:fill="FFFFFF"/>
        </w:rPr>
        <w:t>Etat chargé des communications spéciales et de la protection l</w:t>
      </w:r>
      <w:r>
        <w:rPr>
          <w:rFonts w:asciiTheme="minorHAnsi" w:hAnsiTheme="minorHAnsi" w:cs="Segoe UI"/>
          <w:color w:val="000000"/>
          <w:szCs w:val="24"/>
          <w:shd w:val="clear" w:color="auto" w:fill="FFFFFF"/>
        </w:rPr>
        <w:t>'</w:t>
      </w:r>
      <w:r w:rsidRPr="007C5284">
        <w:rPr>
          <w:rFonts w:asciiTheme="minorHAnsi" w:hAnsiTheme="minorHAnsi" w:cs="Segoe UI"/>
          <w:color w:val="000000"/>
          <w:szCs w:val="24"/>
          <w:shd w:val="clear" w:color="auto" w:fill="FFFFFF"/>
        </w:rPr>
        <w:t>information</w:t>
      </w:r>
      <w:r w:rsidRPr="007C5284">
        <w:rPr>
          <w:rFonts w:asciiTheme="minorHAnsi" w:hAnsiTheme="minorHAnsi"/>
          <w:szCs w:val="24"/>
        </w:rPr>
        <w:t xml:space="preserve"> (Ukraine);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Mme Tahani ATTIA, Ministre des sciences et des communications (Soudan);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M.</w:t>
      </w:r>
      <w:r w:rsidRPr="007C5284">
        <w:rPr>
          <w:rFonts w:asciiTheme="minorHAnsi" w:hAnsiTheme="minorHAnsi"/>
          <w:szCs w:val="24"/>
        </w:rPr>
        <w:t xml:space="preserve"> Mahamadou CAMARA, Ministre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économie numérique,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 et des communications (Mali);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Dina </w:t>
      </w:r>
      <w:proofErr w:type="spellStart"/>
      <w:r w:rsidRPr="007C5284">
        <w:rPr>
          <w:rFonts w:asciiTheme="minorHAnsi" w:hAnsiTheme="minorHAnsi"/>
          <w:szCs w:val="24"/>
        </w:rPr>
        <w:t>Nath</w:t>
      </w:r>
      <w:proofErr w:type="spellEnd"/>
      <w:r w:rsidRPr="007C5284">
        <w:rPr>
          <w:rFonts w:asciiTheme="minorHAnsi" w:hAnsiTheme="minorHAnsi"/>
          <w:szCs w:val="24"/>
        </w:rPr>
        <w:t xml:space="preserve"> DHUNGYEL, Ministre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 et des communications (Bh</w:t>
      </w:r>
      <w:r>
        <w:rPr>
          <w:rFonts w:asciiTheme="minorHAnsi" w:hAnsiTheme="minorHAnsi"/>
          <w:szCs w:val="24"/>
        </w:rPr>
        <w:t>o</w:t>
      </w:r>
      <w:r w:rsidRPr="007C5284">
        <w:rPr>
          <w:rFonts w:asciiTheme="minorHAnsi" w:hAnsiTheme="minorHAnsi"/>
          <w:szCs w:val="24"/>
        </w:rPr>
        <w:t>utan);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</w:t>
      </w:r>
      <w:proofErr w:type="spellStart"/>
      <w:r w:rsidRPr="007C5284">
        <w:rPr>
          <w:rFonts w:asciiTheme="minorHAnsi" w:hAnsiTheme="minorHAnsi"/>
          <w:szCs w:val="24"/>
        </w:rPr>
        <w:t>Pastor</w:t>
      </w:r>
      <w:proofErr w:type="spellEnd"/>
      <w:r w:rsidRPr="007C5284">
        <w:rPr>
          <w:rFonts w:asciiTheme="minorHAnsi" w:hAnsiTheme="minorHAnsi"/>
          <w:szCs w:val="24"/>
        </w:rPr>
        <w:t xml:space="preserve"> NGOUA N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NEME, Ministre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économie numérique, de la communication et de la poste (Gabon);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M. John NASASIRA, Ministre des technologies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 et de la communication (Ouganda);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M. Fred MATIANG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I, Ministre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information, des communications et des technologies (Kenya);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M. Nicolas KARAVASKI, Vice-Président, Commission nationale des communications (Argentine);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</w:t>
      </w:r>
      <w:proofErr w:type="spellStart"/>
      <w:r w:rsidRPr="007C5284">
        <w:rPr>
          <w:rFonts w:asciiTheme="minorHAnsi" w:hAnsiTheme="minorHAnsi"/>
          <w:szCs w:val="24"/>
        </w:rPr>
        <w:t>Debretsion</w:t>
      </w:r>
      <w:proofErr w:type="spellEnd"/>
      <w:r w:rsidRPr="007C5284">
        <w:rPr>
          <w:rFonts w:asciiTheme="minorHAnsi" w:hAnsiTheme="minorHAnsi"/>
          <w:szCs w:val="24"/>
        </w:rPr>
        <w:t xml:space="preserve"> GEBREMICHAEL, Ministre des technologies de l</w:t>
      </w:r>
      <w:r>
        <w:rPr>
          <w:rFonts w:asciiTheme="minorHAnsi" w:hAnsiTheme="minorHAnsi"/>
          <w:szCs w:val="24"/>
        </w:rPr>
        <w:t>'</w:t>
      </w:r>
      <w:r w:rsidRPr="007C5284">
        <w:rPr>
          <w:rFonts w:asciiTheme="minorHAnsi" w:hAnsiTheme="minorHAnsi"/>
          <w:szCs w:val="24"/>
        </w:rPr>
        <w:t>information et de la communication (Ethiopie);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</w:t>
      </w:r>
      <w:proofErr w:type="spellStart"/>
      <w:r w:rsidRPr="007C5284">
        <w:rPr>
          <w:rFonts w:asciiTheme="minorHAnsi" w:hAnsiTheme="minorHAnsi"/>
          <w:szCs w:val="24"/>
        </w:rPr>
        <w:t>Siyabonga</w:t>
      </w:r>
      <w:proofErr w:type="spellEnd"/>
      <w:r w:rsidRPr="007C5284">
        <w:rPr>
          <w:rFonts w:asciiTheme="minorHAnsi" w:hAnsiTheme="minorHAnsi"/>
          <w:szCs w:val="24"/>
        </w:rPr>
        <w:t xml:space="preserve"> CWELE, Ministre des télécommunications et des services postaux (</w:t>
      </w:r>
      <w:r>
        <w:rPr>
          <w:rFonts w:asciiTheme="minorHAnsi" w:hAnsiTheme="minorHAnsi"/>
          <w:szCs w:val="24"/>
        </w:rPr>
        <w:t>République </w:t>
      </w:r>
      <w:proofErr w:type="spellStart"/>
      <w:r>
        <w:rPr>
          <w:rFonts w:asciiTheme="minorHAnsi" w:hAnsiTheme="minorHAnsi"/>
          <w:szCs w:val="24"/>
        </w:rPr>
        <w:t>sudafricaine</w:t>
      </w:r>
      <w:proofErr w:type="spellEnd"/>
      <w:r w:rsidRPr="007C5284">
        <w:rPr>
          <w:rFonts w:asciiTheme="minorHAnsi" w:hAnsiTheme="minorHAnsi"/>
          <w:szCs w:val="24"/>
        </w:rPr>
        <w:t>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Mme Jacqueline POH, Directrice exécutive, </w:t>
      </w:r>
      <w:proofErr w:type="spellStart"/>
      <w:r w:rsidRPr="007C5284">
        <w:rPr>
          <w:rFonts w:asciiTheme="minorHAnsi" w:hAnsiTheme="minorHAnsi"/>
          <w:szCs w:val="24"/>
        </w:rPr>
        <w:t>Infocomm</w:t>
      </w:r>
      <w:proofErr w:type="spellEnd"/>
      <w:r w:rsidRPr="007C5284">
        <w:rPr>
          <w:rFonts w:asciiTheme="minorHAnsi" w:hAnsiTheme="minorHAnsi"/>
          <w:szCs w:val="24"/>
        </w:rPr>
        <w:t xml:space="preserve"> Develo</w:t>
      </w:r>
      <w:bookmarkStart w:id="6" w:name="_GoBack"/>
      <w:bookmarkEnd w:id="6"/>
      <w:r w:rsidRPr="007C5284">
        <w:rPr>
          <w:rFonts w:asciiTheme="minorHAnsi" w:hAnsiTheme="minorHAnsi"/>
          <w:szCs w:val="24"/>
        </w:rPr>
        <w:t xml:space="preserve">pment </w:t>
      </w:r>
      <w:proofErr w:type="spellStart"/>
      <w:r w:rsidRPr="007C5284">
        <w:rPr>
          <w:rFonts w:asciiTheme="minorHAnsi" w:hAnsiTheme="minorHAnsi"/>
          <w:szCs w:val="24"/>
        </w:rPr>
        <w:t>Authority</w:t>
      </w:r>
      <w:proofErr w:type="spellEnd"/>
      <w:r w:rsidRPr="007C5284">
        <w:rPr>
          <w:rFonts w:asciiTheme="minorHAnsi" w:hAnsiTheme="minorHAnsi"/>
          <w:szCs w:val="24"/>
        </w:rPr>
        <w:t xml:space="preserve"> (Singapour);</w:t>
      </w:r>
    </w:p>
    <w:p w:rsidR="00101C60" w:rsidRPr="00AB65F2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 xml:space="preserve">M. Mohammed ALAMER, Président, </w:t>
      </w:r>
      <w:r w:rsidRPr="00AB65F2">
        <w:rPr>
          <w:rFonts w:asciiTheme="minorHAnsi" w:hAnsiTheme="minorHAnsi"/>
          <w:szCs w:val="24"/>
        </w:rPr>
        <w:t>Autorité de régulation des télécommunications (Bahreïn);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AB65F2">
        <w:rPr>
          <w:rFonts w:asciiTheme="minorHAnsi" w:hAnsiTheme="minorHAnsi"/>
          <w:szCs w:val="24"/>
        </w:rPr>
        <w:t>–</w:t>
      </w:r>
      <w:r w:rsidRPr="00AB65F2">
        <w:rPr>
          <w:rFonts w:asciiTheme="minorHAnsi" w:hAnsiTheme="minorHAnsi"/>
          <w:szCs w:val="24"/>
        </w:rPr>
        <w:tab/>
        <w:t xml:space="preserve">M. </w:t>
      </w:r>
      <w:proofErr w:type="spellStart"/>
      <w:r w:rsidRPr="00AB65F2">
        <w:rPr>
          <w:rFonts w:asciiTheme="minorHAnsi" w:hAnsiTheme="minorHAnsi"/>
          <w:szCs w:val="24"/>
        </w:rPr>
        <w:t>Hesham</w:t>
      </w:r>
      <w:proofErr w:type="spellEnd"/>
      <w:r w:rsidRPr="00AB65F2">
        <w:rPr>
          <w:rFonts w:asciiTheme="minorHAnsi" w:hAnsiTheme="minorHAnsi"/>
          <w:szCs w:val="24"/>
        </w:rPr>
        <w:t xml:space="preserve"> EL ALAILY, Président exécutif, Autorité nationale de régulation des télécommunications (Egypte);</w:t>
      </w:r>
    </w:p>
    <w:p w:rsidR="00101C60" w:rsidRPr="007C5284" w:rsidRDefault="00101C60" w:rsidP="00101C60">
      <w:pPr>
        <w:pStyle w:val="enumlev1"/>
        <w:spacing w:before="40"/>
        <w:rPr>
          <w:rFonts w:asciiTheme="minorHAnsi" w:hAnsiTheme="minorHAnsi"/>
          <w:szCs w:val="24"/>
        </w:rPr>
      </w:pPr>
      <w:r w:rsidRPr="007C5284">
        <w:rPr>
          <w:rFonts w:asciiTheme="minorHAnsi" w:hAnsiTheme="minorHAnsi"/>
          <w:szCs w:val="24"/>
        </w:rPr>
        <w:t>–</w:t>
      </w:r>
      <w:r w:rsidRPr="007C5284">
        <w:rPr>
          <w:rFonts w:asciiTheme="minorHAnsi" w:hAnsiTheme="minorHAnsi"/>
          <w:szCs w:val="24"/>
        </w:rPr>
        <w:tab/>
        <w:t>M. Jeferson Fued NACIF, Chef, Affaires internationales, ANATEL (Brésil).</w:t>
      </w:r>
    </w:p>
    <w:p w:rsidR="00101C60" w:rsidRPr="007C5284" w:rsidRDefault="00101C60" w:rsidP="00101C60">
      <w:pPr>
        <w:pStyle w:val="enumlev1"/>
        <w:ind w:left="0" w:firstLine="0"/>
      </w:pPr>
      <w:r w:rsidRPr="007C5284">
        <w:t>3.2</w:t>
      </w:r>
      <w:r w:rsidRPr="007C5284">
        <w:tab/>
        <w:t xml:space="preserve">Le </w:t>
      </w:r>
      <w:r w:rsidRPr="007C5284">
        <w:rPr>
          <w:b/>
          <w:bCs/>
        </w:rPr>
        <w:t>Secrétaire général</w:t>
      </w:r>
      <w:r w:rsidRPr="007C5284">
        <w:t xml:space="preserve"> remercie tous les orateurs qui, </w:t>
      </w:r>
      <w:r>
        <w:t>dans</w:t>
      </w:r>
      <w:r w:rsidRPr="007C5284">
        <w:t xml:space="preserve"> leur déclaration de politique générale, l</w:t>
      </w:r>
      <w:r>
        <w:t>'</w:t>
      </w:r>
      <w:r w:rsidRPr="007C5284">
        <w:t>ont félicité pour tout ce qu</w:t>
      </w:r>
      <w:r>
        <w:t>'</w:t>
      </w:r>
      <w:r w:rsidRPr="007C5284">
        <w:t>il a accompli au cours de son mandat à l</w:t>
      </w:r>
      <w:r>
        <w:t>'</w:t>
      </w:r>
      <w:r w:rsidRPr="007C5284">
        <w:t>UIT.</w:t>
      </w:r>
    </w:p>
    <w:p w:rsidR="00101C60" w:rsidRPr="007C5284" w:rsidRDefault="00101C60" w:rsidP="00101C60">
      <w:pPr>
        <w:pStyle w:val="enumlev1"/>
        <w:ind w:left="0" w:firstLine="0"/>
      </w:pPr>
      <w:r w:rsidRPr="007C5284">
        <w:t>3.3</w:t>
      </w:r>
      <w:r w:rsidRPr="007C5284">
        <w:tab/>
        <w:t xml:space="preserve">Le </w:t>
      </w:r>
      <w:r w:rsidRPr="007C5284">
        <w:rPr>
          <w:b/>
          <w:bCs/>
        </w:rPr>
        <w:t>Président</w:t>
      </w:r>
      <w:r w:rsidRPr="007C5284">
        <w:t xml:space="preserve"> remercie tous les orateurs qui, </w:t>
      </w:r>
      <w:r>
        <w:t>dans</w:t>
      </w:r>
      <w:r w:rsidRPr="007C5284">
        <w:t xml:space="preserve"> leur déclaration de politique générale, l</w:t>
      </w:r>
      <w:r>
        <w:t>'</w:t>
      </w:r>
      <w:r w:rsidRPr="007C5284">
        <w:t>ont félicité pour son élection en tant que Président de la Conférence, et complimente l</w:t>
      </w:r>
      <w:r>
        <w:t>'</w:t>
      </w:r>
      <w:r w:rsidRPr="007C5284">
        <w:t>Administration hôte pour les services qu</w:t>
      </w:r>
      <w:r>
        <w:t>'</w:t>
      </w:r>
      <w:r w:rsidRPr="007C5284">
        <w:t>elle fournit à la Conférence.</w:t>
      </w:r>
    </w:p>
    <w:p w:rsidR="00101C60" w:rsidRPr="007C5284" w:rsidRDefault="00101C60" w:rsidP="00101C60">
      <w:pPr>
        <w:rPr>
          <w:b/>
          <w:bCs/>
        </w:rPr>
      </w:pPr>
      <w:r w:rsidRPr="007C5284">
        <w:rPr>
          <w:b/>
          <w:bCs/>
        </w:rPr>
        <w:t>La séance est levée à 12</w:t>
      </w:r>
      <w:r>
        <w:rPr>
          <w:b/>
          <w:bCs/>
        </w:rPr>
        <w:t> h </w:t>
      </w:r>
      <w:r w:rsidRPr="007C5284">
        <w:rPr>
          <w:b/>
          <w:bCs/>
        </w:rPr>
        <w:t>40.</w:t>
      </w:r>
    </w:p>
    <w:p w:rsidR="00BD1614" w:rsidRPr="00101C60" w:rsidRDefault="00101C60" w:rsidP="00800126">
      <w:pPr>
        <w:pStyle w:val="Normalpv"/>
        <w:tabs>
          <w:tab w:val="clear" w:pos="1588"/>
          <w:tab w:val="clear" w:pos="1985"/>
          <w:tab w:val="left" w:pos="6804"/>
        </w:tabs>
        <w:spacing w:before="360"/>
        <w:rPr>
          <w:szCs w:val="24"/>
        </w:rPr>
      </w:pPr>
      <w:r w:rsidRPr="007C5284">
        <w:t>Le Secrétaire général:</w:t>
      </w:r>
      <w:r w:rsidRPr="007C5284">
        <w:tab/>
        <w:t>Le Président:</w:t>
      </w:r>
      <w:r w:rsidRPr="007C5284">
        <w:br/>
      </w:r>
      <w:r w:rsidRPr="007C5284">
        <w:rPr>
          <w:szCs w:val="24"/>
        </w:rPr>
        <w:t>H. TOURÉ</w:t>
      </w:r>
      <w:r w:rsidRPr="007C5284">
        <w:tab/>
      </w:r>
      <w:r w:rsidRPr="007C5284">
        <w:tab/>
      </w:r>
      <w:r w:rsidRPr="007C5284">
        <w:rPr>
          <w:szCs w:val="24"/>
        </w:rPr>
        <w:t>W. MIN</w:t>
      </w:r>
    </w:p>
    <w:sectPr w:rsidR="00BD1614" w:rsidRPr="00101C60" w:rsidSect="00800126">
      <w:headerReference w:type="default" r:id="rId13"/>
      <w:footerReference w:type="default" r:id="rId14"/>
      <w:footerReference w:type="first" r:id="rId15"/>
      <w:type w:val="continuous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C0" w:rsidRDefault="004951C0">
      <w:r>
        <w:separator/>
      </w:r>
    </w:p>
  </w:endnote>
  <w:endnote w:type="continuationSeparator" w:id="0">
    <w:p w:rsidR="004951C0" w:rsidRDefault="004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Pr="00800126" w:rsidRDefault="003C2F61" w:rsidP="003C2F61">
    <w:pPr>
      <w:pStyle w:val="Footer"/>
      <w:tabs>
        <w:tab w:val="clear" w:pos="5954"/>
        <w:tab w:val="clear" w:pos="9639"/>
        <w:tab w:val="left" w:pos="5670"/>
        <w:tab w:val="right" w:pos="9356"/>
      </w:tabs>
      <w:rPr>
        <w:color w:val="FFFFFF" w:themeColor="background1"/>
        <w:lang w:val="en-US"/>
      </w:rPr>
    </w:pPr>
    <w:r w:rsidRPr="00800126">
      <w:rPr>
        <w:color w:val="FFFFFF" w:themeColor="background1"/>
      </w:rPr>
      <w:fldChar w:fldCharType="begin"/>
    </w:r>
    <w:r w:rsidRPr="00800126">
      <w:rPr>
        <w:color w:val="FFFFFF" w:themeColor="background1"/>
        <w:lang w:val="en-US"/>
      </w:rPr>
      <w:instrText xml:space="preserve"> FILENAME \p \* MERGEFORMAT </w:instrText>
    </w:r>
    <w:r w:rsidRPr="00800126">
      <w:rPr>
        <w:color w:val="FFFFFF" w:themeColor="background1"/>
      </w:rPr>
      <w:fldChar w:fldCharType="separate"/>
    </w:r>
    <w:r w:rsidR="00800126">
      <w:rPr>
        <w:color w:val="FFFFFF" w:themeColor="background1"/>
        <w:lang w:val="en-US"/>
      </w:rPr>
      <w:t>\\blue\dfs\PP14-Busan\REFTXT2014-PP14\100\108F.DOCX</w:t>
    </w:r>
    <w:r w:rsidRPr="00800126">
      <w:rPr>
        <w:color w:val="FFFFFF" w:themeColor="background1"/>
      </w:rPr>
      <w:fldChar w:fldCharType="end"/>
    </w:r>
    <w:r w:rsidR="00112553" w:rsidRPr="00800126">
      <w:rPr>
        <w:color w:val="FFFFFF" w:themeColor="background1"/>
        <w:lang w:val="en-US"/>
      </w:rPr>
      <w:t xml:space="preserve"> (371504)</w:t>
    </w:r>
    <w:r w:rsidR="000C467B" w:rsidRPr="00800126">
      <w:rPr>
        <w:color w:val="FFFFFF" w:themeColor="background1"/>
        <w:lang w:val="en-US"/>
      </w:rPr>
      <w:tab/>
    </w:r>
    <w:r w:rsidR="00575DC7" w:rsidRPr="00800126">
      <w:rPr>
        <w:color w:val="FFFFFF" w:themeColor="background1"/>
      </w:rPr>
      <w:fldChar w:fldCharType="begin"/>
    </w:r>
    <w:r w:rsidR="000C467B" w:rsidRPr="00800126">
      <w:rPr>
        <w:color w:val="FFFFFF" w:themeColor="background1"/>
      </w:rPr>
      <w:instrText xml:space="preserve"> savedate \@ dd.MM.yy </w:instrText>
    </w:r>
    <w:r w:rsidR="00575DC7" w:rsidRPr="00800126">
      <w:rPr>
        <w:color w:val="FFFFFF" w:themeColor="background1"/>
      </w:rPr>
      <w:fldChar w:fldCharType="separate"/>
    </w:r>
    <w:r w:rsidR="00800126">
      <w:rPr>
        <w:color w:val="FFFFFF" w:themeColor="background1"/>
      </w:rPr>
      <w:t>28.10.14</w:t>
    </w:r>
    <w:r w:rsidR="00575DC7" w:rsidRPr="00800126">
      <w:rPr>
        <w:color w:val="FFFFFF" w:themeColor="background1"/>
      </w:rPr>
      <w:fldChar w:fldCharType="end"/>
    </w:r>
    <w:r w:rsidR="000C467B" w:rsidRPr="00800126">
      <w:rPr>
        <w:color w:val="FFFFFF" w:themeColor="background1"/>
        <w:lang w:val="en-US"/>
      </w:rPr>
      <w:tab/>
    </w:r>
    <w:r w:rsidR="00575DC7" w:rsidRPr="00800126">
      <w:rPr>
        <w:color w:val="FFFFFF" w:themeColor="background1"/>
      </w:rPr>
      <w:fldChar w:fldCharType="begin"/>
    </w:r>
    <w:r w:rsidR="000C467B" w:rsidRPr="00800126">
      <w:rPr>
        <w:color w:val="FFFFFF" w:themeColor="background1"/>
      </w:rPr>
      <w:instrText xml:space="preserve"> printdate \@ dd.MM.yy </w:instrText>
    </w:r>
    <w:r w:rsidR="00575DC7" w:rsidRPr="00800126">
      <w:rPr>
        <w:color w:val="FFFFFF" w:themeColor="background1"/>
      </w:rPr>
      <w:fldChar w:fldCharType="separate"/>
    </w:r>
    <w:r w:rsidR="00800126">
      <w:rPr>
        <w:color w:val="FFFFFF" w:themeColor="background1"/>
      </w:rPr>
      <w:t>00.00.00</w:t>
    </w:r>
    <w:r w:rsidR="00575DC7" w:rsidRPr="00800126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800126" w:rsidRDefault="003C2F61" w:rsidP="003C2F61">
    <w:pPr>
      <w:pStyle w:val="Footer"/>
      <w:tabs>
        <w:tab w:val="clear" w:pos="5954"/>
        <w:tab w:val="clear" w:pos="9639"/>
        <w:tab w:val="left" w:pos="5670"/>
        <w:tab w:val="right" w:pos="9356"/>
      </w:tabs>
      <w:rPr>
        <w:color w:val="FFFFFF" w:themeColor="background1"/>
        <w:lang w:val="en-US"/>
      </w:rPr>
    </w:pPr>
    <w:r w:rsidRPr="00800126">
      <w:rPr>
        <w:color w:val="FFFFFF" w:themeColor="background1"/>
      </w:rPr>
      <w:fldChar w:fldCharType="begin"/>
    </w:r>
    <w:r w:rsidRPr="00800126">
      <w:rPr>
        <w:color w:val="FFFFFF" w:themeColor="background1"/>
        <w:lang w:val="en-US"/>
      </w:rPr>
      <w:instrText xml:space="preserve"> FILENAME \p \* MERGEFORMAT </w:instrText>
    </w:r>
    <w:r w:rsidRPr="00800126">
      <w:rPr>
        <w:color w:val="FFFFFF" w:themeColor="background1"/>
      </w:rPr>
      <w:fldChar w:fldCharType="separate"/>
    </w:r>
    <w:r w:rsidR="00800126">
      <w:rPr>
        <w:color w:val="FFFFFF" w:themeColor="background1"/>
        <w:lang w:val="en-US"/>
      </w:rPr>
      <w:t>\\blue\dfs\PP14-Busan\REFTXT2014-PP14\100\108F.DOCX</w:t>
    </w:r>
    <w:r w:rsidRPr="00800126">
      <w:rPr>
        <w:color w:val="FFFFFF" w:themeColor="background1"/>
      </w:rPr>
      <w:fldChar w:fldCharType="end"/>
    </w:r>
    <w:r w:rsidR="001207CA" w:rsidRPr="00800126">
      <w:rPr>
        <w:color w:val="FFFFFF" w:themeColor="background1"/>
        <w:lang w:val="en-US"/>
      </w:rPr>
      <w:t xml:space="preserve"> (371504)</w:t>
    </w:r>
    <w:r w:rsidR="000C467B" w:rsidRPr="00800126">
      <w:rPr>
        <w:color w:val="FFFFFF" w:themeColor="background1"/>
        <w:lang w:val="en-US"/>
      </w:rPr>
      <w:tab/>
    </w:r>
    <w:r w:rsidR="00575DC7" w:rsidRPr="00800126">
      <w:rPr>
        <w:color w:val="FFFFFF" w:themeColor="background1"/>
      </w:rPr>
      <w:fldChar w:fldCharType="begin"/>
    </w:r>
    <w:r w:rsidR="000C467B" w:rsidRPr="00800126">
      <w:rPr>
        <w:color w:val="FFFFFF" w:themeColor="background1"/>
      </w:rPr>
      <w:instrText xml:space="preserve"> savedate \@ dd.MM.yy </w:instrText>
    </w:r>
    <w:r w:rsidR="00575DC7" w:rsidRPr="00800126">
      <w:rPr>
        <w:color w:val="FFFFFF" w:themeColor="background1"/>
      </w:rPr>
      <w:fldChar w:fldCharType="separate"/>
    </w:r>
    <w:r w:rsidR="00800126">
      <w:rPr>
        <w:color w:val="FFFFFF" w:themeColor="background1"/>
      </w:rPr>
      <w:t>28.10.14</w:t>
    </w:r>
    <w:r w:rsidR="00575DC7" w:rsidRPr="00800126">
      <w:rPr>
        <w:color w:val="FFFFFF" w:themeColor="background1"/>
      </w:rPr>
      <w:fldChar w:fldCharType="end"/>
    </w:r>
    <w:r w:rsidR="000C467B" w:rsidRPr="00800126">
      <w:rPr>
        <w:color w:val="FFFFFF" w:themeColor="background1"/>
        <w:lang w:val="en-US"/>
      </w:rPr>
      <w:tab/>
    </w:r>
    <w:r w:rsidR="00575DC7" w:rsidRPr="00800126">
      <w:rPr>
        <w:color w:val="FFFFFF" w:themeColor="background1"/>
      </w:rPr>
      <w:fldChar w:fldCharType="begin"/>
    </w:r>
    <w:r w:rsidR="000C467B" w:rsidRPr="00800126">
      <w:rPr>
        <w:color w:val="FFFFFF" w:themeColor="background1"/>
      </w:rPr>
      <w:instrText xml:space="preserve"> printdate \@ dd.MM.yy </w:instrText>
    </w:r>
    <w:r w:rsidR="00575DC7" w:rsidRPr="00800126">
      <w:rPr>
        <w:color w:val="FFFFFF" w:themeColor="background1"/>
      </w:rPr>
      <w:fldChar w:fldCharType="separate"/>
    </w:r>
    <w:r w:rsidR="00800126">
      <w:rPr>
        <w:color w:val="FFFFFF" w:themeColor="background1"/>
      </w:rPr>
      <w:t>00.00.00</w:t>
    </w:r>
    <w:r w:rsidR="00575DC7" w:rsidRPr="00800126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C0" w:rsidRDefault="004951C0" w:rsidP="00800126">
      <w:pPr>
        <w:spacing w:before="0"/>
      </w:pPr>
      <w:r>
        <w:t>____________________</w:t>
      </w:r>
    </w:p>
  </w:footnote>
  <w:footnote w:type="continuationSeparator" w:id="0">
    <w:p w:rsidR="004951C0" w:rsidRDefault="004951C0">
      <w:r>
        <w:continuationSeparator/>
      </w:r>
    </w:p>
  </w:footnote>
  <w:footnote w:id="1">
    <w:p w:rsidR="00F13C97" w:rsidRPr="00F13C97" w:rsidRDefault="00F13C97" w:rsidP="00F13C97">
      <w:pPr>
        <w:pStyle w:val="FootnoteText"/>
        <w:rPr>
          <w:sz w:val="22"/>
          <w:szCs w:val="22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00F13C97">
        <w:rPr>
          <w:sz w:val="22"/>
          <w:szCs w:val="22"/>
          <w:lang w:val="fr-CH"/>
        </w:rPr>
        <w:t xml:space="preserve">Les textes des déclarations de politique générale remis au secrétariat de l'UIT peuvent être consultés à l'adresse suivante: </w:t>
      </w:r>
      <w:hyperlink r:id="rId1" w:history="1">
        <w:r w:rsidRPr="00F13C97">
          <w:rPr>
            <w:rStyle w:val="Hyperlink"/>
            <w:sz w:val="22"/>
            <w:szCs w:val="22"/>
            <w:lang w:val="fr-CH"/>
          </w:rPr>
          <w:t>http://www.itu.int/en/plenipotentiary/2014/statements/Pages/default.aspx</w:t>
        </w:r>
      </w:hyperlink>
      <w:r w:rsidRPr="00F13C97">
        <w:rPr>
          <w:sz w:val="22"/>
          <w:szCs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00126">
      <w:rPr>
        <w:noProof/>
      </w:rPr>
      <w:t>2</w:t>
    </w:r>
    <w:r>
      <w:fldChar w:fldCharType="end"/>
    </w:r>
  </w:p>
  <w:p w:rsidR="00BD1614" w:rsidRDefault="000B4A61" w:rsidP="00BD1614">
    <w:pPr>
      <w:pStyle w:val="Header"/>
    </w:pPr>
    <w:r>
      <w:t>PP14/</w:t>
    </w:r>
    <w:r w:rsidR="00BD1614">
      <w:t>108-</w:t>
    </w:r>
    <w:r w:rsidR="00BD1614" w:rsidRPr="00010B43">
      <w:t>F</w:t>
    </w:r>
  </w:p>
  <w:p w:rsidR="00000000" w:rsidRDefault="008001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43A66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C81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1CA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1CB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80E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049E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61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EA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DC5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0AF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81E72"/>
    <w:multiLevelType w:val="multilevel"/>
    <w:tmpl w:val="827408CA"/>
    <w:lvl w:ilvl="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B4A61"/>
    <w:rsid w:val="000C467B"/>
    <w:rsid w:val="000D15FB"/>
    <w:rsid w:val="000F58F7"/>
    <w:rsid w:val="00101C60"/>
    <w:rsid w:val="001051E4"/>
    <w:rsid w:val="00112553"/>
    <w:rsid w:val="001207CA"/>
    <w:rsid w:val="001354EA"/>
    <w:rsid w:val="00136FCE"/>
    <w:rsid w:val="00153BA4"/>
    <w:rsid w:val="001941AD"/>
    <w:rsid w:val="001A0682"/>
    <w:rsid w:val="001B4D8D"/>
    <w:rsid w:val="001D31B2"/>
    <w:rsid w:val="001E1B9B"/>
    <w:rsid w:val="001F6233"/>
    <w:rsid w:val="002355CD"/>
    <w:rsid w:val="00270B2F"/>
    <w:rsid w:val="002A0E1B"/>
    <w:rsid w:val="002C1059"/>
    <w:rsid w:val="002C2F9C"/>
    <w:rsid w:val="00322DEA"/>
    <w:rsid w:val="003A0B7D"/>
    <w:rsid w:val="003A45C2"/>
    <w:rsid w:val="003C2F61"/>
    <w:rsid w:val="003C4BE2"/>
    <w:rsid w:val="003D147D"/>
    <w:rsid w:val="003D637A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8134C"/>
    <w:rsid w:val="007A5830"/>
    <w:rsid w:val="00800126"/>
    <w:rsid w:val="00801256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031BA"/>
    <w:rsid w:val="00B41E0A"/>
    <w:rsid w:val="00B56DE0"/>
    <w:rsid w:val="00B71F12"/>
    <w:rsid w:val="00B96B1E"/>
    <w:rsid w:val="00BB2A6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C4DC5"/>
    <w:rsid w:val="00CD2ECD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2D9C"/>
    <w:rsid w:val="00E93D35"/>
    <w:rsid w:val="00EA45DB"/>
    <w:rsid w:val="00ED2CD9"/>
    <w:rsid w:val="00F07DA7"/>
    <w:rsid w:val="00F13C97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Index1">
    <w:name w:val="index 1"/>
    <w:basedOn w:val="Normal"/>
    <w:next w:val="Normal"/>
    <w:rsid w:val="00101C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Cs w:val="24"/>
      <w:lang w:val="en-GB" w:eastAsia="zh-CN"/>
    </w:rPr>
  </w:style>
  <w:style w:type="character" w:styleId="FollowedHyperlink">
    <w:name w:val="FollowedHyperlink"/>
    <w:basedOn w:val="DefaultParagraphFont"/>
    <w:semiHidden/>
    <w:unhideWhenUsed/>
    <w:rsid w:val="00101C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1C60"/>
    <w:pPr>
      <w:numPr>
        <w:ilvl w:val="1"/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line="480" w:lineRule="auto"/>
      <w:ind w:left="357" w:firstLine="0"/>
      <w:contextualSpacing/>
    </w:pPr>
    <w:rPr>
      <w:rFonts w:asciiTheme="minorHAnsi" w:hAnsiTheme="minorHAnsi"/>
      <w:szCs w:val="24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101C60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4-PP-C-0020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lenipotentiary/2014/statement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39afe7-7beb-4053-8235-48348c73a509" targetNamespace="http://schemas.microsoft.com/office/2006/metadata/properties" ma:root="true" ma:fieldsID="d41af5c836d734370eb92e7ee5f83852" ns2:_="" ns3:_="">
    <xsd:import namespace="996b2e75-67fd-4955-a3b0-5ab9934cb50b"/>
    <xsd:import namespace="3b39afe7-7beb-4053-8235-48348c73a50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9afe7-7beb-4053-8235-48348c73a50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39afe7-7beb-4053-8235-48348c73a509">Documents Proposals Manager (DPM)</DPM_x0020_Author>
    <DPM_x0020_File_x0020_name xmlns="3b39afe7-7beb-4053-8235-48348c73a509">S14-PP-141020-TD-0108!!MSW-F</DPM_x0020_File_x0020_name>
    <DPM_x0020_Version xmlns="3b39afe7-7beb-4053-8235-48348c73a509">DPM_v5.7.1.40_prod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39afe7-7beb-4053-8235-48348c73a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3b39afe7-7beb-4053-8235-48348c73a509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D6433A-83A0-4A5C-86F5-A1256A4A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S14-PP-141020-TD-0108!!MSW-F</vt:lpstr>
    </vt:vector>
  </TitlesOfParts>
  <Manager/>
  <Company/>
  <LinksUpToDate>false</LinksUpToDate>
  <CharactersWithSpaces>6255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S14-PP-141020-TD-0108!!MSW-F</dc:title>
  <dc:subject>Plenipotentiary Conference (PP-14)</dc:subject>
  <dc:creator/>
  <cp:keywords>DPM_v5.7.1.40_prod</cp:keywords>
  <dc:description/>
  <cp:lastModifiedBy/>
  <cp:revision>1</cp:revision>
  <dcterms:created xsi:type="dcterms:W3CDTF">2014-10-28T03:24:00Z</dcterms:created>
  <dcterms:modified xsi:type="dcterms:W3CDTF">2014-10-28T03:24:00Z</dcterms:modified>
  <cp:category>Conference document</cp:category>
</cp:coreProperties>
</file>