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78AA" w:rsidRPr="00D96B4B" w:rsidTr="009078AA">
        <w:trPr>
          <w:cantSplit/>
        </w:trPr>
        <w:tc>
          <w:tcPr>
            <w:tcW w:w="6911" w:type="dxa"/>
            <w:vAlign w:val="center"/>
          </w:tcPr>
          <w:p w:rsidR="009078AA" w:rsidRPr="00F04067" w:rsidRDefault="009078AA" w:rsidP="009078AA">
            <w:pPr>
              <w:spacing w:before="0"/>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9078AA" w:rsidRPr="00D96B4B" w:rsidRDefault="009078AA" w:rsidP="009078AA">
            <w:pPr>
              <w:spacing w:before="0"/>
              <w:rPr>
                <w:rFonts w:cstheme="minorHAnsi"/>
              </w:rPr>
            </w:pPr>
            <w:bookmarkStart w:id="1" w:name="ditulogo"/>
            <w:bookmarkEnd w:id="1"/>
            <w:r w:rsidRPr="00D96B4B">
              <w:rPr>
                <w:rFonts w:cstheme="minorHAnsi"/>
                <w:noProof/>
                <w:lang w:val="en-US" w:eastAsia="zh-CN"/>
              </w:rPr>
              <w:drawing>
                <wp:inline distT="0" distB="0" distL="0" distR="0" wp14:anchorId="31C91965" wp14:editId="0ADFF4D6">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9078AA" w:rsidRPr="00D96B4B" w:rsidTr="00C27C94">
        <w:trPr>
          <w:cantSplit/>
        </w:trPr>
        <w:tc>
          <w:tcPr>
            <w:tcW w:w="6911" w:type="dxa"/>
            <w:tcBorders>
              <w:bottom w:val="single" w:sz="12" w:space="0" w:color="auto"/>
            </w:tcBorders>
          </w:tcPr>
          <w:p w:rsidR="009078AA" w:rsidRPr="00D96B4B" w:rsidRDefault="009078AA" w:rsidP="009078AA">
            <w:pPr>
              <w:spacing w:before="0"/>
              <w:rPr>
                <w:rFonts w:cstheme="minorHAnsi"/>
                <w:b/>
                <w:smallCaps/>
                <w:szCs w:val="24"/>
              </w:rPr>
            </w:pPr>
          </w:p>
        </w:tc>
        <w:tc>
          <w:tcPr>
            <w:tcW w:w="3120" w:type="dxa"/>
            <w:tcBorders>
              <w:bottom w:val="single" w:sz="12" w:space="0" w:color="auto"/>
            </w:tcBorders>
          </w:tcPr>
          <w:p w:rsidR="009078AA" w:rsidRPr="00D96B4B" w:rsidRDefault="009078AA" w:rsidP="009078AA">
            <w:pPr>
              <w:spacing w:before="0"/>
              <w:rPr>
                <w:rFonts w:cstheme="minorHAnsi"/>
                <w:szCs w:val="24"/>
              </w:rPr>
            </w:pPr>
          </w:p>
        </w:tc>
      </w:tr>
      <w:tr w:rsidR="009078AA" w:rsidRPr="00D96B4B" w:rsidTr="00C27C94">
        <w:trPr>
          <w:cantSplit/>
        </w:trPr>
        <w:tc>
          <w:tcPr>
            <w:tcW w:w="6911" w:type="dxa"/>
            <w:tcBorders>
              <w:top w:val="single" w:sz="12" w:space="0" w:color="auto"/>
            </w:tcBorders>
          </w:tcPr>
          <w:p w:rsidR="009078AA" w:rsidRPr="00D96B4B" w:rsidRDefault="009078AA" w:rsidP="009078AA">
            <w:pPr>
              <w:spacing w:before="0"/>
              <w:rPr>
                <w:rFonts w:cstheme="minorHAnsi"/>
                <w:b/>
                <w:smallCaps/>
                <w:sz w:val="20"/>
              </w:rPr>
            </w:pPr>
          </w:p>
        </w:tc>
        <w:tc>
          <w:tcPr>
            <w:tcW w:w="3120" w:type="dxa"/>
            <w:tcBorders>
              <w:top w:val="single" w:sz="12" w:space="0" w:color="auto"/>
            </w:tcBorders>
          </w:tcPr>
          <w:p w:rsidR="009078AA" w:rsidRPr="00D96B4B" w:rsidRDefault="009078AA" w:rsidP="009078AA">
            <w:pPr>
              <w:spacing w:before="0"/>
              <w:rPr>
                <w:rFonts w:cstheme="minorHAnsi"/>
                <w:sz w:val="20"/>
              </w:rPr>
            </w:pPr>
          </w:p>
        </w:tc>
      </w:tr>
      <w:tr w:rsidR="009078AA" w:rsidRPr="00D96B4B" w:rsidTr="00C27C94">
        <w:trPr>
          <w:cantSplit/>
          <w:trHeight w:val="23"/>
        </w:trPr>
        <w:tc>
          <w:tcPr>
            <w:tcW w:w="6911" w:type="dxa"/>
            <w:shd w:val="clear" w:color="auto" w:fill="auto"/>
          </w:tcPr>
          <w:p w:rsidR="009078AA" w:rsidRPr="00555B4A" w:rsidRDefault="009078AA" w:rsidP="009078AA">
            <w:pPr>
              <w:pStyle w:val="Committee"/>
              <w:framePr w:hSpace="0" w:wrap="auto" w:hAnchor="text" w:yAlign="inline"/>
              <w:spacing w:after="0" w:line="240" w:lineRule="auto"/>
              <w:rPr>
                <w:sz w:val="24"/>
                <w:szCs w:val="28"/>
              </w:rPr>
            </w:pPr>
            <w:r w:rsidRPr="00555B4A">
              <w:rPr>
                <w:sz w:val="24"/>
                <w:szCs w:val="28"/>
              </w:rPr>
              <w:t>PLENARY MEETING</w:t>
            </w:r>
          </w:p>
        </w:tc>
        <w:tc>
          <w:tcPr>
            <w:tcW w:w="3120" w:type="dxa"/>
          </w:tcPr>
          <w:p w:rsidR="009078AA" w:rsidRPr="00D96B4B" w:rsidRDefault="009078AA" w:rsidP="00555B4A">
            <w:pPr>
              <w:tabs>
                <w:tab w:val="left" w:pos="851"/>
              </w:tabs>
              <w:spacing w:before="0"/>
              <w:rPr>
                <w:rFonts w:cstheme="minorHAnsi"/>
                <w:szCs w:val="24"/>
              </w:rPr>
            </w:pPr>
            <w:r>
              <w:rPr>
                <w:rFonts w:cstheme="minorHAnsi"/>
                <w:b/>
                <w:szCs w:val="24"/>
              </w:rPr>
              <w:t>Document 60-E</w:t>
            </w:r>
          </w:p>
        </w:tc>
      </w:tr>
      <w:tr w:rsidR="009078AA" w:rsidRPr="00D96B4B" w:rsidTr="00C27C94">
        <w:trPr>
          <w:cantSplit/>
          <w:trHeight w:val="23"/>
        </w:trPr>
        <w:tc>
          <w:tcPr>
            <w:tcW w:w="6911" w:type="dxa"/>
            <w:shd w:val="clear" w:color="auto" w:fill="auto"/>
          </w:tcPr>
          <w:p w:rsidR="009078AA" w:rsidRPr="00D96B4B" w:rsidRDefault="009078AA" w:rsidP="009078AA">
            <w:pPr>
              <w:tabs>
                <w:tab w:val="left" w:pos="851"/>
              </w:tabs>
              <w:spacing w:before="0"/>
              <w:rPr>
                <w:rFonts w:cstheme="minorHAnsi"/>
                <w:b/>
                <w:szCs w:val="24"/>
              </w:rPr>
            </w:pPr>
          </w:p>
        </w:tc>
        <w:tc>
          <w:tcPr>
            <w:tcW w:w="3120" w:type="dxa"/>
          </w:tcPr>
          <w:p w:rsidR="009078AA" w:rsidRPr="00D96B4B" w:rsidRDefault="00863B85" w:rsidP="00C73B61">
            <w:pPr>
              <w:spacing w:before="0"/>
              <w:rPr>
                <w:rFonts w:cstheme="minorHAnsi"/>
                <w:szCs w:val="24"/>
              </w:rPr>
            </w:pPr>
            <w:r>
              <w:rPr>
                <w:rFonts w:cstheme="minorHAnsi"/>
                <w:b/>
                <w:szCs w:val="24"/>
              </w:rPr>
              <w:t>1</w:t>
            </w:r>
            <w:r w:rsidR="00C73B61">
              <w:rPr>
                <w:rFonts w:cstheme="minorHAnsi"/>
                <w:b/>
                <w:szCs w:val="24"/>
              </w:rPr>
              <w:t>2 August</w:t>
            </w:r>
            <w:r w:rsidR="009078AA">
              <w:rPr>
                <w:rFonts w:cstheme="minorHAnsi"/>
                <w:b/>
                <w:szCs w:val="24"/>
              </w:rPr>
              <w:t xml:space="preserve"> 2014</w:t>
            </w:r>
          </w:p>
        </w:tc>
      </w:tr>
      <w:tr w:rsidR="009078AA" w:rsidRPr="00D96B4B" w:rsidTr="00C27C94">
        <w:trPr>
          <w:cantSplit/>
          <w:trHeight w:val="23"/>
        </w:trPr>
        <w:tc>
          <w:tcPr>
            <w:tcW w:w="6911" w:type="dxa"/>
            <w:shd w:val="clear" w:color="auto" w:fill="auto"/>
          </w:tcPr>
          <w:p w:rsidR="009078AA" w:rsidRPr="00D96B4B" w:rsidRDefault="009078AA" w:rsidP="009078AA">
            <w:pPr>
              <w:tabs>
                <w:tab w:val="left" w:pos="851"/>
              </w:tabs>
              <w:spacing w:before="0"/>
              <w:rPr>
                <w:rFonts w:cstheme="minorHAnsi"/>
                <w:szCs w:val="24"/>
              </w:rPr>
            </w:pPr>
          </w:p>
        </w:tc>
        <w:tc>
          <w:tcPr>
            <w:tcW w:w="3120" w:type="dxa"/>
          </w:tcPr>
          <w:p w:rsidR="009078AA" w:rsidRPr="00D96B4B" w:rsidRDefault="009078AA" w:rsidP="009078AA">
            <w:pPr>
              <w:tabs>
                <w:tab w:val="left" w:pos="993"/>
              </w:tabs>
              <w:spacing w:before="0"/>
              <w:rPr>
                <w:rFonts w:cstheme="minorHAnsi"/>
                <w:b/>
                <w:szCs w:val="24"/>
              </w:rPr>
            </w:pPr>
            <w:r w:rsidRPr="00D96B4B">
              <w:rPr>
                <w:rFonts w:cstheme="minorHAnsi"/>
                <w:b/>
                <w:szCs w:val="24"/>
              </w:rPr>
              <w:t>Original: English</w:t>
            </w:r>
          </w:p>
        </w:tc>
      </w:tr>
      <w:tr w:rsidR="009078AA" w:rsidRPr="00D96B4B" w:rsidTr="00C27C94">
        <w:trPr>
          <w:cantSplit/>
          <w:trHeight w:val="23"/>
        </w:trPr>
        <w:tc>
          <w:tcPr>
            <w:tcW w:w="10031" w:type="dxa"/>
            <w:gridSpan w:val="2"/>
            <w:shd w:val="clear" w:color="auto" w:fill="auto"/>
          </w:tcPr>
          <w:p w:rsidR="009078AA" w:rsidRPr="00D96B4B" w:rsidRDefault="009078AA" w:rsidP="009078AA">
            <w:pPr>
              <w:tabs>
                <w:tab w:val="left" w:pos="993"/>
              </w:tabs>
              <w:spacing w:before="0"/>
              <w:rPr>
                <w:rFonts w:ascii="Verdana" w:hAnsi="Verdana"/>
                <w:b/>
                <w:szCs w:val="24"/>
              </w:rPr>
            </w:pPr>
          </w:p>
        </w:tc>
      </w:tr>
      <w:tr w:rsidR="009078AA" w:rsidTr="00C27C94">
        <w:trPr>
          <w:cantSplit/>
          <w:trHeight w:val="23"/>
        </w:trPr>
        <w:tc>
          <w:tcPr>
            <w:tcW w:w="10031" w:type="dxa"/>
            <w:gridSpan w:val="2"/>
            <w:shd w:val="clear" w:color="auto" w:fill="auto"/>
          </w:tcPr>
          <w:p w:rsidR="009078AA" w:rsidRDefault="009078AA" w:rsidP="009078AA">
            <w:pPr>
              <w:pStyle w:val="Source"/>
              <w:spacing w:before="0"/>
            </w:pPr>
            <w:r>
              <w:t>Report by the Secretary-General</w:t>
            </w:r>
          </w:p>
        </w:tc>
      </w:tr>
      <w:tr w:rsidR="009078AA" w:rsidTr="00C27C94">
        <w:trPr>
          <w:cantSplit/>
          <w:trHeight w:val="23"/>
        </w:trPr>
        <w:tc>
          <w:tcPr>
            <w:tcW w:w="10031" w:type="dxa"/>
            <w:gridSpan w:val="2"/>
            <w:shd w:val="clear" w:color="auto" w:fill="auto"/>
          </w:tcPr>
          <w:p w:rsidR="009078AA" w:rsidRPr="009078AA" w:rsidRDefault="009078AA" w:rsidP="009078AA">
            <w:pPr>
              <w:pStyle w:val="Title1"/>
            </w:pPr>
            <w:r w:rsidRPr="009078AA">
              <w:t>Comprehensive Report on the Rights, Obligations and Conditions for Participation of Sector Members, Associates and Academia</w:t>
            </w:r>
          </w:p>
        </w:tc>
      </w:tr>
    </w:tbl>
    <w:p w:rsidR="00DD3A13" w:rsidRDefault="00DD3A13" w:rsidP="00347CB0">
      <w:pPr>
        <w:jc w:val="center"/>
        <w:rPr>
          <w:b/>
          <w:bCs/>
          <w:szCs w:val="24"/>
        </w:rPr>
      </w:pPr>
    </w:p>
    <w:p w:rsidR="00DD3A13" w:rsidRPr="006258C3" w:rsidRDefault="00DD3A13" w:rsidP="006258C3">
      <w:pPr>
        <w:jc w:val="center"/>
        <w:rPr>
          <w:b/>
          <w:bCs/>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8789D" w:rsidRPr="007A0E5A" w:rsidTr="00067DF0">
        <w:trPr>
          <w:trHeight w:val="3372"/>
        </w:trPr>
        <w:tc>
          <w:tcPr>
            <w:tcW w:w="9072" w:type="dxa"/>
            <w:tcBorders>
              <w:top w:val="single" w:sz="12" w:space="0" w:color="auto"/>
              <w:left w:val="single" w:sz="12" w:space="0" w:color="auto"/>
              <w:bottom w:val="single" w:sz="12" w:space="0" w:color="auto"/>
              <w:right w:val="single" w:sz="12" w:space="0" w:color="auto"/>
            </w:tcBorders>
          </w:tcPr>
          <w:p w:rsidR="00644BBC" w:rsidRPr="00476DCE" w:rsidRDefault="00644BBC" w:rsidP="007A0E5A">
            <w:pPr>
              <w:snapToGrid w:val="0"/>
              <w:spacing w:after="120"/>
              <w:rPr>
                <w:b/>
                <w:bCs/>
              </w:rPr>
            </w:pPr>
            <w:r w:rsidRPr="00476DCE">
              <w:rPr>
                <w:b/>
                <w:bCs/>
              </w:rPr>
              <w:t>Summary</w:t>
            </w:r>
          </w:p>
          <w:p w:rsidR="00644BBC" w:rsidRPr="0003363E" w:rsidRDefault="00644BBC" w:rsidP="007A0E5A">
            <w:pPr>
              <w:snapToGrid w:val="0"/>
              <w:spacing w:after="120"/>
            </w:pPr>
            <w:r w:rsidRPr="0003363E">
              <w:t>As requested b</w:t>
            </w:r>
            <w:r w:rsidR="004136E2">
              <w:t xml:space="preserve">y Council 2014, this </w:t>
            </w:r>
            <w:r w:rsidRPr="0003363E">
              <w:t>document provides a comprehensive report to the Plenipotentiary Conference on rights and obligations/conditions for participation of Sector Members, Associates</w:t>
            </w:r>
            <w:r w:rsidR="008829D1">
              <w:t>,</w:t>
            </w:r>
            <w:r w:rsidRPr="0003363E">
              <w:t xml:space="preserve"> and Academia, as appropriate, in meetings of all three </w:t>
            </w:r>
            <w:r w:rsidR="00714592">
              <w:t>S</w:t>
            </w:r>
            <w:r w:rsidRPr="0003363E">
              <w:t>ectors and in Council and Plenipotentiary Conferences.</w:t>
            </w:r>
            <w:r>
              <w:t xml:space="preserve"> </w:t>
            </w:r>
          </w:p>
          <w:p w:rsidR="00644BBC" w:rsidRPr="0003363E" w:rsidRDefault="00644BBC" w:rsidP="007A0E5A">
            <w:pPr>
              <w:snapToGrid w:val="0"/>
              <w:spacing w:after="120"/>
              <w:rPr>
                <w:b/>
                <w:bCs/>
              </w:rPr>
            </w:pPr>
            <w:r w:rsidRPr="0003363E">
              <w:rPr>
                <w:b/>
                <w:bCs/>
              </w:rPr>
              <w:t>Action required</w:t>
            </w:r>
          </w:p>
          <w:p w:rsidR="00644BBC" w:rsidRPr="0003363E" w:rsidRDefault="00644BBC" w:rsidP="007A0E5A">
            <w:pPr>
              <w:snapToGrid w:val="0"/>
              <w:spacing w:after="120"/>
              <w:rPr>
                <w:b/>
                <w:bCs/>
              </w:rPr>
            </w:pPr>
            <w:r w:rsidRPr="0003363E">
              <w:t xml:space="preserve">The Plenipotentiary Conference is invited to </w:t>
            </w:r>
            <w:r w:rsidRPr="0003363E">
              <w:rPr>
                <w:b/>
                <w:bCs/>
              </w:rPr>
              <w:t>note</w:t>
            </w:r>
            <w:r w:rsidRPr="0003363E">
              <w:t xml:space="preserve"> this document and to </w:t>
            </w:r>
            <w:r w:rsidRPr="0003363E">
              <w:rPr>
                <w:b/>
              </w:rPr>
              <w:t>consider</w:t>
            </w:r>
            <w:r w:rsidR="00EF15BA">
              <w:rPr>
                <w:b/>
              </w:rPr>
              <w:t xml:space="preserve"> and adopt</w:t>
            </w:r>
            <w:r w:rsidRPr="0003363E">
              <w:rPr>
                <w:b/>
              </w:rPr>
              <w:t xml:space="preserve"> </w:t>
            </w:r>
            <w:r w:rsidRPr="0003363E">
              <w:t>the proposals for revision of Resolutions </w:t>
            </w:r>
            <w:r w:rsidRPr="0003363E">
              <w:rPr>
                <w:lang w:val="en-US"/>
              </w:rPr>
              <w:t xml:space="preserve">152 (Rev. Guadalajara, 2010), 158 (Rev. Guadalajara, 2010), 169 (Guadalajara, 2010) </w:t>
            </w:r>
            <w:r w:rsidRPr="0003363E">
              <w:t xml:space="preserve">and 170 (Guadalajara, 2010), as well as a new draft Resolution on the </w:t>
            </w:r>
            <w:r w:rsidRPr="0003363E">
              <w:rPr>
                <w:i/>
                <w:iCs/>
              </w:rPr>
              <w:t>Review of the Current Methodologies and Future Vision for the participation of Sector Members, Associates and Academia in the activities of ITU</w:t>
            </w:r>
            <w:r w:rsidRPr="0003363E">
              <w:t xml:space="preserve">. </w:t>
            </w:r>
          </w:p>
          <w:p w:rsidR="0068789D" w:rsidRPr="00F775A7" w:rsidRDefault="0068789D" w:rsidP="007A0E5A">
            <w:pPr>
              <w:pStyle w:val="Table"/>
              <w:keepNext w:val="0"/>
              <w:snapToGrid w:val="0"/>
              <w:spacing w:before="120"/>
              <w:rPr>
                <w:rFonts w:ascii="Calibri" w:hAnsi="Calibri"/>
                <w:caps w:val="0"/>
                <w:sz w:val="22"/>
                <w:szCs w:val="22"/>
                <w:lang w:val="es-ES"/>
              </w:rPr>
            </w:pPr>
            <w:r w:rsidRPr="00F775A7">
              <w:rPr>
                <w:rFonts w:ascii="Calibri" w:hAnsi="Calibri"/>
                <w:caps w:val="0"/>
                <w:sz w:val="22"/>
                <w:szCs w:val="22"/>
                <w:lang w:val="es-ES"/>
              </w:rPr>
              <w:t>___________</w:t>
            </w:r>
          </w:p>
          <w:p w:rsidR="0068789D" w:rsidRPr="00943EA7" w:rsidRDefault="0068789D" w:rsidP="007A0E5A">
            <w:pPr>
              <w:snapToGrid w:val="0"/>
              <w:spacing w:after="120"/>
              <w:rPr>
                <w:b/>
                <w:bCs/>
                <w:lang w:val="es-ES_tradnl"/>
              </w:rPr>
            </w:pPr>
            <w:r w:rsidRPr="00943EA7">
              <w:rPr>
                <w:b/>
                <w:bCs/>
                <w:lang w:val="es-ES_tradnl"/>
              </w:rPr>
              <w:t>References</w:t>
            </w:r>
          </w:p>
          <w:p w:rsidR="0068789D" w:rsidRPr="0046437B" w:rsidRDefault="00312D69" w:rsidP="007A0E5A">
            <w:pPr>
              <w:snapToGrid w:val="0"/>
              <w:spacing w:after="120"/>
              <w:rPr>
                <w:bCs/>
                <w:i/>
                <w:iCs/>
                <w:lang w:val="es-ES_tradnl"/>
              </w:rPr>
            </w:pPr>
            <w:r w:rsidRPr="0046437B">
              <w:rPr>
                <w:bCs/>
                <w:i/>
                <w:iCs/>
                <w:lang w:val="es-ES_tradnl"/>
              </w:rPr>
              <w:t>Article</w:t>
            </w:r>
            <w:r w:rsidR="00714592" w:rsidRPr="0046437B">
              <w:rPr>
                <w:bCs/>
                <w:i/>
                <w:iCs/>
                <w:lang w:val="es-ES_tradnl"/>
              </w:rPr>
              <w:t>s</w:t>
            </w:r>
            <w:r w:rsidRPr="0046437B">
              <w:rPr>
                <w:bCs/>
                <w:i/>
                <w:iCs/>
                <w:lang w:val="es-ES_tradnl"/>
              </w:rPr>
              <w:t xml:space="preserve"> </w:t>
            </w:r>
            <w:hyperlink r:id="rId10" w:anchor="csart2" w:history="1">
              <w:r w:rsidRPr="0046437B">
                <w:rPr>
                  <w:rStyle w:val="Hyperlink"/>
                  <w:bCs/>
                  <w:i/>
                  <w:iCs/>
                  <w:lang w:val="es-ES_tradnl"/>
                </w:rPr>
                <w:t>2CS</w:t>
              </w:r>
            </w:hyperlink>
            <w:r w:rsidRPr="0046437B">
              <w:rPr>
                <w:bCs/>
                <w:i/>
                <w:iCs/>
                <w:lang w:val="es-ES_tradnl"/>
              </w:rPr>
              <w:t xml:space="preserve">, </w:t>
            </w:r>
            <w:hyperlink r:id="rId11" w:anchor="csart3" w:history="1">
              <w:r w:rsidRPr="0046437B">
                <w:rPr>
                  <w:rStyle w:val="Hyperlink"/>
                  <w:bCs/>
                  <w:i/>
                  <w:iCs/>
                  <w:lang w:val="es-ES_tradnl"/>
                </w:rPr>
                <w:t>3CS</w:t>
              </w:r>
            </w:hyperlink>
            <w:r w:rsidRPr="0046437B">
              <w:rPr>
                <w:bCs/>
                <w:i/>
                <w:iCs/>
                <w:lang w:val="es-ES_tradnl"/>
              </w:rPr>
              <w:t xml:space="preserve">, </w:t>
            </w:r>
            <w:hyperlink r:id="rId12" w:anchor="csart28" w:history="1">
              <w:r w:rsidRPr="0046437B">
                <w:rPr>
                  <w:rStyle w:val="Hyperlink"/>
                  <w:bCs/>
                  <w:i/>
                  <w:iCs/>
                  <w:lang w:val="es-ES_tradnl"/>
                </w:rPr>
                <w:t>28CS</w:t>
              </w:r>
            </w:hyperlink>
            <w:r w:rsidRPr="0046437B">
              <w:rPr>
                <w:bCs/>
                <w:i/>
                <w:iCs/>
                <w:lang w:val="es-ES_tradnl"/>
              </w:rPr>
              <w:t xml:space="preserve">, </w:t>
            </w:r>
            <w:hyperlink r:id="rId13" w:anchor="cvart19" w:history="1">
              <w:r w:rsidRPr="0046437B">
                <w:rPr>
                  <w:rStyle w:val="Hyperlink"/>
                  <w:bCs/>
                  <w:i/>
                  <w:iCs/>
                  <w:lang w:val="es-ES_tradnl"/>
                </w:rPr>
                <w:t>19CV</w:t>
              </w:r>
            </w:hyperlink>
            <w:r w:rsidRPr="0046437B">
              <w:rPr>
                <w:bCs/>
                <w:i/>
                <w:iCs/>
                <w:lang w:val="es-ES_tradnl"/>
              </w:rPr>
              <w:t xml:space="preserve">, </w:t>
            </w:r>
            <w:hyperlink r:id="rId14" w:anchor="cvart20" w:history="1">
              <w:r w:rsidRPr="0046437B">
                <w:rPr>
                  <w:rStyle w:val="Hyperlink"/>
                  <w:bCs/>
                  <w:i/>
                  <w:iCs/>
                  <w:szCs w:val="24"/>
                  <w:lang w:val="es-ES_tradnl"/>
                </w:rPr>
                <w:t>20CV</w:t>
              </w:r>
            </w:hyperlink>
            <w:r w:rsidRPr="0046437B">
              <w:rPr>
                <w:bCs/>
                <w:i/>
                <w:iCs/>
                <w:lang w:val="es-ES_tradnl"/>
              </w:rPr>
              <w:t xml:space="preserve">, </w:t>
            </w:r>
            <w:hyperlink r:id="rId15" w:anchor="cvart33" w:history="1">
              <w:r w:rsidRPr="0046437B">
                <w:rPr>
                  <w:rStyle w:val="Hyperlink"/>
                  <w:bCs/>
                  <w:i/>
                  <w:iCs/>
                  <w:lang w:val="es-ES_tradnl"/>
                </w:rPr>
                <w:t>33CV</w:t>
              </w:r>
            </w:hyperlink>
            <w:r w:rsidRPr="0046437B">
              <w:rPr>
                <w:bCs/>
                <w:i/>
                <w:iCs/>
                <w:lang w:val="es-ES_tradnl"/>
              </w:rPr>
              <w:t xml:space="preserve">, </w:t>
            </w:r>
            <w:hyperlink r:id="rId16" w:history="1">
              <w:r w:rsidRPr="0046437B">
                <w:rPr>
                  <w:rStyle w:val="Hyperlink"/>
                  <w:bCs/>
                  <w:i/>
                  <w:iCs/>
                  <w:lang w:val="es-ES_tradnl"/>
                </w:rPr>
                <w:t>C2000/28</w:t>
              </w:r>
            </w:hyperlink>
            <w:r w:rsidRPr="0046437B">
              <w:rPr>
                <w:bCs/>
                <w:i/>
                <w:iCs/>
                <w:lang w:val="es-ES_tradnl"/>
              </w:rPr>
              <w:t xml:space="preserve">, </w:t>
            </w:r>
            <w:hyperlink r:id="rId17" w:anchor="res14" w:history="1">
              <w:r w:rsidR="0046437B" w:rsidRPr="0046437B">
                <w:rPr>
                  <w:rStyle w:val="Hyperlink"/>
                  <w:bCs/>
                  <w:i/>
                  <w:iCs/>
                  <w:szCs w:val="24"/>
                  <w:lang w:val="es-ES_tradnl"/>
                </w:rPr>
                <w:t>Resolution</w:t>
              </w:r>
              <w:r w:rsidRPr="0046437B">
                <w:rPr>
                  <w:rStyle w:val="Hyperlink"/>
                  <w:bCs/>
                  <w:i/>
                  <w:iCs/>
                  <w:szCs w:val="24"/>
                  <w:lang w:val="es-ES_tradnl"/>
                </w:rPr>
                <w:t xml:space="preserve"> 14</w:t>
              </w:r>
              <w:r w:rsidR="00714592" w:rsidRPr="0046437B">
                <w:rPr>
                  <w:rStyle w:val="Hyperlink"/>
                  <w:bCs/>
                  <w:i/>
                  <w:iCs/>
                  <w:szCs w:val="24"/>
                  <w:lang w:val="es-ES_tradnl"/>
                </w:rPr>
                <w:t xml:space="preserve"> (Rev. Antalya, 2006)</w:t>
              </w:r>
            </w:hyperlink>
            <w:r w:rsidRPr="0046437B">
              <w:rPr>
                <w:bCs/>
                <w:i/>
                <w:iCs/>
                <w:szCs w:val="24"/>
                <w:lang w:val="es-ES_tradnl"/>
              </w:rPr>
              <w:t xml:space="preserve">, </w:t>
            </w:r>
            <w:hyperlink r:id="rId18" w:anchor="res152" w:history="1">
              <w:r w:rsidRPr="0046437B">
                <w:rPr>
                  <w:rStyle w:val="Hyperlink"/>
                  <w:bCs/>
                  <w:i/>
                  <w:iCs/>
                  <w:lang w:val="es-ES_tradnl"/>
                </w:rPr>
                <w:t>Res</w:t>
              </w:r>
              <w:r w:rsidR="0046437B" w:rsidRPr="0046437B">
                <w:rPr>
                  <w:rStyle w:val="Hyperlink"/>
                  <w:bCs/>
                  <w:i/>
                  <w:iCs/>
                  <w:lang w:val="es-ES_tradnl"/>
                </w:rPr>
                <w:t>olution</w:t>
              </w:r>
              <w:r w:rsidR="008829D1" w:rsidRPr="0046437B">
                <w:rPr>
                  <w:rStyle w:val="Hyperlink"/>
                  <w:bCs/>
                  <w:i/>
                  <w:iCs/>
                  <w:lang w:val="es-ES_tradnl"/>
                </w:rPr>
                <w:t> </w:t>
              </w:r>
              <w:r w:rsidRPr="0046437B">
                <w:rPr>
                  <w:rStyle w:val="Hyperlink"/>
                  <w:bCs/>
                  <w:i/>
                  <w:iCs/>
                  <w:lang w:val="es-ES_tradnl"/>
                </w:rPr>
                <w:t>152</w:t>
              </w:r>
              <w:r w:rsidR="00714592" w:rsidRPr="0046437B">
                <w:rPr>
                  <w:rStyle w:val="Hyperlink"/>
                  <w:bCs/>
                  <w:i/>
                  <w:iCs/>
                  <w:lang w:val="es-ES_tradnl"/>
                </w:rPr>
                <w:t xml:space="preserve"> (Rev. Guadalajara, 2010)</w:t>
              </w:r>
            </w:hyperlink>
            <w:r w:rsidRPr="0046437B">
              <w:rPr>
                <w:bCs/>
                <w:i/>
                <w:iCs/>
                <w:lang w:val="es-ES_tradnl"/>
              </w:rPr>
              <w:t xml:space="preserve">, </w:t>
            </w:r>
            <w:hyperlink r:id="rId19" w:anchor="res169" w:history="1">
              <w:r w:rsidRPr="0046437B">
                <w:rPr>
                  <w:rStyle w:val="Hyperlink"/>
                  <w:bCs/>
                  <w:i/>
                  <w:iCs/>
                  <w:lang w:val="es-ES_tradnl"/>
                </w:rPr>
                <w:t>Res</w:t>
              </w:r>
              <w:r w:rsidR="0046437B" w:rsidRPr="0046437B">
                <w:rPr>
                  <w:rStyle w:val="Hyperlink"/>
                  <w:bCs/>
                  <w:i/>
                  <w:iCs/>
                  <w:lang w:val="es-ES_tradnl"/>
                </w:rPr>
                <w:t>olution</w:t>
              </w:r>
              <w:r w:rsidRPr="0046437B">
                <w:rPr>
                  <w:rStyle w:val="Hyperlink"/>
                  <w:bCs/>
                  <w:i/>
                  <w:iCs/>
                  <w:lang w:val="es-ES_tradnl"/>
                </w:rPr>
                <w:t xml:space="preserve"> 169</w:t>
              </w:r>
              <w:r w:rsidR="00714592" w:rsidRPr="0046437B">
                <w:rPr>
                  <w:rStyle w:val="Hyperlink"/>
                  <w:bCs/>
                  <w:i/>
                  <w:iCs/>
                  <w:lang w:val="es-ES_tradnl"/>
                </w:rPr>
                <w:t xml:space="preserve"> (Guadalajara, 2010)</w:t>
              </w:r>
            </w:hyperlink>
            <w:r w:rsidRPr="0046437B">
              <w:rPr>
                <w:bCs/>
                <w:i/>
                <w:iCs/>
                <w:lang w:val="es-ES_tradnl"/>
              </w:rPr>
              <w:t xml:space="preserve">, </w:t>
            </w:r>
            <w:hyperlink r:id="rId20" w:anchor="res170" w:history="1">
              <w:r w:rsidRPr="0046437B">
                <w:rPr>
                  <w:rStyle w:val="Hyperlink"/>
                  <w:bCs/>
                  <w:i/>
                  <w:iCs/>
                  <w:lang w:val="es-ES_tradnl"/>
                </w:rPr>
                <w:t>Res</w:t>
              </w:r>
              <w:r w:rsidR="0046437B" w:rsidRPr="0046437B">
                <w:rPr>
                  <w:rStyle w:val="Hyperlink"/>
                  <w:bCs/>
                  <w:i/>
                  <w:iCs/>
                  <w:lang w:val="es-ES_tradnl"/>
                </w:rPr>
                <w:t>olution </w:t>
              </w:r>
              <w:r w:rsidRPr="0046437B">
                <w:rPr>
                  <w:rStyle w:val="Hyperlink"/>
                  <w:bCs/>
                  <w:i/>
                  <w:iCs/>
                  <w:lang w:val="es-ES_tradnl"/>
                </w:rPr>
                <w:t>170</w:t>
              </w:r>
              <w:r w:rsidR="008829D1" w:rsidRPr="0046437B">
                <w:rPr>
                  <w:rStyle w:val="Hyperlink"/>
                  <w:bCs/>
                  <w:i/>
                  <w:iCs/>
                  <w:lang w:val="es-ES_tradnl"/>
                </w:rPr>
                <w:t> (Guadalajara, </w:t>
              </w:r>
              <w:r w:rsidR="00714592" w:rsidRPr="0046437B">
                <w:rPr>
                  <w:rStyle w:val="Hyperlink"/>
                  <w:bCs/>
                  <w:i/>
                  <w:iCs/>
                  <w:lang w:val="es-ES_tradnl"/>
                </w:rPr>
                <w:t>2010)</w:t>
              </w:r>
            </w:hyperlink>
            <w:r w:rsidR="008829D1" w:rsidRPr="0046437B">
              <w:rPr>
                <w:bCs/>
                <w:i/>
                <w:iCs/>
                <w:lang w:val="es-ES_tradnl"/>
              </w:rPr>
              <w:t>;</w:t>
            </w:r>
            <w:r w:rsidR="00F57D6D" w:rsidRPr="0046437B">
              <w:rPr>
                <w:bCs/>
                <w:i/>
                <w:iCs/>
                <w:lang w:val="es-ES_tradnl"/>
              </w:rPr>
              <w:t xml:space="preserve"> </w:t>
            </w:r>
            <w:hyperlink r:id="rId21" w:history="1">
              <w:r w:rsidR="008829D1" w:rsidRPr="0046437B">
                <w:rPr>
                  <w:rStyle w:val="Hyperlink"/>
                  <w:i/>
                  <w:iCs/>
                  <w:szCs w:val="24"/>
                  <w:lang w:val="es-ES_tradnl"/>
                </w:rPr>
                <w:t xml:space="preserve">ITU-R </w:t>
              </w:r>
              <w:r w:rsidR="0046437B" w:rsidRPr="0046437B">
                <w:rPr>
                  <w:rStyle w:val="Hyperlink"/>
                  <w:i/>
                  <w:iCs/>
                  <w:szCs w:val="24"/>
                  <w:lang w:val="es-ES_tradnl"/>
                </w:rPr>
                <w:t>Res</w:t>
              </w:r>
              <w:r w:rsidR="0046437B">
                <w:rPr>
                  <w:rStyle w:val="Hyperlink"/>
                  <w:i/>
                  <w:iCs/>
                  <w:szCs w:val="24"/>
                  <w:lang w:val="es-ES_tradnl"/>
                </w:rPr>
                <w:t>olution</w:t>
              </w:r>
              <w:r w:rsidR="0046437B" w:rsidRPr="0046437B">
                <w:rPr>
                  <w:rStyle w:val="Hyperlink"/>
                  <w:i/>
                  <w:iCs/>
                  <w:szCs w:val="24"/>
                  <w:lang w:val="es-ES_tradnl"/>
                </w:rPr>
                <w:t xml:space="preserve"> </w:t>
              </w:r>
              <w:r w:rsidR="008829D1" w:rsidRPr="0046437B">
                <w:rPr>
                  <w:rStyle w:val="Hyperlink"/>
                  <w:i/>
                  <w:iCs/>
                  <w:szCs w:val="24"/>
                  <w:lang w:val="es-ES_tradnl"/>
                </w:rPr>
                <w:t>43 (Istanbul, 2000)</w:t>
              </w:r>
            </w:hyperlink>
            <w:r w:rsidR="008829D1" w:rsidRPr="0046437B">
              <w:rPr>
                <w:i/>
                <w:iCs/>
                <w:szCs w:val="24"/>
                <w:lang w:val="es-ES_tradnl"/>
              </w:rPr>
              <w:t>;</w:t>
            </w:r>
            <w:r w:rsidR="00F57D6D" w:rsidRPr="0046437B">
              <w:rPr>
                <w:i/>
                <w:iCs/>
                <w:szCs w:val="24"/>
                <w:lang w:val="es-ES_tradnl"/>
              </w:rPr>
              <w:t xml:space="preserve"> </w:t>
            </w:r>
            <w:hyperlink r:id="rId22" w:history="1">
              <w:r w:rsidR="0046437B" w:rsidRPr="007A0E5A">
                <w:rPr>
                  <w:rStyle w:val="Hyperlink"/>
                  <w:bCs/>
                  <w:i/>
                  <w:iCs/>
                  <w:szCs w:val="24"/>
                  <w:lang w:val="es-ES_tradnl"/>
                </w:rPr>
                <w:t>WTSA Resolution 71 (Dubai, 2012)</w:t>
              </w:r>
            </w:hyperlink>
            <w:r w:rsidR="0046437B">
              <w:rPr>
                <w:bCs/>
                <w:i/>
                <w:iCs/>
                <w:szCs w:val="24"/>
                <w:lang w:val="es-ES_tradnl"/>
              </w:rPr>
              <w:t xml:space="preserve">, </w:t>
            </w:r>
            <w:hyperlink r:id="rId23" w:history="1">
              <w:r w:rsidR="007A0E5A">
                <w:rPr>
                  <w:rStyle w:val="Hyperlink"/>
                  <w:i/>
                  <w:iCs/>
                  <w:szCs w:val="24"/>
                  <w:lang w:val="es-ES_tradnl"/>
                </w:rPr>
                <w:t>Res.</w:t>
              </w:r>
              <w:r w:rsidR="008829D1" w:rsidRPr="0046437B">
                <w:rPr>
                  <w:rStyle w:val="Hyperlink"/>
                  <w:i/>
                  <w:iCs/>
                  <w:szCs w:val="24"/>
                  <w:lang w:val="es-ES_tradnl"/>
                </w:rPr>
                <w:t> </w:t>
              </w:r>
              <w:r w:rsidR="00F57D6D" w:rsidRPr="0046437B">
                <w:rPr>
                  <w:rStyle w:val="Hyperlink"/>
                  <w:i/>
                  <w:iCs/>
                  <w:szCs w:val="24"/>
                  <w:lang w:val="es-ES_tradnl"/>
                </w:rPr>
                <w:t>31 (Rev. Dubai, 2012)</w:t>
              </w:r>
            </w:hyperlink>
            <w:r w:rsidR="008829D1" w:rsidRPr="0046437B">
              <w:rPr>
                <w:i/>
                <w:iCs/>
                <w:szCs w:val="24"/>
                <w:lang w:val="es-ES_tradnl"/>
              </w:rPr>
              <w:t>;</w:t>
            </w:r>
            <w:r w:rsidR="00F57D6D" w:rsidRPr="0046437B">
              <w:rPr>
                <w:i/>
                <w:iCs/>
                <w:szCs w:val="24"/>
                <w:lang w:val="es-ES_tradnl"/>
              </w:rPr>
              <w:t xml:space="preserve"> WTDC Res</w:t>
            </w:r>
            <w:r w:rsidR="007A0E5A">
              <w:rPr>
                <w:i/>
                <w:iCs/>
                <w:szCs w:val="24"/>
                <w:lang w:val="es-ES_tradnl"/>
              </w:rPr>
              <w:t>olution 1 (Dubai, 2014)</w:t>
            </w:r>
          </w:p>
        </w:tc>
      </w:tr>
    </w:tbl>
    <w:p w:rsidR="00AE7EF0" w:rsidRPr="0046437B" w:rsidRDefault="00AE7EF0" w:rsidP="008543CB">
      <w:pPr>
        <w:rPr>
          <w:b/>
          <w:bCs/>
          <w:szCs w:val="24"/>
          <w:lang w:val="es-ES_tradnl"/>
        </w:rPr>
      </w:pPr>
      <w:bookmarkStart w:id="2" w:name="dstart"/>
      <w:bookmarkStart w:id="3" w:name="dbreak"/>
      <w:bookmarkEnd w:id="2"/>
      <w:bookmarkEnd w:id="3"/>
    </w:p>
    <w:p w:rsidR="008543CB" w:rsidRPr="000F0C51" w:rsidRDefault="009078AA" w:rsidP="008543CB">
      <w:pPr>
        <w:rPr>
          <w:b/>
          <w:bCs/>
          <w:szCs w:val="24"/>
        </w:rPr>
      </w:pPr>
      <w:r>
        <w:rPr>
          <w:b/>
          <w:bCs/>
          <w:szCs w:val="24"/>
        </w:rPr>
        <w:t>1</w:t>
      </w:r>
      <w:r>
        <w:rPr>
          <w:b/>
          <w:bCs/>
          <w:szCs w:val="24"/>
        </w:rPr>
        <w:tab/>
      </w:r>
      <w:r w:rsidR="008543CB">
        <w:rPr>
          <w:b/>
          <w:bCs/>
          <w:szCs w:val="24"/>
        </w:rPr>
        <w:t>Overview</w:t>
      </w:r>
    </w:p>
    <w:p w:rsidR="008543CB" w:rsidRPr="00067DF0" w:rsidRDefault="009078AA" w:rsidP="007A0E5A">
      <w:pPr>
        <w:snapToGrid w:val="0"/>
        <w:spacing w:after="120"/>
        <w:rPr>
          <w:szCs w:val="24"/>
        </w:rPr>
      </w:pPr>
      <w:r>
        <w:rPr>
          <w:szCs w:val="24"/>
        </w:rPr>
        <w:t>1.1</w:t>
      </w:r>
      <w:r>
        <w:rPr>
          <w:szCs w:val="24"/>
        </w:rPr>
        <w:tab/>
      </w:r>
      <w:r w:rsidR="008543CB" w:rsidRPr="00067DF0">
        <w:rPr>
          <w:szCs w:val="24"/>
        </w:rPr>
        <w:t>The participation of entitie</w:t>
      </w:r>
      <w:r w:rsidR="00C70FF4">
        <w:rPr>
          <w:szCs w:val="24"/>
        </w:rPr>
        <w:t>s and organizations other than a</w:t>
      </w:r>
      <w:r w:rsidR="008543CB" w:rsidRPr="00067DF0">
        <w:rPr>
          <w:szCs w:val="24"/>
        </w:rPr>
        <w:t xml:space="preserve">dministrations in the Union’s activities is governed by a combination of instruments of the Union, including the Convention, various resolutions from </w:t>
      </w:r>
      <w:r w:rsidR="00EF15BA">
        <w:rPr>
          <w:szCs w:val="24"/>
        </w:rPr>
        <w:t>p</w:t>
      </w:r>
      <w:r w:rsidR="008543CB" w:rsidRPr="00067DF0">
        <w:rPr>
          <w:szCs w:val="24"/>
        </w:rPr>
        <w:t xml:space="preserve">lenipotentiary </w:t>
      </w:r>
      <w:r w:rsidR="00EF15BA">
        <w:rPr>
          <w:szCs w:val="24"/>
        </w:rPr>
        <w:t xml:space="preserve">conferences </w:t>
      </w:r>
      <w:r w:rsidR="008543CB" w:rsidRPr="00067DF0">
        <w:rPr>
          <w:szCs w:val="24"/>
        </w:rPr>
        <w:t xml:space="preserve">and Sector Conferences </w:t>
      </w:r>
      <w:r w:rsidR="00EF15BA">
        <w:rPr>
          <w:szCs w:val="24"/>
        </w:rPr>
        <w:t xml:space="preserve">and Assemblies, </w:t>
      </w:r>
      <w:r w:rsidR="008543CB" w:rsidRPr="00067DF0">
        <w:rPr>
          <w:szCs w:val="24"/>
        </w:rPr>
        <w:t xml:space="preserve">as well as </w:t>
      </w:r>
      <w:r w:rsidR="00EF15BA">
        <w:rPr>
          <w:szCs w:val="24"/>
        </w:rPr>
        <w:t>resolutions/</w:t>
      </w:r>
      <w:r w:rsidR="008543CB" w:rsidRPr="00067DF0">
        <w:rPr>
          <w:szCs w:val="24"/>
        </w:rPr>
        <w:t xml:space="preserve">decisions of </w:t>
      </w:r>
      <w:r w:rsidR="00C70FF4">
        <w:rPr>
          <w:szCs w:val="24"/>
        </w:rPr>
        <w:t xml:space="preserve">the </w:t>
      </w:r>
      <w:r w:rsidR="008543CB" w:rsidRPr="00067DF0">
        <w:rPr>
          <w:szCs w:val="24"/>
        </w:rPr>
        <w:t>Council. This document provides a comprehensive overview of the range of provisions related to Sector Membership, Associates</w:t>
      </w:r>
      <w:r w:rsidR="00753DC5">
        <w:rPr>
          <w:szCs w:val="24"/>
        </w:rPr>
        <w:t>,</w:t>
      </w:r>
      <w:r w:rsidR="008543CB" w:rsidRPr="00067DF0">
        <w:rPr>
          <w:szCs w:val="24"/>
        </w:rPr>
        <w:t xml:space="preserve"> and Academia.</w:t>
      </w:r>
    </w:p>
    <w:p w:rsidR="00EB5394" w:rsidRDefault="00EB5394">
      <w:pPr>
        <w:tabs>
          <w:tab w:val="clear" w:pos="567"/>
          <w:tab w:val="clear" w:pos="1134"/>
          <w:tab w:val="clear" w:pos="1701"/>
          <w:tab w:val="clear" w:pos="2268"/>
          <w:tab w:val="clear" w:pos="2835"/>
        </w:tabs>
        <w:overflowPunct/>
        <w:autoSpaceDE/>
        <w:autoSpaceDN/>
        <w:adjustRightInd/>
        <w:spacing w:before="0" w:after="200" w:line="276" w:lineRule="auto"/>
        <w:textAlignment w:val="auto"/>
        <w:rPr>
          <w:b/>
          <w:bCs/>
          <w:szCs w:val="24"/>
        </w:rPr>
      </w:pPr>
      <w:r>
        <w:rPr>
          <w:b/>
          <w:bCs/>
          <w:szCs w:val="24"/>
        </w:rPr>
        <w:br w:type="page"/>
      </w:r>
    </w:p>
    <w:p w:rsidR="008543CB" w:rsidRPr="000F0C51" w:rsidRDefault="009078AA">
      <w:pPr>
        <w:rPr>
          <w:b/>
          <w:bCs/>
          <w:szCs w:val="24"/>
        </w:rPr>
      </w:pPr>
      <w:r>
        <w:rPr>
          <w:b/>
          <w:bCs/>
          <w:szCs w:val="24"/>
        </w:rPr>
        <w:lastRenderedPageBreak/>
        <w:t>2</w:t>
      </w:r>
      <w:r>
        <w:rPr>
          <w:b/>
          <w:bCs/>
          <w:szCs w:val="24"/>
        </w:rPr>
        <w:tab/>
      </w:r>
      <w:r w:rsidR="006D61BD">
        <w:rPr>
          <w:b/>
          <w:bCs/>
          <w:szCs w:val="24"/>
        </w:rPr>
        <w:t>Composition</w:t>
      </w:r>
      <w:r w:rsidR="008B6B2F">
        <w:rPr>
          <w:b/>
          <w:bCs/>
          <w:szCs w:val="24"/>
        </w:rPr>
        <w:t xml:space="preserve"> and Participation </w:t>
      </w:r>
      <w:r w:rsidR="007738E6">
        <w:rPr>
          <w:b/>
          <w:bCs/>
          <w:szCs w:val="24"/>
        </w:rPr>
        <w:t xml:space="preserve">Rights </w:t>
      </w:r>
    </w:p>
    <w:p w:rsidR="00300AB8" w:rsidRPr="006258C3" w:rsidRDefault="009078AA" w:rsidP="007A0E5A">
      <w:pPr>
        <w:spacing w:after="120"/>
        <w:rPr>
          <w:b/>
          <w:bCs/>
          <w:szCs w:val="24"/>
        </w:rPr>
      </w:pPr>
      <w:r>
        <w:rPr>
          <w:bCs/>
          <w:szCs w:val="24"/>
        </w:rPr>
        <w:t>2.1</w:t>
      </w:r>
      <w:r>
        <w:rPr>
          <w:bCs/>
          <w:szCs w:val="24"/>
        </w:rPr>
        <w:tab/>
      </w:r>
      <w:r w:rsidR="00EF15BA">
        <w:rPr>
          <w:bCs/>
          <w:szCs w:val="24"/>
        </w:rPr>
        <w:t>N</w:t>
      </w:r>
      <w:r w:rsidR="00714592">
        <w:rPr>
          <w:bCs/>
          <w:szCs w:val="24"/>
        </w:rPr>
        <w:t>o</w:t>
      </w:r>
      <w:r w:rsidR="004D57B4">
        <w:rPr>
          <w:bCs/>
          <w:szCs w:val="24"/>
        </w:rPr>
        <w:t>.</w:t>
      </w:r>
      <w:r w:rsidR="00EF15BA">
        <w:rPr>
          <w:bCs/>
          <w:szCs w:val="24"/>
        </w:rPr>
        <w:t xml:space="preserve"> 20 </w:t>
      </w:r>
      <w:r w:rsidR="00714592">
        <w:rPr>
          <w:bCs/>
          <w:szCs w:val="24"/>
        </w:rPr>
        <w:t>(</w:t>
      </w:r>
      <w:r w:rsidR="00300AB8" w:rsidRPr="00067DF0">
        <w:rPr>
          <w:bCs/>
          <w:szCs w:val="24"/>
        </w:rPr>
        <w:t>Article 2 of the Constitution</w:t>
      </w:r>
      <w:r w:rsidR="00714592">
        <w:rPr>
          <w:bCs/>
          <w:szCs w:val="24"/>
        </w:rPr>
        <w:t>)</w:t>
      </w:r>
      <w:r w:rsidR="00EF15BA">
        <w:rPr>
          <w:bCs/>
          <w:szCs w:val="24"/>
        </w:rPr>
        <w:t xml:space="preserve">, last updated at PP-98, </w:t>
      </w:r>
      <w:r w:rsidR="006D61BD">
        <w:rPr>
          <w:bCs/>
          <w:szCs w:val="24"/>
        </w:rPr>
        <w:t xml:space="preserve">outlines the composition of the Union’s membership, highlighting that “Member States and </w:t>
      </w:r>
      <w:r w:rsidR="008543CB">
        <w:rPr>
          <w:szCs w:val="24"/>
        </w:rPr>
        <w:t>Sector Members</w:t>
      </w:r>
      <w:r w:rsidR="00300AB8">
        <w:rPr>
          <w:szCs w:val="24"/>
        </w:rPr>
        <w:t>, having well-defined rights and obligations, cooperate for the fulfilment of the purposes of the Union</w:t>
      </w:r>
      <w:r w:rsidR="00792C96">
        <w:rPr>
          <w:szCs w:val="24"/>
        </w:rPr>
        <w:t>.”</w:t>
      </w:r>
      <w:r w:rsidR="006D61BD">
        <w:rPr>
          <w:szCs w:val="24"/>
        </w:rPr>
        <w:t xml:space="preserve"> Additional categories of participation, including Associates and Academia, are provided for </w:t>
      </w:r>
      <w:r w:rsidR="008B6B2F">
        <w:rPr>
          <w:szCs w:val="24"/>
        </w:rPr>
        <w:t>under different provisions, as outlined</w:t>
      </w:r>
      <w:r w:rsidR="006D61BD">
        <w:rPr>
          <w:szCs w:val="24"/>
        </w:rPr>
        <w:t xml:space="preserve"> in the section below.</w:t>
      </w:r>
      <w:r w:rsidR="008B6B2F">
        <w:rPr>
          <w:szCs w:val="24"/>
        </w:rPr>
        <w:t xml:space="preserve"> A summary of participation rights </w:t>
      </w:r>
      <w:r w:rsidR="00740C90">
        <w:rPr>
          <w:szCs w:val="24"/>
        </w:rPr>
        <w:t>is</w:t>
      </w:r>
      <w:r w:rsidR="008B6B2F">
        <w:rPr>
          <w:szCs w:val="24"/>
        </w:rPr>
        <w:t xml:space="preserve"> provided in </w:t>
      </w:r>
      <w:r w:rsidR="00740C90">
        <w:rPr>
          <w:b/>
          <w:bCs/>
          <w:szCs w:val="24"/>
        </w:rPr>
        <w:t>Annex</w:t>
      </w:r>
      <w:r w:rsidR="008B6B2F" w:rsidRPr="006258C3">
        <w:rPr>
          <w:b/>
          <w:bCs/>
          <w:szCs w:val="24"/>
        </w:rPr>
        <w:t xml:space="preserve"> 1.</w:t>
      </w:r>
    </w:p>
    <w:p w:rsidR="000B54CA" w:rsidRPr="000F0C51" w:rsidRDefault="009078AA" w:rsidP="007A0E5A">
      <w:pPr>
        <w:spacing w:after="120"/>
        <w:rPr>
          <w:szCs w:val="24"/>
          <w:lang w:val="en-US"/>
        </w:rPr>
      </w:pPr>
      <w:r>
        <w:rPr>
          <w:rFonts w:cstheme="minorHAnsi"/>
          <w:bCs/>
          <w:color w:val="231F20"/>
          <w:szCs w:val="24"/>
          <w:lang w:val="en-US"/>
        </w:rPr>
        <w:t>2.2</w:t>
      </w:r>
      <w:r>
        <w:rPr>
          <w:rFonts w:cstheme="minorHAnsi"/>
          <w:bCs/>
          <w:color w:val="231F20"/>
          <w:szCs w:val="24"/>
          <w:lang w:val="en-US"/>
        </w:rPr>
        <w:tab/>
      </w:r>
      <w:r w:rsidR="00EF15BA">
        <w:rPr>
          <w:rFonts w:cstheme="minorHAnsi"/>
          <w:bCs/>
          <w:color w:val="231F20"/>
          <w:szCs w:val="24"/>
          <w:lang w:val="en-US"/>
        </w:rPr>
        <w:t>N</w:t>
      </w:r>
      <w:r w:rsidR="00714592">
        <w:rPr>
          <w:rFonts w:cstheme="minorHAnsi"/>
          <w:bCs/>
          <w:color w:val="231F20"/>
          <w:szCs w:val="24"/>
          <w:lang w:val="en-US"/>
        </w:rPr>
        <w:t>o</w:t>
      </w:r>
      <w:r w:rsidR="004D57B4">
        <w:rPr>
          <w:rFonts w:cstheme="minorHAnsi"/>
          <w:bCs/>
          <w:color w:val="231F20"/>
          <w:szCs w:val="24"/>
          <w:lang w:val="en-US"/>
        </w:rPr>
        <w:t>.</w:t>
      </w:r>
      <w:r w:rsidR="00EF15BA">
        <w:rPr>
          <w:rFonts w:cstheme="minorHAnsi"/>
          <w:bCs/>
          <w:color w:val="231F20"/>
          <w:szCs w:val="24"/>
          <w:lang w:val="en-US"/>
        </w:rPr>
        <w:t xml:space="preserve"> 232 </w:t>
      </w:r>
      <w:r w:rsidR="00714592">
        <w:rPr>
          <w:rFonts w:cstheme="minorHAnsi"/>
          <w:bCs/>
          <w:color w:val="231F20"/>
          <w:szCs w:val="24"/>
          <w:lang w:val="en-US"/>
        </w:rPr>
        <w:t>(</w:t>
      </w:r>
      <w:r w:rsidR="000B54CA">
        <w:rPr>
          <w:rFonts w:cstheme="minorHAnsi"/>
          <w:bCs/>
          <w:color w:val="231F20"/>
          <w:szCs w:val="24"/>
          <w:lang w:val="en-US"/>
        </w:rPr>
        <w:t>Article 19 of the Convention</w:t>
      </w:r>
      <w:r w:rsidR="00714592">
        <w:rPr>
          <w:rFonts w:cstheme="minorHAnsi"/>
          <w:bCs/>
          <w:color w:val="231F20"/>
          <w:szCs w:val="24"/>
          <w:lang w:val="en-US"/>
        </w:rPr>
        <w:t>)</w:t>
      </w:r>
      <w:r w:rsidR="000B54CA">
        <w:rPr>
          <w:rFonts w:cstheme="minorHAnsi"/>
          <w:bCs/>
          <w:color w:val="231F20"/>
          <w:szCs w:val="24"/>
          <w:lang w:val="en-US"/>
        </w:rPr>
        <w:t xml:space="preserve"> </w:t>
      </w:r>
      <w:r w:rsidR="00714592">
        <w:rPr>
          <w:rFonts w:cstheme="minorHAnsi"/>
          <w:bCs/>
          <w:color w:val="231F20"/>
          <w:szCs w:val="24"/>
          <w:lang w:val="en-US"/>
        </w:rPr>
        <w:t xml:space="preserve">provides </w:t>
      </w:r>
      <w:r w:rsidR="000B54CA" w:rsidRPr="00067DF0">
        <w:rPr>
          <w:rFonts w:cstheme="minorHAnsi"/>
          <w:bCs/>
          <w:color w:val="231F20"/>
          <w:szCs w:val="24"/>
          <w:lang w:val="en-US"/>
        </w:rPr>
        <w:t>that “t</w:t>
      </w:r>
      <w:r w:rsidR="000B54CA" w:rsidRPr="00067DF0">
        <w:rPr>
          <w:rFonts w:cstheme="minorHAnsi"/>
          <w:color w:val="231F20"/>
          <w:szCs w:val="24"/>
          <w:lang w:val="en-US"/>
        </w:rPr>
        <w:t xml:space="preserve">he Directors of the </w:t>
      </w:r>
      <w:proofErr w:type="spellStart"/>
      <w:r w:rsidR="000B54CA" w:rsidRPr="00067DF0">
        <w:rPr>
          <w:rFonts w:cstheme="minorHAnsi"/>
          <w:color w:val="231F20"/>
          <w:szCs w:val="24"/>
          <w:lang w:val="en-US"/>
        </w:rPr>
        <w:t>Bureaux</w:t>
      </w:r>
      <w:proofErr w:type="spellEnd"/>
      <w:r w:rsidR="000B54CA" w:rsidRPr="00067DF0">
        <w:rPr>
          <w:rFonts w:cstheme="minorHAnsi"/>
          <w:color w:val="231F20"/>
          <w:szCs w:val="24"/>
          <w:lang w:val="en-US"/>
        </w:rPr>
        <w:t xml:space="preserve"> shall maintain close working relations with those entities and organizations which are authorized to participate in the activities of one or more of the Sectors of the Union.”</w:t>
      </w:r>
      <w:r w:rsidR="000B54CA">
        <w:rPr>
          <w:rFonts w:cstheme="minorHAnsi"/>
          <w:color w:val="231F20"/>
          <w:szCs w:val="24"/>
          <w:lang w:val="en-US"/>
        </w:rPr>
        <w:t xml:space="preserve"> </w:t>
      </w:r>
      <w:r w:rsidR="00EF15BA">
        <w:rPr>
          <w:rFonts w:cstheme="minorHAnsi"/>
          <w:color w:val="231F20"/>
          <w:szCs w:val="24"/>
          <w:lang w:val="en-US"/>
        </w:rPr>
        <w:t>N</w:t>
      </w:r>
      <w:r w:rsidR="00714592">
        <w:rPr>
          <w:rFonts w:cstheme="minorHAnsi"/>
          <w:color w:val="231F20"/>
          <w:szCs w:val="24"/>
          <w:lang w:val="en-US"/>
        </w:rPr>
        <w:t>o</w:t>
      </w:r>
      <w:r w:rsidR="004D57B4">
        <w:rPr>
          <w:rFonts w:cstheme="minorHAnsi"/>
          <w:color w:val="231F20"/>
          <w:szCs w:val="24"/>
          <w:lang w:val="en-US"/>
        </w:rPr>
        <w:t>.</w:t>
      </w:r>
      <w:r w:rsidR="00EF15BA">
        <w:rPr>
          <w:rFonts w:cstheme="minorHAnsi"/>
          <w:color w:val="231F20"/>
          <w:szCs w:val="24"/>
          <w:lang w:val="en-US"/>
        </w:rPr>
        <w:t xml:space="preserve"> 237 </w:t>
      </w:r>
      <w:r w:rsidR="00714592">
        <w:rPr>
          <w:rFonts w:eastAsiaTheme="minorEastAsia" w:cstheme="minorHAnsi"/>
          <w:bCs/>
          <w:color w:val="231F20"/>
          <w:szCs w:val="24"/>
          <w:lang w:val="en-US" w:eastAsia="zh-CN"/>
        </w:rPr>
        <w:t>(</w:t>
      </w:r>
      <w:r w:rsidR="000B54CA">
        <w:rPr>
          <w:rFonts w:eastAsiaTheme="minorEastAsia" w:cstheme="minorHAnsi"/>
          <w:bCs/>
          <w:color w:val="231F20"/>
          <w:szCs w:val="24"/>
          <w:lang w:val="en-US" w:eastAsia="zh-CN"/>
        </w:rPr>
        <w:t>Article</w:t>
      </w:r>
      <w:r w:rsidR="00714592">
        <w:rPr>
          <w:rFonts w:eastAsiaTheme="minorEastAsia" w:cstheme="minorHAnsi"/>
          <w:bCs/>
          <w:color w:val="231F20"/>
          <w:szCs w:val="24"/>
          <w:lang w:val="en-US" w:eastAsia="zh-CN"/>
        </w:rPr>
        <w:t xml:space="preserve"> 19 of the Convention)</w:t>
      </w:r>
      <w:r w:rsidR="000B54CA">
        <w:rPr>
          <w:rFonts w:eastAsiaTheme="minorEastAsia" w:cstheme="minorHAnsi"/>
          <w:bCs/>
          <w:color w:val="231F20"/>
          <w:szCs w:val="24"/>
          <w:lang w:val="en-US" w:eastAsia="zh-CN"/>
        </w:rPr>
        <w:t xml:space="preserve"> also</w:t>
      </w:r>
      <w:r w:rsidR="000B54CA" w:rsidRPr="00067DF0">
        <w:rPr>
          <w:rFonts w:eastAsiaTheme="minorEastAsia" w:cstheme="minorHAnsi"/>
          <w:color w:val="231F20"/>
          <w:szCs w:val="24"/>
          <w:lang w:val="en-US" w:eastAsia="zh-CN"/>
        </w:rPr>
        <w:t xml:space="preserve"> states that “the Secretary-General shall compile and maintain lists of all entities and organizations</w:t>
      </w:r>
      <w:r w:rsidR="000B54CA">
        <w:rPr>
          <w:rFonts w:eastAsiaTheme="minorEastAsia" w:cstheme="minorHAnsi"/>
          <w:color w:val="231F20"/>
          <w:szCs w:val="24"/>
          <w:lang w:val="en-US" w:eastAsia="zh-CN"/>
        </w:rPr>
        <w:t>…</w:t>
      </w:r>
      <w:r w:rsidR="000B54CA" w:rsidRPr="00067DF0">
        <w:rPr>
          <w:rFonts w:eastAsiaTheme="minorEastAsia" w:cstheme="minorHAnsi"/>
          <w:color w:val="231F20"/>
          <w:szCs w:val="24"/>
          <w:lang w:val="en-US" w:eastAsia="zh-CN"/>
        </w:rPr>
        <w:t xml:space="preserve"> </w:t>
      </w:r>
      <w:r w:rsidR="000B54CA">
        <w:rPr>
          <w:rFonts w:eastAsiaTheme="minorEastAsia" w:cstheme="minorHAnsi"/>
          <w:color w:val="231F20"/>
          <w:szCs w:val="24"/>
          <w:lang w:val="en-US" w:eastAsia="zh-CN"/>
        </w:rPr>
        <w:t xml:space="preserve">that are </w:t>
      </w:r>
      <w:r w:rsidR="000B54CA" w:rsidRPr="00067DF0">
        <w:rPr>
          <w:rFonts w:eastAsiaTheme="minorEastAsia" w:cstheme="minorHAnsi"/>
          <w:color w:val="231F20"/>
          <w:szCs w:val="24"/>
          <w:lang w:val="en-US" w:eastAsia="zh-CN"/>
        </w:rPr>
        <w:t>authorized to participate in the work of each Sector and shall, at appropriate intervals, publish and distribute these lists to all Member States and Sector Members concerned and to the D</w:t>
      </w:r>
      <w:r w:rsidR="000B54CA">
        <w:rPr>
          <w:rFonts w:eastAsiaTheme="minorEastAsia" w:cstheme="minorHAnsi"/>
          <w:color w:val="231F20"/>
          <w:szCs w:val="24"/>
          <w:lang w:val="en-US" w:eastAsia="zh-CN"/>
        </w:rPr>
        <w:t>irector of the Bureau concerned...</w:t>
      </w:r>
      <w:r w:rsidR="000B54CA" w:rsidRPr="00067DF0">
        <w:rPr>
          <w:rFonts w:eastAsiaTheme="minorEastAsia" w:cstheme="minorHAnsi"/>
          <w:color w:val="231F20"/>
          <w:szCs w:val="24"/>
          <w:lang w:val="en-US" w:eastAsia="zh-CN"/>
        </w:rPr>
        <w:t>.”</w:t>
      </w:r>
      <w:r w:rsidR="00C70FF4">
        <w:rPr>
          <w:rFonts w:eastAsiaTheme="minorEastAsia" w:cstheme="minorHAnsi"/>
          <w:color w:val="231F20"/>
          <w:szCs w:val="24"/>
          <w:lang w:val="en-US" w:eastAsia="zh-CN"/>
        </w:rPr>
        <w:t>.</w:t>
      </w:r>
    </w:p>
    <w:p w:rsidR="003D0740" w:rsidRPr="006258C3" w:rsidRDefault="003D0740" w:rsidP="007A0E5A">
      <w:pPr>
        <w:spacing w:before="160"/>
        <w:rPr>
          <w:bCs/>
          <w:i/>
          <w:iCs/>
          <w:szCs w:val="24"/>
        </w:rPr>
      </w:pPr>
      <w:r w:rsidRPr="006258C3">
        <w:rPr>
          <w:bCs/>
          <w:i/>
          <w:iCs/>
          <w:szCs w:val="24"/>
        </w:rPr>
        <w:t xml:space="preserve">Sector Members </w:t>
      </w:r>
    </w:p>
    <w:p w:rsidR="00792C96" w:rsidRDefault="009078AA" w:rsidP="007A0E5A">
      <w:pPr>
        <w:snapToGrid w:val="0"/>
        <w:spacing w:after="120"/>
        <w:rPr>
          <w:szCs w:val="24"/>
        </w:rPr>
      </w:pPr>
      <w:r>
        <w:rPr>
          <w:bCs/>
          <w:szCs w:val="24"/>
        </w:rPr>
        <w:t>2.3</w:t>
      </w:r>
      <w:r>
        <w:rPr>
          <w:bCs/>
          <w:szCs w:val="24"/>
        </w:rPr>
        <w:tab/>
      </w:r>
      <w:r w:rsidR="00792C96" w:rsidRPr="000F0C51">
        <w:rPr>
          <w:bCs/>
          <w:szCs w:val="24"/>
        </w:rPr>
        <w:t>Article 3 of the Constitution</w:t>
      </w:r>
      <w:r w:rsidR="00792C96">
        <w:rPr>
          <w:szCs w:val="24"/>
        </w:rPr>
        <w:t xml:space="preserve"> provides the “Rights and Obligations” of Sector Members. </w:t>
      </w:r>
      <w:r w:rsidR="00EF15BA">
        <w:rPr>
          <w:szCs w:val="24"/>
        </w:rPr>
        <w:t>N</w:t>
      </w:r>
      <w:r w:rsidR="00714592">
        <w:rPr>
          <w:szCs w:val="24"/>
        </w:rPr>
        <w:t>o</w:t>
      </w:r>
      <w:r w:rsidR="004D57B4">
        <w:rPr>
          <w:szCs w:val="24"/>
        </w:rPr>
        <w:t>.</w:t>
      </w:r>
      <w:r w:rsidR="00EB5394">
        <w:rPr>
          <w:szCs w:val="24"/>
        </w:rPr>
        <w:t> </w:t>
      </w:r>
      <w:r w:rsidR="00EF15BA">
        <w:rPr>
          <w:szCs w:val="24"/>
        </w:rPr>
        <w:t xml:space="preserve">28A </w:t>
      </w:r>
      <w:r w:rsidR="00714592">
        <w:rPr>
          <w:szCs w:val="24"/>
        </w:rPr>
        <w:t>(</w:t>
      </w:r>
      <w:r w:rsidR="00792C96">
        <w:rPr>
          <w:szCs w:val="24"/>
        </w:rPr>
        <w:t>Article</w:t>
      </w:r>
      <w:r w:rsidR="00CF099A">
        <w:rPr>
          <w:szCs w:val="24"/>
        </w:rPr>
        <w:t xml:space="preserve"> </w:t>
      </w:r>
      <w:r w:rsidR="00714592">
        <w:rPr>
          <w:szCs w:val="24"/>
        </w:rPr>
        <w:t>3 of the Constitution)</w:t>
      </w:r>
      <w:r w:rsidR="00792C96">
        <w:rPr>
          <w:szCs w:val="24"/>
        </w:rPr>
        <w:t xml:space="preserve"> states that “Sector Members shall be entitled to participate fully in the activities of the S</w:t>
      </w:r>
      <w:r w:rsidR="00C70FF4">
        <w:rPr>
          <w:szCs w:val="24"/>
        </w:rPr>
        <w:t>ector of which they are members</w:t>
      </w:r>
      <w:r w:rsidR="00792C96">
        <w:rPr>
          <w:szCs w:val="24"/>
        </w:rPr>
        <w:t>”</w:t>
      </w:r>
      <w:r w:rsidR="00C70FF4">
        <w:rPr>
          <w:szCs w:val="24"/>
        </w:rPr>
        <w:t>.</w:t>
      </w:r>
      <w:r w:rsidR="00792C96">
        <w:rPr>
          <w:szCs w:val="24"/>
        </w:rPr>
        <w:t xml:space="preserve"> It also notes </w:t>
      </w:r>
      <w:r w:rsidR="00EF15BA">
        <w:rPr>
          <w:szCs w:val="24"/>
        </w:rPr>
        <w:t xml:space="preserve">in </w:t>
      </w:r>
      <w:r w:rsidR="00714592">
        <w:rPr>
          <w:szCs w:val="24"/>
        </w:rPr>
        <w:t>No</w:t>
      </w:r>
      <w:r w:rsidR="004D57B4">
        <w:rPr>
          <w:szCs w:val="24"/>
        </w:rPr>
        <w:t>. </w:t>
      </w:r>
      <w:r w:rsidR="00792C96">
        <w:rPr>
          <w:szCs w:val="24"/>
        </w:rPr>
        <w:t xml:space="preserve">28B that Sector Members “may provide chairmen and vice-chairmen of Sector assemblies and meetings and world telecommunication development conferences” and </w:t>
      </w:r>
      <w:r w:rsidR="00EF15BA">
        <w:rPr>
          <w:szCs w:val="24"/>
        </w:rPr>
        <w:t xml:space="preserve">in </w:t>
      </w:r>
      <w:r w:rsidR="004D57B4">
        <w:rPr>
          <w:szCs w:val="24"/>
        </w:rPr>
        <w:t>No. </w:t>
      </w:r>
      <w:r w:rsidR="00EF15BA">
        <w:rPr>
          <w:szCs w:val="24"/>
        </w:rPr>
        <w:t xml:space="preserve">28C </w:t>
      </w:r>
      <w:r w:rsidR="00714592">
        <w:rPr>
          <w:szCs w:val="24"/>
        </w:rPr>
        <w:t>that</w:t>
      </w:r>
      <w:r w:rsidR="00792C96">
        <w:rPr>
          <w:szCs w:val="24"/>
        </w:rPr>
        <w:t xml:space="preserve"> they shall be entitled to “take part in the adoption of Questions and Recommendations and in decisions relating to the working methods and procedures of the Sector concerned.”</w:t>
      </w:r>
      <w:r w:rsidR="001E7DD3" w:rsidRPr="001E7DD3">
        <w:rPr>
          <w:szCs w:val="24"/>
        </w:rPr>
        <w:t xml:space="preserve"> </w:t>
      </w:r>
      <w:r w:rsidR="001E7DD3">
        <w:rPr>
          <w:szCs w:val="24"/>
        </w:rPr>
        <w:t xml:space="preserve">Article 20 of the Convention outlines the conduct of Study Groups. </w:t>
      </w:r>
      <w:r w:rsidR="00EF15BA">
        <w:rPr>
          <w:szCs w:val="24"/>
        </w:rPr>
        <w:t>N</w:t>
      </w:r>
      <w:r w:rsidR="00714592">
        <w:rPr>
          <w:szCs w:val="24"/>
        </w:rPr>
        <w:t>o</w:t>
      </w:r>
      <w:r w:rsidR="004D57B4">
        <w:rPr>
          <w:szCs w:val="24"/>
        </w:rPr>
        <w:t>.</w:t>
      </w:r>
      <w:r w:rsidR="00EB5394">
        <w:rPr>
          <w:szCs w:val="24"/>
        </w:rPr>
        <w:t> </w:t>
      </w:r>
      <w:r w:rsidR="001E7DD3">
        <w:rPr>
          <w:szCs w:val="24"/>
        </w:rPr>
        <w:t xml:space="preserve">246A </w:t>
      </w:r>
      <w:r w:rsidR="00714592">
        <w:rPr>
          <w:szCs w:val="24"/>
        </w:rPr>
        <w:t>provides</w:t>
      </w:r>
      <w:r w:rsidR="001E7DD3">
        <w:rPr>
          <w:szCs w:val="24"/>
        </w:rPr>
        <w:t xml:space="preserve"> that “</w:t>
      </w:r>
      <w:r w:rsidR="003D0740">
        <w:rPr>
          <w:szCs w:val="24"/>
        </w:rPr>
        <w:t>…</w:t>
      </w:r>
      <w:r w:rsidR="001E7DD3">
        <w:rPr>
          <w:szCs w:val="24"/>
        </w:rPr>
        <w:t xml:space="preserve">Sector Members shall adopt questions to be studied in accordance with procedures established by the </w:t>
      </w:r>
      <w:r w:rsidR="00C70FF4">
        <w:rPr>
          <w:szCs w:val="24"/>
        </w:rPr>
        <w:t>relevant conference or assembly</w:t>
      </w:r>
      <w:r w:rsidR="001E7DD3">
        <w:rPr>
          <w:szCs w:val="24"/>
        </w:rPr>
        <w:t>”</w:t>
      </w:r>
      <w:r w:rsidR="00C70FF4">
        <w:rPr>
          <w:szCs w:val="24"/>
        </w:rPr>
        <w:t>.</w:t>
      </w:r>
    </w:p>
    <w:p w:rsidR="00282F1D" w:rsidRDefault="009078AA" w:rsidP="007A0E5A">
      <w:pPr>
        <w:snapToGrid w:val="0"/>
        <w:spacing w:after="120"/>
        <w:rPr>
          <w:rFonts w:cstheme="minorHAnsi"/>
          <w:szCs w:val="24"/>
          <w:lang w:val="en-US"/>
        </w:rPr>
      </w:pPr>
      <w:r>
        <w:rPr>
          <w:rFonts w:cstheme="minorHAnsi"/>
          <w:szCs w:val="24"/>
          <w:lang w:val="en-US"/>
        </w:rPr>
        <w:t>2.4</w:t>
      </w:r>
      <w:r>
        <w:rPr>
          <w:rFonts w:cstheme="minorHAnsi"/>
          <w:szCs w:val="24"/>
          <w:lang w:val="en-US"/>
        </w:rPr>
        <w:tab/>
      </w:r>
      <w:r w:rsidR="00282F1D">
        <w:rPr>
          <w:rFonts w:cstheme="minorHAnsi"/>
          <w:szCs w:val="24"/>
          <w:lang w:val="en-US"/>
        </w:rPr>
        <w:t>Resolution 14 (Rev. Antalya, 2006) provides further details regarding the rights and obligations of Sector Members, noting that these entities “may participate in all activities of the Sector concerned, with the exception of formal votes and</w:t>
      </w:r>
      <w:r w:rsidR="00C70FF4">
        <w:rPr>
          <w:rFonts w:cstheme="minorHAnsi"/>
          <w:szCs w:val="24"/>
          <w:lang w:val="en-US"/>
        </w:rPr>
        <w:t xml:space="preserve"> some treaty-making conferences</w:t>
      </w:r>
      <w:r w:rsidR="00282F1D">
        <w:rPr>
          <w:rFonts w:cstheme="minorHAnsi"/>
          <w:szCs w:val="24"/>
          <w:lang w:val="en-US"/>
        </w:rPr>
        <w:t>”</w:t>
      </w:r>
      <w:r w:rsidR="00C70FF4">
        <w:rPr>
          <w:rFonts w:cstheme="minorHAnsi"/>
          <w:szCs w:val="24"/>
          <w:lang w:val="en-US"/>
        </w:rPr>
        <w:t>.</w:t>
      </w:r>
      <w:r w:rsidR="003D0740">
        <w:rPr>
          <w:rFonts w:cstheme="minorHAnsi"/>
          <w:szCs w:val="24"/>
          <w:lang w:val="en-US"/>
        </w:rPr>
        <w:t xml:space="preserve"> </w:t>
      </w:r>
      <w:r w:rsidR="00282F1D">
        <w:rPr>
          <w:rFonts w:cstheme="minorHAnsi"/>
          <w:szCs w:val="24"/>
          <w:lang w:val="en-US"/>
        </w:rPr>
        <w:t xml:space="preserve">This </w:t>
      </w:r>
      <w:r w:rsidR="00EF15BA">
        <w:rPr>
          <w:rFonts w:cstheme="minorHAnsi"/>
          <w:szCs w:val="24"/>
          <w:lang w:val="en-US"/>
        </w:rPr>
        <w:t>R</w:t>
      </w:r>
      <w:r w:rsidR="00282F1D">
        <w:rPr>
          <w:rFonts w:cstheme="minorHAnsi"/>
          <w:szCs w:val="24"/>
          <w:lang w:val="en-US"/>
        </w:rPr>
        <w:t>esolution goes on to</w:t>
      </w:r>
      <w:r w:rsidR="00EF15BA">
        <w:rPr>
          <w:rFonts w:cstheme="minorHAnsi"/>
          <w:szCs w:val="24"/>
          <w:lang w:val="en-US"/>
        </w:rPr>
        <w:t xml:space="preserve"> state</w:t>
      </w:r>
      <w:r w:rsidR="00282F1D">
        <w:rPr>
          <w:rFonts w:cstheme="minorHAnsi"/>
          <w:szCs w:val="24"/>
          <w:lang w:val="en-US"/>
        </w:rPr>
        <w:t xml:space="preserve"> that Sector Members may:</w:t>
      </w:r>
    </w:p>
    <w:p w:rsidR="00282F1D" w:rsidRDefault="00282F1D" w:rsidP="00A05D6F">
      <w:pPr>
        <w:pStyle w:val="ListParagraph"/>
        <w:numPr>
          <w:ilvl w:val="0"/>
          <w:numId w:val="22"/>
        </w:numPr>
        <w:tabs>
          <w:tab w:val="clear" w:pos="567"/>
        </w:tabs>
        <w:rPr>
          <w:rFonts w:cstheme="minorHAnsi"/>
          <w:szCs w:val="24"/>
          <w:lang w:val="en-US"/>
        </w:rPr>
      </w:pPr>
      <w:r w:rsidRPr="00312D69">
        <w:rPr>
          <w:rFonts w:cstheme="minorHAnsi"/>
          <w:szCs w:val="24"/>
          <w:lang w:val="en-US"/>
        </w:rPr>
        <w:t>receive information related to their participation from the Bureau of the Sector concerned</w:t>
      </w:r>
      <w:bookmarkStart w:id="4" w:name="_GoBack"/>
      <w:bookmarkEnd w:id="4"/>
      <w:r>
        <w:rPr>
          <w:rFonts w:cstheme="minorHAnsi"/>
          <w:szCs w:val="24"/>
          <w:lang w:val="en-US"/>
        </w:rPr>
        <w:t>;</w:t>
      </w:r>
    </w:p>
    <w:p w:rsidR="00282F1D" w:rsidRDefault="00282F1D" w:rsidP="007A0E5A">
      <w:pPr>
        <w:pStyle w:val="ListParagraph"/>
        <w:numPr>
          <w:ilvl w:val="0"/>
          <w:numId w:val="22"/>
        </w:numPr>
        <w:tabs>
          <w:tab w:val="clear" w:pos="567"/>
        </w:tabs>
        <w:snapToGrid w:val="0"/>
        <w:spacing w:before="40"/>
        <w:ind w:left="765" w:hanging="357"/>
        <w:contextualSpacing w:val="0"/>
        <w:rPr>
          <w:rFonts w:cstheme="minorHAnsi"/>
          <w:szCs w:val="24"/>
          <w:lang w:val="en-US"/>
        </w:rPr>
      </w:pPr>
      <w:r w:rsidRPr="00312D69">
        <w:rPr>
          <w:rFonts w:cstheme="minorHAnsi"/>
          <w:szCs w:val="24"/>
          <w:lang w:val="en-US"/>
        </w:rPr>
        <w:t xml:space="preserve">send contributions </w:t>
      </w:r>
      <w:r>
        <w:rPr>
          <w:rFonts w:cstheme="minorHAnsi"/>
          <w:szCs w:val="24"/>
          <w:lang w:val="en-US"/>
        </w:rPr>
        <w:t xml:space="preserve">and representatives </w:t>
      </w:r>
      <w:r w:rsidRPr="00312D69">
        <w:rPr>
          <w:rFonts w:cstheme="minorHAnsi"/>
          <w:szCs w:val="24"/>
          <w:lang w:val="en-US"/>
        </w:rPr>
        <w:t>to Study Groups</w:t>
      </w:r>
      <w:r>
        <w:rPr>
          <w:rFonts w:cstheme="minorHAnsi"/>
          <w:szCs w:val="24"/>
          <w:lang w:val="en-US"/>
        </w:rPr>
        <w:t>;</w:t>
      </w:r>
    </w:p>
    <w:p w:rsidR="00282F1D" w:rsidRDefault="00282F1D" w:rsidP="007A0E5A">
      <w:pPr>
        <w:pStyle w:val="ListParagraph"/>
        <w:numPr>
          <w:ilvl w:val="0"/>
          <w:numId w:val="22"/>
        </w:numPr>
        <w:tabs>
          <w:tab w:val="clear" w:pos="567"/>
        </w:tabs>
        <w:snapToGrid w:val="0"/>
        <w:spacing w:before="40"/>
        <w:ind w:left="765" w:hanging="357"/>
        <w:contextualSpacing w:val="0"/>
        <w:rPr>
          <w:rFonts w:cstheme="minorHAnsi"/>
          <w:szCs w:val="24"/>
          <w:lang w:val="en-US"/>
        </w:rPr>
      </w:pPr>
      <w:r>
        <w:rPr>
          <w:rFonts w:cstheme="minorHAnsi"/>
          <w:szCs w:val="24"/>
          <w:lang w:val="en-US"/>
        </w:rPr>
        <w:t>propose agenda items for these meetings;</w:t>
      </w:r>
    </w:p>
    <w:p w:rsidR="00282F1D" w:rsidRDefault="00282F1D" w:rsidP="007A0E5A">
      <w:pPr>
        <w:pStyle w:val="ListParagraph"/>
        <w:numPr>
          <w:ilvl w:val="0"/>
          <w:numId w:val="22"/>
        </w:numPr>
        <w:tabs>
          <w:tab w:val="clear" w:pos="567"/>
        </w:tabs>
        <w:snapToGrid w:val="0"/>
        <w:spacing w:before="40"/>
        <w:ind w:left="765" w:hanging="357"/>
        <w:contextualSpacing w:val="0"/>
        <w:rPr>
          <w:rFonts w:cstheme="minorHAnsi"/>
          <w:szCs w:val="24"/>
          <w:lang w:val="en-US"/>
        </w:rPr>
      </w:pPr>
      <w:r>
        <w:rPr>
          <w:rFonts w:cstheme="minorHAnsi"/>
          <w:szCs w:val="24"/>
          <w:lang w:val="en-US"/>
        </w:rPr>
        <w:t>take part in all discussions and assume responsibilities such as chairman or vice-chairman of a study group, working party, expert group, rapporteur’s group</w:t>
      </w:r>
      <w:r w:rsidR="00C70FF4">
        <w:rPr>
          <w:rFonts w:cstheme="minorHAnsi"/>
          <w:szCs w:val="24"/>
          <w:lang w:val="en-US"/>
        </w:rPr>
        <w:t xml:space="preserve"> or any other ad-hoc group; and</w:t>
      </w:r>
    </w:p>
    <w:p w:rsidR="00282F1D" w:rsidRPr="00312D69" w:rsidRDefault="00282F1D" w:rsidP="007A0E5A">
      <w:pPr>
        <w:pStyle w:val="ListParagraph"/>
        <w:numPr>
          <w:ilvl w:val="0"/>
          <w:numId w:val="22"/>
        </w:numPr>
        <w:tabs>
          <w:tab w:val="clear" w:pos="567"/>
        </w:tabs>
        <w:snapToGrid w:val="0"/>
        <w:spacing w:before="40"/>
        <w:ind w:left="765" w:hanging="357"/>
        <w:contextualSpacing w:val="0"/>
        <w:rPr>
          <w:rFonts w:cstheme="minorHAnsi"/>
          <w:szCs w:val="24"/>
          <w:lang w:val="en-US"/>
        </w:rPr>
      </w:pPr>
      <w:proofErr w:type="gramStart"/>
      <w:r>
        <w:rPr>
          <w:rFonts w:cstheme="minorHAnsi"/>
          <w:szCs w:val="24"/>
          <w:lang w:val="en-US"/>
        </w:rPr>
        <w:t>take</w:t>
      </w:r>
      <w:proofErr w:type="gramEnd"/>
      <w:r>
        <w:rPr>
          <w:rFonts w:cstheme="minorHAnsi"/>
          <w:szCs w:val="24"/>
          <w:lang w:val="en-US"/>
        </w:rPr>
        <w:t xml:space="preserve"> part in the drafting and editorial work necessary prior to the adoption of recommendations.</w:t>
      </w:r>
    </w:p>
    <w:p w:rsidR="001E7DD3" w:rsidRDefault="009078AA" w:rsidP="007A0E5A">
      <w:pPr>
        <w:snapToGrid w:val="0"/>
        <w:spacing w:after="120"/>
        <w:rPr>
          <w:szCs w:val="24"/>
          <w:lang w:val="en-US"/>
        </w:rPr>
      </w:pPr>
      <w:r>
        <w:rPr>
          <w:szCs w:val="24"/>
          <w:lang w:val="en-US"/>
        </w:rPr>
        <w:t>2.5</w:t>
      </w:r>
      <w:r>
        <w:rPr>
          <w:szCs w:val="24"/>
          <w:lang w:val="en-US"/>
        </w:rPr>
        <w:tab/>
      </w:r>
      <w:r w:rsidR="001E7DD3">
        <w:rPr>
          <w:szCs w:val="24"/>
          <w:lang w:val="en-US"/>
        </w:rPr>
        <w:t xml:space="preserve">Sector Members that fall within </w:t>
      </w:r>
      <w:r w:rsidR="00714592">
        <w:rPr>
          <w:szCs w:val="24"/>
          <w:lang w:val="en-US"/>
        </w:rPr>
        <w:t>Nos</w:t>
      </w:r>
      <w:r w:rsidR="00BE3BCD">
        <w:rPr>
          <w:szCs w:val="24"/>
          <w:lang w:val="en-US"/>
        </w:rPr>
        <w:t xml:space="preserve">. </w:t>
      </w:r>
      <w:r w:rsidR="001E7DD3">
        <w:rPr>
          <w:szCs w:val="24"/>
          <w:lang w:val="en-US"/>
        </w:rPr>
        <w:t xml:space="preserve">229 and 231 </w:t>
      </w:r>
      <w:r w:rsidR="00EF15BA">
        <w:rPr>
          <w:szCs w:val="24"/>
          <w:lang w:val="en-US"/>
        </w:rPr>
        <w:t xml:space="preserve">of the Convention </w:t>
      </w:r>
      <w:r w:rsidR="001E7DD3">
        <w:rPr>
          <w:szCs w:val="24"/>
          <w:lang w:val="en-US"/>
        </w:rPr>
        <w:t>have the right to participate as observers</w:t>
      </w:r>
      <w:r w:rsidR="00714592">
        <w:rPr>
          <w:szCs w:val="24"/>
          <w:lang w:val="en-US"/>
        </w:rPr>
        <w:t xml:space="preserve"> in a non-advisory capacity</w:t>
      </w:r>
      <w:r w:rsidR="001E7DD3">
        <w:rPr>
          <w:szCs w:val="24"/>
          <w:lang w:val="en-US"/>
        </w:rPr>
        <w:t xml:space="preserve"> in </w:t>
      </w:r>
      <w:r w:rsidR="00714592">
        <w:rPr>
          <w:szCs w:val="24"/>
          <w:lang w:val="en-US"/>
        </w:rPr>
        <w:t>P</w:t>
      </w:r>
      <w:r w:rsidR="00BA7AEC">
        <w:rPr>
          <w:szCs w:val="24"/>
          <w:lang w:val="en-US"/>
        </w:rPr>
        <w:t xml:space="preserve">lenipotentiary </w:t>
      </w:r>
      <w:r w:rsidR="00714592">
        <w:rPr>
          <w:szCs w:val="24"/>
          <w:lang w:val="en-US"/>
        </w:rPr>
        <w:t>C</w:t>
      </w:r>
      <w:r w:rsidR="00BA7AEC">
        <w:rPr>
          <w:szCs w:val="24"/>
          <w:lang w:val="en-US"/>
        </w:rPr>
        <w:t>onferences</w:t>
      </w:r>
      <w:r w:rsidR="001E7DD3">
        <w:rPr>
          <w:szCs w:val="24"/>
          <w:lang w:val="en-US"/>
        </w:rPr>
        <w:t>.</w:t>
      </w:r>
      <w:r w:rsidR="00F775A7">
        <w:rPr>
          <w:szCs w:val="24"/>
          <w:lang w:val="en-US"/>
        </w:rPr>
        <w:t xml:space="preserve"> </w:t>
      </w:r>
      <w:r w:rsidR="00A71638">
        <w:rPr>
          <w:szCs w:val="24"/>
          <w:lang w:val="en-US"/>
        </w:rPr>
        <w:t>Sector Members can also participate as observers in a non-advisory capacity in world conferences on international telecommunications.</w:t>
      </w:r>
      <w:r w:rsidR="001E7DD3">
        <w:rPr>
          <w:szCs w:val="24"/>
          <w:lang w:val="en-US"/>
        </w:rPr>
        <w:t xml:space="preserve"> </w:t>
      </w:r>
      <w:r w:rsidR="00BA7AEC">
        <w:rPr>
          <w:szCs w:val="24"/>
          <w:lang w:val="en-US"/>
        </w:rPr>
        <w:t xml:space="preserve">In accordance with </w:t>
      </w:r>
      <w:r w:rsidR="00A71638">
        <w:rPr>
          <w:szCs w:val="24"/>
          <w:lang w:val="en-US"/>
        </w:rPr>
        <w:t>N</w:t>
      </w:r>
      <w:r w:rsidR="00BA7AEC">
        <w:rPr>
          <w:szCs w:val="24"/>
          <w:lang w:val="en-US"/>
        </w:rPr>
        <w:t>o. 476 of the Convention, and Article 7.5 of the Financial Regulations, t</w:t>
      </w:r>
      <w:r w:rsidR="001E7DD3">
        <w:rPr>
          <w:szCs w:val="24"/>
          <w:lang w:val="en-US"/>
        </w:rPr>
        <w:t xml:space="preserve">hey are required to make a financial contribution to defray the costs of the conference unless they are international or regional organizations that have been exempted </w:t>
      </w:r>
      <w:r w:rsidR="001E7DD3">
        <w:rPr>
          <w:szCs w:val="24"/>
          <w:lang w:val="en-US"/>
        </w:rPr>
        <w:lastRenderedPageBreak/>
        <w:t xml:space="preserve">from paying fees. Only ITU-R Sector Members can participate in </w:t>
      </w:r>
      <w:r w:rsidR="00BA7AEC">
        <w:rPr>
          <w:szCs w:val="24"/>
          <w:lang w:val="en-US"/>
        </w:rPr>
        <w:t xml:space="preserve">a </w:t>
      </w:r>
      <w:r w:rsidR="001E7DD3">
        <w:rPr>
          <w:szCs w:val="24"/>
          <w:lang w:val="en-US"/>
        </w:rPr>
        <w:t>W</w:t>
      </w:r>
      <w:r w:rsidR="00F775A7">
        <w:rPr>
          <w:szCs w:val="24"/>
          <w:lang w:val="en-US"/>
        </w:rPr>
        <w:t xml:space="preserve">orld </w:t>
      </w:r>
      <w:r w:rsidR="001E7DD3">
        <w:rPr>
          <w:szCs w:val="24"/>
          <w:lang w:val="en-US"/>
        </w:rPr>
        <w:t>R</w:t>
      </w:r>
      <w:r w:rsidR="00F775A7">
        <w:rPr>
          <w:szCs w:val="24"/>
          <w:lang w:val="en-US"/>
        </w:rPr>
        <w:t xml:space="preserve">adiocommunication </w:t>
      </w:r>
      <w:r w:rsidR="001E7DD3">
        <w:rPr>
          <w:szCs w:val="24"/>
          <w:lang w:val="en-US"/>
        </w:rPr>
        <w:t>C</w:t>
      </w:r>
      <w:r w:rsidR="00F775A7">
        <w:rPr>
          <w:szCs w:val="24"/>
          <w:lang w:val="en-US"/>
        </w:rPr>
        <w:t>onference</w:t>
      </w:r>
      <w:r w:rsidR="001E7DD3">
        <w:rPr>
          <w:szCs w:val="24"/>
          <w:lang w:val="en-US"/>
        </w:rPr>
        <w:t xml:space="preserve"> </w:t>
      </w:r>
      <w:r w:rsidR="00F775A7">
        <w:rPr>
          <w:szCs w:val="24"/>
          <w:lang w:val="en-US"/>
        </w:rPr>
        <w:t xml:space="preserve">(WRC) or </w:t>
      </w:r>
      <w:r w:rsidR="00C70FF4">
        <w:rPr>
          <w:szCs w:val="24"/>
          <w:lang w:val="en-US"/>
        </w:rPr>
        <w:t xml:space="preserve">a </w:t>
      </w:r>
      <w:r w:rsidR="00F775A7">
        <w:rPr>
          <w:szCs w:val="24"/>
          <w:lang w:val="en-US"/>
        </w:rPr>
        <w:t>Regional Radiocommunication Conference (</w:t>
      </w:r>
      <w:r w:rsidR="001E7DD3">
        <w:rPr>
          <w:szCs w:val="24"/>
          <w:lang w:val="en-US"/>
        </w:rPr>
        <w:t>RRC</w:t>
      </w:r>
      <w:r w:rsidR="00F775A7">
        <w:rPr>
          <w:szCs w:val="24"/>
          <w:lang w:val="en-US"/>
        </w:rPr>
        <w:t>)</w:t>
      </w:r>
      <w:r w:rsidR="001E7DD3">
        <w:rPr>
          <w:szCs w:val="24"/>
          <w:lang w:val="en-US"/>
        </w:rPr>
        <w:t>.</w:t>
      </w:r>
    </w:p>
    <w:p w:rsidR="000040F2" w:rsidRPr="00067DF0" w:rsidRDefault="009078AA" w:rsidP="007A0E5A">
      <w:pPr>
        <w:snapToGrid w:val="0"/>
        <w:spacing w:after="120"/>
        <w:rPr>
          <w:rFonts w:eastAsiaTheme="minorEastAsia" w:cstheme="minorHAnsi"/>
          <w:color w:val="231F20"/>
          <w:szCs w:val="24"/>
          <w:highlight w:val="yellow"/>
          <w:lang w:val="en-US" w:eastAsia="zh-CN"/>
        </w:rPr>
      </w:pPr>
      <w:r>
        <w:rPr>
          <w:szCs w:val="24"/>
          <w:lang w:val="en-US"/>
        </w:rPr>
        <w:t>2.6</w:t>
      </w:r>
      <w:r>
        <w:rPr>
          <w:szCs w:val="24"/>
          <w:lang w:val="en-US"/>
        </w:rPr>
        <w:tab/>
      </w:r>
      <w:r w:rsidR="009074E3">
        <w:rPr>
          <w:szCs w:val="24"/>
          <w:lang w:val="en-US"/>
        </w:rPr>
        <w:t>For other major</w:t>
      </w:r>
      <w:r w:rsidR="00A71638">
        <w:rPr>
          <w:szCs w:val="24"/>
          <w:lang w:val="en-US"/>
        </w:rPr>
        <w:t xml:space="preserve"> non-treaty making</w:t>
      </w:r>
      <w:r w:rsidR="009074E3">
        <w:rPr>
          <w:szCs w:val="24"/>
          <w:lang w:val="en-US"/>
        </w:rPr>
        <w:t xml:space="preserve"> conferences and assemblies, including </w:t>
      </w:r>
      <w:r w:rsidR="00BA7AEC">
        <w:rPr>
          <w:szCs w:val="24"/>
          <w:lang w:val="en-US"/>
        </w:rPr>
        <w:t>a world telecommunication standardization assembly (</w:t>
      </w:r>
      <w:r w:rsidR="009074E3">
        <w:rPr>
          <w:szCs w:val="24"/>
          <w:lang w:val="en-US"/>
        </w:rPr>
        <w:t>WTSA</w:t>
      </w:r>
      <w:r w:rsidR="00BA7AEC">
        <w:rPr>
          <w:szCs w:val="24"/>
          <w:lang w:val="en-US"/>
        </w:rPr>
        <w:t>)</w:t>
      </w:r>
      <w:r w:rsidR="009074E3">
        <w:rPr>
          <w:szCs w:val="24"/>
          <w:lang w:val="en-US"/>
        </w:rPr>
        <w:t xml:space="preserve">, </w:t>
      </w:r>
      <w:r w:rsidR="00BA7AEC">
        <w:rPr>
          <w:szCs w:val="24"/>
          <w:lang w:val="en-US"/>
        </w:rPr>
        <w:t>a world telecommunication development conference (</w:t>
      </w:r>
      <w:r w:rsidR="009074E3">
        <w:rPr>
          <w:szCs w:val="24"/>
          <w:lang w:val="en-US"/>
        </w:rPr>
        <w:t>WTDC</w:t>
      </w:r>
      <w:r w:rsidR="00BA7AEC">
        <w:rPr>
          <w:szCs w:val="24"/>
          <w:lang w:val="en-US"/>
        </w:rPr>
        <w:t>)</w:t>
      </w:r>
      <w:r w:rsidR="009074E3">
        <w:rPr>
          <w:szCs w:val="24"/>
          <w:lang w:val="en-US"/>
        </w:rPr>
        <w:t xml:space="preserve"> and </w:t>
      </w:r>
      <w:r w:rsidR="00BA7AEC">
        <w:rPr>
          <w:szCs w:val="24"/>
          <w:lang w:val="en-US"/>
        </w:rPr>
        <w:t>a radiocommunication assembly (</w:t>
      </w:r>
      <w:r w:rsidR="009074E3">
        <w:rPr>
          <w:szCs w:val="24"/>
          <w:lang w:val="en-US"/>
        </w:rPr>
        <w:t>RA</w:t>
      </w:r>
      <w:r w:rsidR="00BA7AEC">
        <w:rPr>
          <w:szCs w:val="24"/>
          <w:lang w:val="en-US"/>
        </w:rPr>
        <w:t>)</w:t>
      </w:r>
      <w:r w:rsidR="009074E3">
        <w:rPr>
          <w:szCs w:val="24"/>
          <w:lang w:val="en-US"/>
        </w:rPr>
        <w:t>, Sector Members</w:t>
      </w:r>
      <w:r w:rsidR="00A71638">
        <w:rPr>
          <w:szCs w:val="24"/>
          <w:lang w:val="en-US"/>
        </w:rPr>
        <w:t xml:space="preserve"> of the Sector concerned</w:t>
      </w:r>
      <w:r w:rsidR="009074E3">
        <w:rPr>
          <w:szCs w:val="24"/>
          <w:lang w:val="en-US"/>
        </w:rPr>
        <w:t xml:space="preserve"> can fully participate</w:t>
      </w:r>
      <w:r w:rsidR="00BA7AEC">
        <w:rPr>
          <w:szCs w:val="24"/>
          <w:lang w:val="en-US"/>
        </w:rPr>
        <w:t>,</w:t>
      </w:r>
      <w:r w:rsidR="009074E3">
        <w:rPr>
          <w:szCs w:val="24"/>
          <w:lang w:val="en-US"/>
        </w:rPr>
        <w:t xml:space="preserve"> except they do not have the right to vote or raise procedural motions. They do not have to pay to participate in such meetings. Sector Members may provide Chairman/Vice-Chairman for Sector assemblies and non-treaty making conferences. </w:t>
      </w:r>
      <w:r w:rsidR="00BA7AEC">
        <w:rPr>
          <w:szCs w:val="24"/>
          <w:lang w:val="en-US"/>
        </w:rPr>
        <w:t>No.</w:t>
      </w:r>
      <w:r w:rsidR="000040F2">
        <w:rPr>
          <w:szCs w:val="24"/>
        </w:rPr>
        <w:t xml:space="preserve"> 239 </w:t>
      </w:r>
      <w:r w:rsidR="00BA7AEC">
        <w:rPr>
          <w:szCs w:val="24"/>
        </w:rPr>
        <w:t xml:space="preserve">of the Convention </w:t>
      </w:r>
      <w:r w:rsidR="000040F2">
        <w:rPr>
          <w:szCs w:val="24"/>
        </w:rPr>
        <w:t>allows that “A Sector Member may act on behalf of the Member State which has approved it, provided that the Member State informs the Director of the Bureau concerned</w:t>
      </w:r>
      <w:r w:rsidR="00C70FF4">
        <w:rPr>
          <w:szCs w:val="24"/>
        </w:rPr>
        <w:t xml:space="preserve"> that it is authorized to do so</w:t>
      </w:r>
      <w:r w:rsidR="000040F2">
        <w:rPr>
          <w:szCs w:val="24"/>
        </w:rPr>
        <w:t>”</w:t>
      </w:r>
      <w:r w:rsidR="00C70FF4">
        <w:rPr>
          <w:szCs w:val="24"/>
        </w:rPr>
        <w:t>.</w:t>
      </w:r>
    </w:p>
    <w:p w:rsidR="009074E3" w:rsidRDefault="009078AA" w:rsidP="007A0E5A">
      <w:pPr>
        <w:snapToGrid w:val="0"/>
        <w:spacing w:after="120"/>
        <w:rPr>
          <w:szCs w:val="24"/>
          <w:lang w:val="en-US"/>
        </w:rPr>
      </w:pPr>
      <w:r>
        <w:rPr>
          <w:szCs w:val="24"/>
          <w:lang w:val="en-US"/>
        </w:rPr>
        <w:t>2.7</w:t>
      </w:r>
      <w:r>
        <w:rPr>
          <w:szCs w:val="24"/>
          <w:lang w:val="en-US"/>
        </w:rPr>
        <w:tab/>
      </w:r>
      <w:r w:rsidR="009074E3">
        <w:rPr>
          <w:szCs w:val="24"/>
          <w:lang w:val="en-US"/>
        </w:rPr>
        <w:t>Sector Members can participate in their corresponding Sector Advisory Group</w:t>
      </w:r>
      <w:r w:rsidR="00113FF5">
        <w:rPr>
          <w:szCs w:val="24"/>
          <w:lang w:val="en-US"/>
        </w:rPr>
        <w:t xml:space="preserve">, where they enjoy full participation rights except the right to vote and associated procedural rights such as </w:t>
      </w:r>
      <w:r w:rsidR="00C70FF4">
        <w:rPr>
          <w:szCs w:val="24"/>
          <w:lang w:val="en-US"/>
        </w:rPr>
        <w:t xml:space="preserve">raising </w:t>
      </w:r>
      <w:r w:rsidR="00113FF5">
        <w:rPr>
          <w:szCs w:val="24"/>
          <w:lang w:val="en-US"/>
        </w:rPr>
        <w:t>motion</w:t>
      </w:r>
      <w:r w:rsidR="00C70FF4">
        <w:rPr>
          <w:szCs w:val="24"/>
          <w:lang w:val="en-US"/>
        </w:rPr>
        <w:t>s</w:t>
      </w:r>
      <w:r w:rsidR="00113FF5">
        <w:rPr>
          <w:szCs w:val="24"/>
          <w:lang w:val="en-US"/>
        </w:rPr>
        <w:t xml:space="preserve"> and point</w:t>
      </w:r>
      <w:r w:rsidR="00C70FF4">
        <w:rPr>
          <w:szCs w:val="24"/>
          <w:lang w:val="en-US"/>
        </w:rPr>
        <w:t>s</w:t>
      </w:r>
      <w:r w:rsidR="00113FF5">
        <w:rPr>
          <w:szCs w:val="24"/>
          <w:lang w:val="en-US"/>
        </w:rPr>
        <w:t xml:space="preserve"> of order. They can make written and oral contributions and can serve as Chairman or Vice-Chairman (</w:t>
      </w:r>
      <w:r w:rsidR="00BA7AEC">
        <w:rPr>
          <w:szCs w:val="24"/>
          <w:lang w:val="en-US"/>
        </w:rPr>
        <w:t xml:space="preserve">No. 28B of the </w:t>
      </w:r>
      <w:r w:rsidR="00113FF5">
        <w:rPr>
          <w:szCs w:val="24"/>
          <w:lang w:val="en-US"/>
        </w:rPr>
        <w:t xml:space="preserve">Constitution), including for any related working groups. </w:t>
      </w:r>
    </w:p>
    <w:p w:rsidR="00B719C2" w:rsidRDefault="009078AA" w:rsidP="007A0E5A">
      <w:pPr>
        <w:snapToGrid w:val="0"/>
        <w:spacing w:after="120"/>
        <w:rPr>
          <w:szCs w:val="24"/>
          <w:lang w:val="en-US"/>
        </w:rPr>
      </w:pPr>
      <w:r>
        <w:rPr>
          <w:szCs w:val="24"/>
          <w:lang w:val="en-US"/>
        </w:rPr>
        <w:t>2.8</w:t>
      </w:r>
      <w:r>
        <w:rPr>
          <w:szCs w:val="24"/>
          <w:lang w:val="en-US"/>
        </w:rPr>
        <w:tab/>
      </w:r>
      <w:r w:rsidR="00B719C2">
        <w:rPr>
          <w:szCs w:val="24"/>
          <w:lang w:val="en-US"/>
        </w:rPr>
        <w:t xml:space="preserve">Up to three Sector Members per Sector can participate in </w:t>
      </w:r>
      <w:r w:rsidR="00C70FF4">
        <w:rPr>
          <w:szCs w:val="24"/>
          <w:lang w:val="en-US"/>
        </w:rPr>
        <w:t xml:space="preserve">the </w:t>
      </w:r>
      <w:r w:rsidR="00B719C2">
        <w:rPr>
          <w:szCs w:val="24"/>
          <w:lang w:val="en-US"/>
        </w:rPr>
        <w:t>Council as observers, which give them the right to attend but not to vote or make written or oral contributions (</w:t>
      </w:r>
      <w:r w:rsidR="00F57D6D">
        <w:rPr>
          <w:szCs w:val="24"/>
          <w:lang w:val="en-US"/>
        </w:rPr>
        <w:t>N</w:t>
      </w:r>
      <w:r w:rsidR="00BA7AEC">
        <w:rPr>
          <w:szCs w:val="24"/>
          <w:lang w:val="en-US"/>
        </w:rPr>
        <w:t>o.</w:t>
      </w:r>
      <w:r w:rsidR="004D57B4">
        <w:rPr>
          <w:szCs w:val="24"/>
          <w:lang w:val="en-US"/>
        </w:rPr>
        <w:t> </w:t>
      </w:r>
      <w:r w:rsidR="00B719C2">
        <w:rPr>
          <w:szCs w:val="24"/>
          <w:lang w:val="en-US"/>
        </w:rPr>
        <w:t>60B</w:t>
      </w:r>
      <w:r w:rsidR="00BA7AEC">
        <w:rPr>
          <w:szCs w:val="24"/>
          <w:lang w:val="en-US"/>
        </w:rPr>
        <w:t xml:space="preserve"> of the Convention</w:t>
      </w:r>
      <w:r w:rsidR="00B719C2">
        <w:rPr>
          <w:szCs w:val="24"/>
          <w:lang w:val="en-US"/>
        </w:rPr>
        <w:t xml:space="preserve">, Rule of Procedure 7.4 of the Council and Decision 519 of </w:t>
      </w:r>
      <w:r w:rsidR="00BE3BCD">
        <w:rPr>
          <w:szCs w:val="24"/>
          <w:lang w:val="en-US"/>
        </w:rPr>
        <w:t xml:space="preserve">the </w:t>
      </w:r>
      <w:r w:rsidR="00B719C2">
        <w:rPr>
          <w:szCs w:val="24"/>
          <w:lang w:val="en-US"/>
        </w:rPr>
        <w:t>Council).</w:t>
      </w:r>
      <w:r w:rsidR="00876460">
        <w:rPr>
          <w:szCs w:val="24"/>
          <w:lang w:val="en-US"/>
        </w:rPr>
        <w:t xml:space="preserve"> The 2012 session of Council (Decision 519 MOD) decided to </w:t>
      </w:r>
      <w:r w:rsidR="00876460">
        <w:rPr>
          <w:rFonts w:asciiTheme="minorHAnsi" w:hAnsiTheme="minorHAnsi" w:cstheme="minorHAnsi"/>
        </w:rPr>
        <w:t>grant admission to the six principal regional telecommunication organizations</w:t>
      </w:r>
      <w:r w:rsidR="00876460" w:rsidRPr="00876460">
        <w:rPr>
          <w:rFonts w:asciiTheme="minorHAnsi" w:hAnsiTheme="minorHAnsi" w:cstheme="minorHAnsi"/>
          <w:lang w:val="en-US"/>
        </w:rPr>
        <w:t xml:space="preserve"> </w:t>
      </w:r>
      <w:r w:rsidR="00876460">
        <w:rPr>
          <w:rFonts w:asciiTheme="minorHAnsi" w:hAnsiTheme="minorHAnsi" w:cstheme="minorHAnsi"/>
          <w:lang w:val="en-US"/>
        </w:rPr>
        <w:t>to participate as observer Sector Members in sessions of the Council on the invitation of the Secretary-General of ITU in addition to the quota established.</w:t>
      </w:r>
    </w:p>
    <w:p w:rsidR="003D0740" w:rsidRPr="006258C3" w:rsidRDefault="003D0740" w:rsidP="007A0E5A">
      <w:pPr>
        <w:spacing w:before="160"/>
        <w:rPr>
          <w:i/>
          <w:iCs/>
          <w:szCs w:val="24"/>
        </w:rPr>
      </w:pPr>
      <w:r w:rsidRPr="006258C3">
        <w:rPr>
          <w:i/>
          <w:iCs/>
          <w:szCs w:val="24"/>
        </w:rPr>
        <w:t>Associates</w:t>
      </w:r>
    </w:p>
    <w:p w:rsidR="00746B85" w:rsidRDefault="009078AA" w:rsidP="007A0E5A">
      <w:pPr>
        <w:spacing w:after="120"/>
        <w:rPr>
          <w:szCs w:val="24"/>
        </w:rPr>
      </w:pPr>
      <w:r>
        <w:rPr>
          <w:szCs w:val="24"/>
        </w:rPr>
        <w:t>2.9</w:t>
      </w:r>
      <w:r>
        <w:rPr>
          <w:szCs w:val="24"/>
        </w:rPr>
        <w:tab/>
      </w:r>
      <w:r w:rsidR="00792C96">
        <w:rPr>
          <w:szCs w:val="24"/>
        </w:rPr>
        <w:t>T</w:t>
      </w:r>
      <w:r w:rsidR="00746B85" w:rsidRPr="002B7C16">
        <w:rPr>
          <w:szCs w:val="24"/>
        </w:rPr>
        <w:t>he Associate category</w:t>
      </w:r>
      <w:r w:rsidR="00792C96">
        <w:rPr>
          <w:szCs w:val="24"/>
        </w:rPr>
        <w:t xml:space="preserve"> is introduced in Article 19 of the </w:t>
      </w:r>
      <w:r w:rsidR="00A71638">
        <w:rPr>
          <w:szCs w:val="24"/>
        </w:rPr>
        <w:t xml:space="preserve">Convention </w:t>
      </w:r>
      <w:r w:rsidR="00792C96">
        <w:rPr>
          <w:szCs w:val="24"/>
        </w:rPr>
        <w:t>(</w:t>
      </w:r>
      <w:r w:rsidR="00A71638">
        <w:rPr>
          <w:szCs w:val="24"/>
        </w:rPr>
        <w:t>N</w:t>
      </w:r>
      <w:r w:rsidR="0045045C">
        <w:rPr>
          <w:szCs w:val="24"/>
        </w:rPr>
        <w:t>o.</w:t>
      </w:r>
      <w:r w:rsidR="00792C96" w:rsidRPr="002B7C16">
        <w:rPr>
          <w:szCs w:val="24"/>
        </w:rPr>
        <w:t xml:space="preserve"> 241A</w:t>
      </w:r>
      <w:r w:rsidR="00792C96">
        <w:rPr>
          <w:szCs w:val="24"/>
        </w:rPr>
        <w:t>),</w:t>
      </w:r>
      <w:r w:rsidR="00746B85">
        <w:rPr>
          <w:szCs w:val="24"/>
        </w:rPr>
        <w:t xml:space="preserve"> which provides entities the opportunity to participate in a single study group of a given Sector, “taking into account the size of the entity or organization an</w:t>
      </w:r>
      <w:r w:rsidR="00C70FF4">
        <w:rPr>
          <w:szCs w:val="24"/>
        </w:rPr>
        <w:t>d any other relevant criteria</w:t>
      </w:r>
      <w:r w:rsidR="00746B85">
        <w:rPr>
          <w:szCs w:val="24"/>
        </w:rPr>
        <w:t>”</w:t>
      </w:r>
      <w:r w:rsidR="00C70FF4">
        <w:rPr>
          <w:szCs w:val="24"/>
        </w:rPr>
        <w:t>.</w:t>
      </w:r>
      <w:r w:rsidR="00746B85">
        <w:rPr>
          <w:szCs w:val="24"/>
        </w:rPr>
        <w:t xml:space="preserve"> </w:t>
      </w:r>
      <w:r w:rsidR="0045045C">
        <w:rPr>
          <w:szCs w:val="24"/>
        </w:rPr>
        <w:t xml:space="preserve">No. 248B </w:t>
      </w:r>
      <w:r w:rsidR="00A71638">
        <w:rPr>
          <w:szCs w:val="24"/>
        </w:rPr>
        <w:t>(</w:t>
      </w:r>
      <w:r w:rsidR="00B719C2">
        <w:rPr>
          <w:szCs w:val="24"/>
        </w:rPr>
        <w:t>Article 20</w:t>
      </w:r>
      <w:r w:rsidR="0045045C">
        <w:rPr>
          <w:szCs w:val="24"/>
        </w:rPr>
        <w:t xml:space="preserve"> of the Convention</w:t>
      </w:r>
      <w:r w:rsidR="00A71638">
        <w:rPr>
          <w:szCs w:val="24"/>
        </w:rPr>
        <w:t>)</w:t>
      </w:r>
      <w:r w:rsidR="00746B85">
        <w:rPr>
          <w:szCs w:val="24"/>
        </w:rPr>
        <w:t xml:space="preserve">, </w:t>
      </w:r>
      <w:r w:rsidR="00B719C2">
        <w:rPr>
          <w:szCs w:val="24"/>
        </w:rPr>
        <w:t xml:space="preserve">adds </w:t>
      </w:r>
      <w:r w:rsidR="00746B85">
        <w:rPr>
          <w:szCs w:val="24"/>
        </w:rPr>
        <w:t>that “</w:t>
      </w:r>
      <w:r w:rsidR="00B719C2">
        <w:rPr>
          <w:szCs w:val="24"/>
        </w:rPr>
        <w:t>a</w:t>
      </w:r>
      <w:r w:rsidR="00746B85">
        <w:rPr>
          <w:szCs w:val="24"/>
        </w:rPr>
        <w:t>n Associate… will be permitted to participate in the work of the selected study group without taking part in any decision-making or liaison activity of that study group”</w:t>
      </w:r>
      <w:r w:rsidR="00C70FF4">
        <w:rPr>
          <w:szCs w:val="24"/>
        </w:rPr>
        <w:t>.</w:t>
      </w:r>
      <w:r w:rsidR="00B719C2">
        <w:rPr>
          <w:szCs w:val="24"/>
        </w:rPr>
        <w:t xml:space="preserve"> </w:t>
      </w:r>
      <w:r w:rsidR="006A148D">
        <w:rPr>
          <w:szCs w:val="24"/>
        </w:rPr>
        <w:t>Associates can serve as a Rapporteur in ITU-R and ITU-T</w:t>
      </w:r>
      <w:r w:rsidR="0013211E">
        <w:rPr>
          <w:szCs w:val="24"/>
        </w:rPr>
        <w:t xml:space="preserve"> </w:t>
      </w:r>
      <w:r w:rsidR="0013211E" w:rsidRPr="00350CA4">
        <w:rPr>
          <w:szCs w:val="24"/>
        </w:rPr>
        <w:t xml:space="preserve">(Resolution ITU-R 43 </w:t>
      </w:r>
      <w:r w:rsidR="008829D1">
        <w:rPr>
          <w:szCs w:val="24"/>
        </w:rPr>
        <w:t>(</w:t>
      </w:r>
      <w:r w:rsidR="0013211E" w:rsidRPr="00350CA4">
        <w:rPr>
          <w:szCs w:val="24"/>
        </w:rPr>
        <w:t>Istanbul, 2000</w:t>
      </w:r>
      <w:r w:rsidR="008829D1">
        <w:rPr>
          <w:szCs w:val="24"/>
        </w:rPr>
        <w:t>),</w:t>
      </w:r>
      <w:r w:rsidR="0013211E" w:rsidRPr="00350CA4">
        <w:rPr>
          <w:szCs w:val="24"/>
        </w:rPr>
        <w:t xml:space="preserve"> an</w:t>
      </w:r>
      <w:r w:rsidR="008829D1">
        <w:rPr>
          <w:szCs w:val="24"/>
        </w:rPr>
        <w:t>d WTSA Resolution 31 (</w:t>
      </w:r>
      <w:r w:rsidR="0013211E" w:rsidRPr="00350CA4">
        <w:rPr>
          <w:szCs w:val="24"/>
        </w:rPr>
        <w:t>Rev. Dubai, 2012</w:t>
      </w:r>
      <w:r w:rsidR="008829D1">
        <w:rPr>
          <w:szCs w:val="24"/>
        </w:rPr>
        <w:t>)</w:t>
      </w:r>
      <w:r w:rsidR="0013211E" w:rsidRPr="00350CA4">
        <w:rPr>
          <w:szCs w:val="24"/>
        </w:rPr>
        <w:t xml:space="preserve">) </w:t>
      </w:r>
      <w:r w:rsidR="006A148D">
        <w:rPr>
          <w:szCs w:val="24"/>
        </w:rPr>
        <w:t>and Vice Rapporteur in ITU-D Study Groups</w:t>
      </w:r>
      <w:r w:rsidR="0013211E">
        <w:rPr>
          <w:szCs w:val="24"/>
        </w:rPr>
        <w:t xml:space="preserve"> (WTDC Resolution 1</w:t>
      </w:r>
      <w:r w:rsidR="008829D1">
        <w:rPr>
          <w:szCs w:val="24"/>
        </w:rPr>
        <w:t xml:space="preserve"> (</w:t>
      </w:r>
      <w:r w:rsidR="00C70FF4">
        <w:rPr>
          <w:szCs w:val="24"/>
        </w:rPr>
        <w:t>Rev.</w:t>
      </w:r>
      <w:r w:rsidR="0013211E">
        <w:rPr>
          <w:szCs w:val="24"/>
        </w:rPr>
        <w:t xml:space="preserve"> Dubai, 2014</w:t>
      </w:r>
      <w:r w:rsidR="008829D1">
        <w:rPr>
          <w:szCs w:val="24"/>
        </w:rPr>
        <w:t>)</w:t>
      </w:r>
      <w:r w:rsidR="0013211E">
        <w:rPr>
          <w:szCs w:val="24"/>
        </w:rPr>
        <w:t>)</w:t>
      </w:r>
      <w:r w:rsidR="006A148D">
        <w:rPr>
          <w:szCs w:val="24"/>
        </w:rPr>
        <w:t xml:space="preserve">. However, </w:t>
      </w:r>
      <w:r w:rsidR="00B719C2">
        <w:rPr>
          <w:szCs w:val="24"/>
        </w:rPr>
        <w:t>A</w:t>
      </w:r>
      <w:r w:rsidR="009074E3">
        <w:rPr>
          <w:szCs w:val="24"/>
        </w:rPr>
        <w:t xml:space="preserve">ssociates do not have the right to participate in </w:t>
      </w:r>
      <w:r w:rsidR="00C70FF4">
        <w:rPr>
          <w:szCs w:val="24"/>
        </w:rPr>
        <w:t xml:space="preserve">the </w:t>
      </w:r>
      <w:r w:rsidR="009074E3">
        <w:rPr>
          <w:szCs w:val="24"/>
        </w:rPr>
        <w:t>Council, Sector Advisory Groups, major conferences and assemblies or treaty-making conferences</w:t>
      </w:r>
      <w:r w:rsidR="00B719C2">
        <w:rPr>
          <w:szCs w:val="24"/>
        </w:rPr>
        <w:t>.</w:t>
      </w:r>
      <w:r w:rsidR="00D92104">
        <w:rPr>
          <w:szCs w:val="24"/>
        </w:rPr>
        <w:t xml:space="preserve"> </w:t>
      </w:r>
    </w:p>
    <w:p w:rsidR="003D0740" w:rsidRPr="006258C3" w:rsidRDefault="003D0740" w:rsidP="007A0E5A">
      <w:pPr>
        <w:spacing w:before="160"/>
        <w:rPr>
          <w:bCs/>
          <w:i/>
          <w:iCs/>
          <w:szCs w:val="24"/>
        </w:rPr>
      </w:pPr>
      <w:r w:rsidRPr="00AA30B0">
        <w:rPr>
          <w:bCs/>
          <w:i/>
          <w:iCs/>
          <w:szCs w:val="24"/>
        </w:rPr>
        <w:t>Academia</w:t>
      </w:r>
    </w:p>
    <w:p w:rsidR="008B7E1E" w:rsidRDefault="009078AA" w:rsidP="00C70FF4">
      <w:pPr>
        <w:rPr>
          <w:szCs w:val="24"/>
        </w:rPr>
      </w:pPr>
      <w:r>
        <w:rPr>
          <w:bCs/>
          <w:szCs w:val="24"/>
        </w:rPr>
        <w:t>2.10</w:t>
      </w:r>
      <w:r>
        <w:rPr>
          <w:bCs/>
          <w:szCs w:val="24"/>
        </w:rPr>
        <w:tab/>
      </w:r>
      <w:r w:rsidR="00792C96">
        <w:rPr>
          <w:bCs/>
          <w:szCs w:val="24"/>
        </w:rPr>
        <w:t xml:space="preserve">The Academia category of participation </w:t>
      </w:r>
      <w:r w:rsidR="00C70FF4">
        <w:rPr>
          <w:bCs/>
          <w:szCs w:val="24"/>
        </w:rPr>
        <w:t>was introduced by</w:t>
      </w:r>
      <w:r w:rsidR="00792C96" w:rsidRPr="000D55B8">
        <w:rPr>
          <w:bCs/>
          <w:szCs w:val="24"/>
        </w:rPr>
        <w:t xml:space="preserve"> Resolution</w:t>
      </w:r>
      <w:r w:rsidR="00C70FF4">
        <w:rPr>
          <w:bCs/>
          <w:szCs w:val="24"/>
        </w:rPr>
        <w:t xml:space="preserve"> 169 (Guadalajara,</w:t>
      </w:r>
      <w:r w:rsidR="00792C96">
        <w:rPr>
          <w:bCs/>
          <w:szCs w:val="24"/>
        </w:rPr>
        <w:t xml:space="preserve"> 2010</w:t>
      </w:r>
      <w:r w:rsidR="00C70FF4">
        <w:rPr>
          <w:bCs/>
          <w:szCs w:val="24"/>
        </w:rPr>
        <w:t>)</w:t>
      </w:r>
      <w:r w:rsidR="00792C96">
        <w:rPr>
          <w:bCs/>
          <w:szCs w:val="24"/>
        </w:rPr>
        <w:t xml:space="preserve"> which created this category “on a trial basis”</w:t>
      </w:r>
      <w:r w:rsidR="00C70FF4">
        <w:rPr>
          <w:bCs/>
          <w:szCs w:val="24"/>
        </w:rPr>
        <w:t>.</w:t>
      </w:r>
      <w:r w:rsidR="00792C96">
        <w:rPr>
          <w:bCs/>
          <w:szCs w:val="24"/>
        </w:rPr>
        <w:t xml:space="preserve"> PP-10 instructed the Council to “add any additional conditions or detailed procedures to this </w:t>
      </w:r>
      <w:r w:rsidR="00C70FF4">
        <w:rPr>
          <w:bCs/>
          <w:szCs w:val="24"/>
        </w:rPr>
        <w:t>R</w:t>
      </w:r>
      <w:r w:rsidR="00792C96">
        <w:rPr>
          <w:bCs/>
          <w:szCs w:val="24"/>
        </w:rPr>
        <w:t>esolution, if it deems appropriate”… and “to submit a report to the next Plenipotentiary Conference…for a final decision to</w:t>
      </w:r>
      <w:r w:rsidR="00C70FF4">
        <w:rPr>
          <w:bCs/>
          <w:szCs w:val="24"/>
        </w:rPr>
        <w:t xml:space="preserve"> be taken on such participation</w:t>
      </w:r>
      <w:r w:rsidR="00792C96">
        <w:rPr>
          <w:bCs/>
          <w:szCs w:val="24"/>
        </w:rPr>
        <w:t>”</w:t>
      </w:r>
      <w:r w:rsidR="00C70FF4">
        <w:rPr>
          <w:bCs/>
          <w:szCs w:val="24"/>
        </w:rPr>
        <w:t>.</w:t>
      </w:r>
      <w:r w:rsidR="00792C96">
        <w:rPr>
          <w:bCs/>
          <w:szCs w:val="24"/>
        </w:rPr>
        <w:t xml:space="preserve"> Resolution 169 </w:t>
      </w:r>
      <w:r w:rsidR="00C70FF4">
        <w:rPr>
          <w:bCs/>
          <w:szCs w:val="24"/>
        </w:rPr>
        <w:t xml:space="preserve">(Guadalajara, 2010) </w:t>
      </w:r>
      <w:r w:rsidR="00792C96">
        <w:rPr>
          <w:bCs/>
          <w:szCs w:val="24"/>
        </w:rPr>
        <w:t>stated that “Academia should not have a role in decision-making, including the adoption of</w:t>
      </w:r>
      <w:r w:rsidR="00C70FF4">
        <w:rPr>
          <w:bCs/>
          <w:szCs w:val="24"/>
        </w:rPr>
        <w:t xml:space="preserve"> resolutions or recommendations</w:t>
      </w:r>
      <w:r w:rsidR="00792C96">
        <w:rPr>
          <w:bCs/>
          <w:szCs w:val="24"/>
        </w:rPr>
        <w:t>”</w:t>
      </w:r>
      <w:r w:rsidR="00C70FF4">
        <w:rPr>
          <w:bCs/>
          <w:szCs w:val="24"/>
        </w:rPr>
        <w:t>.</w:t>
      </w:r>
      <w:r w:rsidR="008B7E1E">
        <w:rPr>
          <w:bCs/>
          <w:szCs w:val="24"/>
        </w:rPr>
        <w:t xml:space="preserve"> This resolution was complemented by the Radiocommunication Assembly (Resolution ITU-R 63; 2012), which added that ITU-R Academia are granted access to ITU-R documentation, can serve as a Rapporteur, and may participate in Working Parties. </w:t>
      </w:r>
      <w:r w:rsidR="008B7E1E" w:rsidRPr="006258C3">
        <w:rPr>
          <w:bCs/>
          <w:szCs w:val="24"/>
        </w:rPr>
        <w:t xml:space="preserve">WTSA </w:t>
      </w:r>
      <w:r w:rsidR="001E7DD3" w:rsidRPr="006258C3">
        <w:rPr>
          <w:bCs/>
          <w:szCs w:val="24"/>
        </w:rPr>
        <w:t xml:space="preserve">Resolution 71 </w:t>
      </w:r>
      <w:r w:rsidR="008B7E1E" w:rsidRPr="006258C3">
        <w:rPr>
          <w:bCs/>
          <w:szCs w:val="24"/>
        </w:rPr>
        <w:t>(</w:t>
      </w:r>
      <w:r w:rsidR="00C70FF4">
        <w:rPr>
          <w:bCs/>
          <w:szCs w:val="24"/>
        </w:rPr>
        <w:t xml:space="preserve">Rev. Dubai, </w:t>
      </w:r>
      <w:r w:rsidR="001E7DD3" w:rsidRPr="006258C3">
        <w:rPr>
          <w:bCs/>
          <w:szCs w:val="24"/>
        </w:rPr>
        <w:t>2012</w:t>
      </w:r>
      <w:r w:rsidR="008B7E1E" w:rsidRPr="006258C3">
        <w:rPr>
          <w:bCs/>
          <w:szCs w:val="24"/>
        </w:rPr>
        <w:t xml:space="preserve">) </w:t>
      </w:r>
      <w:r>
        <w:rPr>
          <w:bCs/>
          <w:szCs w:val="24"/>
        </w:rPr>
        <w:t>specified that ITU</w:t>
      </w:r>
      <w:r>
        <w:rPr>
          <w:bCs/>
          <w:szCs w:val="24"/>
        </w:rPr>
        <w:noBreakHyphen/>
      </w:r>
      <w:r w:rsidR="001E7DD3" w:rsidRPr="006258C3">
        <w:rPr>
          <w:bCs/>
          <w:szCs w:val="24"/>
        </w:rPr>
        <w:t xml:space="preserve">T </w:t>
      </w:r>
      <w:r w:rsidR="001E7DD3" w:rsidRPr="006258C3">
        <w:rPr>
          <w:bCs/>
          <w:szCs w:val="24"/>
        </w:rPr>
        <w:lastRenderedPageBreak/>
        <w:t xml:space="preserve">Academia </w:t>
      </w:r>
      <w:proofErr w:type="gramStart"/>
      <w:r w:rsidR="001E7DD3">
        <w:rPr>
          <w:bCs/>
          <w:szCs w:val="24"/>
        </w:rPr>
        <w:t>are</w:t>
      </w:r>
      <w:proofErr w:type="gramEnd"/>
      <w:r w:rsidR="001E7DD3">
        <w:rPr>
          <w:bCs/>
          <w:szCs w:val="24"/>
        </w:rPr>
        <w:t xml:space="preserve"> allowed to participate in various ITU-T Study Groups, workshops and working parties</w:t>
      </w:r>
      <w:r w:rsidR="008829D1">
        <w:rPr>
          <w:bCs/>
          <w:szCs w:val="24"/>
        </w:rPr>
        <w:t>,</w:t>
      </w:r>
      <w:r w:rsidR="001E7DD3">
        <w:rPr>
          <w:bCs/>
          <w:szCs w:val="24"/>
        </w:rPr>
        <w:t xml:space="preserve"> and have access to relevant documents</w:t>
      </w:r>
      <w:r w:rsidR="006A148D">
        <w:rPr>
          <w:bCs/>
          <w:szCs w:val="24"/>
        </w:rPr>
        <w:t xml:space="preserve"> as well as serve as Rapporteur.</w:t>
      </w:r>
    </w:p>
    <w:p w:rsidR="00792C96" w:rsidRDefault="009078AA" w:rsidP="007A0E5A">
      <w:pPr>
        <w:spacing w:after="120"/>
        <w:rPr>
          <w:bCs/>
        </w:rPr>
      </w:pPr>
      <w:r>
        <w:t>2.11</w:t>
      </w:r>
      <w:r>
        <w:tab/>
      </w:r>
      <w:r w:rsidR="009074E3">
        <w:t xml:space="preserve">Academia do not have the right to participate in </w:t>
      </w:r>
      <w:r w:rsidR="00C70FF4">
        <w:t xml:space="preserve">the </w:t>
      </w:r>
      <w:r w:rsidR="009074E3">
        <w:t>Council, major conferences and assemblies or treaty-making conferences</w:t>
      </w:r>
      <w:r w:rsidR="00FF7BBF">
        <w:t>, with the exception of ITU-T Academia, which have the right to participate</w:t>
      </w:r>
      <w:r w:rsidR="00A71638">
        <w:t xml:space="preserve"> as observer</w:t>
      </w:r>
      <w:r w:rsidR="00FF7BBF">
        <w:t xml:space="preserve"> in WTSA in an non-advisory capacity (WTSA Resolution 71</w:t>
      </w:r>
      <w:r w:rsidR="00BE3BCD">
        <w:t xml:space="preserve"> </w:t>
      </w:r>
      <w:r w:rsidR="008829D1">
        <w:t>(</w:t>
      </w:r>
      <w:r w:rsidR="00C70FF4">
        <w:t>Rev.</w:t>
      </w:r>
      <w:r w:rsidR="00441298">
        <w:t> </w:t>
      </w:r>
      <w:r w:rsidR="008829D1">
        <w:t xml:space="preserve">Dubai, </w:t>
      </w:r>
      <w:r w:rsidR="00FF7BBF">
        <w:t>2012</w:t>
      </w:r>
      <w:r w:rsidR="008829D1">
        <w:t>)</w:t>
      </w:r>
      <w:r w:rsidR="00FF7BBF">
        <w:t>)</w:t>
      </w:r>
      <w:r w:rsidR="009074E3">
        <w:t>. ITU-R and ITU-D Academia do not participate in their Sector Advisory Groups, whereas WTSA Resolution 71 (</w:t>
      </w:r>
      <w:r w:rsidR="00F6047E">
        <w:t xml:space="preserve">Rev. Dubai, </w:t>
      </w:r>
      <w:r w:rsidR="009074E3">
        <w:t>2012) granted Academia access to participate</w:t>
      </w:r>
      <w:r w:rsidR="00A71638">
        <w:t xml:space="preserve"> as observer</w:t>
      </w:r>
      <w:r w:rsidR="009074E3">
        <w:t xml:space="preserve"> in TSAG in a non-advisory capacity.</w:t>
      </w:r>
    </w:p>
    <w:p w:rsidR="0071448E" w:rsidRDefault="009078AA" w:rsidP="007A0E5A">
      <w:pPr>
        <w:spacing w:before="360"/>
        <w:jc w:val="both"/>
        <w:rPr>
          <w:b/>
          <w:bCs/>
          <w:szCs w:val="24"/>
        </w:rPr>
      </w:pPr>
      <w:r>
        <w:rPr>
          <w:b/>
          <w:bCs/>
          <w:szCs w:val="24"/>
        </w:rPr>
        <w:t>3</w:t>
      </w:r>
      <w:r>
        <w:rPr>
          <w:b/>
          <w:bCs/>
          <w:szCs w:val="24"/>
        </w:rPr>
        <w:tab/>
      </w:r>
      <w:r w:rsidR="000B54CA">
        <w:rPr>
          <w:b/>
          <w:bCs/>
          <w:szCs w:val="24"/>
        </w:rPr>
        <w:t xml:space="preserve">Participating </w:t>
      </w:r>
      <w:r w:rsidR="0071448E" w:rsidRPr="006258C3">
        <w:rPr>
          <w:b/>
          <w:bCs/>
          <w:szCs w:val="24"/>
        </w:rPr>
        <w:t>Entities and their Admission Process</w:t>
      </w:r>
    </w:p>
    <w:p w:rsidR="0071448E" w:rsidRDefault="009078AA" w:rsidP="00F6047E">
      <w:pPr>
        <w:rPr>
          <w:szCs w:val="24"/>
        </w:rPr>
      </w:pPr>
      <w:r>
        <w:rPr>
          <w:szCs w:val="24"/>
        </w:rPr>
        <w:t>3.1</w:t>
      </w:r>
      <w:r>
        <w:rPr>
          <w:szCs w:val="24"/>
        </w:rPr>
        <w:tab/>
      </w:r>
      <w:r w:rsidR="00AD6907">
        <w:rPr>
          <w:szCs w:val="24"/>
        </w:rPr>
        <w:t>T</w:t>
      </w:r>
      <w:r w:rsidR="00C1498F">
        <w:rPr>
          <w:szCs w:val="24"/>
        </w:rPr>
        <w:t>he different types of entities and organizations that ca</w:t>
      </w:r>
      <w:r w:rsidR="00AD6907">
        <w:rPr>
          <w:szCs w:val="24"/>
        </w:rPr>
        <w:t>n be admitted as Sector Members are established in</w:t>
      </w:r>
      <w:r w:rsidR="00C1498F">
        <w:rPr>
          <w:szCs w:val="24"/>
        </w:rPr>
        <w:t xml:space="preserve"> </w:t>
      </w:r>
      <w:r w:rsidR="00AD6907" w:rsidRPr="00513B07">
        <w:rPr>
          <w:bCs/>
          <w:szCs w:val="24"/>
        </w:rPr>
        <w:t>Article 19 (</w:t>
      </w:r>
      <w:proofErr w:type="spellStart"/>
      <w:r w:rsidR="0045045C">
        <w:rPr>
          <w:bCs/>
          <w:szCs w:val="24"/>
        </w:rPr>
        <w:t>Nos</w:t>
      </w:r>
      <w:proofErr w:type="spellEnd"/>
      <w:r w:rsidR="00F6047E">
        <w:rPr>
          <w:bCs/>
          <w:szCs w:val="24"/>
        </w:rPr>
        <w:t> </w:t>
      </w:r>
      <w:r w:rsidR="00441298">
        <w:rPr>
          <w:bCs/>
          <w:szCs w:val="24"/>
        </w:rPr>
        <w:t>228-231</w:t>
      </w:r>
      <w:r w:rsidR="00AD6907" w:rsidRPr="00513B07">
        <w:rPr>
          <w:bCs/>
          <w:szCs w:val="24"/>
        </w:rPr>
        <w:t>) of the Convention</w:t>
      </w:r>
      <w:r w:rsidR="00C1498F">
        <w:rPr>
          <w:szCs w:val="24"/>
        </w:rPr>
        <w:t xml:space="preserve">. </w:t>
      </w:r>
      <w:r w:rsidR="00BE6B25" w:rsidRPr="00067DF0">
        <w:rPr>
          <w:rFonts w:cstheme="minorHAnsi"/>
          <w:szCs w:val="24"/>
          <w:lang w:val="en-US"/>
        </w:rPr>
        <w:t>An entity may choose to join one or more Sectors of the Union.</w:t>
      </w:r>
      <w:r w:rsidR="00BE6B25">
        <w:rPr>
          <w:rFonts w:cstheme="minorHAnsi"/>
          <w:szCs w:val="24"/>
          <w:lang w:val="en-US"/>
        </w:rPr>
        <w:t xml:space="preserve"> </w:t>
      </w:r>
      <w:r w:rsidR="00486653">
        <w:rPr>
          <w:szCs w:val="24"/>
        </w:rPr>
        <w:t>T</w:t>
      </w:r>
      <w:r w:rsidR="00486653" w:rsidRPr="00C82421">
        <w:rPr>
          <w:szCs w:val="24"/>
        </w:rPr>
        <w:t xml:space="preserve">he </w:t>
      </w:r>
      <w:r w:rsidR="00AE6486">
        <w:rPr>
          <w:szCs w:val="24"/>
        </w:rPr>
        <w:t>appl</w:t>
      </w:r>
      <w:r w:rsidR="00746B85">
        <w:rPr>
          <w:szCs w:val="24"/>
        </w:rPr>
        <w:t xml:space="preserve">ication </w:t>
      </w:r>
      <w:r w:rsidR="00DC1BA9">
        <w:rPr>
          <w:szCs w:val="24"/>
        </w:rPr>
        <w:t>procedures</w:t>
      </w:r>
      <w:r w:rsidR="00746B85">
        <w:rPr>
          <w:szCs w:val="24"/>
        </w:rPr>
        <w:t xml:space="preserve"> for new Sector M</w:t>
      </w:r>
      <w:r w:rsidR="00AE6486">
        <w:rPr>
          <w:szCs w:val="24"/>
        </w:rPr>
        <w:t xml:space="preserve">embers are outlined in </w:t>
      </w:r>
      <w:r w:rsidR="00B06217">
        <w:rPr>
          <w:szCs w:val="24"/>
        </w:rPr>
        <w:t xml:space="preserve">Article 19, </w:t>
      </w:r>
      <w:proofErr w:type="spellStart"/>
      <w:r w:rsidR="00441298">
        <w:rPr>
          <w:szCs w:val="24"/>
        </w:rPr>
        <w:t>Nos</w:t>
      </w:r>
      <w:proofErr w:type="spellEnd"/>
      <w:r w:rsidR="00F6047E">
        <w:rPr>
          <w:szCs w:val="24"/>
        </w:rPr>
        <w:t> </w:t>
      </w:r>
      <w:r w:rsidR="00AE6486">
        <w:rPr>
          <w:szCs w:val="24"/>
        </w:rPr>
        <w:t>233-23</w:t>
      </w:r>
      <w:r w:rsidR="00A71638">
        <w:rPr>
          <w:szCs w:val="24"/>
        </w:rPr>
        <w:t>7</w:t>
      </w:r>
      <w:r w:rsidR="0045045C">
        <w:rPr>
          <w:szCs w:val="24"/>
        </w:rPr>
        <w:t>,</w:t>
      </w:r>
      <w:r w:rsidR="003702ED">
        <w:rPr>
          <w:szCs w:val="24"/>
        </w:rPr>
        <w:t xml:space="preserve"> </w:t>
      </w:r>
      <w:r w:rsidR="000B54CA">
        <w:rPr>
          <w:szCs w:val="24"/>
        </w:rPr>
        <w:t xml:space="preserve">and </w:t>
      </w:r>
      <w:r w:rsidR="00E332CA">
        <w:rPr>
          <w:szCs w:val="24"/>
        </w:rPr>
        <w:t>were complemented by the Council in 1993</w:t>
      </w:r>
      <w:r w:rsidR="00E332CA" w:rsidRPr="00BE3A6E">
        <w:rPr>
          <w:szCs w:val="24"/>
        </w:rPr>
        <w:t xml:space="preserve"> </w:t>
      </w:r>
      <w:r w:rsidR="00E332CA" w:rsidRPr="00C82421">
        <w:rPr>
          <w:szCs w:val="24"/>
        </w:rPr>
        <w:t>(Doc.</w:t>
      </w:r>
      <w:r w:rsidR="00F6047E">
        <w:rPr>
          <w:szCs w:val="24"/>
        </w:rPr>
        <w:t xml:space="preserve"> </w:t>
      </w:r>
      <w:r w:rsidR="00E332CA" w:rsidRPr="00C82421">
        <w:rPr>
          <w:szCs w:val="24"/>
        </w:rPr>
        <w:t>49)</w:t>
      </w:r>
      <w:r w:rsidR="00E332CA">
        <w:rPr>
          <w:szCs w:val="24"/>
        </w:rPr>
        <w:t>.</w:t>
      </w:r>
      <w:r w:rsidR="004F6B7C">
        <w:rPr>
          <w:szCs w:val="24"/>
        </w:rPr>
        <w:t xml:space="preserve"> </w:t>
      </w:r>
      <w:r w:rsidR="00B06217">
        <w:rPr>
          <w:szCs w:val="24"/>
        </w:rPr>
        <w:t>Provisions related to Associates are also found in Article 19</w:t>
      </w:r>
      <w:r w:rsidR="0045045C">
        <w:rPr>
          <w:szCs w:val="24"/>
        </w:rPr>
        <w:t xml:space="preserve"> of the Convention</w:t>
      </w:r>
      <w:r w:rsidR="00B06217">
        <w:rPr>
          <w:szCs w:val="24"/>
        </w:rPr>
        <w:t xml:space="preserve">, with specific references in </w:t>
      </w:r>
      <w:proofErr w:type="spellStart"/>
      <w:r w:rsidR="00441298">
        <w:rPr>
          <w:szCs w:val="24"/>
        </w:rPr>
        <w:t>Nos</w:t>
      </w:r>
      <w:proofErr w:type="spellEnd"/>
      <w:r w:rsidR="00441298">
        <w:rPr>
          <w:szCs w:val="24"/>
        </w:rPr>
        <w:t> </w:t>
      </w:r>
      <w:r w:rsidR="00B06217">
        <w:rPr>
          <w:szCs w:val="24"/>
        </w:rPr>
        <w:t xml:space="preserve">241A-E. </w:t>
      </w:r>
    </w:p>
    <w:p w:rsidR="000B54CA" w:rsidRDefault="009078AA" w:rsidP="000B54CA">
      <w:pPr>
        <w:rPr>
          <w:szCs w:val="24"/>
        </w:rPr>
      </w:pPr>
      <w:r>
        <w:rPr>
          <w:szCs w:val="24"/>
        </w:rPr>
        <w:t>3.2</w:t>
      </w:r>
      <w:r>
        <w:rPr>
          <w:szCs w:val="24"/>
        </w:rPr>
        <w:tab/>
      </w:r>
      <w:r w:rsidR="000B54CA">
        <w:rPr>
          <w:szCs w:val="24"/>
        </w:rPr>
        <w:t xml:space="preserve">The following entities can apply to become a Sector Member or Associate: </w:t>
      </w:r>
    </w:p>
    <w:p w:rsidR="000B54CA" w:rsidRDefault="000B54CA" w:rsidP="004D57B4">
      <w:pPr>
        <w:pStyle w:val="ListParagraph"/>
        <w:numPr>
          <w:ilvl w:val="0"/>
          <w:numId w:val="23"/>
        </w:numPr>
        <w:tabs>
          <w:tab w:val="clear" w:pos="567"/>
        </w:tabs>
        <w:rPr>
          <w:szCs w:val="24"/>
        </w:rPr>
      </w:pPr>
      <w:r w:rsidRPr="006258C3">
        <w:rPr>
          <w:szCs w:val="24"/>
        </w:rPr>
        <w:t xml:space="preserve">Recognized operating agencies, scientific or industrial organizations and financial or development institutions, which are approved by the </w:t>
      </w:r>
      <w:r w:rsidR="000C17F5">
        <w:rPr>
          <w:szCs w:val="24"/>
        </w:rPr>
        <w:t>M</w:t>
      </w:r>
      <w:r w:rsidRPr="006258C3">
        <w:rPr>
          <w:szCs w:val="24"/>
        </w:rPr>
        <w:t xml:space="preserve">ember </w:t>
      </w:r>
      <w:r w:rsidR="000C17F5">
        <w:rPr>
          <w:szCs w:val="24"/>
        </w:rPr>
        <w:t>S</w:t>
      </w:r>
      <w:r w:rsidRPr="006258C3">
        <w:rPr>
          <w:szCs w:val="24"/>
        </w:rPr>
        <w:t>tate concerned (</w:t>
      </w:r>
      <w:r w:rsidR="0045045C">
        <w:rPr>
          <w:szCs w:val="24"/>
        </w:rPr>
        <w:t>No.</w:t>
      </w:r>
      <w:r w:rsidRPr="006258C3">
        <w:rPr>
          <w:szCs w:val="24"/>
        </w:rPr>
        <w:t xml:space="preserve"> 229</w:t>
      </w:r>
      <w:r w:rsidR="000C17F5">
        <w:rPr>
          <w:szCs w:val="24"/>
        </w:rPr>
        <w:t xml:space="preserve"> </w:t>
      </w:r>
      <w:r w:rsidR="0045045C">
        <w:rPr>
          <w:szCs w:val="24"/>
        </w:rPr>
        <w:t>of the Convention</w:t>
      </w:r>
      <w:r w:rsidRPr="006258C3">
        <w:rPr>
          <w:szCs w:val="24"/>
        </w:rPr>
        <w:t>)</w:t>
      </w:r>
      <w:r>
        <w:rPr>
          <w:szCs w:val="24"/>
        </w:rPr>
        <w:t>;</w:t>
      </w:r>
    </w:p>
    <w:p w:rsidR="000B54CA" w:rsidRDefault="000B54CA" w:rsidP="004D57B4">
      <w:pPr>
        <w:pStyle w:val="ListParagraph"/>
        <w:numPr>
          <w:ilvl w:val="0"/>
          <w:numId w:val="23"/>
        </w:numPr>
        <w:tabs>
          <w:tab w:val="clear" w:pos="567"/>
        </w:tabs>
        <w:rPr>
          <w:szCs w:val="24"/>
        </w:rPr>
      </w:pPr>
      <w:r w:rsidRPr="006258C3">
        <w:rPr>
          <w:szCs w:val="24"/>
        </w:rPr>
        <w:t>Other entities dealing with telecommunication matters, which are approved by the Member State concerned (</w:t>
      </w:r>
      <w:r w:rsidR="0045045C">
        <w:rPr>
          <w:szCs w:val="24"/>
        </w:rPr>
        <w:t>No.</w:t>
      </w:r>
      <w:r w:rsidRPr="006258C3">
        <w:rPr>
          <w:szCs w:val="24"/>
        </w:rPr>
        <w:t xml:space="preserve"> 230</w:t>
      </w:r>
      <w:r w:rsidR="0045045C">
        <w:rPr>
          <w:szCs w:val="24"/>
        </w:rPr>
        <w:t xml:space="preserve"> of the Convention</w:t>
      </w:r>
      <w:r w:rsidRPr="006258C3">
        <w:rPr>
          <w:szCs w:val="24"/>
        </w:rPr>
        <w:t xml:space="preserve">); and </w:t>
      </w:r>
    </w:p>
    <w:p w:rsidR="0071448E" w:rsidRPr="006258C3" w:rsidRDefault="000B54CA" w:rsidP="004D57B4">
      <w:pPr>
        <w:pStyle w:val="ListParagraph"/>
        <w:numPr>
          <w:ilvl w:val="0"/>
          <w:numId w:val="23"/>
        </w:numPr>
        <w:tabs>
          <w:tab w:val="clear" w:pos="567"/>
        </w:tabs>
        <w:rPr>
          <w:szCs w:val="24"/>
        </w:rPr>
      </w:pPr>
      <w:r w:rsidRPr="006258C3">
        <w:rPr>
          <w:szCs w:val="24"/>
        </w:rPr>
        <w:t>Regional and other international telecommunication, standardization, financial or development organizations (</w:t>
      </w:r>
      <w:r w:rsidR="0045045C">
        <w:rPr>
          <w:szCs w:val="24"/>
        </w:rPr>
        <w:t>No.</w:t>
      </w:r>
      <w:r w:rsidRPr="006258C3">
        <w:rPr>
          <w:szCs w:val="24"/>
        </w:rPr>
        <w:t xml:space="preserve"> 231</w:t>
      </w:r>
      <w:r w:rsidR="0045045C">
        <w:rPr>
          <w:szCs w:val="24"/>
        </w:rPr>
        <w:t xml:space="preserve"> of the Convention</w:t>
      </w:r>
      <w:r w:rsidRPr="006258C3">
        <w:rPr>
          <w:szCs w:val="24"/>
        </w:rPr>
        <w:t>).</w:t>
      </w:r>
    </w:p>
    <w:p w:rsidR="00C9563E" w:rsidRDefault="009078AA" w:rsidP="00A973A4">
      <w:pPr>
        <w:rPr>
          <w:rFonts w:cstheme="minorHAnsi"/>
          <w:szCs w:val="24"/>
          <w:lang w:val="en-US"/>
        </w:rPr>
      </w:pPr>
      <w:r>
        <w:rPr>
          <w:rFonts w:cstheme="minorHAnsi"/>
          <w:szCs w:val="24"/>
          <w:lang w:val="en-US"/>
        </w:rPr>
        <w:t>3.3</w:t>
      </w:r>
      <w:r>
        <w:rPr>
          <w:rFonts w:cstheme="minorHAnsi"/>
          <w:szCs w:val="24"/>
          <w:lang w:val="en-US"/>
        </w:rPr>
        <w:tab/>
      </w:r>
      <w:r w:rsidR="00C9563E">
        <w:rPr>
          <w:rFonts w:cstheme="minorHAnsi"/>
          <w:szCs w:val="24"/>
          <w:lang w:val="en-US"/>
        </w:rPr>
        <w:t>In addition, r</w:t>
      </w:r>
      <w:r w:rsidR="00C9563E" w:rsidRPr="00C9563E">
        <w:rPr>
          <w:rFonts w:cstheme="minorHAnsi"/>
          <w:szCs w:val="24"/>
          <w:lang w:val="en-US"/>
        </w:rPr>
        <w:t xml:space="preserve">egional telecommunication organizations </w:t>
      </w:r>
      <w:r w:rsidR="00A973A4">
        <w:rPr>
          <w:rFonts w:cstheme="minorHAnsi"/>
          <w:szCs w:val="24"/>
          <w:lang w:val="en-US"/>
        </w:rPr>
        <w:t xml:space="preserve">referred to </w:t>
      </w:r>
      <w:r w:rsidR="00C9563E" w:rsidRPr="00C9563E">
        <w:rPr>
          <w:rFonts w:cstheme="minorHAnsi"/>
          <w:szCs w:val="24"/>
          <w:lang w:val="en-US"/>
        </w:rPr>
        <w:t xml:space="preserve">in Article 43 of the Constitution, </w:t>
      </w:r>
      <w:r w:rsidR="00C9563E">
        <w:rPr>
          <w:rFonts w:cstheme="minorHAnsi"/>
          <w:szCs w:val="24"/>
          <w:lang w:val="en-US"/>
        </w:rPr>
        <w:t>i</w:t>
      </w:r>
      <w:r w:rsidR="00C9563E" w:rsidRPr="00C9563E">
        <w:rPr>
          <w:rFonts w:cstheme="minorHAnsi"/>
          <w:szCs w:val="24"/>
          <w:lang w:val="en-US"/>
        </w:rPr>
        <w:t xml:space="preserve">ntergovernmental organizations operating satellite </w:t>
      </w:r>
      <w:proofErr w:type="gramStart"/>
      <w:r w:rsidR="00C9563E" w:rsidRPr="00C9563E">
        <w:rPr>
          <w:rFonts w:cstheme="minorHAnsi"/>
          <w:szCs w:val="24"/>
          <w:lang w:val="en-US"/>
        </w:rPr>
        <w:t>systems,</w:t>
      </w:r>
      <w:proofErr w:type="gramEnd"/>
      <w:r w:rsidR="00C9563E" w:rsidRPr="00C9563E">
        <w:rPr>
          <w:rFonts w:cstheme="minorHAnsi"/>
          <w:szCs w:val="24"/>
          <w:lang w:val="en-US"/>
        </w:rPr>
        <w:t xml:space="preserve"> </w:t>
      </w:r>
      <w:r w:rsidR="00C9563E">
        <w:rPr>
          <w:rFonts w:cstheme="minorHAnsi"/>
          <w:szCs w:val="24"/>
          <w:lang w:val="en-US"/>
        </w:rPr>
        <w:t>and t</w:t>
      </w:r>
      <w:r w:rsidR="00C9563E" w:rsidRPr="00C9563E">
        <w:rPr>
          <w:rFonts w:cstheme="minorHAnsi"/>
          <w:szCs w:val="24"/>
          <w:lang w:val="en-US"/>
        </w:rPr>
        <w:t>he specialized agencies of the United Nations and the International Atomic Energy Agency (</w:t>
      </w:r>
      <w:r w:rsidR="00706ED2">
        <w:rPr>
          <w:rFonts w:cstheme="minorHAnsi"/>
          <w:szCs w:val="24"/>
          <w:lang w:val="en-US"/>
        </w:rPr>
        <w:t>No.</w:t>
      </w:r>
      <w:r w:rsidR="00C9563E" w:rsidRPr="00C9563E">
        <w:rPr>
          <w:rFonts w:cstheme="minorHAnsi"/>
          <w:szCs w:val="24"/>
          <w:lang w:val="en-US"/>
        </w:rPr>
        <w:t xml:space="preserve"> 236</w:t>
      </w:r>
      <w:r w:rsidR="00706ED2">
        <w:rPr>
          <w:rFonts w:cstheme="minorHAnsi"/>
          <w:szCs w:val="24"/>
          <w:lang w:val="en-US"/>
        </w:rPr>
        <w:t xml:space="preserve"> of the Convention</w:t>
      </w:r>
      <w:r w:rsidR="00C9563E" w:rsidRPr="00C9563E">
        <w:rPr>
          <w:rFonts w:cstheme="minorHAnsi"/>
          <w:szCs w:val="24"/>
          <w:lang w:val="en-US"/>
        </w:rPr>
        <w:t>)</w:t>
      </w:r>
      <w:r w:rsidR="00C9563E">
        <w:rPr>
          <w:rFonts w:cstheme="minorHAnsi"/>
          <w:szCs w:val="24"/>
          <w:lang w:val="en-US"/>
        </w:rPr>
        <w:t xml:space="preserve"> have the right to participate in activities of the Union</w:t>
      </w:r>
      <w:r w:rsidR="00A973A4">
        <w:rPr>
          <w:rFonts w:cstheme="minorHAnsi"/>
          <w:szCs w:val="24"/>
          <w:lang w:val="en-US"/>
        </w:rPr>
        <w:t xml:space="preserve"> and, upon request, to be included in the list of Sector Members</w:t>
      </w:r>
      <w:r w:rsidR="00C9563E">
        <w:rPr>
          <w:rFonts w:cstheme="minorHAnsi"/>
          <w:szCs w:val="24"/>
          <w:lang w:val="en-US"/>
        </w:rPr>
        <w:t>.</w:t>
      </w:r>
    </w:p>
    <w:p w:rsidR="0071448E" w:rsidRDefault="009078AA">
      <w:pPr>
        <w:rPr>
          <w:szCs w:val="24"/>
        </w:rPr>
      </w:pPr>
      <w:r>
        <w:rPr>
          <w:szCs w:val="24"/>
        </w:rPr>
        <w:t>3.4</w:t>
      </w:r>
      <w:r>
        <w:rPr>
          <w:szCs w:val="24"/>
        </w:rPr>
        <w:tab/>
      </w:r>
      <w:r w:rsidR="00B06217">
        <w:rPr>
          <w:szCs w:val="24"/>
        </w:rPr>
        <w:t xml:space="preserve">A summary of the </w:t>
      </w:r>
      <w:r w:rsidR="0071448E">
        <w:rPr>
          <w:szCs w:val="24"/>
        </w:rPr>
        <w:t xml:space="preserve">types of entities and their respective </w:t>
      </w:r>
      <w:r w:rsidR="00740C90">
        <w:rPr>
          <w:szCs w:val="24"/>
        </w:rPr>
        <w:t>admission processes</w:t>
      </w:r>
      <w:r w:rsidR="00B06217">
        <w:rPr>
          <w:szCs w:val="24"/>
        </w:rPr>
        <w:t xml:space="preserve"> </w:t>
      </w:r>
      <w:r w:rsidR="0071448E">
        <w:rPr>
          <w:szCs w:val="24"/>
        </w:rPr>
        <w:t>are</w:t>
      </w:r>
      <w:r w:rsidR="00B06217">
        <w:rPr>
          <w:szCs w:val="24"/>
        </w:rPr>
        <w:t xml:space="preserve"> provided </w:t>
      </w:r>
      <w:r w:rsidR="00B06217" w:rsidRPr="00B4351A">
        <w:rPr>
          <w:szCs w:val="24"/>
        </w:rPr>
        <w:t xml:space="preserve">in </w:t>
      </w:r>
      <w:r w:rsidR="00740C90">
        <w:rPr>
          <w:b/>
          <w:bCs/>
          <w:szCs w:val="24"/>
        </w:rPr>
        <w:t>Annex</w:t>
      </w:r>
      <w:r w:rsidR="004F6B7C" w:rsidRPr="006258C3">
        <w:rPr>
          <w:b/>
          <w:bCs/>
          <w:szCs w:val="24"/>
        </w:rPr>
        <w:t xml:space="preserve"> </w:t>
      </w:r>
      <w:r w:rsidR="00740C90">
        <w:rPr>
          <w:b/>
          <w:bCs/>
          <w:szCs w:val="24"/>
        </w:rPr>
        <w:t>2</w:t>
      </w:r>
      <w:r w:rsidR="0071448E">
        <w:rPr>
          <w:szCs w:val="24"/>
        </w:rPr>
        <w:t>.</w:t>
      </w:r>
    </w:p>
    <w:p w:rsidR="004F6B7C" w:rsidRPr="006258C3" w:rsidRDefault="009078AA" w:rsidP="007A0E5A">
      <w:pPr>
        <w:spacing w:before="360"/>
        <w:rPr>
          <w:b/>
          <w:bCs/>
          <w:szCs w:val="24"/>
        </w:rPr>
      </w:pPr>
      <w:r>
        <w:rPr>
          <w:b/>
          <w:bCs/>
          <w:szCs w:val="24"/>
        </w:rPr>
        <w:t>4</w:t>
      </w:r>
      <w:r>
        <w:rPr>
          <w:b/>
          <w:bCs/>
          <w:szCs w:val="24"/>
        </w:rPr>
        <w:tab/>
      </w:r>
      <w:r w:rsidR="004F6B7C" w:rsidRPr="006258C3">
        <w:rPr>
          <w:b/>
          <w:bCs/>
          <w:szCs w:val="24"/>
        </w:rPr>
        <w:t>Denunciations and Deletions</w:t>
      </w:r>
    </w:p>
    <w:p w:rsidR="0034653D" w:rsidRPr="00067DF0" w:rsidRDefault="009078AA" w:rsidP="00551919">
      <w:pPr>
        <w:rPr>
          <w:szCs w:val="24"/>
        </w:rPr>
      </w:pPr>
      <w:r>
        <w:rPr>
          <w:szCs w:val="24"/>
        </w:rPr>
        <w:t>4.1</w:t>
      </w:r>
      <w:r>
        <w:rPr>
          <w:szCs w:val="24"/>
        </w:rPr>
        <w:tab/>
      </w:r>
      <w:r w:rsidR="004D57B4">
        <w:rPr>
          <w:szCs w:val="24"/>
        </w:rPr>
        <w:t>CV 2</w:t>
      </w:r>
      <w:r w:rsidR="00BE3A6E">
        <w:rPr>
          <w:szCs w:val="24"/>
        </w:rPr>
        <w:t>40</w:t>
      </w:r>
      <w:r w:rsidR="004D57B4">
        <w:rPr>
          <w:szCs w:val="24"/>
        </w:rPr>
        <w:t xml:space="preserve"> of the Convention</w:t>
      </w:r>
      <w:r w:rsidR="00BE3A6E">
        <w:rPr>
          <w:szCs w:val="24"/>
        </w:rPr>
        <w:t xml:space="preserve"> </w:t>
      </w:r>
      <w:r w:rsidR="009B5F21">
        <w:rPr>
          <w:szCs w:val="24"/>
        </w:rPr>
        <w:t>notes that “Any Sector Member has the right to denounce (their) participation by notifying the Secretary-Gener</w:t>
      </w:r>
      <w:r w:rsidR="002205E5">
        <w:rPr>
          <w:szCs w:val="24"/>
        </w:rPr>
        <w:t xml:space="preserve">al” and that “Such denunciation shall take </w:t>
      </w:r>
      <w:r w:rsidR="004D57B4">
        <w:rPr>
          <w:szCs w:val="24"/>
        </w:rPr>
        <w:t xml:space="preserve">effect </w:t>
      </w:r>
      <w:r w:rsidR="002205E5">
        <w:rPr>
          <w:szCs w:val="24"/>
        </w:rPr>
        <w:t>at the end of six months from the date the notification is received by the Se</w:t>
      </w:r>
      <w:r w:rsidR="00441298">
        <w:rPr>
          <w:szCs w:val="24"/>
        </w:rPr>
        <w:t>cretary General</w:t>
      </w:r>
      <w:r w:rsidR="002205E5">
        <w:rPr>
          <w:szCs w:val="24"/>
        </w:rPr>
        <w:t>”</w:t>
      </w:r>
      <w:r w:rsidR="00441298">
        <w:rPr>
          <w:szCs w:val="24"/>
        </w:rPr>
        <w:t>.</w:t>
      </w:r>
      <w:r w:rsidR="002205E5">
        <w:rPr>
          <w:szCs w:val="24"/>
        </w:rPr>
        <w:t xml:space="preserve"> </w:t>
      </w:r>
      <w:r w:rsidR="009B5F21">
        <w:rPr>
          <w:szCs w:val="24"/>
        </w:rPr>
        <w:t xml:space="preserve">CV 241 adds that “the Secretary-General shall delete from the list of entities and organizations” any Sector Member that is no longer authorized to participate in the work of a Sector. </w:t>
      </w:r>
      <w:r w:rsidR="0034653D">
        <w:rPr>
          <w:szCs w:val="24"/>
        </w:rPr>
        <w:t xml:space="preserve">More specifically, </w:t>
      </w:r>
      <w:r w:rsidR="0034653D" w:rsidRPr="0034653D">
        <w:rPr>
          <w:szCs w:val="24"/>
        </w:rPr>
        <w:t>t</w:t>
      </w:r>
      <w:r w:rsidR="0034653D" w:rsidRPr="00067DF0">
        <w:rPr>
          <w:rFonts w:cstheme="minorHAnsi"/>
          <w:szCs w:val="24"/>
          <w:lang w:val="en-US" w:eastAsia="zh-CN"/>
        </w:rPr>
        <w:t>he Secretary-General may delete from the list of members:</w:t>
      </w:r>
    </w:p>
    <w:p w:rsidR="0034653D" w:rsidRPr="00067DF0" w:rsidRDefault="0034653D" w:rsidP="004D57B4">
      <w:pPr>
        <w:pStyle w:val="ListParagraph"/>
        <w:widowControl w:val="0"/>
        <w:numPr>
          <w:ilvl w:val="0"/>
          <w:numId w:val="15"/>
        </w:numPr>
        <w:tabs>
          <w:tab w:val="clear" w:pos="567"/>
          <w:tab w:val="clear" w:pos="1701"/>
          <w:tab w:val="left" w:pos="1702"/>
        </w:tabs>
        <w:spacing w:line="240" w:lineRule="atLeast"/>
        <w:ind w:right="-482"/>
        <w:rPr>
          <w:rFonts w:cstheme="minorHAnsi"/>
          <w:szCs w:val="24"/>
          <w:lang w:val="en-US" w:eastAsia="zh-CN"/>
        </w:rPr>
      </w:pPr>
      <w:r w:rsidRPr="00067DF0">
        <w:rPr>
          <w:rFonts w:cstheme="minorHAnsi"/>
          <w:szCs w:val="24"/>
          <w:lang w:val="en-US" w:eastAsia="zh-CN"/>
        </w:rPr>
        <w:t>Any entity or organization which has denounced its participation (CV 240);</w:t>
      </w:r>
    </w:p>
    <w:p w:rsidR="0034653D" w:rsidRPr="00067DF0" w:rsidRDefault="0034653D" w:rsidP="007A0E5A">
      <w:pPr>
        <w:pStyle w:val="ListParagraph"/>
        <w:widowControl w:val="0"/>
        <w:numPr>
          <w:ilvl w:val="0"/>
          <w:numId w:val="15"/>
        </w:numPr>
        <w:tabs>
          <w:tab w:val="clear" w:pos="567"/>
          <w:tab w:val="clear" w:pos="1701"/>
          <w:tab w:val="left" w:pos="1702"/>
        </w:tabs>
        <w:snapToGrid w:val="0"/>
        <w:spacing w:before="40"/>
        <w:ind w:left="714" w:right="-482" w:hanging="357"/>
        <w:contextualSpacing w:val="0"/>
        <w:rPr>
          <w:rFonts w:cstheme="minorHAnsi"/>
          <w:szCs w:val="24"/>
          <w:lang w:val="en-US" w:eastAsia="zh-CN"/>
        </w:rPr>
      </w:pPr>
      <w:r w:rsidRPr="00067DF0">
        <w:rPr>
          <w:rFonts w:cstheme="minorHAnsi"/>
          <w:szCs w:val="24"/>
          <w:lang w:val="en-US" w:eastAsia="zh-CN"/>
        </w:rPr>
        <w:t xml:space="preserve">Any entity or organization whose participation has been denounced by the Member </w:t>
      </w:r>
      <w:r w:rsidR="00A973A4">
        <w:rPr>
          <w:rFonts w:cstheme="minorHAnsi"/>
          <w:szCs w:val="24"/>
          <w:lang w:val="en-US" w:eastAsia="zh-CN"/>
        </w:rPr>
        <w:t xml:space="preserve">State </w:t>
      </w:r>
      <w:r w:rsidRPr="00067DF0">
        <w:rPr>
          <w:rFonts w:cstheme="minorHAnsi"/>
          <w:szCs w:val="24"/>
          <w:lang w:val="en-US" w:eastAsia="zh-CN"/>
        </w:rPr>
        <w:t>concerned (CV 240);</w:t>
      </w:r>
    </w:p>
    <w:p w:rsidR="0034653D" w:rsidRPr="00067DF0" w:rsidRDefault="0034653D" w:rsidP="007A0E5A">
      <w:pPr>
        <w:pStyle w:val="ListParagraph"/>
        <w:keepNext/>
        <w:keepLines/>
        <w:widowControl w:val="0"/>
        <w:numPr>
          <w:ilvl w:val="0"/>
          <w:numId w:val="15"/>
        </w:numPr>
        <w:tabs>
          <w:tab w:val="clear" w:pos="567"/>
          <w:tab w:val="left" w:pos="851"/>
        </w:tabs>
        <w:snapToGrid w:val="0"/>
        <w:spacing w:before="40"/>
        <w:ind w:left="714" w:right="-482" w:hanging="357"/>
        <w:contextualSpacing w:val="0"/>
        <w:rPr>
          <w:rFonts w:cstheme="minorHAnsi"/>
          <w:szCs w:val="24"/>
          <w:lang w:val="en-US" w:eastAsia="zh-CN"/>
        </w:rPr>
      </w:pPr>
      <w:r w:rsidRPr="00067DF0">
        <w:rPr>
          <w:rFonts w:cstheme="minorHAnsi"/>
          <w:szCs w:val="24"/>
          <w:lang w:val="en-US" w:eastAsia="zh-CN"/>
        </w:rPr>
        <w:lastRenderedPageBreak/>
        <w:t>Any entity or organization which is late in the payment of its annual contribution for more than one (1) year or for any other debts to the Union;</w:t>
      </w:r>
    </w:p>
    <w:p w:rsidR="0034653D" w:rsidRPr="00067DF0" w:rsidRDefault="0034653D" w:rsidP="007A0E5A">
      <w:pPr>
        <w:pStyle w:val="ListParagraph"/>
        <w:widowControl w:val="0"/>
        <w:numPr>
          <w:ilvl w:val="0"/>
          <w:numId w:val="15"/>
        </w:numPr>
        <w:tabs>
          <w:tab w:val="clear" w:pos="567"/>
          <w:tab w:val="clear" w:pos="1701"/>
          <w:tab w:val="left" w:pos="1702"/>
        </w:tabs>
        <w:snapToGrid w:val="0"/>
        <w:spacing w:before="40"/>
        <w:ind w:left="714" w:right="-482" w:hanging="357"/>
        <w:contextualSpacing w:val="0"/>
        <w:rPr>
          <w:rFonts w:cstheme="minorHAnsi"/>
          <w:szCs w:val="24"/>
          <w:lang w:val="en-US" w:eastAsia="zh-CN"/>
        </w:rPr>
      </w:pPr>
      <w:r w:rsidRPr="00067DF0">
        <w:rPr>
          <w:rFonts w:cstheme="minorHAnsi"/>
          <w:szCs w:val="24"/>
          <w:lang w:val="en-US" w:eastAsia="zh-CN"/>
        </w:rPr>
        <w:t>Any entity or organization the nature of which was changed as a result of a merger or change of its activities and consequently does not satisfy the criteria for authorization anymore;</w:t>
      </w:r>
    </w:p>
    <w:p w:rsidR="0034653D" w:rsidRPr="00067DF0" w:rsidRDefault="0034653D" w:rsidP="007A0E5A">
      <w:pPr>
        <w:pStyle w:val="ListParagraph"/>
        <w:widowControl w:val="0"/>
        <w:numPr>
          <w:ilvl w:val="0"/>
          <w:numId w:val="15"/>
        </w:numPr>
        <w:tabs>
          <w:tab w:val="clear" w:pos="567"/>
          <w:tab w:val="clear" w:pos="1701"/>
          <w:tab w:val="left" w:pos="1702"/>
        </w:tabs>
        <w:snapToGrid w:val="0"/>
        <w:spacing w:before="40"/>
        <w:ind w:left="714" w:right="-482" w:hanging="357"/>
        <w:contextualSpacing w:val="0"/>
        <w:rPr>
          <w:rFonts w:cstheme="minorHAnsi"/>
          <w:szCs w:val="24"/>
          <w:lang w:val="en-US" w:eastAsia="zh-CN"/>
        </w:rPr>
      </w:pPr>
      <w:r w:rsidRPr="00067DF0">
        <w:rPr>
          <w:rFonts w:cstheme="minorHAnsi"/>
          <w:szCs w:val="24"/>
          <w:lang w:val="en-US" w:eastAsia="zh-CN"/>
        </w:rPr>
        <w:t>Any entity or organization the action of which had, according to the Council's findings, a clear and significant adverse effect on ITU's interests;</w:t>
      </w:r>
    </w:p>
    <w:p w:rsidR="0034653D" w:rsidRPr="00067DF0" w:rsidRDefault="0034653D" w:rsidP="007A0E5A">
      <w:pPr>
        <w:pStyle w:val="ListParagraph"/>
        <w:widowControl w:val="0"/>
        <w:numPr>
          <w:ilvl w:val="0"/>
          <w:numId w:val="15"/>
        </w:numPr>
        <w:tabs>
          <w:tab w:val="clear" w:pos="567"/>
          <w:tab w:val="clear" w:pos="1701"/>
          <w:tab w:val="left" w:pos="1702"/>
        </w:tabs>
        <w:snapToGrid w:val="0"/>
        <w:spacing w:before="40"/>
        <w:ind w:left="714" w:right="-482" w:hanging="357"/>
        <w:contextualSpacing w:val="0"/>
        <w:rPr>
          <w:rFonts w:cstheme="minorHAnsi"/>
          <w:szCs w:val="24"/>
          <w:lang w:val="en-US" w:eastAsia="zh-CN"/>
        </w:rPr>
      </w:pPr>
      <w:r w:rsidRPr="00067DF0">
        <w:rPr>
          <w:rFonts w:cstheme="minorHAnsi"/>
          <w:szCs w:val="24"/>
          <w:lang w:val="en-US" w:eastAsia="zh-CN"/>
        </w:rPr>
        <w:t>Any entity or organization which violated the rules or procedures of ITU, according to the Council's findings.</w:t>
      </w:r>
    </w:p>
    <w:p w:rsidR="00486653" w:rsidRDefault="009078AA" w:rsidP="00F6047E">
      <w:pPr>
        <w:rPr>
          <w:szCs w:val="24"/>
        </w:rPr>
      </w:pPr>
      <w:r>
        <w:rPr>
          <w:szCs w:val="24"/>
        </w:rPr>
        <w:t>4.2</w:t>
      </w:r>
      <w:r>
        <w:rPr>
          <w:szCs w:val="24"/>
        </w:rPr>
        <w:tab/>
      </w:r>
      <w:proofErr w:type="spellStart"/>
      <w:r w:rsidR="00F6047E">
        <w:rPr>
          <w:szCs w:val="24"/>
        </w:rPr>
        <w:t>Nos</w:t>
      </w:r>
      <w:proofErr w:type="spellEnd"/>
      <w:r w:rsidR="00F6047E">
        <w:rPr>
          <w:szCs w:val="24"/>
        </w:rPr>
        <w:t> </w:t>
      </w:r>
      <w:r w:rsidR="0034653D">
        <w:rPr>
          <w:szCs w:val="24"/>
        </w:rPr>
        <w:t xml:space="preserve">CV 240 and 241 </w:t>
      </w:r>
      <w:r w:rsidR="009B5F21">
        <w:rPr>
          <w:szCs w:val="24"/>
        </w:rPr>
        <w:t xml:space="preserve">assign </w:t>
      </w:r>
      <w:r w:rsidR="00F6047E">
        <w:rPr>
          <w:szCs w:val="24"/>
        </w:rPr>
        <w:t xml:space="preserve">the </w:t>
      </w:r>
      <w:r w:rsidR="009B5F21">
        <w:rPr>
          <w:szCs w:val="24"/>
        </w:rPr>
        <w:t xml:space="preserve">Council to determine </w:t>
      </w:r>
      <w:r w:rsidR="00BE3A6E">
        <w:rPr>
          <w:szCs w:val="24"/>
        </w:rPr>
        <w:t>more detailed criteria and procedures</w:t>
      </w:r>
      <w:r w:rsidR="009E7FE7">
        <w:rPr>
          <w:szCs w:val="24"/>
        </w:rPr>
        <w:t xml:space="preserve"> for denunciations and deletions</w:t>
      </w:r>
      <w:r w:rsidR="00BE3A6E">
        <w:rPr>
          <w:szCs w:val="24"/>
        </w:rPr>
        <w:t>. Such provisions were adopted by the Council in 1993</w:t>
      </w:r>
      <w:r w:rsidR="00486653" w:rsidRPr="00C82421">
        <w:rPr>
          <w:szCs w:val="24"/>
        </w:rPr>
        <w:t xml:space="preserve"> </w:t>
      </w:r>
      <w:r w:rsidR="002B2682" w:rsidRPr="00C82421">
        <w:rPr>
          <w:szCs w:val="24"/>
        </w:rPr>
        <w:t>(Doc.</w:t>
      </w:r>
      <w:r w:rsidR="00F6047E">
        <w:rPr>
          <w:szCs w:val="24"/>
        </w:rPr>
        <w:t> C</w:t>
      </w:r>
      <w:r w:rsidR="002B2682" w:rsidRPr="00C82421">
        <w:rPr>
          <w:szCs w:val="24"/>
        </w:rPr>
        <w:t>93/49)</w:t>
      </w:r>
      <w:r w:rsidR="002B2682">
        <w:rPr>
          <w:szCs w:val="24"/>
        </w:rPr>
        <w:t>.</w:t>
      </w:r>
    </w:p>
    <w:p w:rsidR="009B5F21" w:rsidRPr="00067DF0" w:rsidRDefault="009078AA" w:rsidP="007A0E5A">
      <w:pPr>
        <w:spacing w:before="360"/>
        <w:rPr>
          <w:b/>
          <w:szCs w:val="24"/>
        </w:rPr>
      </w:pPr>
      <w:r>
        <w:rPr>
          <w:b/>
          <w:szCs w:val="24"/>
        </w:rPr>
        <w:t>5</w:t>
      </w:r>
      <w:r>
        <w:rPr>
          <w:b/>
          <w:szCs w:val="24"/>
        </w:rPr>
        <w:tab/>
      </w:r>
      <w:r w:rsidR="00FC2E51">
        <w:rPr>
          <w:b/>
          <w:szCs w:val="24"/>
        </w:rPr>
        <w:t>Membership Fees</w:t>
      </w:r>
    </w:p>
    <w:p w:rsidR="00D96BDC" w:rsidRDefault="009078AA" w:rsidP="007A0E5A">
      <w:pPr>
        <w:spacing w:after="120"/>
        <w:rPr>
          <w:szCs w:val="24"/>
        </w:rPr>
      </w:pPr>
      <w:r>
        <w:rPr>
          <w:szCs w:val="24"/>
        </w:rPr>
        <w:t>5.1</w:t>
      </w:r>
      <w:r>
        <w:rPr>
          <w:szCs w:val="24"/>
        </w:rPr>
        <w:tab/>
      </w:r>
      <w:r w:rsidR="00B30EB8">
        <w:rPr>
          <w:szCs w:val="24"/>
        </w:rPr>
        <w:t>Article 28</w:t>
      </w:r>
      <w:r w:rsidR="009B5F21">
        <w:rPr>
          <w:szCs w:val="24"/>
        </w:rPr>
        <w:t xml:space="preserve"> of the Convention</w:t>
      </w:r>
      <w:r w:rsidR="00DC5057">
        <w:rPr>
          <w:szCs w:val="24"/>
        </w:rPr>
        <w:t xml:space="preserve"> (CV 159) states that the expenses of the Union shall be met by contributions from Member States and Sector Members, among other sources.</w:t>
      </w:r>
      <w:r w:rsidR="00C1498F">
        <w:rPr>
          <w:szCs w:val="24"/>
        </w:rPr>
        <w:t xml:space="preserve"> </w:t>
      </w:r>
    </w:p>
    <w:p w:rsidR="00F43789" w:rsidRPr="00350CA4" w:rsidRDefault="009078AA" w:rsidP="007A0E5A">
      <w:pPr>
        <w:spacing w:after="120"/>
        <w:rPr>
          <w:szCs w:val="24"/>
        </w:rPr>
      </w:pPr>
      <w:r>
        <w:rPr>
          <w:rFonts w:cstheme="minorHAnsi"/>
          <w:szCs w:val="24"/>
          <w:lang w:val="en-US"/>
        </w:rPr>
        <w:t>5.2</w:t>
      </w:r>
      <w:r>
        <w:rPr>
          <w:rFonts w:cstheme="minorHAnsi"/>
          <w:szCs w:val="24"/>
          <w:lang w:val="en-US"/>
        </w:rPr>
        <w:tab/>
      </w:r>
      <w:r w:rsidR="006E24AF" w:rsidRPr="00350CA4">
        <w:rPr>
          <w:rFonts w:cstheme="minorHAnsi"/>
          <w:szCs w:val="24"/>
          <w:lang w:val="en-US"/>
        </w:rPr>
        <w:t xml:space="preserve">Sector Membership fees are calculated on a per-Sector basis, based on the contributory unit structure. </w:t>
      </w:r>
      <w:r w:rsidR="00D96BDC" w:rsidRPr="00350CA4">
        <w:rPr>
          <w:rFonts w:cstheme="minorHAnsi"/>
          <w:szCs w:val="24"/>
          <w:lang w:val="en-US"/>
        </w:rPr>
        <w:t>Fees vary according the Sector selected and the location of the requesting entity.</w:t>
      </w:r>
      <w:r w:rsidR="006E24AF" w:rsidRPr="00350CA4">
        <w:rPr>
          <w:rFonts w:cstheme="minorHAnsi"/>
          <w:szCs w:val="24"/>
          <w:lang w:val="en-US"/>
        </w:rPr>
        <w:t xml:space="preserve"> Details regarding the process of selecting a class of contribution are outlined in C</w:t>
      </w:r>
      <w:r w:rsidR="00A973A4" w:rsidRPr="00350CA4">
        <w:rPr>
          <w:rFonts w:cstheme="minorHAnsi"/>
          <w:szCs w:val="24"/>
          <w:lang w:val="en-US"/>
        </w:rPr>
        <w:t>S</w:t>
      </w:r>
      <w:r w:rsidR="006E24AF" w:rsidRPr="00350CA4">
        <w:rPr>
          <w:rFonts w:cstheme="minorHAnsi"/>
          <w:szCs w:val="24"/>
          <w:lang w:val="en-US"/>
        </w:rPr>
        <w:t xml:space="preserve"> 161H to 168.</w:t>
      </w:r>
      <w:r w:rsidR="00F43789" w:rsidRPr="00350CA4">
        <w:rPr>
          <w:szCs w:val="24"/>
        </w:rPr>
        <w:t xml:space="preserve"> Resolution 152 (</w:t>
      </w:r>
      <w:r w:rsidR="00753DC5" w:rsidRPr="00350CA4">
        <w:rPr>
          <w:szCs w:val="24"/>
        </w:rPr>
        <w:t>Guadalajara</w:t>
      </w:r>
      <w:r w:rsidR="00753DC5">
        <w:rPr>
          <w:szCs w:val="24"/>
        </w:rPr>
        <w:t>, 20</w:t>
      </w:r>
      <w:r w:rsidR="00F43789" w:rsidRPr="00350CA4">
        <w:rPr>
          <w:szCs w:val="24"/>
        </w:rPr>
        <w:t>10,) introduced provisions to improve the management and follow-up regarding fees for Sector Members and Associates.</w:t>
      </w:r>
    </w:p>
    <w:p w:rsidR="00D96BDC" w:rsidRPr="00067DF0" w:rsidRDefault="009078AA" w:rsidP="007A0E5A">
      <w:pPr>
        <w:spacing w:after="120"/>
        <w:rPr>
          <w:rFonts w:eastAsiaTheme="minorEastAsia"/>
          <w:szCs w:val="24"/>
          <w:lang w:val="en-US" w:eastAsia="zh-CN"/>
        </w:rPr>
      </w:pPr>
      <w:r>
        <w:rPr>
          <w:rFonts w:cstheme="minorHAnsi"/>
          <w:szCs w:val="24"/>
          <w:lang w:val="en-US"/>
        </w:rPr>
        <w:t>5.3</w:t>
      </w:r>
      <w:r>
        <w:rPr>
          <w:rFonts w:cstheme="minorHAnsi"/>
          <w:szCs w:val="24"/>
          <w:lang w:val="en-US"/>
        </w:rPr>
        <w:tab/>
      </w:r>
      <w:r w:rsidR="00441298">
        <w:rPr>
          <w:rFonts w:cstheme="minorHAnsi"/>
          <w:szCs w:val="24"/>
          <w:lang w:val="en-US"/>
        </w:rPr>
        <w:t>The contributory</w:t>
      </w:r>
      <w:r w:rsidR="00450E7E" w:rsidRPr="00067DF0">
        <w:rPr>
          <w:rFonts w:cstheme="minorHAnsi"/>
          <w:szCs w:val="24"/>
          <w:lang w:val="en-US"/>
        </w:rPr>
        <w:t xml:space="preserve"> unit for Sector Members is </w:t>
      </w:r>
      <w:r w:rsidR="007C2A2E" w:rsidRPr="00067DF0">
        <w:rPr>
          <w:rFonts w:cstheme="minorHAnsi"/>
          <w:szCs w:val="24"/>
          <w:lang w:val="en-US"/>
        </w:rPr>
        <w:t>1/5</w:t>
      </w:r>
      <w:r w:rsidR="007C2A2E" w:rsidRPr="00F6047E">
        <w:rPr>
          <w:rFonts w:cstheme="minorHAnsi"/>
          <w:szCs w:val="24"/>
          <w:lang w:val="en-US"/>
        </w:rPr>
        <w:t>th</w:t>
      </w:r>
      <w:r w:rsidR="007C2A2E" w:rsidRPr="00067DF0">
        <w:rPr>
          <w:rFonts w:cstheme="minorHAnsi"/>
          <w:szCs w:val="24"/>
          <w:lang w:val="en-US"/>
        </w:rPr>
        <w:t xml:space="preserve"> </w:t>
      </w:r>
      <w:r w:rsidR="00450E7E" w:rsidRPr="00067DF0">
        <w:rPr>
          <w:rFonts w:cstheme="minorHAnsi"/>
          <w:szCs w:val="24"/>
          <w:lang w:val="en-US"/>
        </w:rPr>
        <w:t xml:space="preserve">of </w:t>
      </w:r>
      <w:r w:rsidR="00D96BDC" w:rsidRPr="00067DF0">
        <w:rPr>
          <w:rFonts w:cstheme="minorHAnsi"/>
          <w:szCs w:val="24"/>
          <w:lang w:val="en-US"/>
        </w:rPr>
        <w:t>that of Member States.</w:t>
      </w:r>
      <w:r w:rsidR="006E24AF" w:rsidRPr="00067DF0">
        <w:rPr>
          <w:rFonts w:cstheme="minorHAnsi"/>
          <w:szCs w:val="24"/>
          <w:lang w:val="en-US"/>
        </w:rPr>
        <w:t xml:space="preserve"> Given that the</w:t>
      </w:r>
      <w:r w:rsidR="00D96BDC" w:rsidRPr="00067DF0">
        <w:rPr>
          <w:rFonts w:cstheme="minorHAnsi"/>
          <w:szCs w:val="24"/>
          <w:lang w:val="en-US"/>
        </w:rPr>
        <w:t xml:space="preserve"> Member State </w:t>
      </w:r>
      <w:r w:rsidR="00441298">
        <w:rPr>
          <w:rFonts w:cstheme="minorHAnsi"/>
          <w:szCs w:val="24"/>
          <w:lang w:val="en-US"/>
        </w:rPr>
        <w:t>contributory</w:t>
      </w:r>
      <w:r w:rsidR="006E24AF" w:rsidRPr="00067DF0">
        <w:rPr>
          <w:rFonts w:cstheme="minorHAnsi"/>
          <w:szCs w:val="24"/>
          <w:lang w:val="en-US"/>
        </w:rPr>
        <w:t xml:space="preserve"> u</w:t>
      </w:r>
      <w:r w:rsidR="00D96BDC" w:rsidRPr="00067DF0">
        <w:rPr>
          <w:rFonts w:cstheme="minorHAnsi"/>
          <w:szCs w:val="24"/>
          <w:lang w:val="en-US"/>
        </w:rPr>
        <w:t xml:space="preserve">nit is currently set at </w:t>
      </w:r>
      <w:r w:rsidR="00441298">
        <w:rPr>
          <w:rFonts w:cstheme="minorHAnsi"/>
          <w:szCs w:val="24"/>
          <w:lang w:val="en-US"/>
        </w:rPr>
        <w:t xml:space="preserve">CHF </w:t>
      </w:r>
      <w:r w:rsidR="00D96BDC" w:rsidRPr="00067DF0">
        <w:rPr>
          <w:rFonts w:cstheme="minorHAnsi"/>
          <w:szCs w:val="24"/>
          <w:lang w:val="en-US"/>
        </w:rPr>
        <w:t xml:space="preserve">318,000, the </w:t>
      </w:r>
      <w:r w:rsidR="006E24AF" w:rsidRPr="00067DF0">
        <w:rPr>
          <w:rFonts w:cstheme="minorHAnsi"/>
          <w:szCs w:val="24"/>
          <w:lang w:val="en-US"/>
        </w:rPr>
        <w:t xml:space="preserve">corresponding rate </w:t>
      </w:r>
      <w:r w:rsidR="00D96BDC" w:rsidRPr="00067DF0">
        <w:rPr>
          <w:rFonts w:cstheme="minorHAnsi"/>
          <w:szCs w:val="24"/>
          <w:lang w:val="en-US"/>
        </w:rPr>
        <w:t xml:space="preserve">for Sector Members is </w:t>
      </w:r>
      <w:r w:rsidR="00441298">
        <w:rPr>
          <w:rFonts w:cstheme="minorHAnsi"/>
          <w:szCs w:val="24"/>
          <w:lang w:val="en-US"/>
        </w:rPr>
        <w:t xml:space="preserve">CHF </w:t>
      </w:r>
      <w:r w:rsidR="000E4433" w:rsidRPr="00067DF0">
        <w:rPr>
          <w:rFonts w:cstheme="minorHAnsi"/>
          <w:szCs w:val="24"/>
          <w:lang w:val="en-US"/>
        </w:rPr>
        <w:t>63,6</w:t>
      </w:r>
      <w:r w:rsidR="00450E7E" w:rsidRPr="00067DF0">
        <w:rPr>
          <w:rFonts w:cstheme="minorHAnsi"/>
          <w:szCs w:val="24"/>
          <w:lang w:val="en-US"/>
        </w:rPr>
        <w:t>00 (</w:t>
      </w:r>
      <w:r w:rsidR="007C2A2E" w:rsidRPr="00067DF0">
        <w:rPr>
          <w:rFonts w:cstheme="minorHAnsi"/>
          <w:szCs w:val="24"/>
          <w:lang w:val="en-US"/>
        </w:rPr>
        <w:t>CV 480</w:t>
      </w:r>
      <w:r w:rsidR="00450E7E" w:rsidRPr="00067DF0">
        <w:rPr>
          <w:rFonts w:cstheme="minorHAnsi"/>
          <w:szCs w:val="24"/>
          <w:lang w:val="en-US"/>
        </w:rPr>
        <w:t>).</w:t>
      </w:r>
      <w:r w:rsidR="00D96BDC" w:rsidRPr="00067DF0">
        <w:rPr>
          <w:rFonts w:cstheme="minorHAnsi"/>
          <w:szCs w:val="24"/>
          <w:lang w:val="en-US"/>
        </w:rPr>
        <w:t xml:space="preserve"> </w:t>
      </w:r>
      <w:r w:rsidR="006E24AF" w:rsidRPr="00067DF0">
        <w:rPr>
          <w:rFonts w:cstheme="minorHAnsi"/>
          <w:szCs w:val="24"/>
          <w:lang w:val="en-US"/>
        </w:rPr>
        <w:t xml:space="preserve">CV 468B set the minimum fee for ITU-R and ITU-T Sector Membership at </w:t>
      </w:r>
      <w:r w:rsidR="00F6047E">
        <w:rPr>
          <w:rFonts w:cstheme="minorHAnsi"/>
          <w:szCs w:val="24"/>
          <w:lang w:val="en-US"/>
        </w:rPr>
        <w:t>1/2</w:t>
      </w:r>
      <w:r w:rsidR="006E24AF" w:rsidRPr="00067DF0">
        <w:rPr>
          <w:rFonts w:cstheme="minorHAnsi"/>
          <w:szCs w:val="24"/>
          <w:lang w:val="en-US"/>
        </w:rPr>
        <w:t xml:space="preserve"> unit, which is currently the equivalent of </w:t>
      </w:r>
      <w:r w:rsidR="006E24AF" w:rsidRPr="00067DF0">
        <w:rPr>
          <w:rFonts w:eastAsiaTheme="minorEastAsia"/>
          <w:szCs w:val="24"/>
          <w:lang w:val="en-US" w:eastAsia="zh-CN"/>
        </w:rPr>
        <w:t>CHF 31,800, although</w:t>
      </w:r>
      <w:r w:rsidR="00D96BDC" w:rsidRPr="00067DF0">
        <w:rPr>
          <w:rFonts w:eastAsiaTheme="minorEastAsia"/>
          <w:szCs w:val="24"/>
          <w:lang w:val="en-US" w:eastAsia="zh-CN"/>
        </w:rPr>
        <w:t xml:space="preserve"> some </w:t>
      </w:r>
      <w:r w:rsidR="006E24AF" w:rsidRPr="00067DF0">
        <w:rPr>
          <w:rFonts w:eastAsiaTheme="minorEastAsia"/>
          <w:szCs w:val="24"/>
          <w:lang w:val="en-US" w:eastAsia="zh-CN"/>
        </w:rPr>
        <w:t>l</w:t>
      </w:r>
      <w:r w:rsidR="00D96BDC" w:rsidRPr="00067DF0">
        <w:rPr>
          <w:rFonts w:eastAsiaTheme="minorEastAsia"/>
          <w:szCs w:val="24"/>
          <w:lang w:val="en-US" w:eastAsia="zh-CN"/>
        </w:rPr>
        <w:t>arger companies pay more than the minimum. As per Resolution 170 (Guadalajara</w:t>
      </w:r>
      <w:r w:rsidR="00A973A4">
        <w:rPr>
          <w:rFonts w:eastAsiaTheme="minorEastAsia"/>
          <w:szCs w:val="24"/>
          <w:lang w:val="en-US" w:eastAsia="zh-CN"/>
        </w:rPr>
        <w:t>, 2010</w:t>
      </w:r>
      <w:r w:rsidR="00D96BDC" w:rsidRPr="00067DF0">
        <w:rPr>
          <w:rFonts w:eastAsiaTheme="minorEastAsia"/>
          <w:szCs w:val="24"/>
          <w:lang w:val="en-US" w:eastAsia="zh-CN"/>
        </w:rPr>
        <w:t xml:space="preserve">), </w:t>
      </w:r>
      <w:r w:rsidR="006E24AF" w:rsidRPr="00067DF0">
        <w:rPr>
          <w:rFonts w:eastAsiaTheme="minorEastAsia"/>
          <w:szCs w:val="24"/>
          <w:lang w:val="en-US" w:eastAsia="zh-CN"/>
        </w:rPr>
        <w:t>entities i</w:t>
      </w:r>
      <w:r w:rsidR="00D96BDC" w:rsidRPr="00067DF0">
        <w:rPr>
          <w:rFonts w:eastAsiaTheme="minorEastAsia"/>
          <w:szCs w:val="24"/>
          <w:lang w:val="en-US" w:eastAsia="zh-CN"/>
        </w:rPr>
        <w:t xml:space="preserve">n countries with “low incomes” (less than </w:t>
      </w:r>
      <w:r w:rsidR="00441298">
        <w:rPr>
          <w:rFonts w:eastAsiaTheme="minorEastAsia"/>
          <w:szCs w:val="24"/>
          <w:lang w:val="en-US" w:eastAsia="zh-CN"/>
        </w:rPr>
        <w:t>USD 2,000</w:t>
      </w:r>
      <w:r w:rsidR="00D96BDC" w:rsidRPr="00067DF0">
        <w:rPr>
          <w:rFonts w:eastAsiaTheme="minorEastAsia"/>
          <w:szCs w:val="24"/>
          <w:lang w:val="en-US" w:eastAsia="zh-CN"/>
        </w:rPr>
        <w:t xml:space="preserve"> per capita, as defined by UNDP) </w:t>
      </w:r>
      <w:r w:rsidR="00EF6E2F">
        <w:rPr>
          <w:rFonts w:eastAsiaTheme="minorEastAsia"/>
          <w:szCs w:val="24"/>
          <w:lang w:val="en-US" w:eastAsia="zh-CN"/>
        </w:rPr>
        <w:t xml:space="preserve">can benefit from </w:t>
      </w:r>
      <w:r w:rsidR="00D96BDC" w:rsidRPr="00067DF0">
        <w:rPr>
          <w:rFonts w:eastAsiaTheme="minorEastAsia"/>
          <w:szCs w:val="24"/>
          <w:lang w:val="en-US" w:eastAsia="zh-CN"/>
        </w:rPr>
        <w:t>a reduced fee of CHF 1,987.50 (1/32nd unit).</w:t>
      </w:r>
      <w:r w:rsidR="00EF6E2F" w:rsidRPr="00067DF0">
        <w:rPr>
          <w:rFonts w:cs="Calibri"/>
          <w:szCs w:val="24"/>
          <w:lang w:val="en-US"/>
        </w:rPr>
        <w:t xml:space="preserve"> </w:t>
      </w:r>
      <w:r w:rsidR="00EF6E2F">
        <w:rPr>
          <w:rFonts w:eastAsiaTheme="minorEastAsia"/>
          <w:szCs w:val="24"/>
          <w:lang w:val="en-US" w:eastAsia="zh-CN"/>
        </w:rPr>
        <w:t xml:space="preserve">This </w:t>
      </w:r>
      <w:r w:rsidR="00A973A4">
        <w:rPr>
          <w:rFonts w:eastAsiaTheme="minorEastAsia"/>
          <w:szCs w:val="24"/>
          <w:lang w:val="en-US" w:eastAsia="zh-CN"/>
        </w:rPr>
        <w:t>R</w:t>
      </w:r>
      <w:r w:rsidR="00EF6E2F">
        <w:rPr>
          <w:rFonts w:eastAsiaTheme="minorEastAsia"/>
          <w:szCs w:val="24"/>
          <w:lang w:val="en-US" w:eastAsia="zh-CN"/>
        </w:rPr>
        <w:t>esolution further states that entities whi</w:t>
      </w:r>
      <w:r w:rsidR="004D05A5">
        <w:rPr>
          <w:rFonts w:eastAsiaTheme="minorEastAsia"/>
          <w:szCs w:val="24"/>
          <w:lang w:val="en-US" w:eastAsia="zh-CN"/>
        </w:rPr>
        <w:t>ch are already a member paying 1/2</w:t>
      </w:r>
      <w:r w:rsidR="00EF6E2F">
        <w:rPr>
          <w:rFonts w:eastAsiaTheme="minorEastAsia"/>
          <w:szCs w:val="24"/>
          <w:lang w:val="en-US" w:eastAsia="zh-CN"/>
        </w:rPr>
        <w:t xml:space="preserve"> unit are not </w:t>
      </w:r>
      <w:r w:rsidR="00F6047E">
        <w:rPr>
          <w:rFonts w:eastAsiaTheme="minorEastAsia"/>
          <w:szCs w:val="24"/>
          <w:lang w:val="en-US" w:eastAsia="zh-CN"/>
        </w:rPr>
        <w:t>eligible for this reduced fee.</w:t>
      </w:r>
    </w:p>
    <w:p w:rsidR="00D96BDC" w:rsidRPr="00846F4D" w:rsidRDefault="009078AA" w:rsidP="007A0E5A">
      <w:pPr>
        <w:spacing w:after="120"/>
        <w:rPr>
          <w:rFonts w:eastAsiaTheme="minorEastAsia"/>
          <w:b/>
          <w:bCs/>
          <w:szCs w:val="24"/>
          <w:lang w:val="en-US" w:eastAsia="zh-CN"/>
        </w:rPr>
      </w:pPr>
      <w:r>
        <w:rPr>
          <w:rFonts w:eastAsiaTheme="minorEastAsia"/>
          <w:szCs w:val="24"/>
          <w:lang w:val="en-US" w:eastAsia="zh-CN"/>
        </w:rPr>
        <w:t>5.4</w:t>
      </w:r>
      <w:r>
        <w:rPr>
          <w:rFonts w:eastAsiaTheme="minorEastAsia"/>
          <w:szCs w:val="24"/>
          <w:lang w:val="en-US" w:eastAsia="zh-CN"/>
        </w:rPr>
        <w:tab/>
      </w:r>
      <w:r w:rsidR="006E24AF">
        <w:rPr>
          <w:rFonts w:eastAsiaTheme="minorEastAsia"/>
          <w:szCs w:val="24"/>
          <w:lang w:val="en-US" w:eastAsia="zh-CN"/>
        </w:rPr>
        <w:t xml:space="preserve">At present, </w:t>
      </w:r>
      <w:r w:rsidR="00D96BDC" w:rsidRPr="00846F4D">
        <w:rPr>
          <w:rFonts w:eastAsiaTheme="minorEastAsia"/>
          <w:szCs w:val="24"/>
          <w:lang w:val="en-US" w:eastAsia="zh-CN"/>
        </w:rPr>
        <w:t xml:space="preserve">the minimum annual </w:t>
      </w:r>
      <w:r w:rsidR="006E24AF">
        <w:rPr>
          <w:rFonts w:eastAsiaTheme="minorEastAsia"/>
          <w:szCs w:val="24"/>
          <w:lang w:val="en-US" w:eastAsia="zh-CN"/>
        </w:rPr>
        <w:t xml:space="preserve">ITU-D </w:t>
      </w:r>
      <w:r w:rsidR="00D96BDC" w:rsidRPr="00846F4D">
        <w:rPr>
          <w:rFonts w:eastAsiaTheme="minorEastAsia"/>
          <w:szCs w:val="24"/>
          <w:lang w:val="en-US" w:eastAsia="zh-CN"/>
        </w:rPr>
        <w:t xml:space="preserve">Sector Membership fee for </w:t>
      </w:r>
      <w:r w:rsidR="006E24AF">
        <w:rPr>
          <w:rFonts w:eastAsiaTheme="minorEastAsia"/>
          <w:szCs w:val="24"/>
          <w:lang w:val="en-US" w:eastAsia="zh-CN"/>
        </w:rPr>
        <w:t>an entity</w:t>
      </w:r>
      <w:r w:rsidR="00D96BDC" w:rsidRPr="00846F4D">
        <w:rPr>
          <w:rFonts w:eastAsiaTheme="minorEastAsia"/>
          <w:szCs w:val="24"/>
          <w:lang w:val="en-US" w:eastAsia="zh-CN"/>
        </w:rPr>
        <w:t xml:space="preserve"> in a developed country is CHF 7,950</w:t>
      </w:r>
      <w:r w:rsidR="00D96BDC">
        <w:rPr>
          <w:rFonts w:eastAsiaTheme="minorEastAsia"/>
          <w:szCs w:val="24"/>
          <w:lang w:val="en-US" w:eastAsia="zh-CN"/>
        </w:rPr>
        <w:t xml:space="preserve"> (1/8 unit)</w:t>
      </w:r>
      <w:r w:rsidR="00D96BDC" w:rsidRPr="00846F4D">
        <w:rPr>
          <w:rFonts w:eastAsiaTheme="minorEastAsia"/>
          <w:szCs w:val="24"/>
          <w:lang w:val="en-US" w:eastAsia="zh-CN"/>
        </w:rPr>
        <w:t xml:space="preserve">. </w:t>
      </w:r>
      <w:r w:rsidR="006E24AF">
        <w:rPr>
          <w:rFonts w:eastAsiaTheme="minorEastAsia"/>
          <w:szCs w:val="24"/>
          <w:lang w:val="en-US" w:eastAsia="zh-CN"/>
        </w:rPr>
        <w:t>Entities</w:t>
      </w:r>
      <w:r w:rsidR="00D96BDC" w:rsidRPr="00846F4D">
        <w:rPr>
          <w:rFonts w:eastAsiaTheme="minorEastAsia"/>
          <w:szCs w:val="24"/>
          <w:lang w:val="en-US" w:eastAsia="zh-CN"/>
        </w:rPr>
        <w:t xml:space="preserve"> in developing countries are eligible for a reduced fee of CHF 3,975</w:t>
      </w:r>
      <w:r w:rsidR="00F6047E">
        <w:rPr>
          <w:rFonts w:eastAsiaTheme="minorEastAsia"/>
          <w:szCs w:val="24"/>
          <w:lang w:val="en-US" w:eastAsia="zh-CN"/>
        </w:rPr>
        <w:t>.</w:t>
      </w:r>
    </w:p>
    <w:p w:rsidR="00D96BDC" w:rsidRPr="00350CA4" w:rsidRDefault="009078AA" w:rsidP="007A0E5A">
      <w:pPr>
        <w:spacing w:after="120"/>
        <w:rPr>
          <w:rFonts w:eastAsiaTheme="minorEastAsia"/>
          <w:szCs w:val="24"/>
          <w:lang w:val="en-US" w:eastAsia="zh-CN"/>
        </w:rPr>
      </w:pPr>
      <w:r>
        <w:rPr>
          <w:rFonts w:cstheme="minorHAnsi"/>
          <w:szCs w:val="24"/>
          <w:lang w:val="en-US"/>
        </w:rPr>
        <w:t>5.5</w:t>
      </w:r>
      <w:r>
        <w:rPr>
          <w:rFonts w:cstheme="minorHAnsi"/>
          <w:szCs w:val="24"/>
          <w:lang w:val="en-US"/>
        </w:rPr>
        <w:tab/>
      </w:r>
      <w:r w:rsidR="000E4433" w:rsidRPr="00350CA4">
        <w:rPr>
          <w:rFonts w:cstheme="minorHAnsi"/>
          <w:szCs w:val="24"/>
          <w:lang w:val="en-US"/>
        </w:rPr>
        <w:t xml:space="preserve">The fees for Associates are fixed by </w:t>
      </w:r>
      <w:r w:rsidR="007D332D">
        <w:rPr>
          <w:rFonts w:cstheme="minorHAnsi"/>
          <w:szCs w:val="24"/>
          <w:lang w:val="en-US"/>
        </w:rPr>
        <w:t xml:space="preserve">the </w:t>
      </w:r>
      <w:r w:rsidR="000E4433" w:rsidRPr="00350CA4">
        <w:rPr>
          <w:rFonts w:cstheme="minorHAnsi"/>
          <w:szCs w:val="24"/>
          <w:lang w:val="en-US"/>
        </w:rPr>
        <w:t>Council (</w:t>
      </w:r>
      <w:r w:rsidR="007C2A2E" w:rsidRPr="00350CA4">
        <w:rPr>
          <w:rFonts w:cstheme="minorHAnsi"/>
          <w:szCs w:val="24"/>
          <w:lang w:val="en-US"/>
        </w:rPr>
        <w:t>CV 483A</w:t>
      </w:r>
      <w:r w:rsidR="005E5221" w:rsidRPr="00350CA4">
        <w:rPr>
          <w:rFonts w:cstheme="minorHAnsi"/>
          <w:szCs w:val="24"/>
          <w:lang w:val="en-US"/>
        </w:rPr>
        <w:t>). Council (</w:t>
      </w:r>
      <w:r w:rsidR="0052128A" w:rsidRPr="00350CA4">
        <w:rPr>
          <w:rFonts w:cstheme="minorHAnsi"/>
          <w:szCs w:val="24"/>
          <w:lang w:val="en-US"/>
        </w:rPr>
        <w:t>2001</w:t>
      </w:r>
      <w:r w:rsidR="005E5221" w:rsidRPr="00350CA4">
        <w:rPr>
          <w:rFonts w:cstheme="minorHAnsi"/>
          <w:szCs w:val="24"/>
          <w:lang w:val="en-US"/>
        </w:rPr>
        <w:t>) set the current Associate fees</w:t>
      </w:r>
      <w:r w:rsidR="0052128A" w:rsidRPr="00350CA4">
        <w:rPr>
          <w:rFonts w:cstheme="minorHAnsi"/>
          <w:szCs w:val="24"/>
          <w:lang w:val="en-US"/>
        </w:rPr>
        <w:t xml:space="preserve"> (1/6 of contributory of Sector Member for ITU-R and ITU-T)</w:t>
      </w:r>
      <w:r w:rsidR="005E5221" w:rsidRPr="00350CA4">
        <w:rPr>
          <w:rFonts w:cstheme="minorHAnsi"/>
          <w:szCs w:val="24"/>
          <w:lang w:val="en-US"/>
        </w:rPr>
        <w:t xml:space="preserve">. </w:t>
      </w:r>
      <w:r w:rsidR="00551919">
        <w:rPr>
          <w:rFonts w:eastAsiaTheme="minorEastAsia"/>
          <w:szCs w:val="24"/>
          <w:lang w:val="en-US" w:eastAsia="zh-CN"/>
        </w:rPr>
        <w:t>The annual fee for ITU</w:t>
      </w:r>
      <w:r w:rsidR="00551919">
        <w:rPr>
          <w:rFonts w:eastAsiaTheme="minorEastAsia"/>
          <w:szCs w:val="24"/>
          <w:lang w:val="en-US" w:eastAsia="zh-CN"/>
        </w:rPr>
        <w:noBreakHyphen/>
      </w:r>
      <w:r w:rsidR="00D96BDC" w:rsidRPr="00350CA4">
        <w:rPr>
          <w:rFonts w:eastAsiaTheme="minorEastAsia"/>
          <w:szCs w:val="24"/>
          <w:lang w:val="en-US" w:eastAsia="zh-CN"/>
        </w:rPr>
        <w:t>R and ITU-T Associates is</w:t>
      </w:r>
      <w:r w:rsidR="006E24AF" w:rsidRPr="00350CA4">
        <w:rPr>
          <w:rFonts w:eastAsiaTheme="minorEastAsia"/>
          <w:szCs w:val="24"/>
          <w:lang w:val="en-US" w:eastAsia="zh-CN"/>
        </w:rPr>
        <w:t xml:space="preserve"> currently</w:t>
      </w:r>
      <w:r w:rsidR="00D96BDC" w:rsidRPr="00350CA4">
        <w:rPr>
          <w:rFonts w:eastAsiaTheme="minorEastAsia"/>
          <w:szCs w:val="24"/>
          <w:lang w:val="en-US" w:eastAsia="zh-CN"/>
        </w:rPr>
        <w:t xml:space="preserve"> CHF 10,600.</w:t>
      </w:r>
      <w:r w:rsidR="006E24AF" w:rsidRPr="00350CA4">
        <w:rPr>
          <w:rFonts w:eastAsiaTheme="minorEastAsia"/>
          <w:szCs w:val="24"/>
          <w:lang w:val="en-US" w:eastAsia="zh-CN"/>
        </w:rPr>
        <w:t xml:space="preserve"> </w:t>
      </w:r>
      <w:r w:rsidR="00D96BDC" w:rsidRPr="00350CA4">
        <w:rPr>
          <w:rFonts w:eastAsiaTheme="minorEastAsia"/>
          <w:szCs w:val="24"/>
          <w:lang w:val="en-US" w:eastAsia="zh-CN"/>
        </w:rPr>
        <w:t>The cost of ITU-D</w:t>
      </w:r>
      <w:r w:rsidR="00551919">
        <w:rPr>
          <w:rFonts w:eastAsiaTheme="minorEastAsia"/>
          <w:szCs w:val="24"/>
          <w:lang w:val="en-US" w:eastAsia="zh-CN"/>
        </w:rPr>
        <w:t xml:space="preserve"> Associate participation is CHF </w:t>
      </w:r>
      <w:r w:rsidR="00D96BDC" w:rsidRPr="00350CA4">
        <w:rPr>
          <w:rFonts w:eastAsiaTheme="minorEastAsia"/>
          <w:szCs w:val="24"/>
          <w:lang w:val="en-US" w:eastAsia="zh-CN"/>
        </w:rPr>
        <w:t>3,975 (1/16 unit)</w:t>
      </w:r>
      <w:r w:rsidR="006E24AF" w:rsidRPr="00350CA4">
        <w:rPr>
          <w:rFonts w:eastAsiaTheme="minorEastAsia"/>
          <w:szCs w:val="24"/>
          <w:lang w:val="en-US" w:eastAsia="zh-CN"/>
        </w:rPr>
        <w:t>. Entitie</w:t>
      </w:r>
      <w:r w:rsidR="00D96BDC" w:rsidRPr="00350CA4">
        <w:rPr>
          <w:rFonts w:eastAsiaTheme="minorEastAsia"/>
          <w:szCs w:val="24"/>
          <w:lang w:val="en-US" w:eastAsia="zh-CN"/>
        </w:rPr>
        <w:t>s in developing countries pay half this amount, namely CHF 1,987.50 (1/32 unit).</w:t>
      </w:r>
    </w:p>
    <w:p w:rsidR="000D55B8" w:rsidRPr="00350CA4" w:rsidRDefault="009078AA" w:rsidP="007A0E5A">
      <w:pPr>
        <w:spacing w:after="120"/>
        <w:rPr>
          <w:rFonts w:eastAsiaTheme="minorEastAsia"/>
          <w:szCs w:val="24"/>
          <w:lang w:val="en-US" w:eastAsia="zh-CN"/>
        </w:rPr>
      </w:pPr>
      <w:r>
        <w:rPr>
          <w:rFonts w:eastAsiaTheme="minorEastAsia"/>
          <w:szCs w:val="24"/>
          <w:lang w:val="en-US" w:eastAsia="zh-CN"/>
        </w:rPr>
        <w:t>5.6</w:t>
      </w:r>
      <w:r>
        <w:rPr>
          <w:rFonts w:eastAsiaTheme="minorEastAsia"/>
          <w:szCs w:val="24"/>
          <w:lang w:val="en-US" w:eastAsia="zh-CN"/>
        </w:rPr>
        <w:tab/>
      </w:r>
      <w:r w:rsidR="000D55B8" w:rsidRPr="00350CA4">
        <w:rPr>
          <w:rFonts w:eastAsiaTheme="minorEastAsia"/>
          <w:szCs w:val="24"/>
          <w:lang w:val="en-US" w:eastAsia="zh-CN"/>
        </w:rPr>
        <w:t>Fees for Academia are outlined in Resolution 169 (Guadalajara</w:t>
      </w:r>
      <w:r w:rsidR="007D332D">
        <w:rPr>
          <w:rFonts w:eastAsiaTheme="minorEastAsia"/>
          <w:szCs w:val="24"/>
          <w:lang w:val="en-US" w:eastAsia="zh-CN"/>
        </w:rPr>
        <w:t>, 2010</w:t>
      </w:r>
      <w:r w:rsidR="000D55B8" w:rsidRPr="00350CA4">
        <w:rPr>
          <w:rFonts w:eastAsiaTheme="minorEastAsia"/>
          <w:szCs w:val="24"/>
          <w:lang w:val="en-US" w:eastAsia="zh-CN"/>
        </w:rPr>
        <w:t xml:space="preserve">): Academia from developed countries pay CHF 3,975 (1/16 unit) a year, while Academia in developing countries </w:t>
      </w:r>
      <w:proofErr w:type="gramStart"/>
      <w:r w:rsidR="000D55B8" w:rsidRPr="00350CA4">
        <w:rPr>
          <w:rFonts w:eastAsiaTheme="minorEastAsia"/>
          <w:szCs w:val="24"/>
          <w:lang w:val="en-US" w:eastAsia="zh-CN"/>
        </w:rPr>
        <w:t>pay</w:t>
      </w:r>
      <w:proofErr w:type="gramEnd"/>
      <w:r w:rsidR="000D55B8" w:rsidRPr="00350CA4">
        <w:rPr>
          <w:rFonts w:eastAsiaTheme="minorEastAsia"/>
          <w:szCs w:val="24"/>
          <w:lang w:val="en-US" w:eastAsia="zh-CN"/>
        </w:rPr>
        <w:t xml:space="preserve"> half this amount, namely CHF 1,987.50 (1/32 unit).</w:t>
      </w:r>
    </w:p>
    <w:p w:rsidR="00551919" w:rsidRDefault="00551919">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Theme="minorEastAsia"/>
          <w:b/>
          <w:bCs/>
          <w:szCs w:val="24"/>
          <w:lang w:val="en-US" w:eastAsia="zh-CN"/>
        </w:rPr>
      </w:pPr>
      <w:r>
        <w:rPr>
          <w:rFonts w:eastAsiaTheme="minorEastAsia"/>
          <w:b/>
          <w:bCs/>
          <w:szCs w:val="24"/>
          <w:lang w:val="en-US" w:eastAsia="zh-CN"/>
        </w:rPr>
        <w:br w:type="page"/>
      </w:r>
    </w:p>
    <w:p w:rsidR="00846F4D" w:rsidRPr="004653F7" w:rsidRDefault="003F740A" w:rsidP="00846F4D">
      <w:pPr>
        <w:rPr>
          <w:rFonts w:eastAsiaTheme="minorEastAsia"/>
          <w:sz w:val="32"/>
          <w:szCs w:val="32"/>
          <w:lang w:val="en-US" w:eastAsia="zh-CN"/>
        </w:rPr>
      </w:pPr>
      <w:r w:rsidRPr="004653F7">
        <w:rPr>
          <w:rFonts w:eastAsiaTheme="minorEastAsia"/>
          <w:szCs w:val="24"/>
          <w:lang w:val="en-US" w:eastAsia="zh-CN"/>
        </w:rPr>
        <w:lastRenderedPageBreak/>
        <w:t>5.7</w:t>
      </w:r>
      <w:r w:rsidR="009078AA" w:rsidRPr="004653F7">
        <w:rPr>
          <w:rFonts w:eastAsiaTheme="minorEastAsia"/>
          <w:szCs w:val="24"/>
          <w:lang w:val="en-US" w:eastAsia="zh-CN"/>
        </w:rPr>
        <w:tab/>
      </w:r>
      <w:r w:rsidR="00846F4D" w:rsidRPr="004653F7">
        <w:rPr>
          <w:rFonts w:eastAsiaTheme="minorEastAsia"/>
          <w:szCs w:val="24"/>
          <w:lang w:val="en-US" w:eastAsia="zh-CN"/>
        </w:rPr>
        <w:t>Summary Chart of Fees: Sector Members, Associates, Academia</w:t>
      </w:r>
    </w:p>
    <w:p w:rsidR="00846F4D" w:rsidRPr="00067DF0" w:rsidRDefault="00846F4D" w:rsidP="00C404BA">
      <w:pPr>
        <w:spacing w:after="40"/>
        <w:jc w:val="center"/>
        <w:rPr>
          <w:rFonts w:eastAsiaTheme="minorEastAsia"/>
          <w:b/>
          <w:bCs/>
          <w:sz w:val="20"/>
          <w:lang w:val="en-US" w:eastAsia="zh-CN"/>
        </w:rPr>
      </w:pPr>
      <w:r w:rsidRPr="00067DF0">
        <w:rPr>
          <w:rFonts w:eastAsiaTheme="minorEastAsia"/>
          <w:b/>
          <w:bCs/>
          <w:sz w:val="20"/>
          <w:lang w:val="en-US" w:eastAsia="zh-CN"/>
        </w:rPr>
        <w:t>(In Swiss Francs – CHF)</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01"/>
        <w:gridCol w:w="2933"/>
        <w:gridCol w:w="2933"/>
      </w:tblGrid>
      <w:tr w:rsidR="00846F4D" w:rsidRPr="00846F4D" w:rsidTr="00774781">
        <w:trPr>
          <w:trHeight w:val="334"/>
        </w:trPr>
        <w:tc>
          <w:tcPr>
            <w:tcW w:w="1560" w:type="dxa"/>
            <w:shd w:val="clear" w:color="auto" w:fill="auto"/>
          </w:tcPr>
          <w:p w:rsidR="00846F4D" w:rsidRPr="00846F4D" w:rsidRDefault="00846F4D" w:rsidP="00846F4D">
            <w:pPr>
              <w:spacing w:before="60"/>
              <w:rPr>
                <w:rFonts w:eastAsia="SimSun" w:cstheme="minorHAnsi"/>
                <w:b/>
                <w:bCs/>
                <w:lang w:val="en-US" w:eastAsia="zh-CN"/>
              </w:rPr>
            </w:pPr>
            <w:r w:rsidRPr="00846F4D">
              <w:rPr>
                <w:rFonts w:eastAsia="SimSun" w:cstheme="minorHAnsi"/>
                <w:b/>
                <w:bCs/>
                <w:lang w:val="en-US" w:eastAsia="zh-CN"/>
              </w:rPr>
              <w:t>Sector/</w:t>
            </w:r>
          </w:p>
          <w:p w:rsidR="00846F4D" w:rsidRPr="00846F4D" w:rsidRDefault="00846F4D" w:rsidP="00846F4D">
            <w:pPr>
              <w:spacing w:before="60"/>
              <w:rPr>
                <w:rFonts w:eastAsia="SimSun" w:cstheme="minorHAnsi"/>
                <w:b/>
                <w:bCs/>
                <w:lang w:val="en-US" w:eastAsia="zh-CN"/>
              </w:rPr>
            </w:pPr>
            <w:r w:rsidRPr="00846F4D">
              <w:rPr>
                <w:rFonts w:eastAsia="SimSun" w:cstheme="minorHAnsi"/>
                <w:b/>
                <w:bCs/>
                <w:lang w:val="en-US" w:eastAsia="zh-CN"/>
              </w:rPr>
              <w:t>Category</w:t>
            </w:r>
          </w:p>
        </w:tc>
        <w:tc>
          <w:tcPr>
            <w:tcW w:w="2501" w:type="dxa"/>
            <w:shd w:val="clear" w:color="auto" w:fill="auto"/>
          </w:tcPr>
          <w:p w:rsidR="00846F4D" w:rsidRPr="00846F4D" w:rsidRDefault="00846F4D" w:rsidP="00846F4D">
            <w:pPr>
              <w:spacing w:before="60"/>
              <w:rPr>
                <w:rFonts w:eastAsia="SimSun" w:cstheme="minorHAnsi"/>
                <w:b/>
                <w:bCs/>
                <w:lang w:val="en-US" w:eastAsia="zh-CN"/>
              </w:rPr>
            </w:pPr>
            <w:r w:rsidRPr="00846F4D">
              <w:rPr>
                <w:rFonts w:eastAsia="SimSun" w:cstheme="minorHAnsi"/>
                <w:b/>
                <w:bCs/>
                <w:lang w:val="en-US" w:eastAsia="zh-CN"/>
              </w:rPr>
              <w:t xml:space="preserve">Sector Member </w:t>
            </w:r>
          </w:p>
          <w:p w:rsidR="00846F4D" w:rsidRPr="00846F4D" w:rsidRDefault="00846F4D" w:rsidP="00846F4D">
            <w:pPr>
              <w:spacing w:before="60"/>
              <w:rPr>
                <w:rFonts w:eastAsia="SimSun" w:cstheme="minorHAnsi"/>
                <w:b/>
                <w:bCs/>
                <w:lang w:val="en-US" w:eastAsia="zh-CN"/>
              </w:rPr>
            </w:pPr>
          </w:p>
        </w:tc>
        <w:tc>
          <w:tcPr>
            <w:tcW w:w="2933" w:type="dxa"/>
            <w:shd w:val="clear" w:color="auto" w:fill="auto"/>
          </w:tcPr>
          <w:p w:rsidR="00846F4D" w:rsidRPr="00846F4D" w:rsidRDefault="00846F4D" w:rsidP="00846F4D">
            <w:pPr>
              <w:spacing w:before="60"/>
              <w:rPr>
                <w:rFonts w:eastAsia="SimSun" w:cstheme="minorHAnsi"/>
                <w:b/>
                <w:bCs/>
                <w:lang w:val="en-US" w:eastAsia="zh-CN"/>
              </w:rPr>
            </w:pPr>
            <w:r w:rsidRPr="00846F4D">
              <w:rPr>
                <w:rFonts w:eastAsia="SimSun" w:cstheme="minorHAnsi"/>
                <w:b/>
                <w:bCs/>
                <w:lang w:val="en-US" w:eastAsia="zh-CN"/>
              </w:rPr>
              <w:t xml:space="preserve">Associate for one </w:t>
            </w:r>
          </w:p>
          <w:p w:rsidR="00846F4D" w:rsidRPr="00846F4D" w:rsidRDefault="00846F4D" w:rsidP="00846F4D">
            <w:pPr>
              <w:spacing w:before="60"/>
              <w:rPr>
                <w:rFonts w:eastAsia="SimSun" w:cstheme="minorHAnsi"/>
                <w:b/>
                <w:bCs/>
                <w:lang w:val="en-US" w:eastAsia="zh-CN"/>
              </w:rPr>
            </w:pPr>
            <w:r w:rsidRPr="00846F4D">
              <w:rPr>
                <w:rFonts w:eastAsia="SimSun" w:cstheme="minorHAnsi"/>
                <w:b/>
                <w:bCs/>
                <w:lang w:val="en-US" w:eastAsia="zh-CN"/>
              </w:rPr>
              <w:t xml:space="preserve">Study Group </w:t>
            </w:r>
          </w:p>
        </w:tc>
        <w:tc>
          <w:tcPr>
            <w:tcW w:w="2933" w:type="dxa"/>
          </w:tcPr>
          <w:p w:rsidR="00846F4D" w:rsidRPr="00846F4D" w:rsidRDefault="00846F4D" w:rsidP="00846F4D">
            <w:pPr>
              <w:spacing w:before="60"/>
              <w:rPr>
                <w:rFonts w:eastAsia="SimSun" w:cstheme="minorHAnsi"/>
                <w:b/>
                <w:bCs/>
                <w:lang w:val="en-US" w:eastAsia="zh-CN"/>
              </w:rPr>
            </w:pPr>
            <w:r w:rsidRPr="00846F4D">
              <w:rPr>
                <w:rFonts w:eastAsia="SimSun" w:cstheme="minorHAnsi"/>
                <w:b/>
                <w:bCs/>
                <w:lang w:val="en-US" w:eastAsia="zh-CN"/>
              </w:rPr>
              <w:t>Academia</w:t>
            </w:r>
          </w:p>
          <w:p w:rsidR="00846F4D" w:rsidRPr="00846F4D" w:rsidRDefault="00846F4D" w:rsidP="00846F4D">
            <w:pPr>
              <w:spacing w:before="60"/>
              <w:rPr>
                <w:rFonts w:eastAsia="SimSun" w:cstheme="minorHAnsi"/>
                <w:b/>
                <w:bCs/>
                <w:lang w:val="en-US" w:eastAsia="zh-CN"/>
              </w:rPr>
            </w:pPr>
          </w:p>
        </w:tc>
      </w:tr>
      <w:tr w:rsidR="00846F4D" w:rsidRPr="00846F4D" w:rsidTr="00774781">
        <w:trPr>
          <w:trHeight w:val="318"/>
        </w:trPr>
        <w:tc>
          <w:tcPr>
            <w:tcW w:w="1560" w:type="dxa"/>
            <w:shd w:val="clear" w:color="auto" w:fill="auto"/>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ITU-R</w:t>
            </w:r>
          </w:p>
        </w:tc>
        <w:tc>
          <w:tcPr>
            <w:tcW w:w="2501" w:type="dxa"/>
            <w:shd w:val="clear" w:color="auto" w:fill="auto"/>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31,800 (1)</w:t>
            </w:r>
          </w:p>
        </w:tc>
        <w:tc>
          <w:tcPr>
            <w:tcW w:w="2933" w:type="dxa"/>
            <w:shd w:val="clear" w:color="auto" w:fill="auto"/>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10,600</w:t>
            </w:r>
          </w:p>
        </w:tc>
        <w:tc>
          <w:tcPr>
            <w:tcW w:w="2933" w:type="dxa"/>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3,975 (2)</w:t>
            </w:r>
          </w:p>
        </w:tc>
      </w:tr>
      <w:tr w:rsidR="00846F4D" w:rsidRPr="00846F4D" w:rsidTr="00774781">
        <w:trPr>
          <w:trHeight w:val="334"/>
        </w:trPr>
        <w:tc>
          <w:tcPr>
            <w:tcW w:w="1560" w:type="dxa"/>
            <w:shd w:val="clear" w:color="auto" w:fill="auto"/>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ITU-T</w:t>
            </w:r>
          </w:p>
        </w:tc>
        <w:tc>
          <w:tcPr>
            <w:tcW w:w="2501" w:type="dxa"/>
            <w:shd w:val="clear" w:color="auto" w:fill="auto"/>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31,800 (1)</w:t>
            </w:r>
          </w:p>
        </w:tc>
        <w:tc>
          <w:tcPr>
            <w:tcW w:w="2933" w:type="dxa"/>
            <w:shd w:val="clear" w:color="auto" w:fill="auto"/>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10,600</w:t>
            </w:r>
          </w:p>
        </w:tc>
        <w:tc>
          <w:tcPr>
            <w:tcW w:w="2933" w:type="dxa"/>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3,975 (2)</w:t>
            </w:r>
          </w:p>
        </w:tc>
      </w:tr>
      <w:tr w:rsidR="00846F4D" w:rsidRPr="00846F4D" w:rsidTr="00774781">
        <w:trPr>
          <w:trHeight w:val="334"/>
        </w:trPr>
        <w:tc>
          <w:tcPr>
            <w:tcW w:w="1560" w:type="dxa"/>
            <w:shd w:val="clear" w:color="auto" w:fill="auto"/>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ITU-D</w:t>
            </w:r>
          </w:p>
        </w:tc>
        <w:tc>
          <w:tcPr>
            <w:tcW w:w="2501" w:type="dxa"/>
            <w:shd w:val="clear" w:color="auto" w:fill="auto"/>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7,950 (2)</w:t>
            </w:r>
          </w:p>
        </w:tc>
        <w:tc>
          <w:tcPr>
            <w:tcW w:w="2933" w:type="dxa"/>
            <w:shd w:val="clear" w:color="auto" w:fill="auto"/>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3,975 (2)</w:t>
            </w:r>
          </w:p>
        </w:tc>
        <w:tc>
          <w:tcPr>
            <w:tcW w:w="2933" w:type="dxa"/>
          </w:tcPr>
          <w:p w:rsidR="00846F4D" w:rsidRPr="00846F4D" w:rsidRDefault="00846F4D" w:rsidP="00846F4D">
            <w:pPr>
              <w:spacing w:before="60"/>
              <w:rPr>
                <w:rFonts w:eastAsia="SimSun" w:cstheme="minorHAnsi"/>
                <w:lang w:val="en-US" w:eastAsia="zh-CN"/>
              </w:rPr>
            </w:pPr>
            <w:r w:rsidRPr="00846F4D">
              <w:rPr>
                <w:rFonts w:eastAsia="SimSun" w:cstheme="minorHAnsi"/>
                <w:lang w:val="en-US" w:eastAsia="zh-CN"/>
              </w:rPr>
              <w:t>3,975 (2)</w:t>
            </w:r>
          </w:p>
        </w:tc>
      </w:tr>
    </w:tbl>
    <w:p w:rsidR="009E5280" w:rsidRDefault="00846F4D" w:rsidP="00C404BA">
      <w:pPr>
        <w:spacing w:before="240"/>
        <w:rPr>
          <w:rFonts w:eastAsia="SimSun" w:cstheme="minorHAnsi"/>
          <w:lang w:val="en-US" w:eastAsia="zh-CN"/>
        </w:rPr>
      </w:pPr>
      <w:r w:rsidRPr="00846F4D">
        <w:rPr>
          <w:rFonts w:eastAsia="SimSun" w:cstheme="minorHAnsi"/>
          <w:lang w:val="en-US" w:eastAsia="zh-CN"/>
        </w:rPr>
        <w:t>(1)</w:t>
      </w:r>
      <w:r w:rsidR="00551919">
        <w:rPr>
          <w:rFonts w:eastAsia="SimSun" w:cstheme="minorHAnsi"/>
          <w:lang w:val="en-US" w:eastAsia="zh-CN"/>
        </w:rPr>
        <w:t xml:space="preserve"> </w:t>
      </w:r>
      <w:r w:rsidRPr="00846F4D">
        <w:rPr>
          <w:rFonts w:eastAsia="SimSun" w:cstheme="minorHAnsi"/>
          <w:lang w:val="en-US" w:eastAsia="zh-CN"/>
        </w:rPr>
        <w:t>The m</w:t>
      </w:r>
      <w:r w:rsidR="007D332D">
        <w:rPr>
          <w:rFonts w:eastAsia="SimSun" w:cstheme="minorHAnsi"/>
          <w:lang w:val="en-US" w:eastAsia="zh-CN"/>
        </w:rPr>
        <w:t>inimum rate is noted above. Entities</w:t>
      </w:r>
      <w:r w:rsidR="007C2A2E">
        <w:rPr>
          <w:rFonts w:eastAsia="SimSun" w:cstheme="minorHAnsi"/>
          <w:lang w:val="en-US" w:eastAsia="zh-CN"/>
        </w:rPr>
        <w:t xml:space="preserve"> may choose to pay a full unit of </w:t>
      </w:r>
      <w:r w:rsidR="004D05A5">
        <w:rPr>
          <w:rFonts w:eastAsia="SimSun" w:cstheme="minorHAnsi"/>
          <w:lang w:val="en-US" w:eastAsia="zh-CN"/>
        </w:rPr>
        <w:t xml:space="preserve">CHF </w:t>
      </w:r>
      <w:r w:rsidRPr="00846F4D">
        <w:rPr>
          <w:rFonts w:eastAsia="SimSun" w:cstheme="minorHAnsi"/>
          <w:lang w:val="en-US" w:eastAsia="zh-CN"/>
        </w:rPr>
        <w:t>63,600</w:t>
      </w:r>
      <w:r w:rsidR="007C2A2E">
        <w:rPr>
          <w:rFonts w:eastAsia="SimSun" w:cstheme="minorHAnsi"/>
          <w:lang w:val="en-US" w:eastAsia="zh-CN"/>
        </w:rPr>
        <w:t xml:space="preserve"> </w:t>
      </w:r>
      <w:r w:rsidR="00A973A4">
        <w:rPr>
          <w:rFonts w:eastAsia="SimSun" w:cstheme="minorHAnsi"/>
          <w:lang w:val="en-US" w:eastAsia="zh-CN"/>
        </w:rPr>
        <w:t>or more</w:t>
      </w:r>
      <w:r w:rsidRPr="00846F4D">
        <w:rPr>
          <w:rFonts w:eastAsia="SimSun" w:cstheme="minorHAnsi"/>
          <w:lang w:val="en-US" w:eastAsia="zh-CN"/>
        </w:rPr>
        <w:t xml:space="preserve">, while those from some low-income countries can pay as little as 3,975. </w:t>
      </w:r>
    </w:p>
    <w:p w:rsidR="00846F4D" w:rsidRPr="00846F4D" w:rsidRDefault="00846F4D" w:rsidP="007D332D">
      <w:pPr>
        <w:rPr>
          <w:rFonts w:eastAsia="SimSun" w:cstheme="minorHAnsi"/>
          <w:b/>
          <w:bCs/>
          <w:sz w:val="16"/>
          <w:szCs w:val="16"/>
          <w:lang w:eastAsia="zh-CN"/>
        </w:rPr>
      </w:pPr>
      <w:r w:rsidRPr="00846F4D">
        <w:rPr>
          <w:rFonts w:eastAsia="SimSun" w:cstheme="minorHAnsi"/>
          <w:lang w:val="en-US" w:eastAsia="zh-CN"/>
        </w:rPr>
        <w:t>(2)</w:t>
      </w:r>
      <w:r w:rsidR="00551919">
        <w:rPr>
          <w:rFonts w:eastAsia="SimSun" w:cstheme="minorHAnsi"/>
          <w:lang w:val="en-US" w:eastAsia="zh-CN"/>
        </w:rPr>
        <w:t xml:space="preserve"> </w:t>
      </w:r>
      <w:r w:rsidRPr="00846F4D">
        <w:rPr>
          <w:rFonts w:eastAsia="SimSun" w:cstheme="minorHAnsi"/>
          <w:lang w:val="en-US" w:eastAsia="zh-CN"/>
        </w:rPr>
        <w:t>The standard r</w:t>
      </w:r>
      <w:r w:rsidR="007D332D">
        <w:rPr>
          <w:rFonts w:eastAsia="SimSun" w:cstheme="minorHAnsi"/>
          <w:lang w:val="en-US" w:eastAsia="zh-CN"/>
        </w:rPr>
        <w:t>ate is noted above. Entities</w:t>
      </w:r>
      <w:r w:rsidRPr="00846F4D">
        <w:rPr>
          <w:rFonts w:eastAsia="SimSun" w:cstheme="minorHAnsi"/>
          <w:lang w:val="en-US" w:eastAsia="zh-CN"/>
        </w:rPr>
        <w:t xml:space="preserve"> located in developing countries may pay 50</w:t>
      </w:r>
      <w:r w:rsidR="007D332D">
        <w:rPr>
          <w:rFonts w:eastAsia="SimSun" w:cstheme="minorHAnsi"/>
          <w:lang w:val="en-US" w:eastAsia="zh-CN"/>
        </w:rPr>
        <w:t xml:space="preserve"> per cent</w:t>
      </w:r>
      <w:r w:rsidRPr="00846F4D">
        <w:rPr>
          <w:rFonts w:eastAsia="SimSun" w:cstheme="minorHAnsi"/>
          <w:lang w:val="en-US" w:eastAsia="zh-CN"/>
        </w:rPr>
        <w:t xml:space="preserve"> of this amount (1,987.50).</w:t>
      </w:r>
    </w:p>
    <w:p w:rsidR="004F6B7C" w:rsidRPr="004653F7" w:rsidRDefault="003F740A" w:rsidP="007A0E5A">
      <w:pPr>
        <w:spacing w:before="360" w:after="120"/>
        <w:rPr>
          <w:b/>
          <w:bCs/>
          <w:szCs w:val="24"/>
        </w:rPr>
      </w:pPr>
      <w:r>
        <w:rPr>
          <w:b/>
          <w:bCs/>
          <w:szCs w:val="24"/>
        </w:rPr>
        <w:t>6</w:t>
      </w:r>
      <w:r w:rsidRPr="004653F7">
        <w:rPr>
          <w:b/>
          <w:bCs/>
          <w:szCs w:val="24"/>
        </w:rPr>
        <w:tab/>
      </w:r>
      <w:r w:rsidR="004F6B7C" w:rsidRPr="004653F7">
        <w:rPr>
          <w:b/>
          <w:bCs/>
          <w:szCs w:val="24"/>
        </w:rPr>
        <w:t>Exemptions</w:t>
      </w:r>
      <w:r w:rsidR="00F802AC" w:rsidRPr="004653F7">
        <w:rPr>
          <w:b/>
          <w:bCs/>
          <w:szCs w:val="24"/>
        </w:rPr>
        <w:t xml:space="preserve"> from Fees</w:t>
      </w:r>
    </w:p>
    <w:p w:rsidR="007A003F" w:rsidRDefault="009078AA" w:rsidP="007A0E5A">
      <w:pPr>
        <w:spacing w:after="120"/>
        <w:rPr>
          <w:szCs w:val="24"/>
        </w:rPr>
      </w:pPr>
      <w:r>
        <w:rPr>
          <w:szCs w:val="24"/>
        </w:rPr>
        <w:t>6.1</w:t>
      </w:r>
      <w:r>
        <w:rPr>
          <w:szCs w:val="24"/>
        </w:rPr>
        <w:tab/>
      </w:r>
      <w:r w:rsidR="00F43789">
        <w:rPr>
          <w:szCs w:val="24"/>
        </w:rPr>
        <w:t>As per CV 476, some entities</w:t>
      </w:r>
      <w:r w:rsidR="00A973A4">
        <w:rPr>
          <w:szCs w:val="24"/>
        </w:rPr>
        <w:t xml:space="preserve"> of an international character </w:t>
      </w:r>
      <w:r w:rsidR="00F43789">
        <w:rPr>
          <w:szCs w:val="24"/>
        </w:rPr>
        <w:t xml:space="preserve">may be granted exemption from paying membership fees by </w:t>
      </w:r>
      <w:r w:rsidR="007D332D">
        <w:rPr>
          <w:szCs w:val="24"/>
        </w:rPr>
        <w:t xml:space="preserve">the </w:t>
      </w:r>
      <w:r w:rsidR="00F43789">
        <w:rPr>
          <w:szCs w:val="24"/>
        </w:rPr>
        <w:t xml:space="preserve">Council, subject to reciprocity. </w:t>
      </w:r>
      <w:r w:rsidR="007A003F">
        <w:rPr>
          <w:szCs w:val="24"/>
        </w:rPr>
        <w:t xml:space="preserve">Guidelines </w:t>
      </w:r>
      <w:r w:rsidR="00F43789">
        <w:rPr>
          <w:szCs w:val="24"/>
        </w:rPr>
        <w:t xml:space="preserve">and procedures </w:t>
      </w:r>
      <w:r w:rsidR="007A003F">
        <w:rPr>
          <w:szCs w:val="24"/>
        </w:rPr>
        <w:t xml:space="preserve">for granting exemptions </w:t>
      </w:r>
      <w:r w:rsidR="00F43789">
        <w:rPr>
          <w:szCs w:val="24"/>
        </w:rPr>
        <w:t xml:space="preserve">were </w:t>
      </w:r>
      <w:r w:rsidR="007A003F">
        <w:rPr>
          <w:szCs w:val="24"/>
        </w:rPr>
        <w:t xml:space="preserve">established by Council 2000, </w:t>
      </w:r>
      <w:r w:rsidR="00F43789">
        <w:rPr>
          <w:szCs w:val="24"/>
        </w:rPr>
        <w:t>(</w:t>
      </w:r>
      <w:r w:rsidR="004D05A5">
        <w:rPr>
          <w:szCs w:val="24"/>
        </w:rPr>
        <w:t xml:space="preserve">C2000/28 </w:t>
      </w:r>
      <w:r w:rsidR="007D332D">
        <w:rPr>
          <w:szCs w:val="24"/>
        </w:rPr>
        <w:t>Rev</w:t>
      </w:r>
      <w:r w:rsidR="007A003F">
        <w:rPr>
          <w:szCs w:val="24"/>
        </w:rPr>
        <w:t>.1)</w:t>
      </w:r>
      <w:r w:rsidR="00F43789">
        <w:rPr>
          <w:szCs w:val="24"/>
        </w:rPr>
        <w:t xml:space="preserve">, which defined </w:t>
      </w:r>
      <w:r w:rsidR="00F43789" w:rsidRPr="008543CB">
        <w:rPr>
          <w:rFonts w:cstheme="minorHAnsi"/>
          <w:szCs w:val="24"/>
          <w:lang w:val="en-US"/>
        </w:rPr>
        <w:t xml:space="preserve">reciprocity </w:t>
      </w:r>
      <w:r w:rsidR="00F43789">
        <w:rPr>
          <w:rFonts w:cstheme="minorHAnsi"/>
          <w:szCs w:val="24"/>
          <w:lang w:val="en-US"/>
        </w:rPr>
        <w:t>to mean “</w:t>
      </w:r>
      <w:r w:rsidR="00F43789" w:rsidRPr="008543CB">
        <w:rPr>
          <w:rFonts w:cstheme="minorHAnsi"/>
          <w:szCs w:val="24"/>
          <w:lang w:val="en-US"/>
        </w:rPr>
        <w:t>the mutual benefits that could accrue to both ITU and the organization concerned as a result of the</w:t>
      </w:r>
      <w:r w:rsidR="00F43789">
        <w:rPr>
          <w:rFonts w:cstheme="minorHAnsi"/>
          <w:szCs w:val="24"/>
          <w:lang w:val="en-US"/>
        </w:rPr>
        <w:t xml:space="preserve"> </w:t>
      </w:r>
      <w:r w:rsidR="00F43789" w:rsidRPr="008543CB">
        <w:rPr>
          <w:rFonts w:cstheme="minorHAnsi"/>
          <w:szCs w:val="24"/>
          <w:lang w:val="en-US"/>
        </w:rPr>
        <w:t>latter participating in the relevant activities of ITU.</w:t>
      </w:r>
      <w:r w:rsidR="00F43789">
        <w:rPr>
          <w:rFonts w:cstheme="minorHAnsi"/>
          <w:szCs w:val="24"/>
          <w:lang w:val="en-US"/>
        </w:rPr>
        <w:t xml:space="preserve">” Council 2000 set out the following criteria for fee exemption: </w:t>
      </w:r>
    </w:p>
    <w:p w:rsidR="00BE3185" w:rsidRPr="00067DF0" w:rsidRDefault="00BE3185" w:rsidP="00067DF0">
      <w:pPr>
        <w:pStyle w:val="ListParagraph"/>
        <w:numPr>
          <w:ilvl w:val="0"/>
          <w:numId w:val="19"/>
        </w:numPr>
        <w:ind w:left="720"/>
        <w:rPr>
          <w:rFonts w:cstheme="minorHAnsi"/>
          <w:szCs w:val="24"/>
          <w:lang w:val="en-US"/>
        </w:rPr>
      </w:pPr>
      <w:r w:rsidRPr="00067DF0">
        <w:rPr>
          <w:rFonts w:cstheme="minorHAnsi"/>
          <w:szCs w:val="24"/>
          <w:lang w:val="en-US"/>
        </w:rPr>
        <w:t>be an organization of international character dealing with telecommunications;</w:t>
      </w:r>
    </w:p>
    <w:p w:rsidR="00BE3185" w:rsidRPr="00067DF0" w:rsidRDefault="00BE3185" w:rsidP="007A0E5A">
      <w:pPr>
        <w:pStyle w:val="ListParagraph"/>
        <w:numPr>
          <w:ilvl w:val="0"/>
          <w:numId w:val="19"/>
        </w:numPr>
        <w:snapToGrid w:val="0"/>
        <w:spacing w:before="60"/>
        <w:ind w:left="720"/>
        <w:contextualSpacing w:val="0"/>
        <w:rPr>
          <w:rFonts w:cstheme="minorHAnsi"/>
          <w:szCs w:val="24"/>
          <w:lang w:val="en-US"/>
        </w:rPr>
      </w:pPr>
      <w:r w:rsidRPr="00067DF0">
        <w:rPr>
          <w:rFonts w:cstheme="minorHAnsi"/>
          <w:szCs w:val="24"/>
          <w:lang w:val="en-US"/>
        </w:rPr>
        <w:t>be non-profit-making;</w:t>
      </w:r>
    </w:p>
    <w:p w:rsidR="00BE3185" w:rsidRPr="00F6047E" w:rsidRDefault="00BE3185" w:rsidP="007A0E5A">
      <w:pPr>
        <w:pStyle w:val="ListParagraph"/>
        <w:numPr>
          <w:ilvl w:val="0"/>
          <w:numId w:val="19"/>
        </w:numPr>
        <w:tabs>
          <w:tab w:val="clear" w:pos="567"/>
        </w:tabs>
        <w:snapToGrid w:val="0"/>
        <w:spacing w:before="60"/>
        <w:ind w:left="567" w:hanging="210"/>
        <w:contextualSpacing w:val="0"/>
        <w:rPr>
          <w:rFonts w:cstheme="minorHAnsi"/>
          <w:szCs w:val="24"/>
          <w:lang w:val="en-US"/>
        </w:rPr>
      </w:pPr>
      <w:r w:rsidRPr="00067DF0">
        <w:rPr>
          <w:rFonts w:cstheme="minorHAnsi"/>
          <w:szCs w:val="24"/>
          <w:lang w:val="en-US"/>
        </w:rPr>
        <w:t>have members whose participation in ITU activities would be beneficial to the aims of the</w:t>
      </w:r>
      <w:r w:rsidR="00F6047E">
        <w:rPr>
          <w:rFonts w:cstheme="minorHAnsi"/>
          <w:szCs w:val="24"/>
          <w:lang w:val="en-US"/>
        </w:rPr>
        <w:t xml:space="preserve"> </w:t>
      </w:r>
      <w:r w:rsidRPr="00F6047E">
        <w:rPr>
          <w:rFonts w:cstheme="minorHAnsi"/>
          <w:szCs w:val="24"/>
          <w:lang w:val="en-US"/>
        </w:rPr>
        <w:t>Union;</w:t>
      </w:r>
    </w:p>
    <w:p w:rsidR="00BE3185" w:rsidRPr="00067DF0" w:rsidRDefault="00BE3185" w:rsidP="007A0E5A">
      <w:pPr>
        <w:pStyle w:val="ListParagraph"/>
        <w:numPr>
          <w:ilvl w:val="0"/>
          <w:numId w:val="19"/>
        </w:numPr>
        <w:snapToGrid w:val="0"/>
        <w:spacing w:before="60"/>
        <w:ind w:left="714" w:hanging="357"/>
        <w:contextualSpacing w:val="0"/>
        <w:rPr>
          <w:rFonts w:cstheme="minorHAnsi"/>
          <w:szCs w:val="24"/>
          <w:lang w:val="en-US"/>
        </w:rPr>
      </w:pPr>
      <w:r w:rsidRPr="00067DF0">
        <w:rPr>
          <w:rFonts w:cstheme="minorHAnsi"/>
          <w:szCs w:val="24"/>
          <w:lang w:val="en-US"/>
        </w:rPr>
        <w:t>allow ITU to be represented at and participate in the organization's meetings free of charge;</w:t>
      </w:r>
    </w:p>
    <w:p w:rsidR="00BE3185" w:rsidRPr="00067DF0" w:rsidRDefault="00BE3185" w:rsidP="007A0E5A">
      <w:pPr>
        <w:pStyle w:val="ListParagraph"/>
        <w:numPr>
          <w:ilvl w:val="0"/>
          <w:numId w:val="19"/>
        </w:numPr>
        <w:snapToGrid w:val="0"/>
        <w:spacing w:before="60"/>
        <w:ind w:left="714" w:hanging="357"/>
        <w:contextualSpacing w:val="0"/>
        <w:rPr>
          <w:rFonts w:cstheme="minorHAnsi"/>
          <w:szCs w:val="24"/>
          <w:lang w:val="en-US"/>
        </w:rPr>
      </w:pPr>
      <w:proofErr w:type="gramStart"/>
      <w:r w:rsidRPr="00067DF0">
        <w:rPr>
          <w:rFonts w:cstheme="minorHAnsi"/>
          <w:szCs w:val="24"/>
          <w:lang w:val="en-US"/>
        </w:rPr>
        <w:t>allow</w:t>
      </w:r>
      <w:proofErr w:type="gramEnd"/>
      <w:r w:rsidRPr="00067DF0">
        <w:rPr>
          <w:rFonts w:cstheme="minorHAnsi"/>
          <w:szCs w:val="24"/>
          <w:lang w:val="en-US"/>
        </w:rPr>
        <w:t xml:space="preserve"> ITU access to relevant documentation.</w:t>
      </w:r>
    </w:p>
    <w:p w:rsidR="009204D7" w:rsidRPr="0003363E" w:rsidRDefault="009078AA" w:rsidP="007A0E5A">
      <w:pPr>
        <w:spacing w:before="360" w:after="120"/>
        <w:rPr>
          <w:rFonts w:eastAsia="SimSun"/>
          <w:b/>
          <w:bCs/>
          <w:szCs w:val="24"/>
          <w:lang w:val="en-US" w:eastAsia="zh-CN"/>
        </w:rPr>
      </w:pPr>
      <w:r>
        <w:rPr>
          <w:rFonts w:eastAsia="SimSun"/>
          <w:b/>
          <w:bCs/>
          <w:szCs w:val="24"/>
          <w:lang w:val="en-US" w:eastAsia="zh-CN"/>
        </w:rPr>
        <w:t>7</w:t>
      </w:r>
      <w:r>
        <w:rPr>
          <w:rFonts w:eastAsia="SimSun"/>
          <w:b/>
          <w:bCs/>
          <w:szCs w:val="24"/>
          <w:lang w:val="en-US" w:eastAsia="zh-CN"/>
        </w:rPr>
        <w:tab/>
      </w:r>
      <w:r w:rsidR="00E14FF4">
        <w:rPr>
          <w:rFonts w:eastAsia="SimSun"/>
          <w:b/>
          <w:bCs/>
          <w:szCs w:val="24"/>
          <w:lang w:val="en-US" w:eastAsia="zh-CN"/>
        </w:rPr>
        <w:t>Potential Revisions to Sector Membership</w:t>
      </w:r>
    </w:p>
    <w:p w:rsidR="005625DA" w:rsidRPr="005625DA" w:rsidRDefault="009078AA" w:rsidP="00F6047E">
      <w:pPr>
        <w:spacing w:after="240"/>
        <w:rPr>
          <w:rFonts w:eastAsia="SimSun"/>
          <w:szCs w:val="24"/>
          <w:lang w:val="en-US" w:eastAsia="zh-CN"/>
        </w:rPr>
      </w:pPr>
      <w:r>
        <w:rPr>
          <w:rFonts w:eastAsia="SimSun"/>
          <w:szCs w:val="24"/>
          <w:lang w:val="en-US" w:eastAsia="zh-CN"/>
        </w:rPr>
        <w:t>7.1</w:t>
      </w:r>
      <w:r>
        <w:rPr>
          <w:rFonts w:eastAsia="SimSun"/>
          <w:szCs w:val="24"/>
          <w:lang w:val="en-US" w:eastAsia="zh-CN"/>
        </w:rPr>
        <w:tab/>
      </w:r>
      <w:r w:rsidR="005625DA" w:rsidRPr="005625DA">
        <w:rPr>
          <w:rFonts w:eastAsia="SimSun"/>
          <w:szCs w:val="24"/>
          <w:lang w:val="en-US" w:eastAsia="zh-CN"/>
        </w:rPr>
        <w:t>Res</w:t>
      </w:r>
      <w:r w:rsidR="00C27C94">
        <w:rPr>
          <w:rFonts w:eastAsia="SimSun"/>
          <w:szCs w:val="24"/>
          <w:lang w:val="en-US" w:eastAsia="zh-CN"/>
        </w:rPr>
        <w:t>olution 158 (Rev. Guadalajara,</w:t>
      </w:r>
      <w:r w:rsidR="005625DA" w:rsidRPr="005625DA">
        <w:rPr>
          <w:rFonts w:eastAsia="SimSun"/>
          <w:szCs w:val="24"/>
          <w:lang w:val="en-US" w:eastAsia="zh-CN"/>
        </w:rPr>
        <w:t xml:space="preserve"> </w:t>
      </w:r>
      <w:r w:rsidR="00C27C94">
        <w:rPr>
          <w:rFonts w:eastAsia="SimSun"/>
          <w:szCs w:val="24"/>
          <w:lang w:val="en-US" w:eastAsia="zh-CN"/>
        </w:rPr>
        <w:t>2010</w:t>
      </w:r>
      <w:r w:rsidR="005625DA" w:rsidRPr="005625DA">
        <w:rPr>
          <w:rFonts w:eastAsia="SimSun"/>
          <w:szCs w:val="24"/>
          <w:lang w:val="en-US" w:eastAsia="zh-CN"/>
        </w:rPr>
        <w:t xml:space="preserve">) asked </w:t>
      </w:r>
      <w:r w:rsidR="00F6047E">
        <w:rPr>
          <w:rFonts w:eastAsia="SimSun"/>
          <w:szCs w:val="24"/>
          <w:lang w:val="en-US" w:eastAsia="zh-CN"/>
        </w:rPr>
        <w:t xml:space="preserve">the </w:t>
      </w:r>
      <w:r w:rsidR="005625DA" w:rsidRPr="005625DA">
        <w:rPr>
          <w:rFonts w:eastAsia="SimSun"/>
          <w:szCs w:val="24"/>
          <w:lang w:val="en-US" w:eastAsia="zh-CN"/>
        </w:rPr>
        <w:t xml:space="preserve">Council to review the present approach to Sector Membership, including the possibility of changes in areas such as the fee structure and membership categories, including the feasibility of combining </w:t>
      </w:r>
      <w:r w:rsidR="00A973A4">
        <w:rPr>
          <w:rFonts w:eastAsia="SimSun"/>
          <w:szCs w:val="24"/>
          <w:lang w:val="en-US" w:eastAsia="zh-CN"/>
        </w:rPr>
        <w:t>S</w:t>
      </w:r>
      <w:r w:rsidR="005625DA" w:rsidRPr="005625DA">
        <w:rPr>
          <w:rFonts w:eastAsia="SimSun"/>
          <w:szCs w:val="24"/>
          <w:lang w:val="en-US" w:eastAsia="zh-CN"/>
        </w:rPr>
        <w:t>ector participation (i.e. a single ITU</w:t>
      </w:r>
      <w:r w:rsidR="00F6047E">
        <w:rPr>
          <w:rFonts w:eastAsia="SimSun"/>
          <w:szCs w:val="24"/>
          <w:lang w:val="en-US" w:eastAsia="zh-CN"/>
        </w:rPr>
        <w:t> </w:t>
      </w:r>
      <w:r w:rsidR="005625DA" w:rsidRPr="005625DA">
        <w:rPr>
          <w:rFonts w:eastAsia="SimSun"/>
          <w:szCs w:val="24"/>
          <w:lang w:val="en-US" w:eastAsia="zh-CN"/>
        </w:rPr>
        <w:t xml:space="preserve">membership across all three </w:t>
      </w:r>
      <w:r w:rsidR="00A973A4">
        <w:rPr>
          <w:rFonts w:eastAsia="SimSun"/>
          <w:szCs w:val="24"/>
          <w:lang w:val="en-US" w:eastAsia="zh-CN"/>
        </w:rPr>
        <w:t>S</w:t>
      </w:r>
      <w:r w:rsidR="005625DA" w:rsidRPr="005625DA">
        <w:rPr>
          <w:rFonts w:eastAsia="SimSun"/>
          <w:szCs w:val="24"/>
          <w:lang w:val="en-US" w:eastAsia="zh-CN"/>
        </w:rPr>
        <w:t xml:space="preserve">ectors). PP-10 also established a new category of participation in ITU for Academia and research institutions; revised fee payment provisions and approved new reduced membership fees for organizations from countries with very low incomes to participate in ITU-R and ITU-T activities. For each of these areas, PP-10 asked that </w:t>
      </w:r>
      <w:r w:rsidR="00F6047E">
        <w:rPr>
          <w:rFonts w:eastAsia="SimSun"/>
          <w:szCs w:val="24"/>
          <w:lang w:val="en-US" w:eastAsia="zh-CN"/>
        </w:rPr>
        <w:t xml:space="preserve">the </w:t>
      </w:r>
      <w:r w:rsidR="005625DA" w:rsidRPr="005625DA">
        <w:rPr>
          <w:rFonts w:eastAsia="SimSun"/>
          <w:szCs w:val="24"/>
          <w:lang w:val="en-US" w:eastAsia="zh-CN"/>
        </w:rPr>
        <w:t>Council review progress of implementation, and recommend modifications where required.</w:t>
      </w:r>
    </w:p>
    <w:p w:rsidR="005625DA" w:rsidRPr="005625DA" w:rsidRDefault="009078AA" w:rsidP="00024F68">
      <w:pPr>
        <w:spacing w:after="240"/>
        <w:rPr>
          <w:rFonts w:eastAsia="SimSun"/>
          <w:szCs w:val="24"/>
          <w:lang w:val="en-US" w:eastAsia="zh-CN"/>
        </w:rPr>
      </w:pPr>
      <w:r>
        <w:rPr>
          <w:rFonts w:eastAsia="SimSun"/>
          <w:szCs w:val="24"/>
          <w:lang w:val="en-US" w:eastAsia="zh-CN"/>
        </w:rPr>
        <w:t>7.2</w:t>
      </w:r>
      <w:r>
        <w:rPr>
          <w:rFonts w:eastAsia="SimSun"/>
          <w:szCs w:val="24"/>
          <w:lang w:val="en-US" w:eastAsia="zh-CN"/>
        </w:rPr>
        <w:tab/>
      </w:r>
      <w:r w:rsidR="005625DA" w:rsidRPr="005625DA">
        <w:rPr>
          <w:rFonts w:eastAsia="SimSun"/>
          <w:szCs w:val="24"/>
          <w:lang w:val="en-US" w:eastAsia="zh-CN"/>
        </w:rPr>
        <w:t xml:space="preserve">Council 2011 referred the follow-up to PP-10 on these matters to the Council Working Group on Financial and Human Resources </w:t>
      </w:r>
      <w:r w:rsidR="00024F68">
        <w:rPr>
          <w:rFonts w:eastAsia="SimSun"/>
          <w:szCs w:val="24"/>
          <w:lang w:val="en-US" w:eastAsia="zh-CN"/>
        </w:rPr>
        <w:t>(</w:t>
      </w:r>
      <w:r w:rsidR="00024F68" w:rsidRPr="005625DA">
        <w:rPr>
          <w:rFonts w:eastAsia="SimSun"/>
          <w:szCs w:val="24"/>
          <w:lang w:val="en-US" w:eastAsia="zh-CN"/>
        </w:rPr>
        <w:t>CWG-FHR</w:t>
      </w:r>
      <w:r w:rsidR="00024F68">
        <w:rPr>
          <w:rFonts w:eastAsia="SimSun"/>
          <w:szCs w:val="24"/>
          <w:lang w:val="en-US" w:eastAsia="zh-CN"/>
        </w:rPr>
        <w:t>)</w:t>
      </w:r>
      <w:r w:rsidR="00024F68" w:rsidRPr="005625DA">
        <w:rPr>
          <w:rFonts w:eastAsia="SimSun"/>
          <w:szCs w:val="24"/>
          <w:lang w:val="en-US" w:eastAsia="zh-CN"/>
        </w:rPr>
        <w:t xml:space="preserve"> </w:t>
      </w:r>
      <w:r w:rsidR="005625DA" w:rsidRPr="005625DA">
        <w:rPr>
          <w:rFonts w:eastAsia="SimSun"/>
          <w:szCs w:val="24"/>
          <w:lang w:val="en-US" w:eastAsia="zh-CN"/>
        </w:rPr>
        <w:t>to prepare recommendation</w:t>
      </w:r>
      <w:r w:rsidR="00024F68">
        <w:rPr>
          <w:rFonts w:eastAsia="SimSun"/>
          <w:szCs w:val="24"/>
          <w:lang w:val="en-US" w:eastAsia="zh-CN"/>
        </w:rPr>
        <w:t xml:space="preserve">s. </w:t>
      </w:r>
      <w:r w:rsidR="005625DA" w:rsidRPr="005625DA">
        <w:rPr>
          <w:rFonts w:eastAsia="SimSun"/>
          <w:szCs w:val="24"/>
          <w:lang w:val="en-US" w:eastAsia="zh-CN"/>
        </w:rPr>
        <w:t>CWG-FHR reviewed these topics during its 2012</w:t>
      </w:r>
      <w:r w:rsidR="00895D8F">
        <w:rPr>
          <w:rFonts w:eastAsia="SimSun"/>
          <w:szCs w:val="24"/>
          <w:lang w:val="en-US" w:eastAsia="zh-CN"/>
        </w:rPr>
        <w:t>, 2013</w:t>
      </w:r>
      <w:r w:rsidR="00F6047E">
        <w:rPr>
          <w:rFonts w:eastAsia="SimSun"/>
          <w:szCs w:val="24"/>
          <w:lang w:val="en-US" w:eastAsia="zh-CN"/>
        </w:rPr>
        <w:t>,</w:t>
      </w:r>
      <w:r w:rsidR="00895D8F">
        <w:rPr>
          <w:rFonts w:eastAsia="SimSun"/>
          <w:szCs w:val="24"/>
          <w:lang w:val="en-US" w:eastAsia="zh-CN"/>
        </w:rPr>
        <w:t xml:space="preserve"> and 2014</w:t>
      </w:r>
      <w:r w:rsidR="005625DA" w:rsidRPr="005625DA">
        <w:rPr>
          <w:rFonts w:eastAsia="SimSun"/>
          <w:szCs w:val="24"/>
          <w:lang w:val="en-US" w:eastAsia="zh-CN"/>
        </w:rPr>
        <w:t xml:space="preserve"> meeting</w:t>
      </w:r>
      <w:r w:rsidR="00895D8F">
        <w:rPr>
          <w:rFonts w:eastAsia="SimSun"/>
          <w:szCs w:val="24"/>
          <w:lang w:val="en-US" w:eastAsia="zh-CN"/>
        </w:rPr>
        <w:t>s</w:t>
      </w:r>
      <w:r w:rsidR="00F6047E">
        <w:rPr>
          <w:rFonts w:eastAsia="SimSun"/>
          <w:szCs w:val="24"/>
          <w:lang w:val="en-US" w:eastAsia="zh-CN"/>
        </w:rPr>
        <w:t>.</w:t>
      </w:r>
    </w:p>
    <w:p w:rsidR="00CD5F99" w:rsidRDefault="009078AA" w:rsidP="00C404BA">
      <w:pPr>
        <w:keepNext/>
        <w:keepLines/>
        <w:tabs>
          <w:tab w:val="left" w:pos="709"/>
        </w:tabs>
        <w:snapToGrid w:val="0"/>
        <w:rPr>
          <w:szCs w:val="24"/>
        </w:rPr>
      </w:pPr>
      <w:r>
        <w:rPr>
          <w:szCs w:val="24"/>
        </w:rPr>
        <w:lastRenderedPageBreak/>
        <w:t>7.3</w:t>
      </w:r>
      <w:r>
        <w:rPr>
          <w:szCs w:val="24"/>
        </w:rPr>
        <w:tab/>
      </w:r>
      <w:r w:rsidR="007B7F62" w:rsidRPr="00A25182">
        <w:rPr>
          <w:szCs w:val="24"/>
        </w:rPr>
        <w:t xml:space="preserve">While </w:t>
      </w:r>
      <w:r w:rsidR="009204D7">
        <w:rPr>
          <w:szCs w:val="24"/>
        </w:rPr>
        <w:t xml:space="preserve">CWG-FHR agreed to </w:t>
      </w:r>
      <w:r w:rsidR="007B7F62" w:rsidRPr="00A25182">
        <w:rPr>
          <w:szCs w:val="24"/>
        </w:rPr>
        <w:t>maint</w:t>
      </w:r>
      <w:r w:rsidR="009204D7">
        <w:rPr>
          <w:szCs w:val="24"/>
        </w:rPr>
        <w:t xml:space="preserve">ain </w:t>
      </w:r>
      <w:r w:rsidR="007B7F62" w:rsidRPr="00A25182">
        <w:rPr>
          <w:szCs w:val="24"/>
        </w:rPr>
        <w:t xml:space="preserve">the existing three Sector model of membership, </w:t>
      </w:r>
      <w:r w:rsidR="009204D7">
        <w:rPr>
          <w:szCs w:val="24"/>
        </w:rPr>
        <w:t xml:space="preserve">it proposed a series of measures to </w:t>
      </w:r>
      <w:r w:rsidR="007B7F62" w:rsidRPr="00A25182">
        <w:rPr>
          <w:szCs w:val="24"/>
        </w:rPr>
        <w:t>modernize, simplify and increase fairness of the current system</w:t>
      </w:r>
      <w:r w:rsidR="009204D7">
        <w:rPr>
          <w:szCs w:val="24"/>
        </w:rPr>
        <w:t xml:space="preserve">, which formed the basis of the draft </w:t>
      </w:r>
      <w:r w:rsidR="00E14FF4">
        <w:rPr>
          <w:szCs w:val="24"/>
        </w:rPr>
        <w:t xml:space="preserve">PP-14 </w:t>
      </w:r>
      <w:r w:rsidR="009204D7">
        <w:rPr>
          <w:szCs w:val="24"/>
        </w:rPr>
        <w:t xml:space="preserve">resolution approved by Council 2014, </w:t>
      </w:r>
      <w:r w:rsidR="00943EA7">
        <w:rPr>
          <w:szCs w:val="24"/>
        </w:rPr>
        <w:t>available</w:t>
      </w:r>
      <w:r w:rsidR="00555B4A">
        <w:rPr>
          <w:szCs w:val="24"/>
        </w:rPr>
        <w:t xml:space="preserve"> </w:t>
      </w:r>
      <w:r w:rsidR="00115D6B">
        <w:rPr>
          <w:rStyle w:val="Hyperlink"/>
          <w:szCs w:val="24"/>
        </w:rPr>
        <w:t xml:space="preserve">in </w:t>
      </w:r>
      <w:hyperlink r:id="rId24" w:history="1">
        <w:r w:rsidR="00115D6B" w:rsidRPr="00115D6B">
          <w:rPr>
            <w:rStyle w:val="Hyperlink"/>
            <w:szCs w:val="24"/>
          </w:rPr>
          <w:t>Document 53</w:t>
        </w:r>
      </w:hyperlink>
      <w:r w:rsidR="009204D7" w:rsidRPr="009E5280">
        <w:rPr>
          <w:szCs w:val="24"/>
        </w:rPr>
        <w:t>.</w:t>
      </w:r>
      <w:r w:rsidR="00755F96" w:rsidRPr="00F802AC">
        <w:rPr>
          <w:szCs w:val="24"/>
        </w:rPr>
        <w:t xml:space="preserve"> </w:t>
      </w:r>
      <w:r w:rsidR="00CD5F99" w:rsidRPr="00F802AC">
        <w:rPr>
          <w:szCs w:val="24"/>
        </w:rPr>
        <w:t>A</w:t>
      </w:r>
      <w:r w:rsidR="00551919">
        <w:rPr>
          <w:szCs w:val="24"/>
        </w:rPr>
        <w:t> </w:t>
      </w:r>
      <w:r w:rsidR="009E5280">
        <w:rPr>
          <w:szCs w:val="24"/>
        </w:rPr>
        <w:t xml:space="preserve">summary </w:t>
      </w:r>
      <w:r w:rsidR="00CD5F99" w:rsidRPr="00F802AC">
        <w:rPr>
          <w:szCs w:val="24"/>
        </w:rPr>
        <w:t xml:space="preserve">version of this draft resolution with notes and rationale for each of the clauses is available in </w:t>
      </w:r>
      <w:r w:rsidR="00CD5F99" w:rsidRPr="006258C3">
        <w:rPr>
          <w:b/>
          <w:bCs/>
          <w:szCs w:val="24"/>
        </w:rPr>
        <w:t xml:space="preserve">Annex </w:t>
      </w:r>
      <w:r w:rsidR="00943EA7">
        <w:rPr>
          <w:b/>
          <w:bCs/>
          <w:szCs w:val="24"/>
        </w:rPr>
        <w:t>3</w:t>
      </w:r>
      <w:r w:rsidR="00CD5F99" w:rsidRPr="006258C3">
        <w:rPr>
          <w:b/>
          <w:bCs/>
          <w:szCs w:val="24"/>
        </w:rPr>
        <w:t>.</w:t>
      </w:r>
      <w:r w:rsidR="00755F96">
        <w:rPr>
          <w:szCs w:val="24"/>
        </w:rPr>
        <w:t xml:space="preserve"> </w:t>
      </w:r>
    </w:p>
    <w:p w:rsidR="00CD5F99" w:rsidRDefault="009078AA" w:rsidP="00024F68">
      <w:pPr>
        <w:snapToGrid w:val="0"/>
        <w:rPr>
          <w:szCs w:val="24"/>
        </w:rPr>
      </w:pPr>
      <w:r>
        <w:rPr>
          <w:szCs w:val="24"/>
        </w:rPr>
        <w:t>7.</w:t>
      </w:r>
      <w:r w:rsidR="00551919">
        <w:rPr>
          <w:szCs w:val="24"/>
        </w:rPr>
        <w:t>4</w:t>
      </w:r>
      <w:r>
        <w:rPr>
          <w:szCs w:val="24"/>
        </w:rPr>
        <w:tab/>
      </w:r>
      <w:r w:rsidR="00E14FF4">
        <w:rPr>
          <w:szCs w:val="24"/>
        </w:rPr>
        <w:t xml:space="preserve">In addition, the Working Group recommended that potential revisions be considered for the </w:t>
      </w:r>
      <w:r w:rsidR="009204D7" w:rsidRPr="00A25182">
        <w:rPr>
          <w:szCs w:val="24"/>
        </w:rPr>
        <w:t>following Resolutions:</w:t>
      </w:r>
      <w:r w:rsidR="00863B85">
        <w:rPr>
          <w:szCs w:val="24"/>
        </w:rPr>
        <w:t xml:space="preserve"> 152</w:t>
      </w:r>
      <w:r w:rsidR="00024F68">
        <w:rPr>
          <w:szCs w:val="24"/>
        </w:rPr>
        <w:t>,</w:t>
      </w:r>
      <w:r w:rsidR="00863B85">
        <w:rPr>
          <w:szCs w:val="24"/>
        </w:rPr>
        <w:t xml:space="preserve"> 158</w:t>
      </w:r>
      <w:r w:rsidR="00024F68">
        <w:rPr>
          <w:szCs w:val="24"/>
        </w:rPr>
        <w:t>,</w:t>
      </w:r>
      <w:r w:rsidR="00863B85">
        <w:rPr>
          <w:szCs w:val="24"/>
        </w:rPr>
        <w:t xml:space="preserve"> 169</w:t>
      </w:r>
      <w:r w:rsidR="00753DC5">
        <w:rPr>
          <w:szCs w:val="24"/>
        </w:rPr>
        <w:t>,</w:t>
      </w:r>
      <w:r w:rsidR="00863B85">
        <w:rPr>
          <w:szCs w:val="24"/>
        </w:rPr>
        <w:t xml:space="preserve"> and 170. A </w:t>
      </w:r>
      <w:r w:rsidR="00CD5F99">
        <w:rPr>
          <w:szCs w:val="24"/>
        </w:rPr>
        <w:t xml:space="preserve">rationale for each is provided in </w:t>
      </w:r>
      <w:r w:rsidR="00CD5F99" w:rsidRPr="006258C3">
        <w:rPr>
          <w:b/>
          <w:bCs/>
          <w:szCs w:val="24"/>
        </w:rPr>
        <w:t xml:space="preserve">Annex </w:t>
      </w:r>
      <w:r w:rsidR="00943EA7">
        <w:rPr>
          <w:b/>
          <w:bCs/>
          <w:szCs w:val="24"/>
        </w:rPr>
        <w:t>4</w:t>
      </w:r>
      <w:r w:rsidR="00CD5F99" w:rsidRPr="006258C3">
        <w:rPr>
          <w:b/>
          <w:bCs/>
          <w:szCs w:val="24"/>
        </w:rPr>
        <w:t>.</w:t>
      </w:r>
      <w:r w:rsidR="00740C90">
        <w:rPr>
          <w:b/>
          <w:bCs/>
          <w:szCs w:val="24"/>
        </w:rPr>
        <w:t xml:space="preserve"> </w:t>
      </w:r>
      <w:r w:rsidR="00E700AC" w:rsidRPr="008C5E1F">
        <w:rPr>
          <w:szCs w:val="24"/>
        </w:rPr>
        <w:t xml:space="preserve">The full text of these resolutions with potential modifications </w:t>
      </w:r>
      <w:r w:rsidR="00DA4E62">
        <w:rPr>
          <w:szCs w:val="24"/>
        </w:rPr>
        <w:t xml:space="preserve">is </w:t>
      </w:r>
      <w:r w:rsidR="00E700AC" w:rsidRPr="00115D6B">
        <w:rPr>
          <w:szCs w:val="24"/>
        </w:rPr>
        <w:t xml:space="preserve">available </w:t>
      </w:r>
      <w:r w:rsidR="00115D6B">
        <w:rPr>
          <w:szCs w:val="24"/>
        </w:rPr>
        <w:t xml:space="preserve">in </w:t>
      </w:r>
      <w:hyperlink r:id="rId25" w:history="1">
        <w:r w:rsidR="00115D6B" w:rsidRPr="00115D6B">
          <w:rPr>
            <w:rStyle w:val="Hyperlink"/>
            <w:szCs w:val="24"/>
          </w:rPr>
          <w:t>Document C14/108</w:t>
        </w:r>
      </w:hyperlink>
      <w:r w:rsidR="00E700AC" w:rsidRPr="00115D6B">
        <w:rPr>
          <w:szCs w:val="24"/>
        </w:rPr>
        <w:t>.</w:t>
      </w:r>
      <w:r w:rsidR="00943EA7" w:rsidRPr="00115D6B">
        <w:rPr>
          <w:szCs w:val="24"/>
        </w:rPr>
        <w:t xml:space="preserve"> </w:t>
      </w:r>
    </w:p>
    <w:p w:rsidR="009078AA" w:rsidRDefault="009078AA">
      <w:pPr>
        <w:rPr>
          <w:szCs w:val="24"/>
        </w:rPr>
      </w:pPr>
      <w:r>
        <w:rPr>
          <w:szCs w:val="24"/>
        </w:rPr>
        <w:br w:type="page"/>
      </w:r>
    </w:p>
    <w:p w:rsidR="00CD5F99" w:rsidRDefault="00740C90" w:rsidP="009078AA">
      <w:pPr>
        <w:pStyle w:val="AnnexNo"/>
      </w:pPr>
      <w:r>
        <w:lastRenderedPageBreak/>
        <w:t>Annex 1</w:t>
      </w:r>
    </w:p>
    <w:p w:rsidR="00740C90" w:rsidRPr="006258C3" w:rsidRDefault="00740C90" w:rsidP="00723653">
      <w:pPr>
        <w:pStyle w:val="Annextitle"/>
        <w:spacing w:after="120"/>
      </w:pPr>
      <w:r w:rsidRPr="006258C3">
        <w:t>Participation Rights</w:t>
      </w:r>
      <w:r>
        <w:t xml:space="preserve"> by Category</w:t>
      </w:r>
    </w:p>
    <w:tbl>
      <w:tblPr>
        <w:tblStyle w:val="TableGrid"/>
        <w:tblW w:w="10773" w:type="dxa"/>
        <w:tblInd w:w="-459" w:type="dxa"/>
        <w:tblLayout w:type="fixed"/>
        <w:tblLook w:val="04A0" w:firstRow="1" w:lastRow="0" w:firstColumn="1" w:lastColumn="0" w:noHBand="0" w:noVBand="1"/>
      </w:tblPr>
      <w:tblGrid>
        <w:gridCol w:w="1701"/>
        <w:gridCol w:w="4169"/>
        <w:gridCol w:w="2068"/>
        <w:gridCol w:w="2835"/>
      </w:tblGrid>
      <w:tr w:rsidR="00740C90" w:rsidRPr="00863B85" w:rsidTr="00C404BA">
        <w:tc>
          <w:tcPr>
            <w:tcW w:w="1701" w:type="dxa"/>
            <w:shd w:val="pct12" w:color="auto" w:fill="auto"/>
          </w:tcPr>
          <w:p w:rsidR="00740C90" w:rsidRPr="00863B85" w:rsidRDefault="00740C90" w:rsidP="00C27C94">
            <w:pPr>
              <w:rPr>
                <w:b/>
                <w:bCs/>
                <w:sz w:val="22"/>
                <w:szCs w:val="22"/>
                <w:u w:val="single"/>
              </w:rPr>
            </w:pPr>
            <w:r w:rsidRPr="00863B85">
              <w:rPr>
                <w:rFonts w:cstheme="minorHAnsi"/>
                <w:b/>
                <w:color w:val="231F20"/>
                <w:sz w:val="22"/>
                <w:szCs w:val="22"/>
                <w:lang w:val="en-US"/>
              </w:rPr>
              <w:t xml:space="preserve">Rights/Category </w:t>
            </w:r>
          </w:p>
        </w:tc>
        <w:tc>
          <w:tcPr>
            <w:tcW w:w="4169" w:type="dxa"/>
            <w:shd w:val="pct12" w:color="auto" w:fill="auto"/>
          </w:tcPr>
          <w:p w:rsidR="00740C90" w:rsidRPr="00863B85" w:rsidRDefault="00740C90" w:rsidP="00C27C94">
            <w:pPr>
              <w:rPr>
                <w:b/>
                <w:bCs/>
                <w:sz w:val="22"/>
                <w:szCs w:val="22"/>
                <w:u w:val="single"/>
              </w:rPr>
            </w:pPr>
            <w:r w:rsidRPr="00863B85">
              <w:rPr>
                <w:b/>
                <w:bCs/>
                <w:sz w:val="22"/>
                <w:szCs w:val="22"/>
              </w:rPr>
              <w:t>Sector Member</w:t>
            </w:r>
          </w:p>
        </w:tc>
        <w:tc>
          <w:tcPr>
            <w:tcW w:w="2068" w:type="dxa"/>
            <w:shd w:val="pct12" w:color="auto" w:fill="auto"/>
          </w:tcPr>
          <w:p w:rsidR="00740C90" w:rsidRPr="00863B85" w:rsidRDefault="00740C90" w:rsidP="00C27C94">
            <w:pPr>
              <w:rPr>
                <w:b/>
                <w:bCs/>
                <w:sz w:val="22"/>
                <w:szCs w:val="22"/>
                <w:u w:val="single"/>
              </w:rPr>
            </w:pPr>
            <w:r w:rsidRPr="00863B85">
              <w:rPr>
                <w:b/>
                <w:bCs/>
                <w:sz w:val="22"/>
                <w:szCs w:val="22"/>
              </w:rPr>
              <w:t>Associate</w:t>
            </w:r>
          </w:p>
        </w:tc>
        <w:tc>
          <w:tcPr>
            <w:tcW w:w="2835" w:type="dxa"/>
            <w:shd w:val="pct12" w:color="auto" w:fill="auto"/>
          </w:tcPr>
          <w:p w:rsidR="00740C90" w:rsidRPr="00863B85" w:rsidRDefault="00740C90" w:rsidP="00C27C94">
            <w:pPr>
              <w:rPr>
                <w:b/>
                <w:bCs/>
                <w:sz w:val="22"/>
                <w:szCs w:val="22"/>
                <w:u w:val="single"/>
              </w:rPr>
            </w:pPr>
            <w:r w:rsidRPr="00863B85">
              <w:rPr>
                <w:b/>
                <w:bCs/>
                <w:sz w:val="22"/>
                <w:szCs w:val="22"/>
              </w:rPr>
              <w:t>Academia</w:t>
            </w:r>
          </w:p>
        </w:tc>
      </w:tr>
      <w:tr w:rsidR="00740C90" w:rsidRPr="00863B85" w:rsidTr="00C404BA">
        <w:tc>
          <w:tcPr>
            <w:tcW w:w="1701" w:type="dxa"/>
          </w:tcPr>
          <w:p w:rsidR="00740C90" w:rsidRPr="00863B85" w:rsidRDefault="00740C90" w:rsidP="00C27C94">
            <w:pPr>
              <w:rPr>
                <w:sz w:val="22"/>
                <w:szCs w:val="22"/>
              </w:rPr>
            </w:pPr>
            <w:r w:rsidRPr="00863B85">
              <w:rPr>
                <w:sz w:val="22"/>
                <w:szCs w:val="22"/>
              </w:rPr>
              <w:t>Study Groups</w:t>
            </w:r>
          </w:p>
        </w:tc>
        <w:tc>
          <w:tcPr>
            <w:tcW w:w="4169" w:type="dxa"/>
          </w:tcPr>
          <w:p w:rsidR="00740C90" w:rsidRPr="00863B85" w:rsidRDefault="00740C90" w:rsidP="00C27C94">
            <w:pPr>
              <w:rPr>
                <w:sz w:val="22"/>
                <w:szCs w:val="22"/>
              </w:rPr>
            </w:pPr>
            <w:r w:rsidRPr="00863B85">
              <w:rPr>
                <w:sz w:val="22"/>
                <w:szCs w:val="22"/>
              </w:rPr>
              <w:t>All Study groups of relevant Sector. Can make written and oral contributions.  Participate in drafting/editorial work. May provide chairmen and vice-chairmen.</w:t>
            </w:r>
          </w:p>
        </w:tc>
        <w:tc>
          <w:tcPr>
            <w:tcW w:w="2068" w:type="dxa"/>
          </w:tcPr>
          <w:p w:rsidR="00740C90" w:rsidRPr="00863B85" w:rsidRDefault="00740C90" w:rsidP="00A973A4">
            <w:pPr>
              <w:rPr>
                <w:sz w:val="22"/>
                <w:szCs w:val="22"/>
              </w:rPr>
            </w:pPr>
            <w:r w:rsidRPr="00863B85">
              <w:rPr>
                <w:sz w:val="22"/>
                <w:szCs w:val="22"/>
              </w:rPr>
              <w:t xml:space="preserve">Single study group of relevant </w:t>
            </w:r>
            <w:r w:rsidR="00A973A4" w:rsidRPr="00863B85">
              <w:rPr>
                <w:sz w:val="22"/>
                <w:szCs w:val="22"/>
              </w:rPr>
              <w:t>S</w:t>
            </w:r>
            <w:r w:rsidR="00863B85" w:rsidRPr="00863B85">
              <w:rPr>
                <w:sz w:val="22"/>
                <w:szCs w:val="22"/>
              </w:rPr>
              <w:t xml:space="preserve">ector. Can make written/ </w:t>
            </w:r>
            <w:r w:rsidRPr="00863B85">
              <w:rPr>
                <w:sz w:val="22"/>
                <w:szCs w:val="22"/>
              </w:rPr>
              <w:t xml:space="preserve">oral contributions. </w:t>
            </w:r>
            <w:r w:rsidR="00A973A4" w:rsidRPr="00863B85">
              <w:rPr>
                <w:sz w:val="22"/>
                <w:szCs w:val="22"/>
              </w:rPr>
              <w:t xml:space="preserve">Cannot take part in decision-making or liaison activities. </w:t>
            </w:r>
            <w:r w:rsidRPr="00863B85">
              <w:rPr>
                <w:sz w:val="22"/>
                <w:szCs w:val="22"/>
              </w:rPr>
              <w:t>Can serve as a Rapporteur in ITU-R and ITU-T, and Vice Rapporteur in ITU-D Study Groups.</w:t>
            </w:r>
          </w:p>
        </w:tc>
        <w:tc>
          <w:tcPr>
            <w:tcW w:w="2835" w:type="dxa"/>
          </w:tcPr>
          <w:p w:rsidR="00740C90" w:rsidRPr="00863B85" w:rsidRDefault="00740C90" w:rsidP="00C27C94">
            <w:pPr>
              <w:rPr>
                <w:sz w:val="22"/>
                <w:szCs w:val="22"/>
              </w:rPr>
            </w:pPr>
            <w:r w:rsidRPr="00863B85">
              <w:rPr>
                <w:sz w:val="22"/>
                <w:szCs w:val="22"/>
              </w:rPr>
              <w:t>All Study Groups and related working parties of relevant Sector. Can make written and oral contributions.</w:t>
            </w:r>
            <w:r w:rsidRPr="00863B85">
              <w:rPr>
                <w:bCs/>
                <w:sz w:val="22"/>
                <w:szCs w:val="22"/>
              </w:rPr>
              <w:t xml:space="preserve"> Do not have a role in decision-making, including adoption of resolutions or recommendations. Can serve as Rapporteur in ITU-T and ITU-R.</w:t>
            </w:r>
          </w:p>
        </w:tc>
      </w:tr>
      <w:tr w:rsidR="00740C90" w:rsidRPr="00863B85" w:rsidTr="00C404BA">
        <w:tc>
          <w:tcPr>
            <w:tcW w:w="1701" w:type="dxa"/>
          </w:tcPr>
          <w:p w:rsidR="00740C90" w:rsidRPr="00863B85" w:rsidRDefault="00740C90" w:rsidP="00C27C94">
            <w:pPr>
              <w:rPr>
                <w:sz w:val="22"/>
                <w:szCs w:val="22"/>
              </w:rPr>
            </w:pPr>
            <w:r w:rsidRPr="00863B85">
              <w:rPr>
                <w:sz w:val="22"/>
                <w:szCs w:val="22"/>
              </w:rPr>
              <w:t>Sector Advisory Groups</w:t>
            </w:r>
          </w:p>
        </w:tc>
        <w:tc>
          <w:tcPr>
            <w:tcW w:w="4169" w:type="dxa"/>
          </w:tcPr>
          <w:p w:rsidR="00740C90" w:rsidRPr="00863B85" w:rsidRDefault="00740C90" w:rsidP="00A973A4">
            <w:pPr>
              <w:rPr>
                <w:sz w:val="22"/>
                <w:szCs w:val="22"/>
                <w:lang w:val="en-US"/>
              </w:rPr>
            </w:pPr>
            <w:r w:rsidRPr="00863B85">
              <w:rPr>
                <w:sz w:val="22"/>
                <w:szCs w:val="22"/>
                <w:lang w:val="en-US"/>
              </w:rPr>
              <w:t>Can participate in relevant Sector Advisory Group, where they enjoy full participation rights except the right to vote and associated procedural rights such as motion and point of order. They can make written and oral contributions and can serve as Chairman or Vice-Chairman (</w:t>
            </w:r>
            <w:r w:rsidR="00A973A4" w:rsidRPr="00863B85">
              <w:rPr>
                <w:sz w:val="22"/>
                <w:szCs w:val="22"/>
                <w:lang w:val="en-US"/>
              </w:rPr>
              <w:t xml:space="preserve">CS </w:t>
            </w:r>
            <w:r w:rsidRPr="00863B85">
              <w:rPr>
                <w:sz w:val="22"/>
                <w:szCs w:val="22"/>
                <w:lang w:val="en-US"/>
              </w:rPr>
              <w:t xml:space="preserve">28B), including for any related working groups. </w:t>
            </w:r>
          </w:p>
        </w:tc>
        <w:tc>
          <w:tcPr>
            <w:tcW w:w="2068" w:type="dxa"/>
          </w:tcPr>
          <w:p w:rsidR="00740C90" w:rsidRPr="00863B85" w:rsidRDefault="00740C90" w:rsidP="00C27C94">
            <w:pPr>
              <w:rPr>
                <w:b/>
                <w:bCs/>
                <w:sz w:val="22"/>
                <w:szCs w:val="22"/>
                <w:u w:val="single"/>
              </w:rPr>
            </w:pPr>
            <w:r w:rsidRPr="00863B85">
              <w:rPr>
                <w:sz w:val="22"/>
                <w:szCs w:val="22"/>
              </w:rPr>
              <w:t>Do not have participation rights.</w:t>
            </w:r>
          </w:p>
        </w:tc>
        <w:tc>
          <w:tcPr>
            <w:tcW w:w="2835" w:type="dxa"/>
          </w:tcPr>
          <w:p w:rsidR="00740C90" w:rsidRPr="00863B85" w:rsidRDefault="00740C90" w:rsidP="00C27C94">
            <w:pPr>
              <w:rPr>
                <w:bCs/>
                <w:sz w:val="22"/>
                <w:szCs w:val="22"/>
              </w:rPr>
            </w:pPr>
            <w:r w:rsidRPr="00863B85">
              <w:rPr>
                <w:sz w:val="22"/>
                <w:szCs w:val="22"/>
              </w:rPr>
              <w:t>ITU-R and ITU-D Academia do not participate in their Sector Advisory Groups, whereas ITU-T Academia can participate in TSAG in a non-advisory capacity.</w:t>
            </w:r>
          </w:p>
          <w:p w:rsidR="00740C90" w:rsidRPr="00863B85" w:rsidRDefault="00740C90" w:rsidP="00C27C94">
            <w:pPr>
              <w:rPr>
                <w:b/>
                <w:bCs/>
                <w:sz w:val="22"/>
                <w:szCs w:val="22"/>
                <w:u w:val="single"/>
              </w:rPr>
            </w:pPr>
          </w:p>
        </w:tc>
      </w:tr>
      <w:tr w:rsidR="00740C90" w:rsidRPr="00863B85" w:rsidTr="00C404BA">
        <w:tc>
          <w:tcPr>
            <w:tcW w:w="1701" w:type="dxa"/>
          </w:tcPr>
          <w:p w:rsidR="00740C90" w:rsidRPr="00863B85" w:rsidRDefault="00740C90" w:rsidP="00C27C94">
            <w:pPr>
              <w:rPr>
                <w:sz w:val="22"/>
                <w:szCs w:val="22"/>
              </w:rPr>
            </w:pPr>
            <w:r w:rsidRPr="00863B85">
              <w:rPr>
                <w:sz w:val="22"/>
                <w:szCs w:val="22"/>
              </w:rPr>
              <w:t>Treaty-Making Conferences and Assemblies (PP, WRC, RRC, WCIT)</w:t>
            </w:r>
          </w:p>
        </w:tc>
        <w:tc>
          <w:tcPr>
            <w:tcW w:w="4169" w:type="dxa"/>
          </w:tcPr>
          <w:p w:rsidR="008A6043" w:rsidRPr="0052297A" w:rsidRDefault="0064288B" w:rsidP="00876460">
            <w:pPr>
              <w:rPr>
                <w:rFonts w:asciiTheme="minorHAnsi" w:hAnsiTheme="minorHAnsi"/>
                <w:b/>
                <w:bCs/>
                <w:sz w:val="22"/>
                <w:szCs w:val="22"/>
              </w:rPr>
            </w:pPr>
            <w:r w:rsidRPr="0052297A">
              <w:rPr>
                <w:sz w:val="22"/>
                <w:szCs w:val="22"/>
                <w:lang w:val="en-US"/>
              </w:rPr>
              <w:t>Can participate (</w:t>
            </w:r>
            <w:proofErr w:type="spellStart"/>
            <w:r w:rsidRPr="0052297A">
              <w:rPr>
                <w:sz w:val="22"/>
                <w:szCs w:val="22"/>
                <w:lang w:val="en-US"/>
              </w:rPr>
              <w:t>Nos</w:t>
            </w:r>
            <w:proofErr w:type="spellEnd"/>
            <w:r w:rsidR="00F6047E" w:rsidRPr="0052297A">
              <w:rPr>
                <w:sz w:val="22"/>
                <w:szCs w:val="22"/>
                <w:lang w:val="en-US"/>
              </w:rPr>
              <w:t> </w:t>
            </w:r>
            <w:r w:rsidRPr="0052297A">
              <w:rPr>
                <w:sz w:val="22"/>
                <w:szCs w:val="22"/>
                <w:lang w:val="en-US"/>
              </w:rPr>
              <w:t>229/231) as observers in a non-advisory capacity in a PP.</w:t>
            </w:r>
            <w:r w:rsidR="008D5FD7">
              <w:rPr>
                <w:sz w:val="22"/>
                <w:szCs w:val="22"/>
                <w:lang w:val="en-US"/>
              </w:rPr>
              <w:t xml:space="preserve"> Have to pay to participate (unless exempted)</w:t>
            </w:r>
            <w:r w:rsidR="00876460">
              <w:rPr>
                <w:sz w:val="22"/>
                <w:szCs w:val="22"/>
                <w:lang w:val="en-US"/>
              </w:rPr>
              <w:t xml:space="preserve">. </w:t>
            </w:r>
            <w:r w:rsidR="008A6043" w:rsidRPr="0052297A">
              <w:rPr>
                <w:sz w:val="22"/>
                <w:szCs w:val="22"/>
                <w:lang w:val="en-US"/>
              </w:rPr>
              <w:t>ITU-R Sector Members can participate as o</w:t>
            </w:r>
            <w:proofErr w:type="spellStart"/>
            <w:r w:rsidR="00F6047E" w:rsidRPr="0052297A">
              <w:rPr>
                <w:rFonts w:asciiTheme="minorHAnsi" w:hAnsiTheme="minorHAnsi"/>
                <w:sz w:val="22"/>
                <w:szCs w:val="22"/>
              </w:rPr>
              <w:t>bservers</w:t>
            </w:r>
            <w:proofErr w:type="spellEnd"/>
            <w:r w:rsidR="00F6047E" w:rsidRPr="0052297A">
              <w:rPr>
                <w:rFonts w:asciiTheme="minorHAnsi" w:hAnsiTheme="minorHAnsi"/>
                <w:sz w:val="22"/>
                <w:szCs w:val="22"/>
              </w:rPr>
              <w:t xml:space="preserve"> in a non-</w:t>
            </w:r>
            <w:r w:rsidR="008A6043" w:rsidRPr="0052297A">
              <w:rPr>
                <w:rFonts w:asciiTheme="minorHAnsi" w:hAnsiTheme="minorHAnsi"/>
                <w:sz w:val="22"/>
                <w:szCs w:val="22"/>
              </w:rPr>
              <w:t xml:space="preserve">advisory capacity in WRC and RRC. </w:t>
            </w:r>
            <w:r w:rsidR="008D5FD7">
              <w:rPr>
                <w:sz w:val="22"/>
                <w:szCs w:val="22"/>
                <w:lang w:val="en-US"/>
              </w:rPr>
              <w:t>Do not have to pay to participate (except for RRC)</w:t>
            </w:r>
            <w:r w:rsidR="00876460">
              <w:rPr>
                <w:sz w:val="22"/>
                <w:szCs w:val="22"/>
                <w:lang w:val="en-US"/>
              </w:rPr>
              <w:t xml:space="preserve">. </w:t>
            </w:r>
            <w:r w:rsidR="008A6043" w:rsidRPr="0052297A">
              <w:rPr>
                <w:rFonts w:asciiTheme="minorHAnsi" w:hAnsiTheme="minorHAnsi"/>
                <w:sz w:val="22"/>
                <w:szCs w:val="22"/>
              </w:rPr>
              <w:t>ITU Sector Members can participate</w:t>
            </w:r>
            <w:r w:rsidR="008A6043" w:rsidRPr="0052297A">
              <w:rPr>
                <w:rFonts w:asciiTheme="minorHAnsi" w:hAnsiTheme="minorHAnsi"/>
                <w:b/>
                <w:bCs/>
                <w:i/>
                <w:iCs/>
                <w:sz w:val="18"/>
              </w:rPr>
              <w:t xml:space="preserve"> </w:t>
            </w:r>
            <w:r w:rsidR="008A6043" w:rsidRPr="0052297A">
              <w:rPr>
                <w:sz w:val="22"/>
                <w:szCs w:val="22"/>
                <w:lang w:val="en-US"/>
              </w:rPr>
              <w:t>as o</w:t>
            </w:r>
            <w:proofErr w:type="spellStart"/>
            <w:r w:rsidR="00F6047E" w:rsidRPr="0052297A">
              <w:rPr>
                <w:rFonts w:asciiTheme="minorHAnsi" w:hAnsiTheme="minorHAnsi"/>
                <w:sz w:val="22"/>
                <w:szCs w:val="22"/>
              </w:rPr>
              <w:t>bservers</w:t>
            </w:r>
            <w:proofErr w:type="spellEnd"/>
            <w:r w:rsidR="00F6047E" w:rsidRPr="0052297A">
              <w:rPr>
                <w:rFonts w:asciiTheme="minorHAnsi" w:hAnsiTheme="minorHAnsi"/>
                <w:sz w:val="22"/>
                <w:szCs w:val="22"/>
              </w:rPr>
              <w:t xml:space="preserve"> in a non-</w:t>
            </w:r>
            <w:r w:rsidR="008A6043" w:rsidRPr="0052297A">
              <w:rPr>
                <w:rFonts w:asciiTheme="minorHAnsi" w:hAnsiTheme="minorHAnsi"/>
                <w:sz w:val="22"/>
                <w:szCs w:val="22"/>
              </w:rPr>
              <w:t>advisory capacity in WCIT.</w:t>
            </w:r>
            <w:r w:rsidR="008D5FD7">
              <w:rPr>
                <w:rFonts w:asciiTheme="minorHAnsi" w:hAnsiTheme="minorHAnsi"/>
                <w:sz w:val="22"/>
                <w:szCs w:val="22"/>
              </w:rPr>
              <w:t xml:space="preserve"> </w:t>
            </w:r>
            <w:r w:rsidR="008D5FD7">
              <w:rPr>
                <w:sz w:val="22"/>
                <w:szCs w:val="22"/>
                <w:lang w:val="en-US"/>
              </w:rPr>
              <w:t>Have to pay to participate (unless exempted)</w:t>
            </w:r>
            <w:r w:rsidR="00876460">
              <w:rPr>
                <w:sz w:val="22"/>
                <w:szCs w:val="22"/>
                <w:lang w:val="en-US"/>
              </w:rPr>
              <w:t>.</w:t>
            </w:r>
          </w:p>
        </w:tc>
        <w:tc>
          <w:tcPr>
            <w:tcW w:w="2068" w:type="dxa"/>
          </w:tcPr>
          <w:p w:rsidR="00740C90" w:rsidRPr="00863B85" w:rsidRDefault="00740C90" w:rsidP="00C27C94">
            <w:pPr>
              <w:rPr>
                <w:b/>
                <w:bCs/>
                <w:sz w:val="22"/>
                <w:szCs w:val="22"/>
                <w:u w:val="single"/>
              </w:rPr>
            </w:pPr>
            <w:r w:rsidRPr="00863B85">
              <w:rPr>
                <w:sz w:val="22"/>
                <w:szCs w:val="22"/>
              </w:rPr>
              <w:t>Do not have participation rights.</w:t>
            </w:r>
          </w:p>
        </w:tc>
        <w:tc>
          <w:tcPr>
            <w:tcW w:w="2835" w:type="dxa"/>
          </w:tcPr>
          <w:p w:rsidR="00740C90" w:rsidRPr="00863B85" w:rsidRDefault="00740C90" w:rsidP="00C27C94">
            <w:pPr>
              <w:rPr>
                <w:b/>
                <w:bCs/>
                <w:sz w:val="22"/>
                <w:szCs w:val="22"/>
                <w:u w:val="single"/>
              </w:rPr>
            </w:pPr>
            <w:r w:rsidRPr="00863B85">
              <w:rPr>
                <w:sz w:val="22"/>
                <w:szCs w:val="22"/>
              </w:rPr>
              <w:t>Do not have participation rights.</w:t>
            </w:r>
          </w:p>
        </w:tc>
      </w:tr>
      <w:tr w:rsidR="00740C90" w:rsidRPr="00863B85" w:rsidTr="00C404BA">
        <w:tc>
          <w:tcPr>
            <w:tcW w:w="1701" w:type="dxa"/>
          </w:tcPr>
          <w:p w:rsidR="00740C90" w:rsidRPr="00863B85" w:rsidRDefault="00740C90" w:rsidP="00C27C94">
            <w:pPr>
              <w:rPr>
                <w:sz w:val="22"/>
                <w:szCs w:val="22"/>
              </w:rPr>
            </w:pPr>
            <w:r w:rsidRPr="00863B85">
              <w:rPr>
                <w:sz w:val="22"/>
                <w:szCs w:val="22"/>
              </w:rPr>
              <w:t>Other Conferences and Assemblies</w:t>
            </w:r>
            <w:r w:rsidRPr="00863B85">
              <w:rPr>
                <w:sz w:val="22"/>
                <w:szCs w:val="22"/>
                <w:lang w:val="en-US"/>
              </w:rPr>
              <w:t xml:space="preserve"> (WTSA, WTDC and RA)</w:t>
            </w:r>
          </w:p>
        </w:tc>
        <w:tc>
          <w:tcPr>
            <w:tcW w:w="4169" w:type="dxa"/>
          </w:tcPr>
          <w:p w:rsidR="00740C90" w:rsidRPr="00863B85" w:rsidRDefault="00740C90" w:rsidP="00C27C94">
            <w:pPr>
              <w:rPr>
                <w:b/>
                <w:bCs/>
                <w:sz w:val="22"/>
                <w:szCs w:val="22"/>
                <w:u w:val="single"/>
                <w:lang w:val="en-US"/>
              </w:rPr>
            </w:pPr>
            <w:r w:rsidRPr="00863B85">
              <w:rPr>
                <w:sz w:val="22"/>
                <w:szCs w:val="22"/>
                <w:lang w:val="en-US"/>
              </w:rPr>
              <w:t xml:space="preserve">Can fully participate except do not have the right to vote or raise procedural motions. Do not have to pay to participate in such meetings. May provide Chairman/Vice-Chairman. </w:t>
            </w:r>
          </w:p>
        </w:tc>
        <w:tc>
          <w:tcPr>
            <w:tcW w:w="2068" w:type="dxa"/>
          </w:tcPr>
          <w:p w:rsidR="00740C90" w:rsidRPr="00863B85" w:rsidRDefault="00740C90" w:rsidP="00C27C94">
            <w:pPr>
              <w:rPr>
                <w:b/>
                <w:bCs/>
                <w:sz w:val="22"/>
                <w:szCs w:val="22"/>
                <w:u w:val="single"/>
              </w:rPr>
            </w:pPr>
            <w:r w:rsidRPr="00863B85">
              <w:rPr>
                <w:sz w:val="22"/>
                <w:szCs w:val="22"/>
              </w:rPr>
              <w:t>Do not have participation rights.</w:t>
            </w:r>
          </w:p>
        </w:tc>
        <w:tc>
          <w:tcPr>
            <w:tcW w:w="2835" w:type="dxa"/>
          </w:tcPr>
          <w:p w:rsidR="00740C90" w:rsidRPr="00863B85" w:rsidRDefault="00740C90" w:rsidP="00C27C94">
            <w:pPr>
              <w:rPr>
                <w:b/>
                <w:bCs/>
                <w:sz w:val="22"/>
                <w:szCs w:val="22"/>
                <w:u w:val="single"/>
              </w:rPr>
            </w:pPr>
            <w:r w:rsidRPr="00863B85">
              <w:rPr>
                <w:sz w:val="22"/>
                <w:szCs w:val="22"/>
              </w:rPr>
              <w:t xml:space="preserve">In ITU-R and ITU-D, do not have the right to participate major conferences. ITU-T Academia </w:t>
            </w:r>
            <w:proofErr w:type="gramStart"/>
            <w:r w:rsidRPr="00863B85">
              <w:rPr>
                <w:sz w:val="22"/>
                <w:szCs w:val="22"/>
              </w:rPr>
              <w:t>have</w:t>
            </w:r>
            <w:proofErr w:type="gramEnd"/>
            <w:r w:rsidRPr="00863B85">
              <w:rPr>
                <w:sz w:val="22"/>
                <w:szCs w:val="22"/>
              </w:rPr>
              <w:t xml:space="preserve"> the right to participate in WTSA in an non-advisory capacity.</w:t>
            </w:r>
          </w:p>
        </w:tc>
      </w:tr>
      <w:tr w:rsidR="00740C90" w:rsidRPr="00863B85" w:rsidTr="00C404BA">
        <w:tc>
          <w:tcPr>
            <w:tcW w:w="1701" w:type="dxa"/>
          </w:tcPr>
          <w:p w:rsidR="00740C90" w:rsidRPr="00863B85" w:rsidRDefault="00740C90" w:rsidP="00C27C94">
            <w:pPr>
              <w:rPr>
                <w:sz w:val="22"/>
                <w:szCs w:val="22"/>
              </w:rPr>
            </w:pPr>
            <w:r w:rsidRPr="00863B85">
              <w:rPr>
                <w:sz w:val="22"/>
                <w:szCs w:val="22"/>
              </w:rPr>
              <w:t>Council</w:t>
            </w:r>
          </w:p>
        </w:tc>
        <w:tc>
          <w:tcPr>
            <w:tcW w:w="4169" w:type="dxa"/>
          </w:tcPr>
          <w:p w:rsidR="00740C90" w:rsidRPr="00863B85" w:rsidRDefault="00740C90" w:rsidP="00C27C94">
            <w:pPr>
              <w:rPr>
                <w:sz w:val="22"/>
                <w:szCs w:val="22"/>
                <w:lang w:val="en-US"/>
              </w:rPr>
            </w:pPr>
            <w:r w:rsidRPr="00863B85">
              <w:rPr>
                <w:sz w:val="22"/>
                <w:szCs w:val="22"/>
                <w:lang w:val="en-US"/>
              </w:rPr>
              <w:t>Up to three Sector Members per Sector</w:t>
            </w:r>
            <w:r w:rsidR="00876460">
              <w:rPr>
                <w:sz w:val="22"/>
                <w:szCs w:val="22"/>
                <w:lang w:val="en-US"/>
              </w:rPr>
              <w:t>, plus the six principle regional telecommunication organizations,</w:t>
            </w:r>
            <w:r w:rsidRPr="00863B85">
              <w:rPr>
                <w:sz w:val="22"/>
                <w:szCs w:val="22"/>
                <w:lang w:val="en-US"/>
              </w:rPr>
              <w:t xml:space="preserve"> can participate in </w:t>
            </w:r>
            <w:r w:rsidR="00A91B67">
              <w:rPr>
                <w:sz w:val="22"/>
                <w:szCs w:val="22"/>
                <w:lang w:val="en-US"/>
              </w:rPr>
              <w:t xml:space="preserve">the </w:t>
            </w:r>
            <w:r w:rsidRPr="00863B85">
              <w:rPr>
                <w:sz w:val="22"/>
                <w:szCs w:val="22"/>
                <w:lang w:val="en-US"/>
              </w:rPr>
              <w:t xml:space="preserve">Council as </w:t>
            </w:r>
            <w:proofErr w:type="gramStart"/>
            <w:r w:rsidRPr="00863B85">
              <w:rPr>
                <w:sz w:val="22"/>
                <w:szCs w:val="22"/>
                <w:lang w:val="en-US"/>
              </w:rPr>
              <w:t>observers, which gives</w:t>
            </w:r>
            <w:proofErr w:type="gramEnd"/>
            <w:r w:rsidRPr="00863B85">
              <w:rPr>
                <w:sz w:val="22"/>
                <w:szCs w:val="22"/>
                <w:lang w:val="en-US"/>
              </w:rPr>
              <w:t xml:space="preserve"> them the right to attend but not to vote or make written or oral contributions.</w:t>
            </w:r>
            <w:r w:rsidR="00876460">
              <w:rPr>
                <w:sz w:val="22"/>
                <w:szCs w:val="22"/>
                <w:lang w:val="en-US"/>
              </w:rPr>
              <w:t xml:space="preserve"> </w:t>
            </w:r>
          </w:p>
        </w:tc>
        <w:tc>
          <w:tcPr>
            <w:tcW w:w="2068" w:type="dxa"/>
          </w:tcPr>
          <w:p w:rsidR="00740C90" w:rsidRPr="00863B85" w:rsidRDefault="00740C90" w:rsidP="00C27C94">
            <w:pPr>
              <w:rPr>
                <w:sz w:val="22"/>
                <w:szCs w:val="22"/>
              </w:rPr>
            </w:pPr>
            <w:r w:rsidRPr="00863B85">
              <w:rPr>
                <w:sz w:val="22"/>
                <w:szCs w:val="22"/>
              </w:rPr>
              <w:t>Do not have participation rights.</w:t>
            </w:r>
          </w:p>
        </w:tc>
        <w:tc>
          <w:tcPr>
            <w:tcW w:w="2835" w:type="dxa"/>
          </w:tcPr>
          <w:p w:rsidR="00740C90" w:rsidRPr="00863B85" w:rsidRDefault="00740C90" w:rsidP="00C27C94">
            <w:pPr>
              <w:rPr>
                <w:b/>
                <w:bCs/>
                <w:sz w:val="22"/>
                <w:szCs w:val="22"/>
                <w:u w:val="single"/>
              </w:rPr>
            </w:pPr>
            <w:r w:rsidRPr="00863B85">
              <w:rPr>
                <w:sz w:val="22"/>
                <w:szCs w:val="22"/>
              </w:rPr>
              <w:t>Do not have participation rights.</w:t>
            </w:r>
          </w:p>
        </w:tc>
      </w:tr>
    </w:tbl>
    <w:p w:rsidR="00740C90" w:rsidRDefault="00740C90" w:rsidP="00723653">
      <w:pPr>
        <w:pStyle w:val="AnnexNo"/>
        <w:spacing w:before="480"/>
      </w:pPr>
      <w:r>
        <w:lastRenderedPageBreak/>
        <w:t>Annex 2</w:t>
      </w:r>
    </w:p>
    <w:p w:rsidR="00740C90" w:rsidRPr="00740C90" w:rsidRDefault="00740C90" w:rsidP="00723653">
      <w:pPr>
        <w:pStyle w:val="Annextitle"/>
        <w:spacing w:after="0"/>
        <w:rPr>
          <w:rFonts w:eastAsiaTheme="minorEastAsia" w:cstheme="minorHAnsi"/>
          <w:color w:val="231F20"/>
          <w:lang w:val="en-US" w:eastAsia="zh-CN"/>
        </w:rPr>
      </w:pPr>
      <w:r w:rsidRPr="006258C3">
        <w:t>Types of Entities and Admission Processes</w:t>
      </w:r>
    </w:p>
    <w:p w:rsidR="00740C90" w:rsidRDefault="00740C90" w:rsidP="00723653">
      <w:pPr>
        <w:tabs>
          <w:tab w:val="left" w:pos="709"/>
        </w:tabs>
        <w:snapToGrid w:val="0"/>
        <w:spacing w:before="0"/>
        <w:jc w:val="right"/>
        <w:rPr>
          <w:b/>
          <w:bCs/>
          <w:szCs w:val="24"/>
        </w:rPr>
      </w:pPr>
      <w:r w:rsidRPr="00F802AC">
        <w:rPr>
          <w:b/>
          <w:bCs/>
          <w:szCs w:val="24"/>
        </w:rPr>
        <w:t xml:space="preserve"> </w:t>
      </w:r>
    </w:p>
    <w:tbl>
      <w:tblPr>
        <w:tblStyle w:val="TableGrid"/>
        <w:tblW w:w="0" w:type="auto"/>
        <w:tblInd w:w="108" w:type="dxa"/>
        <w:tblLook w:val="04A0" w:firstRow="1" w:lastRow="0" w:firstColumn="1" w:lastColumn="0" w:noHBand="0" w:noVBand="1"/>
      </w:tblPr>
      <w:tblGrid>
        <w:gridCol w:w="2625"/>
        <w:gridCol w:w="1956"/>
        <w:gridCol w:w="5166"/>
      </w:tblGrid>
      <w:tr w:rsidR="00740C90" w:rsidRPr="00863B85" w:rsidTr="00C27C94">
        <w:tc>
          <w:tcPr>
            <w:tcW w:w="2694" w:type="dxa"/>
            <w:shd w:val="pct12" w:color="auto" w:fill="auto"/>
          </w:tcPr>
          <w:p w:rsidR="00740C90" w:rsidRPr="00863B85" w:rsidRDefault="00740C90" w:rsidP="00A91B67">
            <w:pPr>
              <w:spacing w:before="80" w:after="80"/>
              <w:rPr>
                <w:rFonts w:cstheme="minorHAnsi"/>
                <w:b/>
                <w:color w:val="231F20"/>
                <w:sz w:val="22"/>
                <w:szCs w:val="22"/>
                <w:lang w:val="en-US"/>
              </w:rPr>
            </w:pPr>
            <w:r w:rsidRPr="00863B85">
              <w:rPr>
                <w:rFonts w:cstheme="minorHAnsi"/>
                <w:b/>
                <w:color w:val="231F20"/>
                <w:sz w:val="22"/>
                <w:szCs w:val="22"/>
                <w:lang w:val="en-US"/>
              </w:rPr>
              <w:t>Category of Entity</w:t>
            </w:r>
          </w:p>
        </w:tc>
        <w:tc>
          <w:tcPr>
            <w:tcW w:w="1701" w:type="dxa"/>
            <w:shd w:val="pct12" w:color="auto" w:fill="auto"/>
          </w:tcPr>
          <w:p w:rsidR="00740C90" w:rsidRPr="00863B85" w:rsidRDefault="00740C90" w:rsidP="00A91B67">
            <w:pPr>
              <w:spacing w:before="80" w:after="80"/>
              <w:rPr>
                <w:rFonts w:cstheme="minorHAnsi"/>
                <w:b/>
                <w:color w:val="231F20"/>
                <w:sz w:val="22"/>
                <w:szCs w:val="22"/>
                <w:lang w:val="en-US"/>
              </w:rPr>
            </w:pPr>
            <w:r w:rsidRPr="00863B85">
              <w:rPr>
                <w:rFonts w:cstheme="minorHAnsi"/>
                <w:b/>
                <w:color w:val="231F20"/>
                <w:sz w:val="22"/>
                <w:szCs w:val="22"/>
                <w:lang w:val="en-US"/>
              </w:rPr>
              <w:t>Type of Participation</w:t>
            </w:r>
          </w:p>
        </w:tc>
        <w:tc>
          <w:tcPr>
            <w:tcW w:w="5528" w:type="dxa"/>
            <w:shd w:val="pct12" w:color="auto" w:fill="auto"/>
          </w:tcPr>
          <w:p w:rsidR="00740C90" w:rsidRPr="00863B85" w:rsidRDefault="00740C90" w:rsidP="00A91B67">
            <w:pPr>
              <w:spacing w:before="80" w:after="80"/>
              <w:rPr>
                <w:rFonts w:cstheme="minorHAnsi"/>
                <w:b/>
                <w:color w:val="231F20"/>
                <w:sz w:val="22"/>
                <w:szCs w:val="22"/>
                <w:lang w:val="en-US"/>
              </w:rPr>
            </w:pPr>
            <w:r w:rsidRPr="00863B85">
              <w:rPr>
                <w:rFonts w:cstheme="minorHAnsi"/>
                <w:b/>
                <w:color w:val="231F20"/>
                <w:sz w:val="22"/>
                <w:szCs w:val="22"/>
                <w:lang w:val="en-US"/>
              </w:rPr>
              <w:t>Application Process</w:t>
            </w:r>
          </w:p>
        </w:tc>
      </w:tr>
      <w:tr w:rsidR="00740C90" w:rsidRPr="00863B85" w:rsidTr="00C27C94">
        <w:tc>
          <w:tcPr>
            <w:tcW w:w="2694" w:type="dxa"/>
          </w:tcPr>
          <w:p w:rsidR="00740C90" w:rsidRPr="00863B85" w:rsidRDefault="00740C90" w:rsidP="00A91B67">
            <w:pPr>
              <w:spacing w:before="80" w:after="80"/>
              <w:rPr>
                <w:sz w:val="22"/>
                <w:szCs w:val="22"/>
              </w:rPr>
            </w:pPr>
            <w:r w:rsidRPr="00863B85">
              <w:rPr>
                <w:sz w:val="22"/>
                <w:szCs w:val="22"/>
              </w:rPr>
              <w:t>Recognized operating agencies, scientific or industrial organizations and financial or development institutions, which are approved by the member states concerned (CV 229)</w:t>
            </w:r>
          </w:p>
        </w:tc>
        <w:tc>
          <w:tcPr>
            <w:tcW w:w="1701" w:type="dxa"/>
          </w:tcPr>
          <w:p w:rsidR="00740C90" w:rsidRPr="00863B85" w:rsidRDefault="00740C90" w:rsidP="00A91B67">
            <w:pPr>
              <w:spacing w:before="80" w:after="80"/>
              <w:rPr>
                <w:rFonts w:cstheme="minorHAnsi"/>
                <w:bCs/>
                <w:color w:val="231F20"/>
                <w:sz w:val="22"/>
                <w:szCs w:val="22"/>
                <w:lang w:val="en-US"/>
              </w:rPr>
            </w:pPr>
            <w:r w:rsidRPr="00863B85">
              <w:rPr>
                <w:rFonts w:cstheme="minorHAnsi"/>
                <w:bCs/>
                <w:color w:val="231F20"/>
                <w:sz w:val="22"/>
                <w:szCs w:val="22"/>
                <w:lang w:val="en-US"/>
              </w:rPr>
              <w:t>Sector Member or Associate</w:t>
            </w:r>
          </w:p>
        </w:tc>
        <w:tc>
          <w:tcPr>
            <w:tcW w:w="5528" w:type="dxa"/>
          </w:tcPr>
          <w:p w:rsidR="00740C90" w:rsidRPr="00863B85" w:rsidRDefault="00740C90" w:rsidP="00A91B67">
            <w:pPr>
              <w:spacing w:before="80" w:after="80"/>
              <w:rPr>
                <w:rFonts w:cstheme="minorHAnsi"/>
                <w:bCs/>
                <w:color w:val="231F20"/>
                <w:sz w:val="22"/>
                <w:szCs w:val="22"/>
                <w:lang w:val="en-US"/>
              </w:rPr>
            </w:pPr>
            <w:r w:rsidRPr="00863B85">
              <w:rPr>
                <w:rFonts w:cstheme="minorHAnsi"/>
                <w:bCs/>
                <w:color w:val="231F20"/>
                <w:sz w:val="22"/>
                <w:szCs w:val="22"/>
                <w:lang w:val="en-US"/>
              </w:rPr>
              <w:t>Entity submits application to relevant Member State, who in turn approves/rejects application. Member State informs Secretary-General. Secretariat confirms new member, sends invoice and activates once payment received.</w:t>
            </w:r>
          </w:p>
        </w:tc>
      </w:tr>
      <w:tr w:rsidR="00740C90" w:rsidRPr="00863B85" w:rsidTr="00C27C94">
        <w:tc>
          <w:tcPr>
            <w:tcW w:w="2694" w:type="dxa"/>
          </w:tcPr>
          <w:p w:rsidR="00740C90" w:rsidRPr="00863B85" w:rsidRDefault="00740C90" w:rsidP="00A91B67">
            <w:pPr>
              <w:spacing w:before="80" w:after="80"/>
              <w:rPr>
                <w:rFonts w:cstheme="minorHAnsi"/>
                <w:bCs/>
                <w:color w:val="231F20"/>
                <w:sz w:val="22"/>
                <w:szCs w:val="22"/>
                <w:lang w:val="en-US"/>
              </w:rPr>
            </w:pPr>
            <w:r w:rsidRPr="00863B85">
              <w:rPr>
                <w:sz w:val="22"/>
                <w:szCs w:val="22"/>
              </w:rPr>
              <w:t>Other entities dealing with telecommunication matters, which are approved by the Member State concerned (CV 230)</w:t>
            </w:r>
          </w:p>
        </w:tc>
        <w:tc>
          <w:tcPr>
            <w:tcW w:w="1701" w:type="dxa"/>
          </w:tcPr>
          <w:p w:rsidR="00740C90" w:rsidRPr="00863B85" w:rsidRDefault="00740C90" w:rsidP="00A91B67">
            <w:pPr>
              <w:spacing w:before="80" w:after="80"/>
              <w:rPr>
                <w:rFonts w:cstheme="minorHAnsi"/>
                <w:bCs/>
                <w:color w:val="231F20"/>
                <w:sz w:val="22"/>
                <w:szCs w:val="22"/>
                <w:lang w:val="en-US"/>
              </w:rPr>
            </w:pPr>
            <w:r w:rsidRPr="00863B85">
              <w:rPr>
                <w:rFonts w:cstheme="minorHAnsi"/>
                <w:bCs/>
                <w:color w:val="231F20"/>
                <w:sz w:val="22"/>
                <w:szCs w:val="22"/>
                <w:lang w:val="en-US"/>
              </w:rPr>
              <w:t>Sector Member or Associate</w:t>
            </w:r>
          </w:p>
        </w:tc>
        <w:tc>
          <w:tcPr>
            <w:tcW w:w="5528" w:type="dxa"/>
          </w:tcPr>
          <w:p w:rsidR="00740C90" w:rsidRPr="00863B85" w:rsidRDefault="00740C90" w:rsidP="00A91B67">
            <w:pPr>
              <w:spacing w:before="80" w:after="80"/>
              <w:rPr>
                <w:rFonts w:cstheme="minorHAnsi"/>
                <w:bCs/>
                <w:color w:val="231F20"/>
                <w:sz w:val="22"/>
                <w:szCs w:val="22"/>
                <w:lang w:val="en-US"/>
              </w:rPr>
            </w:pPr>
            <w:r w:rsidRPr="00863B85">
              <w:rPr>
                <w:rFonts w:cstheme="minorHAnsi"/>
                <w:bCs/>
                <w:color w:val="231F20"/>
                <w:sz w:val="22"/>
                <w:szCs w:val="22"/>
                <w:lang w:val="en-US"/>
              </w:rPr>
              <w:t>Entity submits application to relevant Member State, who in turn approves/rejects application. CV 230 entities must submit additional information, including a letter of commitment. Once approved, Member State informs Secretary-General. Secretariat confirms new member, sends invoice and activates once payment received.</w:t>
            </w:r>
          </w:p>
        </w:tc>
      </w:tr>
      <w:tr w:rsidR="00740C90" w:rsidRPr="00863B85" w:rsidTr="00C27C94">
        <w:tc>
          <w:tcPr>
            <w:tcW w:w="2694" w:type="dxa"/>
          </w:tcPr>
          <w:p w:rsidR="00740C90" w:rsidRPr="00863B85" w:rsidRDefault="00740C90" w:rsidP="00A91B67">
            <w:pPr>
              <w:spacing w:before="80" w:after="80"/>
              <w:rPr>
                <w:rFonts w:cstheme="minorHAnsi"/>
                <w:bCs/>
                <w:color w:val="231F20"/>
                <w:sz w:val="22"/>
                <w:szCs w:val="22"/>
                <w:lang w:val="en-US"/>
              </w:rPr>
            </w:pPr>
            <w:r w:rsidRPr="00863B85">
              <w:rPr>
                <w:sz w:val="22"/>
                <w:szCs w:val="22"/>
              </w:rPr>
              <w:t>Regional and other international telecommunication, standardization, financial or development organizations (CV 231)</w:t>
            </w:r>
          </w:p>
        </w:tc>
        <w:tc>
          <w:tcPr>
            <w:tcW w:w="1701" w:type="dxa"/>
          </w:tcPr>
          <w:p w:rsidR="00740C90" w:rsidRPr="00863B85" w:rsidRDefault="00740C90" w:rsidP="00A91B67">
            <w:pPr>
              <w:spacing w:before="80" w:after="80"/>
              <w:rPr>
                <w:rFonts w:cstheme="minorHAnsi"/>
                <w:bCs/>
                <w:color w:val="231F20"/>
                <w:sz w:val="22"/>
                <w:szCs w:val="22"/>
                <w:lang w:val="en-US"/>
              </w:rPr>
            </w:pPr>
            <w:r w:rsidRPr="00863B85">
              <w:rPr>
                <w:rFonts w:cstheme="minorHAnsi"/>
                <w:bCs/>
                <w:color w:val="231F20"/>
                <w:sz w:val="22"/>
                <w:szCs w:val="22"/>
                <w:lang w:val="en-US"/>
              </w:rPr>
              <w:t>Sector Member or Associate</w:t>
            </w:r>
          </w:p>
        </w:tc>
        <w:tc>
          <w:tcPr>
            <w:tcW w:w="5528" w:type="dxa"/>
          </w:tcPr>
          <w:p w:rsidR="00740C90" w:rsidRPr="00863B85" w:rsidRDefault="00740C90" w:rsidP="00A91B67">
            <w:pPr>
              <w:spacing w:before="80" w:after="80"/>
              <w:rPr>
                <w:rFonts w:cstheme="minorHAnsi"/>
                <w:bCs/>
                <w:color w:val="231F20"/>
                <w:sz w:val="22"/>
                <w:szCs w:val="22"/>
                <w:lang w:val="en-US"/>
              </w:rPr>
            </w:pPr>
            <w:r w:rsidRPr="00863B85">
              <w:rPr>
                <w:rFonts w:cstheme="minorHAnsi"/>
                <w:bCs/>
                <w:color w:val="231F20"/>
                <w:sz w:val="22"/>
                <w:szCs w:val="22"/>
                <w:lang w:val="en-US"/>
              </w:rPr>
              <w:t xml:space="preserve">Entity submits application directly to the Secretary-General who reviews to ensure that it meets criteria. Secretariat invoices entity and activates following payment. If the entity requests exemption from fees, a separate process is followed, and the application is submitted to the following Council for approval. This procedure is outlined in </w:t>
            </w:r>
            <w:r w:rsidRPr="00863B85">
              <w:rPr>
                <w:sz w:val="22"/>
                <w:szCs w:val="22"/>
              </w:rPr>
              <w:t>Council 2000, (C2000/28(REV.1)</w:t>
            </w:r>
            <w:r w:rsidR="000D4425" w:rsidRPr="00863B85">
              <w:rPr>
                <w:sz w:val="22"/>
                <w:szCs w:val="22"/>
              </w:rPr>
              <w:t>)</w:t>
            </w:r>
            <w:r w:rsidRPr="00863B85">
              <w:rPr>
                <w:sz w:val="22"/>
                <w:szCs w:val="22"/>
              </w:rPr>
              <w:t>.</w:t>
            </w:r>
          </w:p>
        </w:tc>
      </w:tr>
      <w:tr w:rsidR="00740C90" w:rsidRPr="00863B85" w:rsidTr="00C27C94">
        <w:tc>
          <w:tcPr>
            <w:tcW w:w="2694" w:type="dxa"/>
          </w:tcPr>
          <w:p w:rsidR="00740C90" w:rsidRPr="0052297A" w:rsidRDefault="00740C90" w:rsidP="00A91B67">
            <w:pPr>
              <w:spacing w:before="80" w:after="80"/>
              <w:rPr>
                <w:rFonts w:cstheme="minorHAnsi"/>
                <w:bCs/>
                <w:sz w:val="22"/>
                <w:szCs w:val="22"/>
                <w:lang w:val="en-US"/>
              </w:rPr>
            </w:pPr>
            <w:r w:rsidRPr="0052297A">
              <w:rPr>
                <w:sz w:val="22"/>
                <w:szCs w:val="22"/>
                <w:lang w:val="en-US" w:eastAsia="zh-CN"/>
              </w:rPr>
              <w:t>Regional telecommunication orga</w:t>
            </w:r>
            <w:r w:rsidR="001D0D51" w:rsidRPr="0052297A">
              <w:rPr>
                <w:sz w:val="22"/>
                <w:szCs w:val="22"/>
                <w:lang w:val="en-US" w:eastAsia="zh-CN"/>
              </w:rPr>
              <w:t>nizations mentioned in Article 43 of the Constitution</w:t>
            </w:r>
            <w:r w:rsidR="001D0D51" w:rsidRPr="0052297A">
              <w:rPr>
                <w:sz w:val="22"/>
                <w:szCs w:val="22"/>
                <w:lang w:val="en-US" w:eastAsia="zh-CN"/>
              </w:rPr>
              <w:br/>
            </w:r>
            <w:r w:rsidR="001D0D51" w:rsidRPr="0052297A">
              <w:rPr>
                <w:rFonts w:cstheme="minorHAnsi"/>
                <w:sz w:val="22"/>
                <w:szCs w:val="22"/>
                <w:lang w:val="en-US" w:eastAsia="zh-CN"/>
              </w:rPr>
              <w:t>Intergovernmental organizations operating satellite systems</w:t>
            </w:r>
            <w:r w:rsidR="001D0D51" w:rsidRPr="0052297A">
              <w:rPr>
                <w:rFonts w:cstheme="minorHAnsi"/>
                <w:sz w:val="22"/>
                <w:szCs w:val="22"/>
                <w:lang w:val="en-US" w:eastAsia="zh-CN"/>
              </w:rPr>
              <w:br/>
            </w:r>
            <w:r w:rsidR="001D0D51" w:rsidRPr="0052297A">
              <w:rPr>
                <w:sz w:val="22"/>
                <w:szCs w:val="22"/>
                <w:lang w:val="en-US" w:eastAsia="zh-CN"/>
              </w:rPr>
              <w:t>(269 B and 269C of the Convention)</w:t>
            </w:r>
          </w:p>
        </w:tc>
        <w:tc>
          <w:tcPr>
            <w:tcW w:w="1701" w:type="dxa"/>
          </w:tcPr>
          <w:p w:rsidR="00182E8F" w:rsidRPr="0052297A" w:rsidRDefault="00182E8F" w:rsidP="00A91B67">
            <w:pPr>
              <w:spacing w:before="80" w:after="80"/>
              <w:rPr>
                <w:rFonts w:cstheme="minorHAnsi"/>
                <w:bCs/>
                <w:sz w:val="22"/>
                <w:szCs w:val="22"/>
                <w:lang w:val="en-US"/>
              </w:rPr>
            </w:pPr>
            <w:r w:rsidRPr="0052297A">
              <w:rPr>
                <w:rFonts w:cstheme="minorHAnsi"/>
                <w:bCs/>
                <w:sz w:val="22"/>
                <w:szCs w:val="22"/>
                <w:lang w:val="en-US"/>
              </w:rPr>
              <w:t xml:space="preserve">Sector Member (Regional telecommunication organizations, intergovernmental organizations operating satellites). </w:t>
            </w:r>
          </w:p>
        </w:tc>
        <w:tc>
          <w:tcPr>
            <w:tcW w:w="5528" w:type="dxa"/>
          </w:tcPr>
          <w:p w:rsidR="00C44884" w:rsidRPr="00863B85" w:rsidRDefault="00740C90" w:rsidP="00C44884">
            <w:pPr>
              <w:spacing w:before="80" w:after="80"/>
              <w:rPr>
                <w:rFonts w:cstheme="minorHAnsi"/>
                <w:bCs/>
                <w:color w:val="231F20"/>
                <w:sz w:val="22"/>
                <w:szCs w:val="22"/>
                <w:lang w:val="en-US"/>
              </w:rPr>
            </w:pPr>
            <w:r w:rsidRPr="00863B85">
              <w:rPr>
                <w:rFonts w:cstheme="minorHAnsi"/>
                <w:bCs/>
                <w:color w:val="231F20"/>
                <w:sz w:val="22"/>
                <w:szCs w:val="22"/>
                <w:lang w:val="en-US"/>
              </w:rPr>
              <w:t>Entity sends request directly to Secretary-General.</w:t>
            </w:r>
          </w:p>
          <w:p w:rsidR="008D5FD7" w:rsidRPr="00863B85" w:rsidRDefault="008D5FD7" w:rsidP="00A91B67">
            <w:pPr>
              <w:spacing w:before="80" w:after="80"/>
              <w:rPr>
                <w:rFonts w:cstheme="minorHAnsi"/>
                <w:bCs/>
                <w:color w:val="231F20"/>
                <w:sz w:val="22"/>
                <w:szCs w:val="22"/>
                <w:lang w:val="en-US"/>
              </w:rPr>
            </w:pPr>
          </w:p>
        </w:tc>
      </w:tr>
      <w:tr w:rsidR="00740C90" w:rsidRPr="00863B85" w:rsidTr="00C27C94">
        <w:tc>
          <w:tcPr>
            <w:tcW w:w="2694" w:type="dxa"/>
          </w:tcPr>
          <w:p w:rsidR="00740C90" w:rsidRPr="00863B85" w:rsidRDefault="00740C90" w:rsidP="00A91B67">
            <w:pPr>
              <w:spacing w:before="80" w:after="80"/>
              <w:rPr>
                <w:sz w:val="22"/>
                <w:szCs w:val="22"/>
                <w:lang w:val="en-US" w:eastAsia="zh-CN"/>
              </w:rPr>
            </w:pPr>
            <w:r w:rsidRPr="00863B85">
              <w:rPr>
                <w:sz w:val="22"/>
                <w:szCs w:val="22"/>
                <w:lang w:val="en-US" w:eastAsia="zh-CN"/>
              </w:rPr>
              <w:t>Academia, universities and their associated research establishments</w:t>
            </w:r>
          </w:p>
        </w:tc>
        <w:tc>
          <w:tcPr>
            <w:tcW w:w="1701" w:type="dxa"/>
          </w:tcPr>
          <w:p w:rsidR="00740C90" w:rsidRPr="00863B85" w:rsidRDefault="00740C90" w:rsidP="00A91B67">
            <w:pPr>
              <w:spacing w:before="80" w:after="80"/>
              <w:rPr>
                <w:rFonts w:cstheme="minorHAnsi"/>
                <w:bCs/>
                <w:color w:val="231F20"/>
                <w:sz w:val="22"/>
                <w:szCs w:val="22"/>
                <w:lang w:val="en-US"/>
              </w:rPr>
            </w:pPr>
            <w:r w:rsidRPr="00863B85">
              <w:rPr>
                <w:rFonts w:cstheme="minorHAnsi"/>
                <w:bCs/>
                <w:color w:val="231F20"/>
                <w:sz w:val="22"/>
                <w:szCs w:val="22"/>
                <w:lang w:val="en-US"/>
              </w:rPr>
              <w:t>Academia</w:t>
            </w:r>
          </w:p>
        </w:tc>
        <w:tc>
          <w:tcPr>
            <w:tcW w:w="5528" w:type="dxa"/>
          </w:tcPr>
          <w:p w:rsidR="00740C90" w:rsidRPr="00863B85" w:rsidRDefault="00740C90" w:rsidP="00A91B67">
            <w:pPr>
              <w:spacing w:before="80" w:after="80"/>
              <w:rPr>
                <w:rFonts w:cstheme="minorHAnsi"/>
                <w:bCs/>
                <w:color w:val="231F20"/>
                <w:sz w:val="22"/>
                <w:szCs w:val="22"/>
                <w:lang w:val="en-US"/>
              </w:rPr>
            </w:pPr>
            <w:r w:rsidRPr="00863B85">
              <w:rPr>
                <w:rFonts w:cstheme="minorHAnsi"/>
                <w:bCs/>
                <w:color w:val="231F20"/>
                <w:sz w:val="22"/>
                <w:szCs w:val="22"/>
                <w:lang w:val="en-US"/>
              </w:rPr>
              <w:t>Entity submits application to relevant Member State, who in turn approves/rejects application. Member State informs Secretary-General. Secretariat confirms new member, sends invoice and activates once payment received.</w:t>
            </w:r>
          </w:p>
        </w:tc>
      </w:tr>
    </w:tbl>
    <w:p w:rsidR="00723653" w:rsidRDefault="00723653">
      <w:pPr>
        <w:tabs>
          <w:tab w:val="clear" w:pos="567"/>
          <w:tab w:val="clear" w:pos="1134"/>
          <w:tab w:val="clear" w:pos="1701"/>
          <w:tab w:val="clear" w:pos="2268"/>
          <w:tab w:val="clear" w:pos="2835"/>
        </w:tabs>
        <w:overflowPunct/>
        <w:autoSpaceDE/>
        <w:autoSpaceDN/>
        <w:adjustRightInd/>
        <w:spacing w:before="0" w:after="200" w:line="276" w:lineRule="auto"/>
        <w:textAlignment w:val="auto"/>
        <w:rPr>
          <w:caps/>
          <w:sz w:val="28"/>
        </w:rPr>
      </w:pPr>
      <w:r>
        <w:br w:type="page"/>
      </w:r>
    </w:p>
    <w:p w:rsidR="00863B85" w:rsidRDefault="00F802AC" w:rsidP="00863B85">
      <w:pPr>
        <w:pStyle w:val="AnnexNo"/>
        <w:spacing w:before="0"/>
      </w:pPr>
      <w:r w:rsidRPr="006258C3">
        <w:lastRenderedPageBreak/>
        <w:t xml:space="preserve">Annex </w:t>
      </w:r>
      <w:r w:rsidR="00943EA7">
        <w:t>3</w:t>
      </w:r>
    </w:p>
    <w:p w:rsidR="00F802AC" w:rsidRPr="00863B85" w:rsidRDefault="008D5FD7" w:rsidP="00E22F05">
      <w:pPr>
        <w:pStyle w:val="Annextitle"/>
      </w:pPr>
      <w:r w:rsidRPr="00E22F05">
        <w:t xml:space="preserve">Summary of </w:t>
      </w:r>
      <w:r w:rsidR="00A91B67" w:rsidRPr="00E22F05">
        <w:t>D</w:t>
      </w:r>
      <w:r w:rsidR="00E22F05">
        <w:t>raft</w:t>
      </w:r>
      <w:r w:rsidR="00A91B67" w:rsidRPr="00E22F05">
        <w:t xml:space="preserve"> R</w:t>
      </w:r>
      <w:r w:rsidR="00E22F05">
        <w:t>esolution</w:t>
      </w:r>
      <w:r w:rsidR="00A91B67" w:rsidRPr="00E22F05">
        <w:t xml:space="preserve"> (Busan, 2014)</w:t>
      </w:r>
    </w:p>
    <w:p w:rsidR="00F802AC" w:rsidRPr="00863B85" w:rsidRDefault="00F802AC" w:rsidP="00A91B67">
      <w:pPr>
        <w:pStyle w:val="Restitle"/>
        <w:rPr>
          <w:lang w:val="en-US"/>
        </w:rPr>
      </w:pPr>
      <w:r w:rsidRPr="00863B85">
        <w:rPr>
          <w:lang w:val="en-US"/>
        </w:rPr>
        <w:t>Review of the current methodologies and development of a future vision for the participation of Sector Members, Associates and Academia in the activities of ITU</w:t>
      </w:r>
    </w:p>
    <w:tbl>
      <w:tblPr>
        <w:tblStyle w:val="TableGrid"/>
        <w:tblW w:w="0" w:type="auto"/>
        <w:tblLook w:val="04A0" w:firstRow="1" w:lastRow="0" w:firstColumn="1" w:lastColumn="0" w:noHBand="0" w:noVBand="1"/>
      </w:tblPr>
      <w:tblGrid>
        <w:gridCol w:w="440"/>
        <w:gridCol w:w="4938"/>
        <w:gridCol w:w="4477"/>
      </w:tblGrid>
      <w:tr w:rsidR="00F802AC" w:rsidRPr="00022675" w:rsidTr="00555B4A">
        <w:tc>
          <w:tcPr>
            <w:tcW w:w="440" w:type="dxa"/>
          </w:tcPr>
          <w:p w:rsidR="00F802AC" w:rsidRPr="00555B4A" w:rsidRDefault="00F802AC" w:rsidP="00A91B67">
            <w:pPr>
              <w:tabs>
                <w:tab w:val="left" w:pos="851"/>
              </w:tabs>
              <w:spacing w:before="80" w:after="80"/>
              <w:ind w:firstLine="851"/>
              <w:rPr>
                <w:i/>
                <w:sz w:val="22"/>
                <w:szCs w:val="22"/>
                <w:lang w:val="en-US"/>
              </w:rPr>
            </w:pPr>
          </w:p>
        </w:tc>
        <w:tc>
          <w:tcPr>
            <w:tcW w:w="4938" w:type="dxa"/>
            <w:vAlign w:val="bottom"/>
          </w:tcPr>
          <w:p w:rsidR="00F802AC" w:rsidRPr="00555B4A" w:rsidRDefault="00F802AC" w:rsidP="00A91B67">
            <w:pPr>
              <w:tabs>
                <w:tab w:val="left" w:pos="851"/>
              </w:tabs>
              <w:spacing w:before="80" w:after="80"/>
              <w:rPr>
                <w:b/>
                <w:bCs/>
                <w:iCs/>
                <w:sz w:val="22"/>
                <w:szCs w:val="22"/>
                <w:lang w:val="en-US"/>
              </w:rPr>
            </w:pPr>
            <w:r w:rsidRPr="00555B4A">
              <w:rPr>
                <w:b/>
                <w:bCs/>
                <w:iCs/>
                <w:sz w:val="22"/>
                <w:szCs w:val="22"/>
                <w:lang w:val="en-US"/>
              </w:rPr>
              <w:t>Clause from the Draft Resolution</w:t>
            </w:r>
          </w:p>
        </w:tc>
        <w:tc>
          <w:tcPr>
            <w:tcW w:w="4477" w:type="dxa"/>
          </w:tcPr>
          <w:p w:rsidR="00F802AC" w:rsidRPr="00555B4A" w:rsidRDefault="00863B85" w:rsidP="00A91B67">
            <w:pPr>
              <w:tabs>
                <w:tab w:val="left" w:pos="709"/>
              </w:tabs>
              <w:snapToGrid w:val="0"/>
              <w:spacing w:before="80" w:after="80"/>
              <w:rPr>
                <w:b/>
                <w:bCs/>
                <w:iCs/>
                <w:sz w:val="22"/>
                <w:szCs w:val="22"/>
              </w:rPr>
            </w:pPr>
            <w:r w:rsidRPr="00555B4A">
              <w:rPr>
                <w:b/>
                <w:bCs/>
                <w:iCs/>
                <w:sz w:val="22"/>
                <w:szCs w:val="22"/>
              </w:rPr>
              <w:t>Rationale</w:t>
            </w:r>
          </w:p>
        </w:tc>
      </w:tr>
      <w:tr w:rsidR="00F802AC" w:rsidRPr="00022675" w:rsidTr="00555B4A">
        <w:tc>
          <w:tcPr>
            <w:tcW w:w="440" w:type="dxa"/>
          </w:tcPr>
          <w:p w:rsidR="00F802AC" w:rsidRPr="00555B4A" w:rsidRDefault="00F802AC" w:rsidP="00A91B67">
            <w:pPr>
              <w:tabs>
                <w:tab w:val="left" w:pos="851"/>
              </w:tabs>
              <w:spacing w:before="80" w:after="80"/>
              <w:rPr>
                <w:sz w:val="22"/>
                <w:szCs w:val="22"/>
                <w:lang w:val="en-US"/>
              </w:rPr>
            </w:pPr>
            <w:r w:rsidRPr="00555B4A">
              <w:rPr>
                <w:sz w:val="22"/>
                <w:szCs w:val="22"/>
                <w:lang w:val="en-US"/>
              </w:rPr>
              <w:t>1</w:t>
            </w:r>
          </w:p>
        </w:tc>
        <w:tc>
          <w:tcPr>
            <w:tcW w:w="4938" w:type="dxa"/>
          </w:tcPr>
          <w:p w:rsidR="00F802AC" w:rsidRPr="00555B4A" w:rsidRDefault="00F802AC" w:rsidP="00A91B67">
            <w:pPr>
              <w:tabs>
                <w:tab w:val="left" w:pos="851"/>
              </w:tabs>
              <w:spacing w:before="80" w:after="80"/>
              <w:rPr>
                <w:sz w:val="22"/>
                <w:szCs w:val="22"/>
              </w:rPr>
            </w:pPr>
            <w:r w:rsidRPr="00555B4A">
              <w:rPr>
                <w:sz w:val="22"/>
                <w:szCs w:val="22"/>
                <w:lang w:val="en-US"/>
              </w:rPr>
              <w:t xml:space="preserve">to </w:t>
            </w:r>
            <w:proofErr w:type="spellStart"/>
            <w:r w:rsidRPr="00555B4A">
              <w:rPr>
                <w:sz w:val="22"/>
                <w:szCs w:val="22"/>
                <w:lang w:val="en-US"/>
              </w:rPr>
              <w:t>analyse</w:t>
            </w:r>
            <w:proofErr w:type="spellEnd"/>
            <w:r w:rsidRPr="00555B4A">
              <w:rPr>
                <w:sz w:val="22"/>
                <w:szCs w:val="22"/>
                <w:lang w:val="en-US"/>
              </w:rPr>
              <w:t xml:space="preserve"> the implications of various pricing methodologies for Sector Members and Associates, in terms of advantages and disadvantages, and consider additional benefits, including special status for </w:t>
            </w:r>
            <w:r w:rsidR="00E05E4F" w:rsidRPr="00555B4A">
              <w:rPr>
                <w:sz w:val="22"/>
                <w:szCs w:val="22"/>
                <w:lang w:val="en-US"/>
              </w:rPr>
              <w:t>Sector M</w:t>
            </w:r>
            <w:r w:rsidRPr="00555B4A">
              <w:rPr>
                <w:sz w:val="22"/>
                <w:szCs w:val="22"/>
                <w:lang w:val="en-US"/>
              </w:rPr>
              <w:t>embers of all three Sectors;</w:t>
            </w:r>
          </w:p>
        </w:tc>
        <w:tc>
          <w:tcPr>
            <w:tcW w:w="4477" w:type="dxa"/>
          </w:tcPr>
          <w:p w:rsidR="00F802AC" w:rsidRPr="00555B4A" w:rsidRDefault="00F802AC" w:rsidP="00A91B67">
            <w:pPr>
              <w:tabs>
                <w:tab w:val="left" w:pos="709"/>
              </w:tabs>
              <w:snapToGrid w:val="0"/>
              <w:spacing w:before="80" w:after="80"/>
              <w:rPr>
                <w:sz w:val="22"/>
                <w:szCs w:val="22"/>
              </w:rPr>
            </w:pPr>
            <w:r w:rsidRPr="00555B4A">
              <w:rPr>
                <w:rFonts w:eastAsia="SimSun"/>
                <w:sz w:val="22"/>
                <w:szCs w:val="22"/>
                <w:lang w:eastAsia="zh-CN"/>
              </w:rPr>
              <w:t>Objective</w:t>
            </w:r>
            <w:r w:rsidR="00022675">
              <w:rPr>
                <w:rFonts w:eastAsia="SimSun"/>
                <w:sz w:val="22"/>
                <w:szCs w:val="22"/>
                <w:lang w:eastAsia="zh-CN"/>
              </w:rPr>
              <w:t xml:space="preserve"> is to </w:t>
            </w:r>
            <w:r w:rsidRPr="00555B4A">
              <w:rPr>
                <w:rFonts w:eastAsia="SimSun"/>
                <w:sz w:val="22"/>
                <w:szCs w:val="22"/>
                <w:lang w:eastAsia="zh-CN"/>
              </w:rPr>
              <w:t>simplify pricing for Sector Members and Academia. The unit structure is difficult to explain to prospective members, and the vast majority choose the minimum.</w:t>
            </w:r>
          </w:p>
        </w:tc>
      </w:tr>
      <w:tr w:rsidR="00F802AC" w:rsidRPr="00022675" w:rsidTr="00555B4A">
        <w:tc>
          <w:tcPr>
            <w:tcW w:w="440" w:type="dxa"/>
          </w:tcPr>
          <w:p w:rsidR="00F802AC" w:rsidRPr="00555B4A" w:rsidRDefault="00F802AC" w:rsidP="00A91B67">
            <w:pPr>
              <w:tabs>
                <w:tab w:val="left" w:pos="851"/>
              </w:tabs>
              <w:spacing w:before="80" w:after="80"/>
              <w:rPr>
                <w:sz w:val="22"/>
                <w:szCs w:val="22"/>
                <w:lang w:val="en-US"/>
              </w:rPr>
            </w:pPr>
            <w:r w:rsidRPr="00555B4A">
              <w:rPr>
                <w:sz w:val="22"/>
                <w:szCs w:val="22"/>
                <w:lang w:val="en-US"/>
              </w:rPr>
              <w:t>2</w:t>
            </w:r>
          </w:p>
        </w:tc>
        <w:tc>
          <w:tcPr>
            <w:tcW w:w="4938" w:type="dxa"/>
          </w:tcPr>
          <w:p w:rsidR="00F802AC" w:rsidRPr="00555B4A" w:rsidRDefault="00F802AC" w:rsidP="00A91B67">
            <w:pPr>
              <w:tabs>
                <w:tab w:val="left" w:pos="851"/>
              </w:tabs>
              <w:spacing w:before="80" w:after="80"/>
              <w:rPr>
                <w:sz w:val="22"/>
                <w:szCs w:val="22"/>
              </w:rPr>
            </w:pPr>
            <w:r w:rsidRPr="00555B4A">
              <w:rPr>
                <w:sz w:val="22"/>
                <w:szCs w:val="22"/>
                <w:lang w:val="en-US"/>
              </w:rPr>
              <w:t>to study the current structure of membership and the benefits and participation rights of Sector Members, Associates and Academia, with a view to ensuring consistency and fairness between categories of membership;</w:t>
            </w:r>
          </w:p>
        </w:tc>
        <w:tc>
          <w:tcPr>
            <w:tcW w:w="4477" w:type="dxa"/>
          </w:tcPr>
          <w:p w:rsidR="00F802AC" w:rsidRPr="00555B4A" w:rsidRDefault="00F802AC" w:rsidP="00A91B67">
            <w:pPr>
              <w:tabs>
                <w:tab w:val="left" w:pos="709"/>
              </w:tabs>
              <w:snapToGrid w:val="0"/>
              <w:spacing w:before="80" w:after="80"/>
              <w:rPr>
                <w:sz w:val="22"/>
                <w:szCs w:val="22"/>
              </w:rPr>
            </w:pPr>
            <w:r w:rsidRPr="00555B4A">
              <w:rPr>
                <w:sz w:val="22"/>
                <w:szCs w:val="22"/>
              </w:rPr>
              <w:t>This process began during the last four year cycle but more analysis and consultation is required.</w:t>
            </w:r>
          </w:p>
        </w:tc>
      </w:tr>
      <w:tr w:rsidR="00F802AC" w:rsidRPr="00022675" w:rsidTr="00555B4A">
        <w:tc>
          <w:tcPr>
            <w:tcW w:w="440" w:type="dxa"/>
          </w:tcPr>
          <w:p w:rsidR="00F802AC" w:rsidRPr="00555B4A" w:rsidRDefault="00F802AC" w:rsidP="00A91B67">
            <w:pPr>
              <w:tabs>
                <w:tab w:val="left" w:pos="851"/>
              </w:tabs>
              <w:spacing w:before="80" w:after="80"/>
              <w:rPr>
                <w:sz w:val="22"/>
                <w:szCs w:val="22"/>
              </w:rPr>
            </w:pPr>
            <w:r w:rsidRPr="00555B4A">
              <w:rPr>
                <w:sz w:val="22"/>
                <w:szCs w:val="22"/>
              </w:rPr>
              <w:t>3</w:t>
            </w:r>
          </w:p>
        </w:tc>
        <w:tc>
          <w:tcPr>
            <w:tcW w:w="4938" w:type="dxa"/>
          </w:tcPr>
          <w:p w:rsidR="00F802AC" w:rsidRPr="00555B4A" w:rsidRDefault="00F802AC" w:rsidP="00A91B67">
            <w:pPr>
              <w:tabs>
                <w:tab w:val="left" w:pos="851"/>
              </w:tabs>
              <w:spacing w:before="80" w:after="80"/>
              <w:rPr>
                <w:sz w:val="22"/>
                <w:szCs w:val="22"/>
              </w:rPr>
            </w:pPr>
            <w:r w:rsidRPr="00555B4A">
              <w:rPr>
                <w:sz w:val="22"/>
                <w:szCs w:val="22"/>
              </w:rPr>
              <w:t xml:space="preserve">to review the practical application of the rights and obligations of Sector Members as provided in the ITU </w:t>
            </w:r>
            <w:r w:rsidR="00E05E4F" w:rsidRPr="00555B4A">
              <w:rPr>
                <w:sz w:val="22"/>
                <w:szCs w:val="22"/>
              </w:rPr>
              <w:t xml:space="preserve">Constitution and </w:t>
            </w:r>
            <w:r w:rsidRPr="00555B4A">
              <w:rPr>
                <w:sz w:val="22"/>
                <w:szCs w:val="22"/>
              </w:rPr>
              <w:t xml:space="preserve">Convention, </w:t>
            </w:r>
            <w:r w:rsidR="00E05E4F" w:rsidRPr="00555B4A">
              <w:rPr>
                <w:sz w:val="22"/>
                <w:szCs w:val="22"/>
              </w:rPr>
              <w:t xml:space="preserve">Resolution 14 (Rev. Antalya, 2006), </w:t>
            </w:r>
            <w:r w:rsidRPr="00555B4A">
              <w:rPr>
                <w:sz w:val="22"/>
                <w:szCs w:val="22"/>
              </w:rPr>
              <w:t xml:space="preserve">as well as the arrangements for the participation of Associates and Academia, to ensure that they are properly recognized </w:t>
            </w:r>
            <w:r w:rsidR="00E05E4F" w:rsidRPr="00555B4A">
              <w:rPr>
                <w:sz w:val="22"/>
                <w:szCs w:val="22"/>
              </w:rPr>
              <w:t>during</w:t>
            </w:r>
            <w:r w:rsidRPr="00555B4A">
              <w:rPr>
                <w:sz w:val="22"/>
                <w:szCs w:val="22"/>
              </w:rPr>
              <w:t xml:space="preserve"> ITU conferences, assemblies, study groups, working parties, advisory groups and other activities;</w:t>
            </w:r>
          </w:p>
        </w:tc>
        <w:tc>
          <w:tcPr>
            <w:tcW w:w="4477" w:type="dxa"/>
          </w:tcPr>
          <w:p w:rsidR="00F802AC" w:rsidRPr="00555B4A" w:rsidRDefault="00F802AC" w:rsidP="00A91B67">
            <w:pPr>
              <w:tabs>
                <w:tab w:val="left" w:pos="709"/>
              </w:tabs>
              <w:snapToGrid w:val="0"/>
              <w:spacing w:before="80" w:after="80"/>
              <w:rPr>
                <w:sz w:val="22"/>
                <w:szCs w:val="22"/>
              </w:rPr>
            </w:pPr>
            <w:r w:rsidRPr="00555B4A">
              <w:rPr>
                <w:sz w:val="22"/>
                <w:szCs w:val="22"/>
              </w:rPr>
              <w:t>Concern has been expressed by some members that the rights and obligations are not being fully recognized at the operational level, including during study groups and working parties.</w:t>
            </w:r>
          </w:p>
        </w:tc>
      </w:tr>
      <w:tr w:rsidR="00E05E4F" w:rsidRPr="00022675" w:rsidTr="00555B4A">
        <w:tc>
          <w:tcPr>
            <w:tcW w:w="440" w:type="dxa"/>
          </w:tcPr>
          <w:p w:rsidR="00E05E4F" w:rsidRPr="00555B4A" w:rsidRDefault="00E05E4F" w:rsidP="00A91B67">
            <w:pPr>
              <w:tabs>
                <w:tab w:val="left" w:pos="851"/>
              </w:tabs>
              <w:spacing w:before="80" w:after="80"/>
              <w:rPr>
                <w:sz w:val="22"/>
                <w:szCs w:val="22"/>
              </w:rPr>
            </w:pPr>
            <w:r w:rsidRPr="00555B4A">
              <w:rPr>
                <w:sz w:val="22"/>
                <w:szCs w:val="22"/>
              </w:rPr>
              <w:t>4</w:t>
            </w:r>
          </w:p>
        </w:tc>
        <w:tc>
          <w:tcPr>
            <w:tcW w:w="4938" w:type="dxa"/>
          </w:tcPr>
          <w:p w:rsidR="00E05E4F" w:rsidRPr="00555B4A" w:rsidRDefault="00E05E4F" w:rsidP="00A91B67">
            <w:pPr>
              <w:tabs>
                <w:tab w:val="left" w:pos="851"/>
              </w:tabs>
              <w:spacing w:before="80" w:after="80"/>
              <w:rPr>
                <w:sz w:val="22"/>
                <w:szCs w:val="22"/>
              </w:rPr>
            </w:pPr>
            <w:r w:rsidRPr="00555B4A">
              <w:rPr>
                <w:sz w:val="22"/>
                <w:szCs w:val="22"/>
              </w:rPr>
              <w:t xml:space="preserve">to develop guidelines and training for chairmen/vice-chairmen, study group counsellors and others on such arrangements pertaining to various categories of membership and participation, </w:t>
            </w:r>
            <w:r w:rsidRPr="00555B4A">
              <w:rPr>
                <w:rFonts w:eastAsia="Calibri" w:cs="Arial"/>
                <w:sz w:val="22"/>
                <w:szCs w:val="22"/>
                <w:lang w:val="en-CA"/>
              </w:rPr>
              <w:t>following the review outlined in point 3 above</w:t>
            </w:r>
            <w:r w:rsidRPr="00555B4A">
              <w:rPr>
                <w:sz w:val="22"/>
                <w:szCs w:val="22"/>
              </w:rPr>
              <w:t>;</w:t>
            </w:r>
          </w:p>
        </w:tc>
        <w:tc>
          <w:tcPr>
            <w:tcW w:w="4477" w:type="dxa"/>
          </w:tcPr>
          <w:p w:rsidR="00E05E4F" w:rsidRPr="00555B4A" w:rsidRDefault="00022675" w:rsidP="00A91B67">
            <w:pPr>
              <w:tabs>
                <w:tab w:val="left" w:pos="709"/>
              </w:tabs>
              <w:snapToGrid w:val="0"/>
              <w:spacing w:before="80" w:after="80"/>
              <w:rPr>
                <w:sz w:val="22"/>
                <w:szCs w:val="22"/>
              </w:rPr>
            </w:pPr>
            <w:r>
              <w:rPr>
                <w:sz w:val="22"/>
                <w:szCs w:val="22"/>
              </w:rPr>
              <w:t xml:space="preserve">To provide practical tools to address the points </w:t>
            </w:r>
            <w:proofErr w:type="gramStart"/>
            <w:r>
              <w:rPr>
                <w:sz w:val="22"/>
                <w:szCs w:val="22"/>
              </w:rPr>
              <w:t>raised</w:t>
            </w:r>
            <w:proofErr w:type="gramEnd"/>
            <w:r>
              <w:rPr>
                <w:sz w:val="22"/>
                <w:szCs w:val="22"/>
              </w:rPr>
              <w:t xml:space="preserve"> in point 3 above.</w:t>
            </w:r>
          </w:p>
        </w:tc>
      </w:tr>
      <w:tr w:rsidR="00E05E4F" w:rsidRPr="00022675" w:rsidTr="00555B4A">
        <w:tc>
          <w:tcPr>
            <w:tcW w:w="440" w:type="dxa"/>
          </w:tcPr>
          <w:p w:rsidR="00E05E4F" w:rsidRPr="00555B4A" w:rsidRDefault="00E05E4F" w:rsidP="00A91B67">
            <w:pPr>
              <w:tabs>
                <w:tab w:val="left" w:pos="851"/>
              </w:tabs>
              <w:spacing w:before="80" w:after="80"/>
              <w:rPr>
                <w:sz w:val="22"/>
                <w:szCs w:val="22"/>
                <w:lang w:val="en-US"/>
              </w:rPr>
            </w:pPr>
            <w:r w:rsidRPr="00555B4A">
              <w:rPr>
                <w:sz w:val="22"/>
                <w:szCs w:val="22"/>
                <w:lang w:val="en-US"/>
              </w:rPr>
              <w:t>5</w:t>
            </w:r>
          </w:p>
        </w:tc>
        <w:tc>
          <w:tcPr>
            <w:tcW w:w="4938" w:type="dxa"/>
          </w:tcPr>
          <w:p w:rsidR="00E05E4F" w:rsidRPr="00555B4A" w:rsidRDefault="00E05E4F" w:rsidP="00A91B67">
            <w:pPr>
              <w:tabs>
                <w:tab w:val="left" w:pos="851"/>
              </w:tabs>
              <w:spacing w:before="80" w:after="80"/>
              <w:rPr>
                <w:sz w:val="22"/>
                <w:szCs w:val="22"/>
                <w:lang w:val="en-US"/>
              </w:rPr>
            </w:pPr>
            <w:r w:rsidRPr="00555B4A">
              <w:rPr>
                <w:rFonts w:eastAsia="Calibri" w:cs="Arial"/>
                <w:sz w:val="22"/>
                <w:szCs w:val="22"/>
                <w:lang w:val="en-CA"/>
              </w:rPr>
              <w:t>to study ways of increasing participation among non-profit entities in the work of the Union, including the feasibility of establishing a new category of participation with corresponding rights and obligations;</w:t>
            </w:r>
          </w:p>
        </w:tc>
        <w:tc>
          <w:tcPr>
            <w:tcW w:w="4477" w:type="dxa"/>
          </w:tcPr>
          <w:p w:rsidR="00E05E4F" w:rsidRPr="00555B4A" w:rsidRDefault="00022675" w:rsidP="00A91B67">
            <w:pPr>
              <w:tabs>
                <w:tab w:val="left" w:pos="709"/>
              </w:tabs>
              <w:snapToGrid w:val="0"/>
              <w:spacing w:before="80" w:after="80"/>
              <w:rPr>
                <w:rFonts w:eastAsia="SimSun"/>
                <w:sz w:val="22"/>
                <w:szCs w:val="22"/>
                <w:lang w:eastAsia="zh-CN"/>
              </w:rPr>
            </w:pPr>
            <w:r w:rsidRPr="003937BE">
              <w:rPr>
                <w:rFonts w:eastAsia="SimSun"/>
                <w:sz w:val="22"/>
                <w:szCs w:val="22"/>
                <w:lang w:eastAsia="zh-CN"/>
              </w:rPr>
              <w:t>Regular ITU Sector Membership fees are too high for many NGOs so those who are regional/ international tend to request exemption from fees, as noted above. A new lower fee category of participation would make it possible for more NGOs to be paying members of ITU.</w:t>
            </w:r>
          </w:p>
        </w:tc>
      </w:tr>
      <w:tr w:rsidR="00F802AC" w:rsidRPr="00022675" w:rsidTr="00555B4A">
        <w:tc>
          <w:tcPr>
            <w:tcW w:w="440" w:type="dxa"/>
          </w:tcPr>
          <w:p w:rsidR="00F802AC" w:rsidRPr="00555B4A" w:rsidRDefault="00E05E4F" w:rsidP="00A91B67">
            <w:pPr>
              <w:tabs>
                <w:tab w:val="left" w:pos="851"/>
              </w:tabs>
              <w:spacing w:before="80" w:after="80"/>
              <w:rPr>
                <w:sz w:val="22"/>
                <w:szCs w:val="22"/>
                <w:lang w:val="en-US"/>
              </w:rPr>
            </w:pPr>
            <w:r w:rsidRPr="00555B4A">
              <w:rPr>
                <w:sz w:val="22"/>
                <w:szCs w:val="22"/>
                <w:lang w:val="en-US"/>
              </w:rPr>
              <w:t>6</w:t>
            </w:r>
          </w:p>
        </w:tc>
        <w:tc>
          <w:tcPr>
            <w:tcW w:w="4938" w:type="dxa"/>
          </w:tcPr>
          <w:p w:rsidR="00F802AC" w:rsidRPr="00555B4A" w:rsidRDefault="00F802AC" w:rsidP="00A91B67">
            <w:pPr>
              <w:tabs>
                <w:tab w:val="left" w:pos="851"/>
              </w:tabs>
              <w:spacing w:before="80" w:after="80"/>
              <w:rPr>
                <w:sz w:val="22"/>
                <w:szCs w:val="22"/>
              </w:rPr>
            </w:pPr>
            <w:r w:rsidRPr="00555B4A">
              <w:rPr>
                <w:sz w:val="22"/>
                <w:szCs w:val="22"/>
                <w:lang w:val="en-US"/>
              </w:rPr>
              <w:t>to review the practice of exempting entities f</w:t>
            </w:r>
            <w:r w:rsidRPr="00555B4A">
              <w:rPr>
                <w:sz w:val="22"/>
                <w:szCs w:val="22"/>
              </w:rPr>
              <w:t xml:space="preserve">rom membership fees (based on </w:t>
            </w:r>
            <w:r w:rsidR="00E05E4F" w:rsidRPr="00555B4A">
              <w:rPr>
                <w:sz w:val="22"/>
                <w:szCs w:val="22"/>
              </w:rPr>
              <w:t xml:space="preserve">criteria such as </w:t>
            </w:r>
            <w:r w:rsidRPr="00555B4A">
              <w:rPr>
                <w:sz w:val="22"/>
                <w:szCs w:val="22"/>
              </w:rPr>
              <w:t xml:space="preserve">reciprocity), and </w:t>
            </w:r>
            <w:r w:rsidR="00E05E4F" w:rsidRPr="00555B4A">
              <w:rPr>
                <w:sz w:val="22"/>
                <w:szCs w:val="22"/>
              </w:rPr>
              <w:t xml:space="preserve">if </w:t>
            </w:r>
            <w:r w:rsidRPr="00555B4A">
              <w:rPr>
                <w:sz w:val="22"/>
                <w:szCs w:val="22"/>
              </w:rPr>
              <w:t>necessary</w:t>
            </w:r>
            <w:r w:rsidR="00E05E4F" w:rsidRPr="00555B4A">
              <w:rPr>
                <w:sz w:val="22"/>
                <w:szCs w:val="22"/>
              </w:rPr>
              <w:t>, make</w:t>
            </w:r>
            <w:r w:rsidRPr="00555B4A">
              <w:rPr>
                <w:sz w:val="22"/>
                <w:szCs w:val="22"/>
              </w:rPr>
              <w:t xml:space="preserve"> changes </w:t>
            </w:r>
            <w:r w:rsidR="00E05E4F" w:rsidRPr="00555B4A">
              <w:rPr>
                <w:sz w:val="22"/>
                <w:szCs w:val="22"/>
              </w:rPr>
              <w:t>to</w:t>
            </w:r>
            <w:r w:rsidRPr="00555B4A">
              <w:rPr>
                <w:sz w:val="22"/>
                <w:szCs w:val="22"/>
              </w:rPr>
              <w:t xml:space="preserve"> the eligibility criteria;</w:t>
            </w:r>
          </w:p>
        </w:tc>
        <w:tc>
          <w:tcPr>
            <w:tcW w:w="4477" w:type="dxa"/>
          </w:tcPr>
          <w:p w:rsidR="00F802AC" w:rsidRPr="00555B4A" w:rsidRDefault="00F802AC">
            <w:pPr>
              <w:tabs>
                <w:tab w:val="left" w:pos="709"/>
              </w:tabs>
              <w:snapToGrid w:val="0"/>
              <w:spacing w:before="80" w:after="80"/>
              <w:rPr>
                <w:sz w:val="22"/>
                <w:szCs w:val="22"/>
              </w:rPr>
            </w:pPr>
            <w:r w:rsidRPr="00555B4A">
              <w:rPr>
                <w:rFonts w:eastAsia="SimSun"/>
                <w:sz w:val="22"/>
                <w:szCs w:val="22"/>
                <w:lang w:eastAsia="zh-CN"/>
              </w:rPr>
              <w:t xml:space="preserve">Exemptions were introduced in 2000. There are 112 entities exempt from fees: about </w:t>
            </w:r>
            <w:r w:rsidR="00863B85" w:rsidRPr="00555B4A">
              <w:rPr>
                <w:rFonts w:eastAsia="SimSun"/>
                <w:sz w:val="22"/>
                <w:szCs w:val="22"/>
                <w:lang w:eastAsia="zh-CN"/>
              </w:rPr>
              <w:t xml:space="preserve">1 </w:t>
            </w:r>
            <w:r w:rsidR="00C131BF">
              <w:rPr>
                <w:rFonts w:eastAsia="SimSun"/>
                <w:sz w:val="22"/>
                <w:szCs w:val="22"/>
                <w:lang w:eastAsia="zh-CN"/>
              </w:rPr>
              <w:t>for</w:t>
            </w:r>
            <w:r w:rsidRPr="00555B4A">
              <w:rPr>
                <w:rFonts w:eastAsia="SimSun"/>
                <w:sz w:val="22"/>
                <w:szCs w:val="22"/>
                <w:lang w:eastAsia="zh-CN"/>
              </w:rPr>
              <w:t xml:space="preserve"> </w:t>
            </w:r>
            <w:r w:rsidR="00863B85" w:rsidRPr="00555B4A">
              <w:rPr>
                <w:rFonts w:eastAsia="SimSun"/>
                <w:sz w:val="22"/>
                <w:szCs w:val="22"/>
                <w:lang w:eastAsia="zh-CN"/>
              </w:rPr>
              <w:t>5</w:t>
            </w:r>
            <w:r w:rsidRPr="00555B4A">
              <w:rPr>
                <w:rFonts w:eastAsia="SimSun"/>
                <w:sz w:val="22"/>
                <w:szCs w:val="22"/>
                <w:lang w:eastAsia="zh-CN"/>
              </w:rPr>
              <w:t xml:space="preserve"> Sector Members. There has been a quick rise in exemptions: about </w:t>
            </w:r>
            <w:r w:rsidR="00863B85" w:rsidRPr="00555B4A">
              <w:rPr>
                <w:rFonts w:eastAsia="SimSun"/>
                <w:sz w:val="22"/>
                <w:szCs w:val="22"/>
                <w:lang w:eastAsia="zh-CN"/>
              </w:rPr>
              <w:t>1/3</w:t>
            </w:r>
            <w:r w:rsidR="00863B85" w:rsidRPr="00A91B67">
              <w:rPr>
                <w:rFonts w:eastAsia="SimSun"/>
                <w:sz w:val="22"/>
                <w:szCs w:val="22"/>
                <w:lang w:eastAsia="zh-CN"/>
              </w:rPr>
              <w:t>rd</w:t>
            </w:r>
            <w:r w:rsidR="00863B85" w:rsidRPr="00555B4A">
              <w:rPr>
                <w:rFonts w:eastAsia="SimSun"/>
                <w:sz w:val="22"/>
                <w:szCs w:val="22"/>
                <w:lang w:eastAsia="zh-CN"/>
              </w:rPr>
              <w:t xml:space="preserve"> </w:t>
            </w:r>
            <w:r w:rsidRPr="00555B4A">
              <w:rPr>
                <w:rFonts w:eastAsia="SimSun"/>
                <w:sz w:val="22"/>
                <w:szCs w:val="22"/>
                <w:lang w:eastAsia="zh-CN"/>
              </w:rPr>
              <w:t>of the total has come since PP-10</w:t>
            </w:r>
            <w:r w:rsidR="00E05E4F" w:rsidRPr="00555B4A">
              <w:rPr>
                <w:rFonts w:eastAsia="SimSun"/>
                <w:sz w:val="22"/>
                <w:szCs w:val="22"/>
                <w:lang w:eastAsia="zh-CN"/>
              </w:rPr>
              <w:t xml:space="preserve"> (s</w:t>
            </w:r>
            <w:r w:rsidR="00863B85" w:rsidRPr="00555B4A">
              <w:rPr>
                <w:rFonts w:eastAsia="SimSun"/>
                <w:sz w:val="22"/>
                <w:szCs w:val="22"/>
                <w:lang w:eastAsia="zh-CN"/>
              </w:rPr>
              <w:t xml:space="preserve">ee </w:t>
            </w:r>
            <w:hyperlink r:id="rId26" w:history="1">
              <w:r w:rsidR="00863B85" w:rsidRPr="00555B4A">
                <w:rPr>
                  <w:rStyle w:val="Hyperlink"/>
                  <w:rFonts w:eastAsia="SimSun"/>
                  <w:sz w:val="22"/>
                  <w:szCs w:val="22"/>
                  <w:lang w:eastAsia="zh-CN"/>
                </w:rPr>
                <w:t xml:space="preserve">PP-14 </w:t>
              </w:r>
              <w:r w:rsidR="00E05E4F" w:rsidRPr="00555B4A">
                <w:rPr>
                  <w:rStyle w:val="Hyperlink"/>
                  <w:rFonts w:eastAsia="SimSun"/>
                  <w:sz w:val="22"/>
                  <w:szCs w:val="22"/>
                  <w:lang w:eastAsia="zh-CN"/>
                </w:rPr>
                <w:t>Document 61</w:t>
              </w:r>
            </w:hyperlink>
            <w:r w:rsidR="00E05E4F" w:rsidRPr="00555B4A">
              <w:rPr>
                <w:rFonts w:eastAsia="SimSun"/>
                <w:sz w:val="22"/>
                <w:szCs w:val="22"/>
                <w:lang w:eastAsia="zh-CN"/>
              </w:rPr>
              <w:t>).</w:t>
            </w:r>
          </w:p>
        </w:tc>
      </w:tr>
      <w:tr w:rsidR="00F802AC" w:rsidRPr="00022675" w:rsidTr="00555B4A">
        <w:tc>
          <w:tcPr>
            <w:tcW w:w="440" w:type="dxa"/>
          </w:tcPr>
          <w:p w:rsidR="00F802AC" w:rsidRPr="00555B4A" w:rsidRDefault="00E05E4F" w:rsidP="00A91B67">
            <w:pPr>
              <w:tabs>
                <w:tab w:val="left" w:pos="851"/>
              </w:tabs>
              <w:spacing w:before="80" w:after="80"/>
              <w:rPr>
                <w:sz w:val="22"/>
                <w:szCs w:val="22"/>
              </w:rPr>
            </w:pPr>
            <w:r w:rsidRPr="00555B4A">
              <w:rPr>
                <w:sz w:val="22"/>
                <w:szCs w:val="22"/>
              </w:rPr>
              <w:t>7</w:t>
            </w:r>
          </w:p>
        </w:tc>
        <w:tc>
          <w:tcPr>
            <w:tcW w:w="4938" w:type="dxa"/>
          </w:tcPr>
          <w:p w:rsidR="00F802AC" w:rsidRPr="00555B4A" w:rsidRDefault="00F802AC" w:rsidP="00A91B67">
            <w:pPr>
              <w:tabs>
                <w:tab w:val="left" w:pos="851"/>
              </w:tabs>
              <w:spacing w:before="80" w:after="80"/>
              <w:rPr>
                <w:sz w:val="22"/>
                <w:szCs w:val="22"/>
              </w:rPr>
            </w:pPr>
            <w:proofErr w:type="gramStart"/>
            <w:r w:rsidRPr="00555B4A">
              <w:rPr>
                <w:sz w:val="22"/>
                <w:szCs w:val="22"/>
              </w:rPr>
              <w:t>to</w:t>
            </w:r>
            <w:proofErr w:type="gramEnd"/>
            <w:r w:rsidRPr="00555B4A">
              <w:rPr>
                <w:sz w:val="22"/>
                <w:szCs w:val="22"/>
              </w:rPr>
              <w:t xml:space="preserve"> develop a comprehensive consultation strategy with </w:t>
            </w:r>
            <w:r w:rsidR="00E05E4F" w:rsidRPr="00555B4A">
              <w:rPr>
                <w:sz w:val="22"/>
                <w:szCs w:val="22"/>
              </w:rPr>
              <w:t xml:space="preserve">Member States, </w:t>
            </w:r>
            <w:r w:rsidRPr="00555B4A">
              <w:rPr>
                <w:sz w:val="22"/>
                <w:szCs w:val="22"/>
              </w:rPr>
              <w:t>Sector Members, Associates and Academia</w:t>
            </w:r>
            <w:r w:rsidR="00115D6B" w:rsidRPr="00555B4A">
              <w:rPr>
                <w:sz w:val="22"/>
                <w:szCs w:val="22"/>
              </w:rPr>
              <w:t xml:space="preserve"> and others as appropriate</w:t>
            </w:r>
            <w:r w:rsidRPr="00555B4A">
              <w:rPr>
                <w:sz w:val="22"/>
                <w:szCs w:val="22"/>
              </w:rPr>
              <w:t>, to ensure that all points of view are thoroughly considered</w:t>
            </w:r>
            <w:r w:rsidR="00022675">
              <w:rPr>
                <w:sz w:val="22"/>
                <w:szCs w:val="22"/>
              </w:rPr>
              <w:t>.</w:t>
            </w:r>
          </w:p>
        </w:tc>
        <w:tc>
          <w:tcPr>
            <w:tcW w:w="4477" w:type="dxa"/>
          </w:tcPr>
          <w:p w:rsidR="00F802AC" w:rsidRPr="00555B4A" w:rsidRDefault="00022675" w:rsidP="00A91B67">
            <w:pPr>
              <w:tabs>
                <w:tab w:val="left" w:pos="709"/>
              </w:tabs>
              <w:snapToGrid w:val="0"/>
              <w:spacing w:before="80" w:after="80"/>
              <w:rPr>
                <w:sz w:val="22"/>
                <w:szCs w:val="22"/>
              </w:rPr>
            </w:pPr>
            <w:r>
              <w:rPr>
                <w:sz w:val="22"/>
                <w:szCs w:val="22"/>
              </w:rPr>
              <w:t>E</w:t>
            </w:r>
            <w:r w:rsidR="00F802AC" w:rsidRPr="00555B4A">
              <w:rPr>
                <w:sz w:val="22"/>
                <w:szCs w:val="22"/>
              </w:rPr>
              <w:t xml:space="preserve">nsure that all entities that could be affected </w:t>
            </w:r>
            <w:r>
              <w:rPr>
                <w:sz w:val="22"/>
                <w:szCs w:val="22"/>
              </w:rPr>
              <w:t xml:space="preserve">by possible changes </w:t>
            </w:r>
            <w:r w:rsidR="00F802AC" w:rsidRPr="00555B4A">
              <w:rPr>
                <w:sz w:val="22"/>
                <w:szCs w:val="22"/>
              </w:rPr>
              <w:t>are given the opportunity to participate in the discussions.</w:t>
            </w:r>
          </w:p>
        </w:tc>
      </w:tr>
    </w:tbl>
    <w:p w:rsidR="00A91B67" w:rsidRPr="00A91B67" w:rsidRDefault="00A91B67" w:rsidP="00A91B67">
      <w:pPr>
        <w:tabs>
          <w:tab w:val="clear" w:pos="567"/>
          <w:tab w:val="clear" w:pos="1134"/>
          <w:tab w:val="clear" w:pos="1701"/>
          <w:tab w:val="clear" w:pos="2268"/>
          <w:tab w:val="clear" w:pos="2835"/>
        </w:tabs>
        <w:overflowPunct/>
        <w:autoSpaceDE/>
        <w:autoSpaceDN/>
        <w:adjustRightInd/>
        <w:spacing w:before="0" w:line="276" w:lineRule="auto"/>
        <w:textAlignment w:val="auto"/>
        <w:rPr>
          <w:sz w:val="8"/>
          <w:szCs w:val="8"/>
        </w:rPr>
      </w:pPr>
    </w:p>
    <w:p w:rsidR="00CD5F99" w:rsidRPr="00555B4A" w:rsidRDefault="00022675" w:rsidP="00555B4A">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szCs w:val="22"/>
        </w:rPr>
      </w:pPr>
      <w:r>
        <w:rPr>
          <w:sz w:val="28"/>
          <w:szCs w:val="22"/>
        </w:rPr>
        <w:t>ANNEX</w:t>
      </w:r>
      <w:r w:rsidR="00CD5F99" w:rsidRPr="00555B4A">
        <w:rPr>
          <w:sz w:val="28"/>
          <w:szCs w:val="22"/>
        </w:rPr>
        <w:t xml:space="preserve"> </w:t>
      </w:r>
      <w:r w:rsidR="00F85CE0" w:rsidRPr="00555B4A">
        <w:rPr>
          <w:sz w:val="28"/>
          <w:szCs w:val="22"/>
        </w:rPr>
        <w:t>4</w:t>
      </w:r>
    </w:p>
    <w:p w:rsidR="00755F96" w:rsidRPr="00067DF0" w:rsidRDefault="00F802AC" w:rsidP="00863B85">
      <w:pPr>
        <w:pStyle w:val="Annextitle"/>
      </w:pPr>
      <w:r>
        <w:t>P</w:t>
      </w:r>
      <w:r w:rsidR="00D558B7" w:rsidRPr="00067DF0">
        <w:t xml:space="preserve">otential Revisions to PP Resolutions based on </w:t>
      </w:r>
      <w:r w:rsidR="000D4425">
        <w:t xml:space="preserve">Outcomes of </w:t>
      </w:r>
      <w:r w:rsidR="00863B85">
        <w:t>CWG-FIN/HR</w:t>
      </w:r>
    </w:p>
    <w:tbl>
      <w:tblPr>
        <w:tblStyle w:val="TableGrid"/>
        <w:tblW w:w="0" w:type="auto"/>
        <w:tblLook w:val="04A0" w:firstRow="1" w:lastRow="0" w:firstColumn="1" w:lastColumn="0" w:noHBand="0" w:noVBand="1"/>
      </w:tblPr>
      <w:tblGrid>
        <w:gridCol w:w="4928"/>
        <w:gridCol w:w="4927"/>
      </w:tblGrid>
      <w:tr w:rsidR="00755F96" w:rsidRPr="00863B85" w:rsidTr="00723653">
        <w:trPr>
          <w:trHeight w:val="340"/>
        </w:trPr>
        <w:tc>
          <w:tcPr>
            <w:tcW w:w="4928" w:type="dxa"/>
          </w:tcPr>
          <w:p w:rsidR="00755F96" w:rsidRPr="00863B85" w:rsidRDefault="00755F96" w:rsidP="00723653">
            <w:pPr>
              <w:tabs>
                <w:tab w:val="left" w:pos="900"/>
              </w:tabs>
              <w:snapToGrid w:val="0"/>
              <w:spacing w:before="40" w:after="40"/>
              <w:rPr>
                <w:b/>
                <w:bCs/>
                <w:sz w:val="22"/>
                <w:szCs w:val="18"/>
              </w:rPr>
            </w:pPr>
            <w:r w:rsidRPr="00863B85">
              <w:rPr>
                <w:b/>
                <w:bCs/>
                <w:sz w:val="22"/>
                <w:szCs w:val="18"/>
              </w:rPr>
              <w:t>Resolution and Action</w:t>
            </w:r>
          </w:p>
        </w:tc>
        <w:tc>
          <w:tcPr>
            <w:tcW w:w="4927" w:type="dxa"/>
          </w:tcPr>
          <w:p w:rsidR="00755F96" w:rsidRPr="00863B85" w:rsidRDefault="00755F96" w:rsidP="00723653">
            <w:pPr>
              <w:tabs>
                <w:tab w:val="left" w:pos="900"/>
              </w:tabs>
              <w:snapToGrid w:val="0"/>
              <w:spacing w:before="40" w:after="40"/>
              <w:rPr>
                <w:b/>
                <w:bCs/>
                <w:sz w:val="22"/>
                <w:szCs w:val="18"/>
              </w:rPr>
            </w:pPr>
            <w:r w:rsidRPr="00863B85">
              <w:rPr>
                <w:b/>
                <w:bCs/>
                <w:sz w:val="22"/>
                <w:szCs w:val="18"/>
              </w:rPr>
              <w:t>Rationale</w:t>
            </w:r>
          </w:p>
        </w:tc>
      </w:tr>
      <w:tr w:rsidR="00755F96" w:rsidRPr="00863B85" w:rsidTr="00863B85">
        <w:tc>
          <w:tcPr>
            <w:tcW w:w="4928" w:type="dxa"/>
          </w:tcPr>
          <w:p w:rsidR="0068334A" w:rsidRPr="00863B85" w:rsidRDefault="00755F96" w:rsidP="00A91B67">
            <w:pPr>
              <w:spacing w:before="80" w:after="80"/>
              <w:rPr>
                <w:sz w:val="22"/>
                <w:szCs w:val="18"/>
              </w:rPr>
            </w:pPr>
            <w:r w:rsidRPr="00863B85">
              <w:rPr>
                <w:sz w:val="22"/>
                <w:szCs w:val="18"/>
                <w:u w:val="single"/>
              </w:rPr>
              <w:t>Resolution 152</w:t>
            </w:r>
            <w:r w:rsidRPr="00863B85">
              <w:rPr>
                <w:sz w:val="22"/>
                <w:szCs w:val="18"/>
              </w:rPr>
              <w:t xml:space="preserve"> (Rev. Guadalajara, 2010), </w:t>
            </w:r>
            <w:r w:rsidRPr="00863B85">
              <w:rPr>
                <w:i/>
                <w:sz w:val="22"/>
                <w:szCs w:val="18"/>
              </w:rPr>
              <w:t>Improvement of management and follow-up of the defrayal of ITU expenses by Sector Members and Associates</w:t>
            </w:r>
            <w:r w:rsidRPr="00863B85">
              <w:rPr>
                <w:sz w:val="22"/>
                <w:szCs w:val="18"/>
              </w:rPr>
              <w:t xml:space="preserve">. </w:t>
            </w:r>
          </w:p>
          <w:p w:rsidR="00755F96" w:rsidRPr="00863B85" w:rsidRDefault="0068334A" w:rsidP="00A91B67">
            <w:pPr>
              <w:spacing w:before="80" w:after="80"/>
              <w:rPr>
                <w:sz w:val="22"/>
                <w:szCs w:val="18"/>
              </w:rPr>
            </w:pPr>
            <w:r w:rsidRPr="00863B85">
              <w:rPr>
                <w:sz w:val="22"/>
                <w:szCs w:val="18"/>
                <w:u w:val="single"/>
              </w:rPr>
              <w:t>Action</w:t>
            </w:r>
            <w:r w:rsidRPr="00863B85">
              <w:rPr>
                <w:sz w:val="22"/>
                <w:szCs w:val="18"/>
              </w:rPr>
              <w:t xml:space="preserve">: </w:t>
            </w:r>
            <w:r w:rsidR="00755F96" w:rsidRPr="00863B85">
              <w:rPr>
                <w:sz w:val="22"/>
                <w:szCs w:val="18"/>
              </w:rPr>
              <w:t xml:space="preserve">Modifications </w:t>
            </w:r>
            <w:r w:rsidRPr="00863B85">
              <w:rPr>
                <w:sz w:val="22"/>
                <w:szCs w:val="18"/>
              </w:rPr>
              <w:t>c</w:t>
            </w:r>
            <w:r w:rsidR="00755F96" w:rsidRPr="00863B85">
              <w:rPr>
                <w:sz w:val="22"/>
                <w:szCs w:val="18"/>
              </w:rPr>
              <w:t>ould be undertaken for the purpose of providing the Secretary-General with the flexibility to implement exclusions for non-payment of fees.</w:t>
            </w:r>
          </w:p>
        </w:tc>
        <w:tc>
          <w:tcPr>
            <w:tcW w:w="4927" w:type="dxa"/>
          </w:tcPr>
          <w:p w:rsidR="00755F96" w:rsidRPr="00863B85" w:rsidRDefault="00D558B7" w:rsidP="00A91B67">
            <w:pPr>
              <w:tabs>
                <w:tab w:val="left" w:pos="900"/>
              </w:tabs>
              <w:snapToGrid w:val="0"/>
              <w:spacing w:before="80" w:after="80"/>
              <w:rPr>
                <w:sz w:val="22"/>
                <w:szCs w:val="18"/>
              </w:rPr>
            </w:pPr>
            <w:r w:rsidRPr="00863B85">
              <w:rPr>
                <w:rFonts w:eastAsia="SimSun"/>
                <w:sz w:val="22"/>
                <w:szCs w:val="18"/>
                <w:lang w:eastAsia="zh-CN"/>
              </w:rPr>
              <w:t xml:space="preserve">Resolution 152 established the automatic exclusion of entities that have not paid their fees within nine months following the date they are due. </w:t>
            </w:r>
            <w:r w:rsidR="00723653">
              <w:rPr>
                <w:rFonts w:eastAsia="SimSun"/>
                <w:sz w:val="22"/>
                <w:szCs w:val="18"/>
                <w:lang w:eastAsia="zh-CN"/>
              </w:rPr>
              <w:t>Co</w:t>
            </w:r>
            <w:r w:rsidRPr="00863B85">
              <w:rPr>
                <w:rFonts w:eastAsia="SimSun"/>
                <w:sz w:val="22"/>
                <w:szCs w:val="18"/>
                <w:lang w:eastAsia="zh-CN"/>
              </w:rPr>
              <w:t>uncil has granted the Secretary-General flexibility in implementing this provision so that the Secretariat can take all possible efforts to re-engage suspended members before implementing exclusion. As per Res. 152, the Secretary-General excluded 16 entities for non-payment, effective 1 January 2014.</w:t>
            </w:r>
          </w:p>
        </w:tc>
      </w:tr>
      <w:tr w:rsidR="00755F96" w:rsidRPr="00863B85" w:rsidTr="00863B85">
        <w:tc>
          <w:tcPr>
            <w:tcW w:w="4928" w:type="dxa"/>
          </w:tcPr>
          <w:p w:rsidR="0068334A" w:rsidRPr="00863B85" w:rsidRDefault="00755F96" w:rsidP="00A91B67">
            <w:pPr>
              <w:spacing w:before="80" w:after="80"/>
              <w:rPr>
                <w:sz w:val="22"/>
                <w:szCs w:val="18"/>
              </w:rPr>
            </w:pPr>
            <w:r w:rsidRPr="00863B85">
              <w:rPr>
                <w:sz w:val="22"/>
                <w:szCs w:val="18"/>
                <w:u w:val="single"/>
              </w:rPr>
              <w:t>Resolution 158</w:t>
            </w:r>
            <w:r w:rsidRPr="00863B85">
              <w:rPr>
                <w:sz w:val="22"/>
                <w:szCs w:val="18"/>
              </w:rPr>
              <w:t xml:space="preserve"> (Rev. Guadalajara, 2010), </w:t>
            </w:r>
            <w:r w:rsidRPr="00863B85">
              <w:rPr>
                <w:i/>
                <w:sz w:val="22"/>
                <w:szCs w:val="18"/>
              </w:rPr>
              <w:t>Financial issues for consideration by the Council</w:t>
            </w:r>
            <w:r w:rsidRPr="00863B85">
              <w:rPr>
                <w:sz w:val="22"/>
                <w:szCs w:val="18"/>
              </w:rPr>
              <w:t xml:space="preserve">. </w:t>
            </w:r>
          </w:p>
          <w:p w:rsidR="00755F96" w:rsidRPr="00863B85" w:rsidRDefault="0068334A" w:rsidP="00A91B67">
            <w:pPr>
              <w:spacing w:before="80" w:after="80"/>
              <w:rPr>
                <w:sz w:val="22"/>
                <w:szCs w:val="18"/>
              </w:rPr>
            </w:pPr>
            <w:r w:rsidRPr="00863B85">
              <w:rPr>
                <w:sz w:val="22"/>
                <w:szCs w:val="18"/>
                <w:u w:val="single"/>
              </w:rPr>
              <w:t>Action</w:t>
            </w:r>
            <w:r w:rsidRPr="00863B85">
              <w:rPr>
                <w:sz w:val="22"/>
                <w:szCs w:val="18"/>
              </w:rPr>
              <w:t xml:space="preserve">: </w:t>
            </w:r>
            <w:r w:rsidR="00755F96" w:rsidRPr="00863B85">
              <w:rPr>
                <w:sz w:val="22"/>
                <w:szCs w:val="18"/>
              </w:rPr>
              <w:t xml:space="preserve">It is suggested that the </w:t>
            </w:r>
            <w:r w:rsidR="00755F96" w:rsidRPr="00863B85">
              <w:rPr>
                <w:i/>
                <w:sz w:val="22"/>
                <w:szCs w:val="18"/>
              </w:rPr>
              <w:t xml:space="preserve">resolves to instruct the Council </w:t>
            </w:r>
            <w:r w:rsidR="00755F96" w:rsidRPr="00863B85">
              <w:rPr>
                <w:sz w:val="22"/>
                <w:szCs w:val="18"/>
              </w:rPr>
              <w:t>1 iii) w</w:t>
            </w:r>
            <w:r w:rsidRPr="00863B85">
              <w:rPr>
                <w:sz w:val="22"/>
                <w:szCs w:val="18"/>
              </w:rPr>
              <w:t xml:space="preserve">ould </w:t>
            </w:r>
            <w:r w:rsidR="00755F96" w:rsidRPr="00863B85">
              <w:rPr>
                <w:sz w:val="22"/>
                <w:szCs w:val="18"/>
              </w:rPr>
              <w:t>need to be modified in light of the new proposed draft Resolution.</w:t>
            </w:r>
          </w:p>
        </w:tc>
        <w:tc>
          <w:tcPr>
            <w:tcW w:w="4927" w:type="dxa"/>
          </w:tcPr>
          <w:p w:rsidR="00755F96" w:rsidRPr="00863B85" w:rsidRDefault="0068334A" w:rsidP="00A91B67">
            <w:pPr>
              <w:tabs>
                <w:tab w:val="left" w:pos="900"/>
              </w:tabs>
              <w:snapToGrid w:val="0"/>
              <w:spacing w:before="80" w:after="80"/>
              <w:rPr>
                <w:sz w:val="22"/>
                <w:szCs w:val="18"/>
              </w:rPr>
            </w:pPr>
            <w:r w:rsidRPr="00863B85">
              <w:rPr>
                <w:sz w:val="22"/>
                <w:szCs w:val="18"/>
              </w:rPr>
              <w:t>A review was undertaken over the last four year period. Based on the advice of the Council Working Group on Financial and Human Resources, Council is recommending a new resolution that would allow for further study of these issues, which if approved by PP-14, would require a revision of Res. 158.</w:t>
            </w:r>
          </w:p>
        </w:tc>
      </w:tr>
      <w:tr w:rsidR="00755F96" w:rsidRPr="00863B85" w:rsidTr="00863B85">
        <w:tc>
          <w:tcPr>
            <w:tcW w:w="4928" w:type="dxa"/>
          </w:tcPr>
          <w:p w:rsidR="0068334A" w:rsidRPr="00863B85" w:rsidRDefault="00755F96" w:rsidP="00A91B67">
            <w:pPr>
              <w:spacing w:before="80" w:after="80"/>
              <w:rPr>
                <w:sz w:val="22"/>
                <w:szCs w:val="18"/>
              </w:rPr>
            </w:pPr>
            <w:r w:rsidRPr="00863B85">
              <w:rPr>
                <w:sz w:val="22"/>
                <w:szCs w:val="18"/>
                <w:u w:val="single"/>
              </w:rPr>
              <w:t>Resolution 169</w:t>
            </w:r>
            <w:r w:rsidRPr="00863B85">
              <w:rPr>
                <w:sz w:val="22"/>
                <w:szCs w:val="18"/>
              </w:rPr>
              <w:t xml:space="preserve"> (Guadalajara, 2010), </w:t>
            </w:r>
            <w:r w:rsidRPr="00863B85">
              <w:rPr>
                <w:i/>
                <w:sz w:val="22"/>
                <w:szCs w:val="18"/>
              </w:rPr>
              <w:t>Admission of academia, universities and their associated research establishments to participate in the work of the three Sectors of the Union</w:t>
            </w:r>
            <w:r w:rsidRPr="00863B85">
              <w:rPr>
                <w:sz w:val="22"/>
                <w:szCs w:val="18"/>
              </w:rPr>
              <w:t xml:space="preserve">. </w:t>
            </w:r>
          </w:p>
          <w:p w:rsidR="00755F96" w:rsidRPr="00863B85" w:rsidRDefault="0068334A" w:rsidP="00A91B67">
            <w:pPr>
              <w:spacing w:before="80" w:after="80"/>
              <w:rPr>
                <w:sz w:val="22"/>
                <w:szCs w:val="18"/>
              </w:rPr>
            </w:pPr>
            <w:r w:rsidRPr="00863B85">
              <w:rPr>
                <w:sz w:val="22"/>
                <w:szCs w:val="18"/>
                <w:u w:val="single"/>
              </w:rPr>
              <w:t>Action</w:t>
            </w:r>
            <w:r w:rsidRPr="00863B85">
              <w:rPr>
                <w:sz w:val="22"/>
                <w:szCs w:val="18"/>
              </w:rPr>
              <w:t xml:space="preserve">: </w:t>
            </w:r>
            <w:r w:rsidR="00755F96" w:rsidRPr="00863B85">
              <w:rPr>
                <w:sz w:val="22"/>
                <w:szCs w:val="18"/>
              </w:rPr>
              <w:t>It is suggested that the trial period for the participation of Academia be extended to permit further analysis of the conditions for their involvement in the work of the three Sectors.</w:t>
            </w:r>
          </w:p>
        </w:tc>
        <w:tc>
          <w:tcPr>
            <w:tcW w:w="4927" w:type="dxa"/>
          </w:tcPr>
          <w:p w:rsidR="00755F96" w:rsidRPr="00863B85" w:rsidRDefault="00661506" w:rsidP="00A91B67">
            <w:pPr>
              <w:tabs>
                <w:tab w:val="left" w:pos="900"/>
              </w:tabs>
              <w:snapToGrid w:val="0"/>
              <w:spacing w:before="80" w:after="80"/>
              <w:rPr>
                <w:sz w:val="22"/>
                <w:szCs w:val="18"/>
              </w:rPr>
            </w:pPr>
            <w:r w:rsidRPr="00863B85">
              <w:rPr>
                <w:rFonts w:eastAsia="SimSun"/>
                <w:sz w:val="22"/>
                <w:szCs w:val="18"/>
                <w:lang w:eastAsia="zh-CN"/>
              </w:rPr>
              <w:t>Since the launch of the Academia category, ITU has attracted 6</w:t>
            </w:r>
            <w:r w:rsidR="00536E6A" w:rsidRPr="00863B85">
              <w:rPr>
                <w:rFonts w:eastAsia="SimSun"/>
                <w:sz w:val="22"/>
                <w:szCs w:val="18"/>
                <w:lang w:eastAsia="zh-CN"/>
              </w:rPr>
              <w:t>3</w:t>
            </w:r>
            <w:r w:rsidRPr="00863B85">
              <w:rPr>
                <w:rFonts w:eastAsia="SimSun"/>
                <w:sz w:val="22"/>
                <w:szCs w:val="18"/>
                <w:lang w:eastAsia="zh-CN"/>
              </w:rPr>
              <w:t xml:space="preserve"> members, with 1</w:t>
            </w:r>
            <w:r w:rsidR="00536E6A" w:rsidRPr="00863B85">
              <w:rPr>
                <w:rFonts w:eastAsia="SimSun"/>
                <w:sz w:val="22"/>
                <w:szCs w:val="18"/>
                <w:lang w:eastAsia="zh-CN"/>
              </w:rPr>
              <w:t>4</w:t>
            </w:r>
            <w:r w:rsidR="00AA376C">
              <w:rPr>
                <w:rFonts w:eastAsia="SimSun"/>
                <w:sz w:val="22"/>
                <w:szCs w:val="18"/>
                <w:lang w:eastAsia="zh-CN"/>
              </w:rPr>
              <w:t xml:space="preserve"> participations in ITU</w:t>
            </w:r>
            <w:r w:rsidR="00AA376C">
              <w:rPr>
                <w:rFonts w:eastAsia="SimSun"/>
                <w:sz w:val="22"/>
                <w:szCs w:val="18"/>
                <w:lang w:eastAsia="zh-CN"/>
              </w:rPr>
              <w:noBreakHyphen/>
              <w:t xml:space="preserve">R, </w:t>
            </w:r>
            <w:r w:rsidRPr="00863B85">
              <w:rPr>
                <w:rFonts w:eastAsia="SimSun"/>
                <w:sz w:val="22"/>
                <w:szCs w:val="18"/>
                <w:lang w:eastAsia="zh-CN"/>
              </w:rPr>
              <w:t>4</w:t>
            </w:r>
            <w:r w:rsidR="00536E6A" w:rsidRPr="00863B85">
              <w:rPr>
                <w:rFonts w:eastAsia="SimSun"/>
                <w:sz w:val="22"/>
                <w:szCs w:val="18"/>
                <w:lang w:eastAsia="zh-CN"/>
              </w:rPr>
              <w:t>6</w:t>
            </w:r>
            <w:r w:rsidR="00AA376C">
              <w:rPr>
                <w:rFonts w:eastAsia="SimSun"/>
                <w:sz w:val="22"/>
                <w:szCs w:val="18"/>
                <w:lang w:eastAsia="zh-CN"/>
              </w:rPr>
              <w:t xml:space="preserve"> in ITU-T and </w:t>
            </w:r>
            <w:r w:rsidRPr="00863B85">
              <w:rPr>
                <w:rFonts w:eastAsia="SimSun"/>
                <w:sz w:val="22"/>
                <w:szCs w:val="18"/>
                <w:lang w:eastAsia="zh-CN"/>
              </w:rPr>
              <w:t>1</w:t>
            </w:r>
            <w:r w:rsidR="00536E6A" w:rsidRPr="00863B85">
              <w:rPr>
                <w:rFonts w:eastAsia="SimSun"/>
                <w:sz w:val="22"/>
                <w:szCs w:val="18"/>
                <w:lang w:eastAsia="zh-CN"/>
              </w:rPr>
              <w:t>4</w:t>
            </w:r>
            <w:r w:rsidRPr="00863B85">
              <w:rPr>
                <w:rFonts w:eastAsia="SimSun"/>
                <w:sz w:val="22"/>
                <w:szCs w:val="18"/>
                <w:lang w:eastAsia="zh-CN"/>
              </w:rPr>
              <w:t xml:space="preserve"> in ITU-D. These institutions have been contributing positively to the work of the Union.</w:t>
            </w:r>
          </w:p>
        </w:tc>
      </w:tr>
      <w:tr w:rsidR="00755F96" w:rsidRPr="00863B85" w:rsidTr="00863B85">
        <w:tc>
          <w:tcPr>
            <w:tcW w:w="4928" w:type="dxa"/>
          </w:tcPr>
          <w:p w:rsidR="0068334A" w:rsidRPr="00863B85" w:rsidRDefault="00755F96" w:rsidP="00A91B67">
            <w:pPr>
              <w:spacing w:before="80" w:after="80"/>
              <w:rPr>
                <w:sz w:val="22"/>
                <w:szCs w:val="18"/>
              </w:rPr>
            </w:pPr>
            <w:r w:rsidRPr="00863B85">
              <w:rPr>
                <w:sz w:val="22"/>
                <w:szCs w:val="18"/>
                <w:u w:val="single"/>
              </w:rPr>
              <w:t>Resolution 170</w:t>
            </w:r>
            <w:r w:rsidRPr="00863B85">
              <w:rPr>
                <w:sz w:val="22"/>
                <w:szCs w:val="18"/>
              </w:rPr>
              <w:t xml:space="preserve"> (Guadalajara, 2010), </w:t>
            </w:r>
            <w:r w:rsidRPr="00863B85">
              <w:rPr>
                <w:i/>
                <w:sz w:val="22"/>
                <w:szCs w:val="18"/>
              </w:rPr>
              <w:t>Admission of Sector Members from developing countries to participate in the work of ITU-R and ITU-T</w:t>
            </w:r>
            <w:r w:rsidRPr="00863B85">
              <w:rPr>
                <w:sz w:val="22"/>
                <w:szCs w:val="18"/>
              </w:rPr>
              <w:t xml:space="preserve">. </w:t>
            </w:r>
          </w:p>
          <w:p w:rsidR="00755F96" w:rsidRPr="00863B85" w:rsidRDefault="0068334A" w:rsidP="00A91B67">
            <w:pPr>
              <w:spacing w:before="80" w:after="80"/>
              <w:rPr>
                <w:sz w:val="22"/>
                <w:szCs w:val="18"/>
              </w:rPr>
            </w:pPr>
            <w:r w:rsidRPr="00863B85">
              <w:rPr>
                <w:sz w:val="22"/>
                <w:szCs w:val="18"/>
                <w:u w:val="single"/>
              </w:rPr>
              <w:t>Action</w:t>
            </w:r>
            <w:r w:rsidRPr="00863B85">
              <w:rPr>
                <w:sz w:val="22"/>
                <w:szCs w:val="18"/>
              </w:rPr>
              <w:t>: E</w:t>
            </w:r>
            <w:r w:rsidR="00755F96" w:rsidRPr="00863B85">
              <w:rPr>
                <w:sz w:val="22"/>
                <w:szCs w:val="18"/>
              </w:rPr>
              <w:t>ither continue with the reduced fees for entities from low income countries</w:t>
            </w:r>
            <w:r w:rsidR="00876460">
              <w:rPr>
                <w:sz w:val="22"/>
                <w:szCs w:val="18"/>
              </w:rPr>
              <w:t xml:space="preserve"> (with possible modifications)</w:t>
            </w:r>
            <w:r w:rsidR="00755F96" w:rsidRPr="00863B85">
              <w:rPr>
                <w:sz w:val="22"/>
                <w:szCs w:val="18"/>
              </w:rPr>
              <w:t>, or suppress the Resolution due to difficulties in its practical implementation.</w:t>
            </w:r>
            <w:r w:rsidR="00755F96" w:rsidRPr="00863B85">
              <w:rPr>
                <w:rFonts w:eastAsia="SimSun"/>
                <w:sz w:val="22"/>
                <w:szCs w:val="18"/>
                <w:lang w:eastAsia="zh-CN"/>
              </w:rPr>
              <w:t xml:space="preserve"> </w:t>
            </w:r>
          </w:p>
          <w:p w:rsidR="00755F96" w:rsidRPr="00863B85" w:rsidRDefault="00755F96" w:rsidP="00A91B67">
            <w:pPr>
              <w:tabs>
                <w:tab w:val="left" w:pos="900"/>
              </w:tabs>
              <w:snapToGrid w:val="0"/>
              <w:spacing w:before="80" w:after="80"/>
              <w:rPr>
                <w:sz w:val="22"/>
                <w:szCs w:val="18"/>
              </w:rPr>
            </w:pPr>
          </w:p>
        </w:tc>
        <w:tc>
          <w:tcPr>
            <w:tcW w:w="4927" w:type="dxa"/>
          </w:tcPr>
          <w:p w:rsidR="00755F96" w:rsidRPr="00863B85" w:rsidRDefault="00755F96" w:rsidP="00A91B67">
            <w:pPr>
              <w:spacing w:before="80" w:after="80"/>
              <w:rPr>
                <w:sz w:val="22"/>
                <w:szCs w:val="18"/>
              </w:rPr>
            </w:pPr>
            <w:r w:rsidRPr="00863B85">
              <w:rPr>
                <w:rFonts w:eastAsia="SimSun"/>
                <w:sz w:val="22"/>
                <w:szCs w:val="18"/>
                <w:lang w:eastAsia="zh-CN"/>
              </w:rPr>
              <w:t xml:space="preserve">While not many companies have taken advantage of these lower fees, it may be worth continuing for the possibility of future growth. If continued, a change in the definition for eligibility would help simplify and clarify implementation. There is currently </w:t>
            </w:r>
            <w:r w:rsidR="001D6977" w:rsidRPr="00863B85">
              <w:rPr>
                <w:rFonts w:eastAsia="SimSun"/>
                <w:sz w:val="22"/>
                <w:szCs w:val="18"/>
                <w:lang w:eastAsia="zh-CN"/>
              </w:rPr>
              <w:t>no</w:t>
            </w:r>
            <w:r w:rsidRPr="00863B85">
              <w:rPr>
                <w:rFonts w:eastAsia="SimSun"/>
                <w:sz w:val="22"/>
                <w:szCs w:val="18"/>
                <w:lang w:eastAsia="zh-CN"/>
              </w:rPr>
              <w:t xml:space="preserve"> company in ITU-R that benefits from this reduced fee and </w:t>
            </w:r>
            <w:r w:rsidR="001D6977" w:rsidRPr="00863B85">
              <w:rPr>
                <w:rFonts w:eastAsia="SimSun"/>
                <w:sz w:val="22"/>
                <w:szCs w:val="18"/>
                <w:lang w:eastAsia="zh-CN"/>
              </w:rPr>
              <w:t>3</w:t>
            </w:r>
            <w:r w:rsidRPr="00863B85">
              <w:rPr>
                <w:rFonts w:eastAsia="SimSun"/>
                <w:sz w:val="22"/>
                <w:szCs w:val="18"/>
                <w:lang w:eastAsia="zh-CN"/>
              </w:rPr>
              <w:t xml:space="preserve"> companies in ITU-T. At the same time, there are 5 ITU-R Sector Members and 6 in ITU-T that are also from these countries, but they joined before Resolution 170 entered into force, and therefore continue to pay regular ITU-R/T fees. Some of these existing members have asked to pay the lower fees, but this is not foreseen by Resolution 170. If all of these companies opted for the lower rate, it would result in a reduction of about CHF 300,000 a year in revenues.</w:t>
            </w:r>
          </w:p>
        </w:tc>
      </w:tr>
    </w:tbl>
    <w:p w:rsidR="00DD4BB0" w:rsidRPr="00A0359C" w:rsidRDefault="000D4425" w:rsidP="00723653">
      <w:pPr>
        <w:tabs>
          <w:tab w:val="left" w:pos="900"/>
        </w:tabs>
        <w:snapToGrid w:val="0"/>
        <w:jc w:val="center"/>
        <w:rPr>
          <w:rFonts w:eastAsia="SimSun" w:cs="Arial"/>
          <w:color w:val="000000"/>
          <w:lang w:val="en-US" w:eastAsia="zh-CN"/>
        </w:rPr>
      </w:pPr>
      <w:r w:rsidRPr="000D4425">
        <w:rPr>
          <w:szCs w:val="24"/>
          <w:u w:val="single"/>
        </w:rPr>
        <w:t>                     </w:t>
      </w:r>
    </w:p>
    <w:sectPr w:rsidR="00DD4BB0" w:rsidRPr="00A0359C" w:rsidSect="00723653">
      <w:headerReference w:type="default" r:id="rId27"/>
      <w:footerReference w:type="default" r:id="rId28"/>
      <w:footerReference w:type="first" r:id="rId2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91C" w:rsidRDefault="0055491C" w:rsidP="00BF3DFC">
      <w:r>
        <w:separator/>
      </w:r>
    </w:p>
  </w:endnote>
  <w:endnote w:type="continuationSeparator" w:id="0">
    <w:p w:rsidR="0055491C" w:rsidRDefault="0055491C" w:rsidP="00BF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A5" w:rsidRDefault="004D05A5" w:rsidP="00CD2DF8">
    <w:pPr>
      <w:pStyle w:val="Footer"/>
      <w:jc w:val="center"/>
    </w:pPr>
  </w:p>
  <w:p w:rsidR="004D05A5" w:rsidRDefault="004D05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A5" w:rsidRPr="002460D9" w:rsidRDefault="004D05A5" w:rsidP="00EB539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91C" w:rsidRDefault="0055491C" w:rsidP="00BF3DFC">
      <w:r>
        <w:separator/>
      </w:r>
    </w:p>
  </w:footnote>
  <w:footnote w:type="continuationSeparator" w:id="0">
    <w:p w:rsidR="0055491C" w:rsidRDefault="0055491C" w:rsidP="00BF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A5" w:rsidRDefault="004D05A5" w:rsidP="00CF3733">
    <w:pPr>
      <w:pStyle w:val="Header"/>
      <w:rPr>
        <w:noProof/>
      </w:rPr>
    </w:pPr>
    <w:r>
      <w:t>- </w:t>
    </w:r>
    <w:r>
      <w:fldChar w:fldCharType="begin"/>
    </w:r>
    <w:r>
      <w:instrText xml:space="preserve"> PAGE   \* MERGEFORMAT </w:instrText>
    </w:r>
    <w:r>
      <w:fldChar w:fldCharType="separate"/>
    </w:r>
    <w:r w:rsidR="00A05D6F">
      <w:rPr>
        <w:noProof/>
      </w:rPr>
      <w:t>2</w:t>
    </w:r>
    <w:r>
      <w:rPr>
        <w:noProof/>
      </w:rPr>
      <w:fldChar w:fldCharType="end"/>
    </w:r>
    <w:r w:rsidR="00723653">
      <w:rPr>
        <w:noProof/>
      </w:rPr>
      <w:t>/</w:t>
    </w:r>
    <w:r w:rsidR="00723653">
      <w:rPr>
        <w:noProof/>
      </w:rPr>
      <w:fldChar w:fldCharType="begin"/>
    </w:r>
    <w:r w:rsidR="00723653">
      <w:rPr>
        <w:noProof/>
      </w:rPr>
      <w:instrText xml:space="preserve"> NUMPAGES   \* MERGEFORMAT </w:instrText>
    </w:r>
    <w:r w:rsidR="00723653">
      <w:rPr>
        <w:noProof/>
      </w:rPr>
      <w:fldChar w:fldCharType="separate"/>
    </w:r>
    <w:r w:rsidR="00A05D6F">
      <w:rPr>
        <w:noProof/>
      </w:rPr>
      <w:t>11</w:t>
    </w:r>
    <w:r w:rsidR="00723653">
      <w:rPr>
        <w:noProof/>
      </w:rPr>
      <w:fldChar w:fldCharType="end"/>
    </w:r>
    <w:r>
      <w:rPr>
        <w:noProof/>
      </w:rPr>
      <w:t> -</w:t>
    </w:r>
  </w:p>
  <w:p w:rsidR="004D05A5" w:rsidRDefault="004D05A5" w:rsidP="00D07BDC">
    <w:pPr>
      <w:pStyle w:val="Header"/>
    </w:pPr>
    <w:r>
      <w:rPr>
        <w:noProof/>
      </w:rPr>
      <w:t>PP14/60-E</w:t>
    </w:r>
  </w:p>
  <w:p w:rsidR="004D05A5" w:rsidRDefault="004D05A5" w:rsidP="00964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563A70"/>
    <w:lvl w:ilvl="0">
      <w:start w:val="1"/>
      <w:numFmt w:val="decimal"/>
      <w:lvlText w:val="%1."/>
      <w:lvlJc w:val="left"/>
      <w:pPr>
        <w:tabs>
          <w:tab w:val="num" w:pos="1492"/>
        </w:tabs>
        <w:ind w:left="1492" w:hanging="360"/>
      </w:pPr>
    </w:lvl>
  </w:abstractNum>
  <w:abstractNum w:abstractNumId="1">
    <w:nsid w:val="FFFFFF7D"/>
    <w:multiLevelType w:val="singleLevel"/>
    <w:tmpl w:val="4392A438"/>
    <w:lvl w:ilvl="0">
      <w:start w:val="1"/>
      <w:numFmt w:val="decimal"/>
      <w:lvlText w:val="%1."/>
      <w:lvlJc w:val="left"/>
      <w:pPr>
        <w:tabs>
          <w:tab w:val="num" w:pos="1209"/>
        </w:tabs>
        <w:ind w:left="1209" w:hanging="360"/>
      </w:pPr>
    </w:lvl>
  </w:abstractNum>
  <w:abstractNum w:abstractNumId="2">
    <w:nsid w:val="FFFFFF7E"/>
    <w:multiLevelType w:val="singleLevel"/>
    <w:tmpl w:val="ADB6AD92"/>
    <w:lvl w:ilvl="0">
      <w:start w:val="1"/>
      <w:numFmt w:val="decimal"/>
      <w:lvlText w:val="%1."/>
      <w:lvlJc w:val="left"/>
      <w:pPr>
        <w:tabs>
          <w:tab w:val="num" w:pos="926"/>
        </w:tabs>
        <w:ind w:left="926" w:hanging="360"/>
      </w:pPr>
    </w:lvl>
  </w:abstractNum>
  <w:abstractNum w:abstractNumId="3">
    <w:nsid w:val="FFFFFF7F"/>
    <w:multiLevelType w:val="singleLevel"/>
    <w:tmpl w:val="419EB404"/>
    <w:lvl w:ilvl="0">
      <w:start w:val="1"/>
      <w:numFmt w:val="decimal"/>
      <w:lvlText w:val="%1."/>
      <w:lvlJc w:val="left"/>
      <w:pPr>
        <w:tabs>
          <w:tab w:val="num" w:pos="643"/>
        </w:tabs>
        <w:ind w:left="643" w:hanging="360"/>
      </w:pPr>
    </w:lvl>
  </w:abstractNum>
  <w:abstractNum w:abstractNumId="4">
    <w:nsid w:val="FFFFFF80"/>
    <w:multiLevelType w:val="singleLevel"/>
    <w:tmpl w:val="49F0E4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7C44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DE71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DC8E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B4B2A6"/>
    <w:lvl w:ilvl="0">
      <w:start w:val="1"/>
      <w:numFmt w:val="decimal"/>
      <w:lvlText w:val="%1."/>
      <w:lvlJc w:val="left"/>
      <w:pPr>
        <w:tabs>
          <w:tab w:val="num" w:pos="360"/>
        </w:tabs>
        <w:ind w:left="360" w:hanging="360"/>
      </w:pPr>
    </w:lvl>
  </w:abstractNum>
  <w:abstractNum w:abstractNumId="9">
    <w:nsid w:val="FFFFFF89"/>
    <w:multiLevelType w:val="singleLevel"/>
    <w:tmpl w:val="CF709224"/>
    <w:lvl w:ilvl="0">
      <w:start w:val="1"/>
      <w:numFmt w:val="bullet"/>
      <w:lvlText w:val=""/>
      <w:lvlJc w:val="left"/>
      <w:pPr>
        <w:tabs>
          <w:tab w:val="num" w:pos="360"/>
        </w:tabs>
        <w:ind w:left="360" w:hanging="360"/>
      </w:pPr>
      <w:rPr>
        <w:rFonts w:ascii="Symbol" w:hAnsi="Symbol" w:hint="default"/>
      </w:rPr>
    </w:lvl>
  </w:abstractNum>
  <w:abstractNum w:abstractNumId="10">
    <w:nsid w:val="03D40E62"/>
    <w:multiLevelType w:val="hybridMultilevel"/>
    <w:tmpl w:val="D1900A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C1B109D"/>
    <w:multiLevelType w:val="hybridMultilevel"/>
    <w:tmpl w:val="09F6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764B92"/>
    <w:multiLevelType w:val="hybridMultilevel"/>
    <w:tmpl w:val="CA20C4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160B4707"/>
    <w:multiLevelType w:val="hybridMultilevel"/>
    <w:tmpl w:val="9F30609C"/>
    <w:lvl w:ilvl="0" w:tplc="C94AC128">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DB5B9E"/>
    <w:multiLevelType w:val="hybridMultilevel"/>
    <w:tmpl w:val="AFC2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775DBF"/>
    <w:multiLevelType w:val="hybridMultilevel"/>
    <w:tmpl w:val="7E3E7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D3405FA"/>
    <w:multiLevelType w:val="hybridMultilevel"/>
    <w:tmpl w:val="79682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89511C9"/>
    <w:multiLevelType w:val="hybridMultilevel"/>
    <w:tmpl w:val="7FD44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E83233C"/>
    <w:multiLevelType w:val="hybridMultilevel"/>
    <w:tmpl w:val="FDF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0A0777"/>
    <w:multiLevelType w:val="hybridMultilevel"/>
    <w:tmpl w:val="ACF6E754"/>
    <w:lvl w:ilvl="0" w:tplc="6128D812">
      <w:start w:val="1"/>
      <w:numFmt w:val="decimal"/>
      <w:lvlText w:val="%1"/>
      <w:lvlJc w:val="left"/>
      <w:pPr>
        <w:ind w:left="852" w:hanging="795"/>
      </w:p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20">
    <w:nsid w:val="35303C3E"/>
    <w:multiLevelType w:val="hybridMultilevel"/>
    <w:tmpl w:val="74B85B3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50138"/>
    <w:multiLevelType w:val="hybridMultilevel"/>
    <w:tmpl w:val="1C042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807AB1"/>
    <w:multiLevelType w:val="multilevel"/>
    <w:tmpl w:val="F7CAB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A765E70"/>
    <w:multiLevelType w:val="hybridMultilevel"/>
    <w:tmpl w:val="6BC8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67CB6"/>
    <w:multiLevelType w:val="hybridMultilevel"/>
    <w:tmpl w:val="62306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595961"/>
    <w:multiLevelType w:val="hybridMultilevel"/>
    <w:tmpl w:val="5F1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1B7662"/>
    <w:multiLevelType w:val="hybridMultilevel"/>
    <w:tmpl w:val="C4E2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26677"/>
    <w:multiLevelType w:val="hybridMultilevel"/>
    <w:tmpl w:val="0EB48446"/>
    <w:lvl w:ilvl="0" w:tplc="79F4EC2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457892"/>
    <w:multiLevelType w:val="hybridMultilevel"/>
    <w:tmpl w:val="1BB65F5C"/>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6EC961B5"/>
    <w:multiLevelType w:val="multilevel"/>
    <w:tmpl w:val="5C32494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0623FBC"/>
    <w:multiLevelType w:val="hybridMultilevel"/>
    <w:tmpl w:val="A44EF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3763758"/>
    <w:multiLevelType w:val="hybridMultilevel"/>
    <w:tmpl w:val="B78E3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30"/>
  </w:num>
  <w:num w:numId="4">
    <w:abstractNumId w:val="1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3"/>
  </w:num>
  <w:num w:numId="9">
    <w:abstractNumId w:val="22"/>
  </w:num>
  <w:num w:numId="10">
    <w:abstractNumId w:val="28"/>
  </w:num>
  <w:num w:numId="11">
    <w:abstractNumId w:val="10"/>
  </w:num>
  <w:num w:numId="12">
    <w:abstractNumId w:val="23"/>
  </w:num>
  <w:num w:numId="13">
    <w:abstractNumId w:val="11"/>
  </w:num>
  <w:num w:numId="14">
    <w:abstractNumId w:val="18"/>
  </w:num>
  <w:num w:numId="15">
    <w:abstractNumId w:val="14"/>
  </w:num>
  <w:num w:numId="16">
    <w:abstractNumId w:val="31"/>
  </w:num>
  <w:num w:numId="17">
    <w:abstractNumId w:val="26"/>
  </w:num>
  <w:num w:numId="18">
    <w:abstractNumId w:val="27"/>
  </w:num>
  <w:num w:numId="19">
    <w:abstractNumId w:val="15"/>
  </w:num>
  <w:num w:numId="20">
    <w:abstractNumId w:val="21"/>
  </w:num>
  <w:num w:numId="21">
    <w:abstractNumId w:val="24"/>
  </w:num>
  <w:num w:numId="22">
    <w:abstractNumId w:val="12"/>
  </w:num>
  <w:num w:numId="23">
    <w:abstractNumId w:val="2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BCF"/>
    <w:rsid w:val="00003178"/>
    <w:rsid w:val="00003CF7"/>
    <w:rsid w:val="00003E71"/>
    <w:rsid w:val="000040F2"/>
    <w:rsid w:val="00011347"/>
    <w:rsid w:val="00022675"/>
    <w:rsid w:val="00024F68"/>
    <w:rsid w:val="0003363E"/>
    <w:rsid w:val="00034721"/>
    <w:rsid w:val="00056FD1"/>
    <w:rsid w:val="00061B6B"/>
    <w:rsid w:val="00067DF0"/>
    <w:rsid w:val="00067E45"/>
    <w:rsid w:val="0007711A"/>
    <w:rsid w:val="00077B2A"/>
    <w:rsid w:val="00091694"/>
    <w:rsid w:val="000B54CA"/>
    <w:rsid w:val="000C17F5"/>
    <w:rsid w:val="000D4425"/>
    <w:rsid w:val="000D55B8"/>
    <w:rsid w:val="000E4433"/>
    <w:rsid w:val="000E78A1"/>
    <w:rsid w:val="000F2E95"/>
    <w:rsid w:val="0010125B"/>
    <w:rsid w:val="001031EE"/>
    <w:rsid w:val="00113FF5"/>
    <w:rsid w:val="00115D6B"/>
    <w:rsid w:val="00124B9B"/>
    <w:rsid w:val="00130458"/>
    <w:rsid w:val="0013211E"/>
    <w:rsid w:val="0013296D"/>
    <w:rsid w:val="0013401F"/>
    <w:rsid w:val="001402DE"/>
    <w:rsid w:val="001403BC"/>
    <w:rsid w:val="00145257"/>
    <w:rsid w:val="00147BCF"/>
    <w:rsid w:val="001567FA"/>
    <w:rsid w:val="00170398"/>
    <w:rsid w:val="001746A4"/>
    <w:rsid w:val="00182E8F"/>
    <w:rsid w:val="00186D9A"/>
    <w:rsid w:val="00191BBF"/>
    <w:rsid w:val="001A6C6D"/>
    <w:rsid w:val="001A7E2B"/>
    <w:rsid w:val="001B4956"/>
    <w:rsid w:val="001C5BC0"/>
    <w:rsid w:val="001C693D"/>
    <w:rsid w:val="001D0D51"/>
    <w:rsid w:val="001D37F5"/>
    <w:rsid w:val="001D6977"/>
    <w:rsid w:val="001E41D3"/>
    <w:rsid w:val="001E73C4"/>
    <w:rsid w:val="001E7DD3"/>
    <w:rsid w:val="00200B90"/>
    <w:rsid w:val="00202E2C"/>
    <w:rsid w:val="00210EC6"/>
    <w:rsid w:val="0021477A"/>
    <w:rsid w:val="002205E5"/>
    <w:rsid w:val="00232FAB"/>
    <w:rsid w:val="002435C2"/>
    <w:rsid w:val="0026349F"/>
    <w:rsid w:val="0026475B"/>
    <w:rsid w:val="00282F1D"/>
    <w:rsid w:val="002B2682"/>
    <w:rsid w:val="002B7629"/>
    <w:rsid w:val="002C6D2A"/>
    <w:rsid w:val="002E1F04"/>
    <w:rsid w:val="002E4FA2"/>
    <w:rsid w:val="002E57FB"/>
    <w:rsid w:val="002E670F"/>
    <w:rsid w:val="002E7332"/>
    <w:rsid w:val="002F3C49"/>
    <w:rsid w:val="00300AB8"/>
    <w:rsid w:val="0030192C"/>
    <w:rsid w:val="003028EC"/>
    <w:rsid w:val="0031094B"/>
    <w:rsid w:val="00312D69"/>
    <w:rsid w:val="00314F66"/>
    <w:rsid w:val="00321111"/>
    <w:rsid w:val="00326069"/>
    <w:rsid w:val="00333965"/>
    <w:rsid w:val="00337FBB"/>
    <w:rsid w:val="00340643"/>
    <w:rsid w:val="0034653D"/>
    <w:rsid w:val="00347CB0"/>
    <w:rsid w:val="00350CA4"/>
    <w:rsid w:val="00352F77"/>
    <w:rsid w:val="00355FB8"/>
    <w:rsid w:val="00357DCF"/>
    <w:rsid w:val="003634E0"/>
    <w:rsid w:val="00365BA4"/>
    <w:rsid w:val="003702ED"/>
    <w:rsid w:val="003705D6"/>
    <w:rsid w:val="003745AA"/>
    <w:rsid w:val="0038241F"/>
    <w:rsid w:val="0039311D"/>
    <w:rsid w:val="003A0966"/>
    <w:rsid w:val="003B4251"/>
    <w:rsid w:val="003B4BCC"/>
    <w:rsid w:val="003D05B3"/>
    <w:rsid w:val="003D0740"/>
    <w:rsid w:val="003E0FD8"/>
    <w:rsid w:val="003E1DB5"/>
    <w:rsid w:val="003F740A"/>
    <w:rsid w:val="004039A2"/>
    <w:rsid w:val="004136E2"/>
    <w:rsid w:val="00441298"/>
    <w:rsid w:val="00442D11"/>
    <w:rsid w:val="00446703"/>
    <w:rsid w:val="0045045C"/>
    <w:rsid w:val="00450E7E"/>
    <w:rsid w:val="00453A65"/>
    <w:rsid w:val="0046437B"/>
    <w:rsid w:val="004653F7"/>
    <w:rsid w:val="00476DCE"/>
    <w:rsid w:val="004823ED"/>
    <w:rsid w:val="0048410A"/>
    <w:rsid w:val="004862D6"/>
    <w:rsid w:val="00486653"/>
    <w:rsid w:val="00493935"/>
    <w:rsid w:val="004A55C7"/>
    <w:rsid w:val="004B4572"/>
    <w:rsid w:val="004C1276"/>
    <w:rsid w:val="004D05A5"/>
    <w:rsid w:val="004D57B4"/>
    <w:rsid w:val="004F63F3"/>
    <w:rsid w:val="004F6B7C"/>
    <w:rsid w:val="00506262"/>
    <w:rsid w:val="0052128A"/>
    <w:rsid w:val="0052143C"/>
    <w:rsid w:val="0052297A"/>
    <w:rsid w:val="005310D7"/>
    <w:rsid w:val="005338BF"/>
    <w:rsid w:val="00536E6A"/>
    <w:rsid w:val="00543B88"/>
    <w:rsid w:val="0055082E"/>
    <w:rsid w:val="00551919"/>
    <w:rsid w:val="00552D22"/>
    <w:rsid w:val="0055491C"/>
    <w:rsid w:val="00555B4A"/>
    <w:rsid w:val="005561AF"/>
    <w:rsid w:val="005625DA"/>
    <w:rsid w:val="005656C7"/>
    <w:rsid w:val="0057553E"/>
    <w:rsid w:val="00585875"/>
    <w:rsid w:val="00591B22"/>
    <w:rsid w:val="005920D7"/>
    <w:rsid w:val="005923E9"/>
    <w:rsid w:val="005938AA"/>
    <w:rsid w:val="00594A06"/>
    <w:rsid w:val="005A2141"/>
    <w:rsid w:val="005A7C43"/>
    <w:rsid w:val="005B43C0"/>
    <w:rsid w:val="005C7190"/>
    <w:rsid w:val="005D6F96"/>
    <w:rsid w:val="005E5221"/>
    <w:rsid w:val="005F5718"/>
    <w:rsid w:val="00604A9C"/>
    <w:rsid w:val="00612E35"/>
    <w:rsid w:val="0062456A"/>
    <w:rsid w:val="006258C3"/>
    <w:rsid w:val="0064288B"/>
    <w:rsid w:val="00644BBC"/>
    <w:rsid w:val="00656E54"/>
    <w:rsid w:val="00661506"/>
    <w:rsid w:val="00666BD0"/>
    <w:rsid w:val="00673AD5"/>
    <w:rsid w:val="00673B14"/>
    <w:rsid w:val="00673FE9"/>
    <w:rsid w:val="00674EAC"/>
    <w:rsid w:val="0068334A"/>
    <w:rsid w:val="00683D2C"/>
    <w:rsid w:val="006852F9"/>
    <w:rsid w:val="0068789D"/>
    <w:rsid w:val="006A148D"/>
    <w:rsid w:val="006A3260"/>
    <w:rsid w:val="006A59AD"/>
    <w:rsid w:val="006A6588"/>
    <w:rsid w:val="006A7912"/>
    <w:rsid w:val="006B24B3"/>
    <w:rsid w:val="006C6217"/>
    <w:rsid w:val="006C733A"/>
    <w:rsid w:val="006D61BD"/>
    <w:rsid w:val="006E24AF"/>
    <w:rsid w:val="00706ED2"/>
    <w:rsid w:val="0071448E"/>
    <w:rsid w:val="00714592"/>
    <w:rsid w:val="00715C03"/>
    <w:rsid w:val="007210C4"/>
    <w:rsid w:val="00723653"/>
    <w:rsid w:val="00740C90"/>
    <w:rsid w:val="00746B85"/>
    <w:rsid w:val="00753DC5"/>
    <w:rsid w:val="00755333"/>
    <w:rsid w:val="00755F96"/>
    <w:rsid w:val="00761741"/>
    <w:rsid w:val="007637D5"/>
    <w:rsid w:val="00765033"/>
    <w:rsid w:val="007653CB"/>
    <w:rsid w:val="00772CD3"/>
    <w:rsid w:val="007738E6"/>
    <w:rsid w:val="00774781"/>
    <w:rsid w:val="00782391"/>
    <w:rsid w:val="00792963"/>
    <w:rsid w:val="00792C96"/>
    <w:rsid w:val="007A003F"/>
    <w:rsid w:val="007A0320"/>
    <w:rsid w:val="007A0E5A"/>
    <w:rsid w:val="007A4229"/>
    <w:rsid w:val="007B1669"/>
    <w:rsid w:val="007B7F62"/>
    <w:rsid w:val="007C2A2E"/>
    <w:rsid w:val="007C49F4"/>
    <w:rsid w:val="007D0A99"/>
    <w:rsid w:val="007D332D"/>
    <w:rsid w:val="007E7DF4"/>
    <w:rsid w:val="007F272E"/>
    <w:rsid w:val="007F553D"/>
    <w:rsid w:val="00805730"/>
    <w:rsid w:val="0081203D"/>
    <w:rsid w:val="0082337D"/>
    <w:rsid w:val="00831928"/>
    <w:rsid w:val="00845011"/>
    <w:rsid w:val="00845CCC"/>
    <w:rsid w:val="008465C8"/>
    <w:rsid w:val="00846F4D"/>
    <w:rsid w:val="008543CB"/>
    <w:rsid w:val="00863B85"/>
    <w:rsid w:val="00876460"/>
    <w:rsid w:val="008829D1"/>
    <w:rsid w:val="0089005E"/>
    <w:rsid w:val="00895D8F"/>
    <w:rsid w:val="008A6043"/>
    <w:rsid w:val="008B4816"/>
    <w:rsid w:val="008B6B2F"/>
    <w:rsid w:val="008B7E1E"/>
    <w:rsid w:val="008C4443"/>
    <w:rsid w:val="008C4CBF"/>
    <w:rsid w:val="008C5E1F"/>
    <w:rsid w:val="008D3015"/>
    <w:rsid w:val="008D5FD7"/>
    <w:rsid w:val="008E117F"/>
    <w:rsid w:val="008E28BD"/>
    <w:rsid w:val="008E4FAD"/>
    <w:rsid w:val="00901687"/>
    <w:rsid w:val="00905487"/>
    <w:rsid w:val="00906213"/>
    <w:rsid w:val="009074E3"/>
    <w:rsid w:val="009078AA"/>
    <w:rsid w:val="0091386C"/>
    <w:rsid w:val="009204D7"/>
    <w:rsid w:val="00921926"/>
    <w:rsid w:val="009258D0"/>
    <w:rsid w:val="00926165"/>
    <w:rsid w:val="00936B23"/>
    <w:rsid w:val="0094170C"/>
    <w:rsid w:val="00942073"/>
    <w:rsid w:val="00943EA7"/>
    <w:rsid w:val="0095631E"/>
    <w:rsid w:val="00962786"/>
    <w:rsid w:val="00964D18"/>
    <w:rsid w:val="00967D41"/>
    <w:rsid w:val="00973D5F"/>
    <w:rsid w:val="00976766"/>
    <w:rsid w:val="00980BE6"/>
    <w:rsid w:val="00981642"/>
    <w:rsid w:val="00982327"/>
    <w:rsid w:val="00984A37"/>
    <w:rsid w:val="00984CC6"/>
    <w:rsid w:val="00990CEB"/>
    <w:rsid w:val="009925D8"/>
    <w:rsid w:val="00992BF7"/>
    <w:rsid w:val="009A636D"/>
    <w:rsid w:val="009A6934"/>
    <w:rsid w:val="009B5F21"/>
    <w:rsid w:val="009B68CB"/>
    <w:rsid w:val="009D1E75"/>
    <w:rsid w:val="009D4F5C"/>
    <w:rsid w:val="009E5280"/>
    <w:rsid w:val="009E7FE7"/>
    <w:rsid w:val="00A0359C"/>
    <w:rsid w:val="00A05D6F"/>
    <w:rsid w:val="00A17BA2"/>
    <w:rsid w:val="00A25182"/>
    <w:rsid w:val="00A2778E"/>
    <w:rsid w:val="00A41688"/>
    <w:rsid w:val="00A52E82"/>
    <w:rsid w:val="00A62F1D"/>
    <w:rsid w:val="00A67B47"/>
    <w:rsid w:val="00A71638"/>
    <w:rsid w:val="00A72568"/>
    <w:rsid w:val="00A7439F"/>
    <w:rsid w:val="00A815B0"/>
    <w:rsid w:val="00A91B67"/>
    <w:rsid w:val="00A93BBC"/>
    <w:rsid w:val="00A96EC4"/>
    <w:rsid w:val="00A973A4"/>
    <w:rsid w:val="00AA30B0"/>
    <w:rsid w:val="00AA376C"/>
    <w:rsid w:val="00AB0DBD"/>
    <w:rsid w:val="00AD3E8A"/>
    <w:rsid w:val="00AD42A6"/>
    <w:rsid w:val="00AD4309"/>
    <w:rsid w:val="00AD6907"/>
    <w:rsid w:val="00AE6486"/>
    <w:rsid w:val="00AE7EF0"/>
    <w:rsid w:val="00B06217"/>
    <w:rsid w:val="00B070E1"/>
    <w:rsid w:val="00B165B1"/>
    <w:rsid w:val="00B30EB8"/>
    <w:rsid w:val="00B37499"/>
    <w:rsid w:val="00B4351A"/>
    <w:rsid w:val="00B43D18"/>
    <w:rsid w:val="00B44549"/>
    <w:rsid w:val="00B45A6B"/>
    <w:rsid w:val="00B53725"/>
    <w:rsid w:val="00B6333D"/>
    <w:rsid w:val="00B65745"/>
    <w:rsid w:val="00B66C89"/>
    <w:rsid w:val="00B719C2"/>
    <w:rsid w:val="00B82B4D"/>
    <w:rsid w:val="00B87730"/>
    <w:rsid w:val="00B92402"/>
    <w:rsid w:val="00BA55C8"/>
    <w:rsid w:val="00BA7AEC"/>
    <w:rsid w:val="00BB1B6B"/>
    <w:rsid w:val="00BB58FC"/>
    <w:rsid w:val="00BB682B"/>
    <w:rsid w:val="00BC19CB"/>
    <w:rsid w:val="00BC5F9E"/>
    <w:rsid w:val="00BD03F9"/>
    <w:rsid w:val="00BE3185"/>
    <w:rsid w:val="00BE3A6E"/>
    <w:rsid w:val="00BE3BCD"/>
    <w:rsid w:val="00BE6B25"/>
    <w:rsid w:val="00BF1B1C"/>
    <w:rsid w:val="00BF3DFC"/>
    <w:rsid w:val="00C0704C"/>
    <w:rsid w:val="00C124B3"/>
    <w:rsid w:val="00C131BF"/>
    <w:rsid w:val="00C1498F"/>
    <w:rsid w:val="00C27C94"/>
    <w:rsid w:val="00C404BA"/>
    <w:rsid w:val="00C44884"/>
    <w:rsid w:val="00C47D17"/>
    <w:rsid w:val="00C64799"/>
    <w:rsid w:val="00C70FF4"/>
    <w:rsid w:val="00C73B61"/>
    <w:rsid w:val="00C82421"/>
    <w:rsid w:val="00C843CD"/>
    <w:rsid w:val="00C94B2F"/>
    <w:rsid w:val="00C9563E"/>
    <w:rsid w:val="00C96E5A"/>
    <w:rsid w:val="00CB1115"/>
    <w:rsid w:val="00CB2165"/>
    <w:rsid w:val="00CD2DF8"/>
    <w:rsid w:val="00CD3224"/>
    <w:rsid w:val="00CD5F99"/>
    <w:rsid w:val="00CE0828"/>
    <w:rsid w:val="00CE7896"/>
    <w:rsid w:val="00CF099A"/>
    <w:rsid w:val="00CF17EE"/>
    <w:rsid w:val="00CF3733"/>
    <w:rsid w:val="00D01325"/>
    <w:rsid w:val="00D029B0"/>
    <w:rsid w:val="00D03627"/>
    <w:rsid w:val="00D05BFD"/>
    <w:rsid w:val="00D07BDC"/>
    <w:rsid w:val="00D20318"/>
    <w:rsid w:val="00D2231D"/>
    <w:rsid w:val="00D22A3C"/>
    <w:rsid w:val="00D31875"/>
    <w:rsid w:val="00D465E4"/>
    <w:rsid w:val="00D558B7"/>
    <w:rsid w:val="00D56C04"/>
    <w:rsid w:val="00D64394"/>
    <w:rsid w:val="00D92104"/>
    <w:rsid w:val="00D96BDC"/>
    <w:rsid w:val="00DA4E62"/>
    <w:rsid w:val="00DA6898"/>
    <w:rsid w:val="00DB146A"/>
    <w:rsid w:val="00DC1BA9"/>
    <w:rsid w:val="00DC5057"/>
    <w:rsid w:val="00DD380A"/>
    <w:rsid w:val="00DD3A13"/>
    <w:rsid w:val="00DD4773"/>
    <w:rsid w:val="00DD4BB0"/>
    <w:rsid w:val="00DF1EBC"/>
    <w:rsid w:val="00E021C9"/>
    <w:rsid w:val="00E05E4F"/>
    <w:rsid w:val="00E13232"/>
    <w:rsid w:val="00E14FF4"/>
    <w:rsid w:val="00E212E2"/>
    <w:rsid w:val="00E22F05"/>
    <w:rsid w:val="00E30582"/>
    <w:rsid w:val="00E332CA"/>
    <w:rsid w:val="00E514A6"/>
    <w:rsid w:val="00E6642E"/>
    <w:rsid w:val="00E700AC"/>
    <w:rsid w:val="00E77B1C"/>
    <w:rsid w:val="00E86A36"/>
    <w:rsid w:val="00E9672F"/>
    <w:rsid w:val="00E97D49"/>
    <w:rsid w:val="00E97D9B"/>
    <w:rsid w:val="00EB5394"/>
    <w:rsid w:val="00EC29AD"/>
    <w:rsid w:val="00EC2EC4"/>
    <w:rsid w:val="00EC51E2"/>
    <w:rsid w:val="00ED43E8"/>
    <w:rsid w:val="00EE3D39"/>
    <w:rsid w:val="00EE7268"/>
    <w:rsid w:val="00EE796C"/>
    <w:rsid w:val="00EF15BA"/>
    <w:rsid w:val="00EF6E2F"/>
    <w:rsid w:val="00F058E1"/>
    <w:rsid w:val="00F17209"/>
    <w:rsid w:val="00F22E07"/>
    <w:rsid w:val="00F41BD8"/>
    <w:rsid w:val="00F43789"/>
    <w:rsid w:val="00F503CC"/>
    <w:rsid w:val="00F52A13"/>
    <w:rsid w:val="00F53EFD"/>
    <w:rsid w:val="00F54349"/>
    <w:rsid w:val="00F57D6D"/>
    <w:rsid w:val="00F6047E"/>
    <w:rsid w:val="00F67C0A"/>
    <w:rsid w:val="00F73C86"/>
    <w:rsid w:val="00F74911"/>
    <w:rsid w:val="00F775A7"/>
    <w:rsid w:val="00F802AC"/>
    <w:rsid w:val="00F85CE0"/>
    <w:rsid w:val="00F87069"/>
    <w:rsid w:val="00F87C6E"/>
    <w:rsid w:val="00F93365"/>
    <w:rsid w:val="00FA45E8"/>
    <w:rsid w:val="00FB722A"/>
    <w:rsid w:val="00FC2E51"/>
    <w:rsid w:val="00FC4052"/>
    <w:rsid w:val="00FD1FDE"/>
    <w:rsid w:val="00FD7202"/>
    <w:rsid w:val="00FF789B"/>
    <w:rsid w:val="00FF7BB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D6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qFormat/>
    <w:rsid w:val="00A05D6F"/>
    <w:pPr>
      <w:keepNext/>
      <w:keepLines/>
      <w:spacing w:before="480"/>
      <w:ind w:left="567" w:hanging="567"/>
      <w:outlineLvl w:val="0"/>
    </w:pPr>
    <w:rPr>
      <w:b/>
      <w:sz w:val="28"/>
    </w:rPr>
  </w:style>
  <w:style w:type="paragraph" w:styleId="Heading2">
    <w:name w:val="heading 2"/>
    <w:basedOn w:val="Heading1"/>
    <w:next w:val="Normal"/>
    <w:link w:val="Heading2Char"/>
    <w:qFormat/>
    <w:rsid w:val="00A05D6F"/>
    <w:pPr>
      <w:spacing w:before="320"/>
      <w:outlineLvl w:val="1"/>
    </w:pPr>
    <w:rPr>
      <w:sz w:val="24"/>
    </w:rPr>
  </w:style>
  <w:style w:type="paragraph" w:styleId="Heading3">
    <w:name w:val="heading 3"/>
    <w:basedOn w:val="Heading1"/>
    <w:next w:val="Normal"/>
    <w:link w:val="Heading3Char"/>
    <w:qFormat/>
    <w:rsid w:val="00A05D6F"/>
    <w:pPr>
      <w:spacing w:before="200"/>
      <w:outlineLvl w:val="2"/>
    </w:pPr>
    <w:rPr>
      <w:sz w:val="24"/>
    </w:rPr>
  </w:style>
  <w:style w:type="paragraph" w:styleId="Heading4">
    <w:name w:val="heading 4"/>
    <w:basedOn w:val="Heading3"/>
    <w:next w:val="Normal"/>
    <w:link w:val="Heading4Char"/>
    <w:qFormat/>
    <w:rsid w:val="00A05D6F"/>
    <w:pPr>
      <w:ind w:left="1134" w:hanging="1134"/>
      <w:outlineLvl w:val="3"/>
    </w:pPr>
  </w:style>
  <w:style w:type="paragraph" w:styleId="Heading5">
    <w:name w:val="heading 5"/>
    <w:basedOn w:val="Heading4"/>
    <w:next w:val="Normal"/>
    <w:link w:val="Heading5Char"/>
    <w:qFormat/>
    <w:rsid w:val="00A05D6F"/>
    <w:pPr>
      <w:outlineLvl w:val="4"/>
    </w:pPr>
  </w:style>
  <w:style w:type="paragraph" w:styleId="Heading6">
    <w:name w:val="heading 6"/>
    <w:basedOn w:val="Heading4"/>
    <w:next w:val="Normal"/>
    <w:link w:val="Heading6Char"/>
    <w:qFormat/>
    <w:rsid w:val="00A05D6F"/>
    <w:pPr>
      <w:outlineLvl w:val="5"/>
    </w:pPr>
  </w:style>
  <w:style w:type="paragraph" w:styleId="Heading7">
    <w:name w:val="heading 7"/>
    <w:basedOn w:val="Heading4"/>
    <w:next w:val="Normal"/>
    <w:link w:val="Heading7Char"/>
    <w:qFormat/>
    <w:rsid w:val="00A05D6F"/>
    <w:pPr>
      <w:ind w:left="1701" w:hanging="1701"/>
      <w:outlineLvl w:val="6"/>
    </w:pPr>
  </w:style>
  <w:style w:type="paragraph" w:styleId="Heading8">
    <w:name w:val="heading 8"/>
    <w:basedOn w:val="Heading4"/>
    <w:next w:val="Normal"/>
    <w:link w:val="Heading8Char"/>
    <w:qFormat/>
    <w:rsid w:val="00A05D6F"/>
    <w:pPr>
      <w:ind w:left="1701" w:hanging="1701"/>
      <w:outlineLvl w:val="7"/>
    </w:pPr>
  </w:style>
  <w:style w:type="paragraph" w:styleId="Heading9">
    <w:name w:val="heading 9"/>
    <w:basedOn w:val="Heading4"/>
    <w:next w:val="Normal"/>
    <w:link w:val="Heading9Char"/>
    <w:qFormat/>
    <w:rsid w:val="00A05D6F"/>
    <w:pPr>
      <w:ind w:left="1701" w:hanging="1701"/>
      <w:outlineLvl w:val="8"/>
    </w:pPr>
  </w:style>
  <w:style w:type="character" w:default="1" w:styleId="DefaultParagraphFont">
    <w:name w:val="Default Paragraph Font"/>
    <w:uiPriority w:val="1"/>
    <w:semiHidden/>
    <w:unhideWhenUsed/>
    <w:rsid w:val="00A05D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5D6F"/>
  </w:style>
  <w:style w:type="character" w:styleId="Hyperlink">
    <w:name w:val="Hyperlink"/>
    <w:basedOn w:val="DefaultParagraphFont"/>
    <w:rsid w:val="00A05D6F"/>
    <w:rPr>
      <w:rFonts w:ascii="Calibri" w:hAnsi="Calibri"/>
      <w:color w:val="0000FF"/>
      <w:u w:val="single"/>
    </w:rPr>
  </w:style>
  <w:style w:type="paragraph" w:styleId="ListParagraph">
    <w:name w:val="List Paragraph"/>
    <w:basedOn w:val="Normal"/>
    <w:uiPriority w:val="34"/>
    <w:qFormat/>
    <w:rsid w:val="00CE0828"/>
    <w:pPr>
      <w:ind w:left="720"/>
      <w:contextualSpacing/>
    </w:pPr>
  </w:style>
  <w:style w:type="character" w:customStyle="1" w:styleId="NormalaftertitleChar">
    <w:name w:val="Normal after title Char"/>
    <w:link w:val="Normalaftertitle"/>
    <w:locked/>
    <w:rsid w:val="005D6F96"/>
    <w:rPr>
      <w:rFonts w:ascii="Calibri" w:eastAsia="Times New Roman" w:hAnsi="Calibri" w:cs="Times New Roman"/>
      <w:sz w:val="24"/>
      <w:szCs w:val="20"/>
      <w:lang w:val="en-GB"/>
    </w:rPr>
  </w:style>
  <w:style w:type="paragraph" w:customStyle="1" w:styleId="Normalaftertitle">
    <w:name w:val="Normal after title"/>
    <w:basedOn w:val="Normal"/>
    <w:next w:val="Normal"/>
    <w:link w:val="NormalaftertitleChar"/>
    <w:rsid w:val="00A05D6F"/>
    <w:pPr>
      <w:spacing w:before="240"/>
    </w:pPr>
  </w:style>
  <w:style w:type="paragraph" w:customStyle="1" w:styleId="call">
    <w:name w:val="call"/>
    <w:basedOn w:val="Normal"/>
    <w:next w:val="Normal"/>
    <w:rsid w:val="005D6F96"/>
    <w:pPr>
      <w:keepNext/>
      <w:keepLines/>
      <w:tabs>
        <w:tab w:val="left" w:pos="794"/>
        <w:tab w:val="left" w:pos="1191"/>
        <w:tab w:val="left" w:pos="1588"/>
        <w:tab w:val="left" w:pos="1985"/>
      </w:tabs>
      <w:spacing w:before="160"/>
      <w:ind w:left="794"/>
    </w:pPr>
    <w:rPr>
      <w:i/>
    </w:rPr>
  </w:style>
  <w:style w:type="paragraph" w:customStyle="1" w:styleId="Rectitle">
    <w:name w:val="Rec_title"/>
    <w:basedOn w:val="Normal"/>
    <w:next w:val="Heading1"/>
    <w:rsid w:val="00A05D6F"/>
    <w:pPr>
      <w:spacing w:before="240"/>
      <w:jc w:val="center"/>
    </w:pPr>
    <w:rPr>
      <w:b/>
      <w:sz w:val="28"/>
    </w:rPr>
  </w:style>
  <w:style w:type="paragraph" w:customStyle="1" w:styleId="RecNo">
    <w:name w:val="Rec_No"/>
    <w:basedOn w:val="Normal"/>
    <w:next w:val="Rectitle"/>
    <w:rsid w:val="00A05D6F"/>
    <w:pPr>
      <w:spacing w:before="720"/>
      <w:jc w:val="center"/>
    </w:pPr>
    <w:rPr>
      <w:caps/>
      <w:sz w:val="28"/>
    </w:rPr>
  </w:style>
  <w:style w:type="character" w:customStyle="1" w:styleId="Heading1Char">
    <w:name w:val="Heading 1 Char"/>
    <w:basedOn w:val="DefaultParagraphFont"/>
    <w:link w:val="Heading1"/>
    <w:rsid w:val="005D6F96"/>
    <w:rPr>
      <w:rFonts w:ascii="Calibri" w:eastAsia="Times New Roman" w:hAnsi="Calibri" w:cs="Times New Roman"/>
      <w:b/>
      <w:sz w:val="28"/>
      <w:szCs w:val="20"/>
      <w:lang w:val="en-GB"/>
    </w:rPr>
  </w:style>
  <w:style w:type="paragraph" w:customStyle="1" w:styleId="AnnexNo">
    <w:name w:val="Annex_No"/>
    <w:basedOn w:val="Normal"/>
    <w:next w:val="Annexref"/>
    <w:rsid w:val="00A05D6F"/>
    <w:pPr>
      <w:spacing w:before="720"/>
      <w:jc w:val="center"/>
    </w:pPr>
    <w:rPr>
      <w:caps/>
      <w:sz w:val="28"/>
    </w:rPr>
  </w:style>
  <w:style w:type="paragraph" w:customStyle="1" w:styleId="Annextitle">
    <w:name w:val="Annex_title"/>
    <w:basedOn w:val="Normal"/>
    <w:next w:val="Normal"/>
    <w:rsid w:val="00A05D6F"/>
    <w:pPr>
      <w:spacing w:before="240" w:after="240"/>
      <w:jc w:val="center"/>
    </w:pPr>
    <w:rPr>
      <w:b/>
      <w:sz w:val="28"/>
    </w:rPr>
  </w:style>
  <w:style w:type="paragraph" w:styleId="BalloonText">
    <w:name w:val="Balloon Text"/>
    <w:basedOn w:val="Normal"/>
    <w:link w:val="BalloonTextChar"/>
    <w:semiHidden/>
    <w:unhideWhenUsed/>
    <w:rsid w:val="00A05D6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05D6F"/>
    <w:rPr>
      <w:rFonts w:ascii="Tahoma" w:eastAsia="Times New Roman" w:hAnsi="Tahoma" w:cs="Tahoma"/>
      <w:sz w:val="16"/>
      <w:szCs w:val="16"/>
      <w:lang w:val="en-GB"/>
    </w:rPr>
  </w:style>
  <w:style w:type="paragraph" w:styleId="Header">
    <w:name w:val="header"/>
    <w:basedOn w:val="Normal"/>
    <w:link w:val="HeaderChar"/>
    <w:rsid w:val="00A05D6F"/>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A05D6F"/>
    <w:rPr>
      <w:rFonts w:ascii="Calibri" w:eastAsia="Times New Roman" w:hAnsi="Calibri" w:cs="Times New Roman"/>
      <w:sz w:val="18"/>
      <w:szCs w:val="20"/>
      <w:lang w:val="en-GB"/>
    </w:rPr>
  </w:style>
  <w:style w:type="paragraph" w:styleId="Footer">
    <w:name w:val="footer"/>
    <w:basedOn w:val="Normal"/>
    <w:link w:val="FooterChar"/>
    <w:rsid w:val="00A05D6F"/>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BF3DFC"/>
    <w:rPr>
      <w:rFonts w:ascii="Calibri" w:eastAsia="Times New Roman" w:hAnsi="Calibri" w:cs="Times New Roman"/>
      <w:caps/>
      <w:noProof/>
      <w:sz w:val="16"/>
      <w:szCs w:val="20"/>
      <w:lang w:val="en-GB"/>
    </w:rPr>
  </w:style>
  <w:style w:type="paragraph" w:customStyle="1" w:styleId="Headingb">
    <w:name w:val="Heading_b"/>
    <w:basedOn w:val="Heading3"/>
    <w:next w:val="Normal"/>
    <w:rsid w:val="00A05D6F"/>
    <w:pPr>
      <w:spacing w:before="160"/>
      <w:outlineLvl w:val="0"/>
    </w:pPr>
  </w:style>
  <w:style w:type="paragraph" w:customStyle="1" w:styleId="Table">
    <w:name w:val="Table_#"/>
    <w:basedOn w:val="Normal"/>
    <w:next w:val="Normal"/>
    <w:rsid w:val="0068789D"/>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Heading3Char">
    <w:name w:val="Heading 3 Char"/>
    <w:basedOn w:val="DefaultParagraphFont"/>
    <w:link w:val="Heading3"/>
    <w:rsid w:val="0068789D"/>
    <w:rPr>
      <w:rFonts w:ascii="Calibri" w:eastAsia="Times New Roman" w:hAnsi="Calibri" w:cs="Times New Roman"/>
      <w:b/>
      <w:sz w:val="24"/>
      <w:szCs w:val="20"/>
      <w:lang w:val="en-GB"/>
    </w:rPr>
  </w:style>
  <w:style w:type="character" w:styleId="FollowedHyperlink">
    <w:name w:val="FollowedHyperlink"/>
    <w:basedOn w:val="DefaultParagraphFont"/>
    <w:rsid w:val="00A05D6F"/>
    <w:rPr>
      <w:color w:val="800080"/>
      <w:u w:val="single"/>
    </w:rPr>
  </w:style>
  <w:style w:type="character" w:customStyle="1" w:styleId="apple-style-span">
    <w:name w:val="apple-style-span"/>
    <w:basedOn w:val="DefaultParagraphFont"/>
    <w:rsid w:val="00BC5F9E"/>
  </w:style>
  <w:style w:type="paragraph" w:styleId="FootnoteText">
    <w:name w:val="footnote text"/>
    <w:basedOn w:val="Normal"/>
    <w:link w:val="FootnoteTextChar"/>
    <w:rsid w:val="00A05D6F"/>
    <w:pPr>
      <w:keepLines/>
      <w:tabs>
        <w:tab w:val="left" w:pos="256"/>
      </w:tabs>
      <w:ind w:left="256" w:hanging="256"/>
    </w:pPr>
  </w:style>
  <w:style w:type="character" w:customStyle="1" w:styleId="FootnoteTextChar">
    <w:name w:val="Footnote Text Char"/>
    <w:basedOn w:val="DefaultParagraphFont"/>
    <w:link w:val="FootnoteText"/>
    <w:rsid w:val="00A0359C"/>
    <w:rPr>
      <w:rFonts w:ascii="Calibri" w:eastAsia="Times New Roman" w:hAnsi="Calibri" w:cs="Times New Roman"/>
      <w:sz w:val="24"/>
      <w:szCs w:val="20"/>
      <w:lang w:val="en-GB"/>
    </w:rPr>
  </w:style>
  <w:style w:type="character" w:styleId="FootnoteReference">
    <w:name w:val="footnote reference"/>
    <w:basedOn w:val="DefaultParagraphFont"/>
    <w:rsid w:val="00A05D6F"/>
    <w:rPr>
      <w:rFonts w:ascii="Calibri" w:hAnsi="Calibri"/>
      <w:position w:val="6"/>
      <w:sz w:val="16"/>
    </w:rPr>
  </w:style>
  <w:style w:type="table" w:styleId="TableGrid">
    <w:name w:val="Table Grid"/>
    <w:basedOn w:val="TableNormal"/>
    <w:uiPriority w:val="59"/>
    <w:rsid w:val="001B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1638"/>
    <w:rPr>
      <w:sz w:val="16"/>
      <w:szCs w:val="16"/>
    </w:rPr>
  </w:style>
  <w:style w:type="paragraph" w:styleId="CommentText">
    <w:name w:val="annotation text"/>
    <w:basedOn w:val="Normal"/>
    <w:link w:val="CommentTextChar"/>
    <w:uiPriority w:val="99"/>
    <w:semiHidden/>
    <w:unhideWhenUsed/>
    <w:rsid w:val="00A71638"/>
    <w:rPr>
      <w:sz w:val="20"/>
    </w:rPr>
  </w:style>
  <w:style w:type="character" w:customStyle="1" w:styleId="CommentTextChar">
    <w:name w:val="Comment Text Char"/>
    <w:basedOn w:val="DefaultParagraphFont"/>
    <w:link w:val="CommentText"/>
    <w:uiPriority w:val="99"/>
    <w:semiHidden/>
    <w:rsid w:val="00A71638"/>
    <w:rPr>
      <w:sz w:val="20"/>
      <w:szCs w:val="20"/>
    </w:rPr>
  </w:style>
  <w:style w:type="paragraph" w:styleId="CommentSubject">
    <w:name w:val="annotation subject"/>
    <w:basedOn w:val="CommentText"/>
    <w:next w:val="CommentText"/>
    <w:link w:val="CommentSubjectChar"/>
    <w:uiPriority w:val="99"/>
    <w:semiHidden/>
    <w:unhideWhenUsed/>
    <w:rsid w:val="00A71638"/>
    <w:rPr>
      <w:b/>
      <w:bCs/>
    </w:rPr>
  </w:style>
  <w:style w:type="character" w:customStyle="1" w:styleId="CommentSubjectChar">
    <w:name w:val="Comment Subject Char"/>
    <w:basedOn w:val="CommentTextChar"/>
    <w:link w:val="CommentSubject"/>
    <w:uiPriority w:val="99"/>
    <w:semiHidden/>
    <w:rsid w:val="00A71638"/>
    <w:rPr>
      <w:b/>
      <w:bCs/>
      <w:sz w:val="20"/>
      <w:szCs w:val="20"/>
    </w:rPr>
  </w:style>
  <w:style w:type="paragraph" w:customStyle="1" w:styleId="Source">
    <w:name w:val="Source"/>
    <w:basedOn w:val="Normal"/>
    <w:next w:val="Title1"/>
    <w:autoRedefine/>
    <w:rsid w:val="00A05D6F"/>
    <w:pPr>
      <w:spacing w:before="840"/>
      <w:jc w:val="center"/>
    </w:pPr>
    <w:rPr>
      <w:b/>
      <w:sz w:val="28"/>
    </w:rPr>
  </w:style>
  <w:style w:type="paragraph" w:customStyle="1" w:styleId="Title1">
    <w:name w:val="Title 1"/>
    <w:basedOn w:val="Source"/>
    <w:next w:val="Title2"/>
    <w:rsid w:val="00A05D6F"/>
    <w:pPr>
      <w:spacing w:before="240"/>
    </w:pPr>
    <w:rPr>
      <w:b w:val="0"/>
      <w:caps/>
    </w:rPr>
  </w:style>
  <w:style w:type="paragraph" w:customStyle="1" w:styleId="Committee">
    <w:name w:val="Committee"/>
    <w:basedOn w:val="Normal"/>
    <w:qFormat/>
    <w:rsid w:val="00A05D6F"/>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ing2Char">
    <w:name w:val="Heading 2 Char"/>
    <w:basedOn w:val="DefaultParagraphFont"/>
    <w:link w:val="Heading2"/>
    <w:rsid w:val="009078AA"/>
    <w:rPr>
      <w:rFonts w:ascii="Calibri" w:eastAsia="Times New Roman" w:hAnsi="Calibri" w:cs="Times New Roman"/>
      <w:b/>
      <w:sz w:val="24"/>
      <w:szCs w:val="20"/>
      <w:lang w:val="en-GB"/>
    </w:rPr>
  </w:style>
  <w:style w:type="character" w:customStyle="1" w:styleId="Heading4Char">
    <w:name w:val="Heading 4 Char"/>
    <w:basedOn w:val="DefaultParagraphFont"/>
    <w:link w:val="Heading4"/>
    <w:rsid w:val="009078AA"/>
    <w:rPr>
      <w:rFonts w:ascii="Calibri" w:eastAsia="Times New Roman" w:hAnsi="Calibri" w:cs="Times New Roman"/>
      <w:b/>
      <w:sz w:val="24"/>
      <w:szCs w:val="20"/>
      <w:lang w:val="en-GB"/>
    </w:rPr>
  </w:style>
  <w:style w:type="character" w:customStyle="1" w:styleId="Heading5Char">
    <w:name w:val="Heading 5 Char"/>
    <w:basedOn w:val="DefaultParagraphFont"/>
    <w:link w:val="Heading5"/>
    <w:rsid w:val="009078AA"/>
    <w:rPr>
      <w:rFonts w:ascii="Calibri" w:eastAsia="Times New Roman" w:hAnsi="Calibri" w:cs="Times New Roman"/>
      <w:b/>
      <w:sz w:val="24"/>
      <w:szCs w:val="20"/>
      <w:lang w:val="en-GB"/>
    </w:rPr>
  </w:style>
  <w:style w:type="character" w:customStyle="1" w:styleId="Heading6Char">
    <w:name w:val="Heading 6 Char"/>
    <w:basedOn w:val="DefaultParagraphFont"/>
    <w:link w:val="Heading6"/>
    <w:rsid w:val="009078AA"/>
    <w:rPr>
      <w:rFonts w:ascii="Calibri" w:eastAsia="Times New Roman" w:hAnsi="Calibri" w:cs="Times New Roman"/>
      <w:b/>
      <w:sz w:val="24"/>
      <w:szCs w:val="20"/>
      <w:lang w:val="en-GB"/>
    </w:rPr>
  </w:style>
  <w:style w:type="character" w:customStyle="1" w:styleId="Heading7Char">
    <w:name w:val="Heading 7 Char"/>
    <w:basedOn w:val="DefaultParagraphFont"/>
    <w:link w:val="Heading7"/>
    <w:rsid w:val="009078AA"/>
    <w:rPr>
      <w:rFonts w:ascii="Calibri" w:eastAsia="Times New Roman" w:hAnsi="Calibri" w:cs="Times New Roman"/>
      <w:b/>
      <w:sz w:val="24"/>
      <w:szCs w:val="20"/>
      <w:lang w:val="en-GB"/>
    </w:rPr>
  </w:style>
  <w:style w:type="character" w:customStyle="1" w:styleId="Heading8Char">
    <w:name w:val="Heading 8 Char"/>
    <w:basedOn w:val="DefaultParagraphFont"/>
    <w:link w:val="Heading8"/>
    <w:rsid w:val="009078AA"/>
    <w:rPr>
      <w:rFonts w:ascii="Calibri" w:eastAsia="Times New Roman" w:hAnsi="Calibri" w:cs="Times New Roman"/>
      <w:b/>
      <w:sz w:val="24"/>
      <w:szCs w:val="20"/>
      <w:lang w:val="en-GB"/>
    </w:rPr>
  </w:style>
  <w:style w:type="character" w:customStyle="1" w:styleId="Heading9Char">
    <w:name w:val="Heading 9 Char"/>
    <w:basedOn w:val="DefaultParagraphFont"/>
    <w:link w:val="Heading9"/>
    <w:rsid w:val="009078AA"/>
    <w:rPr>
      <w:rFonts w:ascii="Calibri" w:eastAsia="Times New Roman" w:hAnsi="Calibri" w:cs="Times New Roman"/>
      <w:b/>
      <w:sz w:val="24"/>
      <w:szCs w:val="20"/>
      <w:lang w:val="en-GB"/>
    </w:rPr>
  </w:style>
  <w:style w:type="paragraph" w:styleId="TOC8">
    <w:name w:val="toc 8"/>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05D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05D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NormalIndent">
    <w:name w:val="Normal Indent"/>
    <w:basedOn w:val="Normal"/>
    <w:rsid w:val="00A05D6F"/>
    <w:pPr>
      <w:ind w:left="567"/>
    </w:pPr>
  </w:style>
  <w:style w:type="paragraph" w:customStyle="1" w:styleId="Tablelegend">
    <w:name w:val="Table_legend"/>
    <w:basedOn w:val="Tabletext"/>
    <w:rsid w:val="00A05D6F"/>
    <w:pPr>
      <w:spacing w:before="120"/>
    </w:pPr>
  </w:style>
  <w:style w:type="paragraph" w:customStyle="1" w:styleId="Tabletext">
    <w:name w:val="Table_text"/>
    <w:basedOn w:val="Normal"/>
    <w:rsid w:val="00A05D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05D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05D6F"/>
    <w:pPr>
      <w:keepNext/>
      <w:spacing w:before="560" w:after="120"/>
      <w:jc w:val="center"/>
    </w:pPr>
    <w:rPr>
      <w:caps/>
    </w:rPr>
  </w:style>
  <w:style w:type="paragraph" w:customStyle="1" w:styleId="enumlev1">
    <w:name w:val="enumlev1"/>
    <w:basedOn w:val="Normal"/>
    <w:rsid w:val="00A05D6F"/>
    <w:pPr>
      <w:spacing w:before="86"/>
      <w:ind w:left="567" w:hanging="567"/>
    </w:pPr>
  </w:style>
  <w:style w:type="paragraph" w:customStyle="1" w:styleId="enumlev2">
    <w:name w:val="enumlev2"/>
    <w:basedOn w:val="enumlev1"/>
    <w:rsid w:val="00A05D6F"/>
    <w:pPr>
      <w:ind w:left="1134"/>
    </w:pPr>
  </w:style>
  <w:style w:type="paragraph" w:customStyle="1" w:styleId="enumlev3">
    <w:name w:val="enumlev3"/>
    <w:basedOn w:val="enumlev2"/>
    <w:rsid w:val="00A05D6F"/>
    <w:pPr>
      <w:ind w:left="1701"/>
    </w:pPr>
  </w:style>
  <w:style w:type="paragraph" w:customStyle="1" w:styleId="Tablehead">
    <w:name w:val="Table_head"/>
    <w:basedOn w:val="Tabletext"/>
    <w:rsid w:val="00A05D6F"/>
    <w:pPr>
      <w:spacing w:before="120" w:after="120"/>
      <w:jc w:val="center"/>
    </w:pPr>
    <w:rPr>
      <w:b/>
    </w:rPr>
  </w:style>
  <w:style w:type="paragraph" w:customStyle="1" w:styleId="Annexref">
    <w:name w:val="Annex_ref"/>
    <w:basedOn w:val="Normal"/>
    <w:next w:val="Annextitle"/>
    <w:rsid w:val="00A05D6F"/>
    <w:pPr>
      <w:jc w:val="center"/>
    </w:pPr>
  </w:style>
  <w:style w:type="paragraph" w:customStyle="1" w:styleId="AppendixNo">
    <w:name w:val="Appendix_No"/>
    <w:basedOn w:val="AnnexNo"/>
    <w:next w:val="Appendixref"/>
    <w:rsid w:val="00A05D6F"/>
  </w:style>
  <w:style w:type="paragraph" w:customStyle="1" w:styleId="Appendixref">
    <w:name w:val="Appendix_ref"/>
    <w:basedOn w:val="Annexref"/>
    <w:next w:val="Appendixtitle"/>
    <w:rsid w:val="00A05D6F"/>
  </w:style>
  <w:style w:type="paragraph" w:customStyle="1" w:styleId="Appendixtitle">
    <w:name w:val="Appendix_title"/>
    <w:basedOn w:val="Annextitle"/>
    <w:next w:val="Normal"/>
    <w:rsid w:val="00A05D6F"/>
  </w:style>
  <w:style w:type="paragraph" w:customStyle="1" w:styleId="Reftitle">
    <w:name w:val="Ref_title"/>
    <w:basedOn w:val="Normal"/>
    <w:next w:val="Reftext"/>
    <w:rsid w:val="00A05D6F"/>
    <w:pPr>
      <w:spacing w:before="480"/>
      <w:jc w:val="center"/>
    </w:pPr>
    <w:rPr>
      <w:caps/>
      <w:sz w:val="28"/>
    </w:rPr>
  </w:style>
  <w:style w:type="paragraph" w:customStyle="1" w:styleId="Reftext">
    <w:name w:val="Ref_text"/>
    <w:basedOn w:val="Normal"/>
    <w:rsid w:val="00A05D6F"/>
    <w:pPr>
      <w:ind w:left="567" w:hanging="567"/>
    </w:pPr>
  </w:style>
  <w:style w:type="paragraph" w:customStyle="1" w:styleId="Call0">
    <w:name w:val="Call"/>
    <w:basedOn w:val="Normal"/>
    <w:next w:val="Normal"/>
    <w:rsid w:val="00A05D6F"/>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A05D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A05D6F"/>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05D6F"/>
    <w:pPr>
      <w:tabs>
        <w:tab w:val="clear" w:pos="567"/>
        <w:tab w:val="left" w:pos="851"/>
      </w:tabs>
    </w:pPr>
  </w:style>
  <w:style w:type="paragraph" w:customStyle="1" w:styleId="MinusFootnote">
    <w:name w:val="MinusFootnote"/>
    <w:basedOn w:val="Normal"/>
    <w:rsid w:val="00A05D6F"/>
    <w:pPr>
      <w:ind w:left="-1701" w:hanging="284"/>
    </w:pPr>
  </w:style>
  <w:style w:type="paragraph" w:customStyle="1" w:styleId="Title3">
    <w:name w:val="Title 3"/>
    <w:basedOn w:val="Title2"/>
    <w:next w:val="Normalaftertitle"/>
    <w:rsid w:val="00A05D6F"/>
    <w:rPr>
      <w:caps w:val="0"/>
    </w:rPr>
  </w:style>
  <w:style w:type="paragraph" w:customStyle="1" w:styleId="Title2">
    <w:name w:val="Title 2"/>
    <w:basedOn w:val="Source"/>
    <w:next w:val="Title3"/>
    <w:rsid w:val="00A05D6F"/>
    <w:pPr>
      <w:spacing w:before="240"/>
    </w:pPr>
    <w:rPr>
      <w:b w:val="0"/>
      <w:caps/>
    </w:rPr>
  </w:style>
  <w:style w:type="paragraph" w:customStyle="1" w:styleId="ArtNo">
    <w:name w:val="Art_No"/>
    <w:basedOn w:val="Normal"/>
    <w:next w:val="Arttitle"/>
    <w:rsid w:val="00A05D6F"/>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A05D6F"/>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05D6F"/>
  </w:style>
  <w:style w:type="paragraph" w:customStyle="1" w:styleId="Chaptitle">
    <w:name w:val="Chap_title"/>
    <w:basedOn w:val="Arttitle"/>
    <w:next w:val="Normal"/>
    <w:rsid w:val="00A05D6F"/>
  </w:style>
  <w:style w:type="paragraph" w:customStyle="1" w:styleId="Reasons">
    <w:name w:val="Reasons"/>
    <w:basedOn w:val="Normal"/>
    <w:rsid w:val="00A05D6F"/>
  </w:style>
  <w:style w:type="paragraph" w:customStyle="1" w:styleId="ResNo">
    <w:name w:val="Res_No"/>
    <w:basedOn w:val="AnnexNo"/>
    <w:next w:val="Restitle"/>
    <w:rsid w:val="00A05D6F"/>
  </w:style>
  <w:style w:type="paragraph" w:customStyle="1" w:styleId="Restitle">
    <w:name w:val="Res_title"/>
    <w:basedOn w:val="Annextitle"/>
    <w:next w:val="Normal"/>
    <w:rsid w:val="00A05D6F"/>
  </w:style>
  <w:style w:type="paragraph" w:customStyle="1" w:styleId="AnnexNoS2">
    <w:name w:val="Annex_No_S2"/>
    <w:basedOn w:val="AnnexNo"/>
    <w:next w:val="AnnexrefS2"/>
    <w:rsid w:val="00A05D6F"/>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05D6F"/>
    <w:rPr>
      <w:caps w:val="0"/>
    </w:rPr>
  </w:style>
  <w:style w:type="paragraph" w:customStyle="1" w:styleId="AnnexrefS2">
    <w:name w:val="Annex_ref_S2"/>
    <w:basedOn w:val="Annexref"/>
    <w:next w:val="AnnextitleS2"/>
    <w:rsid w:val="00A05D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05D6F"/>
    <w:pPr>
      <w:spacing w:before="240"/>
    </w:pPr>
    <w:rPr>
      <w:b/>
      <w:i/>
    </w:rPr>
  </w:style>
  <w:style w:type="paragraph" w:customStyle="1" w:styleId="AnnextitleS2">
    <w:name w:val="Annex_title_S2"/>
    <w:basedOn w:val="Annextitle"/>
    <w:next w:val="NormalS2"/>
    <w:rsid w:val="00A05D6F"/>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A05D6F"/>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05D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A05D6F"/>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A05D6F"/>
    <w:pPr>
      <w:tabs>
        <w:tab w:val="left" w:pos="851"/>
      </w:tabs>
      <w:jc w:val="left"/>
    </w:pPr>
    <w:rPr>
      <w:b/>
      <w:sz w:val="24"/>
    </w:rPr>
  </w:style>
  <w:style w:type="paragraph" w:customStyle="1" w:styleId="ArttitleS2">
    <w:name w:val="Art_title_S2"/>
    <w:basedOn w:val="Arttitle"/>
    <w:next w:val="NormalS2"/>
    <w:rsid w:val="00A05D6F"/>
    <w:pPr>
      <w:tabs>
        <w:tab w:val="left" w:pos="851"/>
      </w:tabs>
      <w:jc w:val="left"/>
    </w:pPr>
    <w:rPr>
      <w:sz w:val="24"/>
    </w:rPr>
  </w:style>
  <w:style w:type="paragraph" w:customStyle="1" w:styleId="ChapNoS2">
    <w:name w:val="Chap_No_S2"/>
    <w:basedOn w:val="ChapNo"/>
    <w:next w:val="ChaptitleS2"/>
    <w:rsid w:val="00A05D6F"/>
    <w:pPr>
      <w:tabs>
        <w:tab w:val="left" w:pos="851"/>
      </w:tabs>
      <w:jc w:val="left"/>
    </w:pPr>
    <w:rPr>
      <w:b/>
      <w:sz w:val="24"/>
    </w:rPr>
  </w:style>
  <w:style w:type="paragraph" w:customStyle="1" w:styleId="ChaptitleS2">
    <w:name w:val="Chap_title_S2"/>
    <w:basedOn w:val="Chaptitle"/>
    <w:next w:val="NormalS2"/>
    <w:rsid w:val="00A05D6F"/>
    <w:pPr>
      <w:tabs>
        <w:tab w:val="left" w:pos="851"/>
      </w:tabs>
      <w:jc w:val="left"/>
    </w:pPr>
    <w:rPr>
      <w:sz w:val="24"/>
    </w:rPr>
  </w:style>
  <w:style w:type="paragraph" w:customStyle="1" w:styleId="enumlev1S2">
    <w:name w:val="enumlev1_S2"/>
    <w:basedOn w:val="enumlev1"/>
    <w:rsid w:val="00A05D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05D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05D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05D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05D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05D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05D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05D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05D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05D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05D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05D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05D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05D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05D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05D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05D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A05D6F"/>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05D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05D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A05D6F"/>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A05D6F"/>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A05D6F"/>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A05D6F"/>
    <w:pPr>
      <w:tabs>
        <w:tab w:val="left" w:pos="851"/>
      </w:tabs>
      <w:jc w:val="left"/>
    </w:pPr>
    <w:rPr>
      <w:caps/>
      <w:sz w:val="24"/>
    </w:rPr>
  </w:style>
  <w:style w:type="paragraph" w:customStyle="1" w:styleId="Section2S2">
    <w:name w:val="Section 2_S2"/>
    <w:basedOn w:val="Section2"/>
    <w:next w:val="NormalS2"/>
    <w:rsid w:val="00A05D6F"/>
    <w:pPr>
      <w:tabs>
        <w:tab w:val="left" w:pos="851"/>
      </w:tabs>
      <w:jc w:val="left"/>
    </w:pPr>
    <w:rPr>
      <w:sz w:val="24"/>
    </w:rPr>
  </w:style>
  <w:style w:type="paragraph" w:customStyle="1" w:styleId="TableNoS2">
    <w:name w:val="Table_No_S2"/>
    <w:basedOn w:val="TableNo"/>
    <w:next w:val="TabletitleS2"/>
    <w:rsid w:val="00A05D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05D6F"/>
    <w:pPr>
      <w:tabs>
        <w:tab w:val="left" w:pos="851"/>
      </w:tabs>
      <w:spacing w:after="0"/>
    </w:pPr>
    <w:rPr>
      <w:b/>
    </w:rPr>
  </w:style>
  <w:style w:type="paragraph" w:customStyle="1" w:styleId="TabletextS2">
    <w:name w:val="Table_text_S2"/>
    <w:basedOn w:val="Tabletext"/>
    <w:rsid w:val="00A05D6F"/>
    <w:pPr>
      <w:tabs>
        <w:tab w:val="left" w:pos="851"/>
      </w:tabs>
    </w:pPr>
    <w:rPr>
      <w:b/>
    </w:rPr>
  </w:style>
  <w:style w:type="paragraph" w:customStyle="1" w:styleId="TabletitleS2">
    <w:name w:val="Table_title_S2"/>
    <w:basedOn w:val="Tabletitle"/>
    <w:next w:val="TabletextS2"/>
    <w:rsid w:val="00A05D6F"/>
    <w:pPr>
      <w:keepNext w:val="0"/>
      <w:tabs>
        <w:tab w:val="clear" w:pos="2948"/>
        <w:tab w:val="clear" w:pos="4082"/>
        <w:tab w:val="left" w:pos="851"/>
      </w:tabs>
      <w:jc w:val="left"/>
    </w:pPr>
  </w:style>
  <w:style w:type="paragraph" w:customStyle="1" w:styleId="FooterS2">
    <w:name w:val="Footer_S2"/>
    <w:basedOn w:val="Footer"/>
    <w:rsid w:val="00A05D6F"/>
    <w:pPr>
      <w:tabs>
        <w:tab w:val="clear" w:pos="5954"/>
        <w:tab w:val="clear" w:pos="9639"/>
        <w:tab w:val="left" w:pos="3686"/>
        <w:tab w:val="right" w:pos="7655"/>
      </w:tabs>
      <w:ind w:left="-1985"/>
    </w:pPr>
  </w:style>
  <w:style w:type="paragraph" w:customStyle="1" w:styleId="HeaderS2">
    <w:name w:val="Header_S2"/>
    <w:basedOn w:val="Normal"/>
    <w:rsid w:val="00A05D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05D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05D6F"/>
    <w:pPr>
      <w:tabs>
        <w:tab w:val="left" w:pos="851"/>
      </w:tabs>
      <w:jc w:val="left"/>
    </w:pPr>
  </w:style>
  <w:style w:type="paragraph" w:customStyle="1" w:styleId="NoteS2">
    <w:name w:val="Note_S2"/>
    <w:basedOn w:val="Note"/>
    <w:rsid w:val="00A05D6F"/>
    <w:pPr>
      <w:tabs>
        <w:tab w:val="clear" w:pos="1134"/>
        <w:tab w:val="clear" w:pos="1701"/>
        <w:tab w:val="clear" w:pos="2268"/>
        <w:tab w:val="clear" w:pos="2835"/>
      </w:tabs>
    </w:pPr>
    <w:rPr>
      <w:b/>
    </w:rPr>
  </w:style>
  <w:style w:type="paragraph" w:customStyle="1" w:styleId="HeadingbS2">
    <w:name w:val="Headingb_S2"/>
    <w:basedOn w:val="Headingb"/>
    <w:next w:val="NormalS2"/>
    <w:rsid w:val="00A05D6F"/>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A05D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A05D6F"/>
    <w:pPr>
      <w:spacing w:before="160"/>
      <w:outlineLvl w:val="0"/>
    </w:pPr>
    <w:rPr>
      <w:rFonts w:asciiTheme="minorHAnsi" w:hAnsiTheme="minorHAnsi"/>
      <w:b w:val="0"/>
      <w:i/>
    </w:rPr>
  </w:style>
  <w:style w:type="paragraph" w:customStyle="1" w:styleId="FirstFooter">
    <w:name w:val="FirstFooter"/>
    <w:basedOn w:val="Footer"/>
    <w:rsid w:val="00A05D6F"/>
    <w:rPr>
      <w:caps w:val="0"/>
    </w:rPr>
  </w:style>
  <w:style w:type="character" w:styleId="PageNumber">
    <w:name w:val="page number"/>
    <w:basedOn w:val="DefaultParagraphFont"/>
    <w:rsid w:val="00A05D6F"/>
    <w:rPr>
      <w:rFonts w:ascii="Calibri" w:hAnsi="Calibri"/>
    </w:rPr>
  </w:style>
  <w:style w:type="paragraph" w:styleId="Date">
    <w:name w:val="Date"/>
    <w:basedOn w:val="Normal"/>
    <w:link w:val="DateChar"/>
    <w:rsid w:val="00A05D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9078AA"/>
    <w:rPr>
      <w:rFonts w:ascii="Calibri" w:eastAsia="Times New Roman" w:hAnsi="Calibri" w:cs="Times New Roman"/>
      <w:sz w:val="20"/>
      <w:szCs w:val="20"/>
      <w:lang w:val="en-GB"/>
    </w:rPr>
  </w:style>
  <w:style w:type="paragraph" w:customStyle="1" w:styleId="Heading1c">
    <w:name w:val="Heading 1c"/>
    <w:basedOn w:val="Heading1"/>
    <w:next w:val="Normal"/>
    <w:rsid w:val="00A05D6F"/>
    <w:pPr>
      <w:ind w:left="0" w:firstLine="0"/>
      <w:jc w:val="center"/>
      <w:outlineLvl w:val="9"/>
    </w:pPr>
  </w:style>
  <w:style w:type="paragraph" w:customStyle="1" w:styleId="Heading1cS2">
    <w:name w:val="Heading 1c_S2"/>
    <w:basedOn w:val="Heading1c"/>
    <w:next w:val="NormalS2"/>
    <w:rsid w:val="00A05D6F"/>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A05D6F"/>
    <w:rPr>
      <w:b w:val="0"/>
      <w:i/>
    </w:rPr>
  </w:style>
  <w:style w:type="paragraph" w:customStyle="1" w:styleId="Heading2iS2">
    <w:name w:val="Heading 2i_S2"/>
    <w:basedOn w:val="Heading2i"/>
    <w:next w:val="NormalS2"/>
    <w:rsid w:val="00A05D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A05D6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05D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05D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A05D6F"/>
    <w:pPr>
      <w:spacing w:before="320"/>
      <w:outlineLvl w:val="1"/>
    </w:pPr>
    <w:rPr>
      <w:sz w:val="24"/>
    </w:rPr>
  </w:style>
  <w:style w:type="paragraph" w:customStyle="1" w:styleId="Heading3pv">
    <w:name w:val="Heading 3pv"/>
    <w:basedOn w:val="Heading1pv"/>
    <w:next w:val="Normalpv"/>
    <w:rsid w:val="00A05D6F"/>
    <w:pPr>
      <w:spacing w:before="200"/>
      <w:outlineLvl w:val="2"/>
    </w:pPr>
    <w:rPr>
      <w:sz w:val="24"/>
    </w:rPr>
  </w:style>
  <w:style w:type="paragraph" w:customStyle="1" w:styleId="SpecialFooter">
    <w:name w:val="Special Footer"/>
    <w:basedOn w:val="Footer"/>
    <w:rsid w:val="00A05D6F"/>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A05D6F"/>
  </w:style>
  <w:style w:type="paragraph" w:customStyle="1" w:styleId="Dectitle">
    <w:name w:val="Dec_title"/>
    <w:basedOn w:val="Restitle"/>
    <w:next w:val="Normalaftertitle"/>
    <w:qFormat/>
    <w:rsid w:val="00A05D6F"/>
    <w:rPr>
      <w:rFonts w:cs="Times New Roman Bold"/>
    </w:rPr>
  </w:style>
  <w:style w:type="paragraph" w:customStyle="1" w:styleId="DecNo">
    <w:name w:val="Dec_No"/>
    <w:basedOn w:val="RecNo"/>
    <w:next w:val="Dectitle"/>
    <w:qFormat/>
    <w:rsid w:val="00A05D6F"/>
  </w:style>
  <w:style w:type="paragraph" w:customStyle="1" w:styleId="DectitleS2">
    <w:name w:val="Dec_title_S2"/>
    <w:basedOn w:val="RestitleS2"/>
    <w:next w:val="Normal"/>
    <w:qFormat/>
    <w:rsid w:val="00A05D6F"/>
  </w:style>
  <w:style w:type="paragraph" w:customStyle="1" w:styleId="DecNoS2">
    <w:name w:val="Dec_No_S2"/>
    <w:basedOn w:val="ResNoS2"/>
    <w:next w:val="DectitleS2"/>
    <w:qFormat/>
    <w:rsid w:val="00A05D6F"/>
  </w:style>
  <w:style w:type="paragraph" w:customStyle="1" w:styleId="Sectiontitle">
    <w:name w:val="Section_title"/>
    <w:basedOn w:val="Arttitle"/>
    <w:next w:val="Normalaftertitle"/>
    <w:qFormat/>
    <w:rsid w:val="00A05D6F"/>
  </w:style>
  <w:style w:type="paragraph" w:customStyle="1" w:styleId="SectionNo">
    <w:name w:val="Section_No"/>
    <w:basedOn w:val="ArtNo"/>
    <w:next w:val="Sectiontitle"/>
    <w:qFormat/>
    <w:rsid w:val="00A05D6F"/>
  </w:style>
  <w:style w:type="paragraph" w:customStyle="1" w:styleId="SectiontitleS2">
    <w:name w:val="Section_title_S2"/>
    <w:basedOn w:val="ArttitleS2"/>
    <w:next w:val="Normal"/>
    <w:qFormat/>
    <w:rsid w:val="00A05D6F"/>
  </w:style>
  <w:style w:type="paragraph" w:customStyle="1" w:styleId="SectionNoS2">
    <w:name w:val="Section_No_S2"/>
    <w:basedOn w:val="ArtNoS2"/>
    <w:next w:val="SectiontitleS2"/>
    <w:qFormat/>
    <w:rsid w:val="00A05D6F"/>
  </w:style>
  <w:style w:type="paragraph" w:customStyle="1" w:styleId="Proposal">
    <w:name w:val="Proposal"/>
    <w:basedOn w:val="Normal"/>
    <w:next w:val="Normal"/>
    <w:rsid w:val="00A05D6F"/>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A05D6F"/>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Annexti">
    <w:name w:val="Annex_ ti"/>
    <w:basedOn w:val="Normal"/>
    <w:rsid w:val="000D4425"/>
    <w:pPr>
      <w:tabs>
        <w:tab w:val="left" w:pos="900"/>
      </w:tabs>
      <w:snapToGrid w:val="0"/>
      <w:jc w:val="center"/>
    </w:pPr>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D6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qFormat/>
    <w:rsid w:val="00A05D6F"/>
    <w:pPr>
      <w:keepNext/>
      <w:keepLines/>
      <w:spacing w:before="480"/>
      <w:ind w:left="567" w:hanging="567"/>
      <w:outlineLvl w:val="0"/>
    </w:pPr>
    <w:rPr>
      <w:b/>
      <w:sz w:val="28"/>
    </w:rPr>
  </w:style>
  <w:style w:type="paragraph" w:styleId="Heading2">
    <w:name w:val="heading 2"/>
    <w:basedOn w:val="Heading1"/>
    <w:next w:val="Normal"/>
    <w:link w:val="Heading2Char"/>
    <w:qFormat/>
    <w:rsid w:val="00A05D6F"/>
    <w:pPr>
      <w:spacing w:before="320"/>
      <w:outlineLvl w:val="1"/>
    </w:pPr>
    <w:rPr>
      <w:sz w:val="24"/>
    </w:rPr>
  </w:style>
  <w:style w:type="paragraph" w:styleId="Heading3">
    <w:name w:val="heading 3"/>
    <w:basedOn w:val="Heading1"/>
    <w:next w:val="Normal"/>
    <w:link w:val="Heading3Char"/>
    <w:qFormat/>
    <w:rsid w:val="00A05D6F"/>
    <w:pPr>
      <w:spacing w:before="200"/>
      <w:outlineLvl w:val="2"/>
    </w:pPr>
    <w:rPr>
      <w:sz w:val="24"/>
    </w:rPr>
  </w:style>
  <w:style w:type="paragraph" w:styleId="Heading4">
    <w:name w:val="heading 4"/>
    <w:basedOn w:val="Heading3"/>
    <w:next w:val="Normal"/>
    <w:link w:val="Heading4Char"/>
    <w:qFormat/>
    <w:rsid w:val="00A05D6F"/>
    <w:pPr>
      <w:ind w:left="1134" w:hanging="1134"/>
      <w:outlineLvl w:val="3"/>
    </w:pPr>
  </w:style>
  <w:style w:type="paragraph" w:styleId="Heading5">
    <w:name w:val="heading 5"/>
    <w:basedOn w:val="Heading4"/>
    <w:next w:val="Normal"/>
    <w:link w:val="Heading5Char"/>
    <w:qFormat/>
    <w:rsid w:val="00A05D6F"/>
    <w:pPr>
      <w:outlineLvl w:val="4"/>
    </w:pPr>
  </w:style>
  <w:style w:type="paragraph" w:styleId="Heading6">
    <w:name w:val="heading 6"/>
    <w:basedOn w:val="Heading4"/>
    <w:next w:val="Normal"/>
    <w:link w:val="Heading6Char"/>
    <w:qFormat/>
    <w:rsid w:val="00A05D6F"/>
    <w:pPr>
      <w:outlineLvl w:val="5"/>
    </w:pPr>
  </w:style>
  <w:style w:type="paragraph" w:styleId="Heading7">
    <w:name w:val="heading 7"/>
    <w:basedOn w:val="Heading4"/>
    <w:next w:val="Normal"/>
    <w:link w:val="Heading7Char"/>
    <w:qFormat/>
    <w:rsid w:val="00A05D6F"/>
    <w:pPr>
      <w:ind w:left="1701" w:hanging="1701"/>
      <w:outlineLvl w:val="6"/>
    </w:pPr>
  </w:style>
  <w:style w:type="paragraph" w:styleId="Heading8">
    <w:name w:val="heading 8"/>
    <w:basedOn w:val="Heading4"/>
    <w:next w:val="Normal"/>
    <w:link w:val="Heading8Char"/>
    <w:qFormat/>
    <w:rsid w:val="00A05D6F"/>
    <w:pPr>
      <w:ind w:left="1701" w:hanging="1701"/>
      <w:outlineLvl w:val="7"/>
    </w:pPr>
  </w:style>
  <w:style w:type="paragraph" w:styleId="Heading9">
    <w:name w:val="heading 9"/>
    <w:basedOn w:val="Heading4"/>
    <w:next w:val="Normal"/>
    <w:link w:val="Heading9Char"/>
    <w:qFormat/>
    <w:rsid w:val="00A05D6F"/>
    <w:pPr>
      <w:ind w:left="1701" w:hanging="1701"/>
      <w:outlineLvl w:val="8"/>
    </w:pPr>
  </w:style>
  <w:style w:type="character" w:default="1" w:styleId="DefaultParagraphFont">
    <w:name w:val="Default Paragraph Font"/>
    <w:uiPriority w:val="1"/>
    <w:semiHidden/>
    <w:unhideWhenUsed/>
    <w:rsid w:val="00A05D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5D6F"/>
  </w:style>
  <w:style w:type="character" w:styleId="Hyperlink">
    <w:name w:val="Hyperlink"/>
    <w:basedOn w:val="DefaultParagraphFont"/>
    <w:rsid w:val="00A05D6F"/>
    <w:rPr>
      <w:rFonts w:ascii="Calibri" w:hAnsi="Calibri"/>
      <w:color w:val="0000FF"/>
      <w:u w:val="single"/>
    </w:rPr>
  </w:style>
  <w:style w:type="paragraph" w:styleId="ListParagraph">
    <w:name w:val="List Paragraph"/>
    <w:basedOn w:val="Normal"/>
    <w:uiPriority w:val="34"/>
    <w:qFormat/>
    <w:rsid w:val="00CE0828"/>
    <w:pPr>
      <w:ind w:left="720"/>
      <w:contextualSpacing/>
    </w:pPr>
  </w:style>
  <w:style w:type="character" w:customStyle="1" w:styleId="NormalaftertitleChar">
    <w:name w:val="Normal after title Char"/>
    <w:link w:val="Normalaftertitle"/>
    <w:locked/>
    <w:rsid w:val="005D6F96"/>
    <w:rPr>
      <w:rFonts w:ascii="Calibri" w:eastAsia="Times New Roman" w:hAnsi="Calibri" w:cs="Times New Roman"/>
      <w:sz w:val="24"/>
      <w:szCs w:val="20"/>
      <w:lang w:val="en-GB"/>
    </w:rPr>
  </w:style>
  <w:style w:type="paragraph" w:customStyle="1" w:styleId="Normalaftertitle">
    <w:name w:val="Normal after title"/>
    <w:basedOn w:val="Normal"/>
    <w:next w:val="Normal"/>
    <w:link w:val="NormalaftertitleChar"/>
    <w:rsid w:val="00A05D6F"/>
    <w:pPr>
      <w:spacing w:before="240"/>
    </w:pPr>
  </w:style>
  <w:style w:type="paragraph" w:customStyle="1" w:styleId="call">
    <w:name w:val="call"/>
    <w:basedOn w:val="Normal"/>
    <w:next w:val="Normal"/>
    <w:rsid w:val="005D6F96"/>
    <w:pPr>
      <w:keepNext/>
      <w:keepLines/>
      <w:tabs>
        <w:tab w:val="left" w:pos="794"/>
        <w:tab w:val="left" w:pos="1191"/>
        <w:tab w:val="left" w:pos="1588"/>
        <w:tab w:val="left" w:pos="1985"/>
      </w:tabs>
      <w:spacing w:before="160"/>
      <w:ind w:left="794"/>
    </w:pPr>
    <w:rPr>
      <w:i/>
    </w:rPr>
  </w:style>
  <w:style w:type="paragraph" w:customStyle="1" w:styleId="Rectitle">
    <w:name w:val="Rec_title"/>
    <w:basedOn w:val="Normal"/>
    <w:next w:val="Heading1"/>
    <w:rsid w:val="00A05D6F"/>
    <w:pPr>
      <w:spacing w:before="240"/>
      <w:jc w:val="center"/>
    </w:pPr>
    <w:rPr>
      <w:b/>
      <w:sz w:val="28"/>
    </w:rPr>
  </w:style>
  <w:style w:type="paragraph" w:customStyle="1" w:styleId="RecNo">
    <w:name w:val="Rec_No"/>
    <w:basedOn w:val="Normal"/>
    <w:next w:val="Rectitle"/>
    <w:rsid w:val="00A05D6F"/>
    <w:pPr>
      <w:spacing w:before="720"/>
      <w:jc w:val="center"/>
    </w:pPr>
    <w:rPr>
      <w:caps/>
      <w:sz w:val="28"/>
    </w:rPr>
  </w:style>
  <w:style w:type="character" w:customStyle="1" w:styleId="Heading1Char">
    <w:name w:val="Heading 1 Char"/>
    <w:basedOn w:val="DefaultParagraphFont"/>
    <w:link w:val="Heading1"/>
    <w:rsid w:val="005D6F96"/>
    <w:rPr>
      <w:rFonts w:ascii="Calibri" w:eastAsia="Times New Roman" w:hAnsi="Calibri" w:cs="Times New Roman"/>
      <w:b/>
      <w:sz w:val="28"/>
      <w:szCs w:val="20"/>
      <w:lang w:val="en-GB"/>
    </w:rPr>
  </w:style>
  <w:style w:type="paragraph" w:customStyle="1" w:styleId="AnnexNo">
    <w:name w:val="Annex_No"/>
    <w:basedOn w:val="Normal"/>
    <w:next w:val="Annexref"/>
    <w:rsid w:val="00A05D6F"/>
    <w:pPr>
      <w:spacing w:before="720"/>
      <w:jc w:val="center"/>
    </w:pPr>
    <w:rPr>
      <w:caps/>
      <w:sz w:val="28"/>
    </w:rPr>
  </w:style>
  <w:style w:type="paragraph" w:customStyle="1" w:styleId="Annextitle">
    <w:name w:val="Annex_title"/>
    <w:basedOn w:val="Normal"/>
    <w:next w:val="Normal"/>
    <w:rsid w:val="00A05D6F"/>
    <w:pPr>
      <w:spacing w:before="240" w:after="240"/>
      <w:jc w:val="center"/>
    </w:pPr>
    <w:rPr>
      <w:b/>
      <w:sz w:val="28"/>
    </w:rPr>
  </w:style>
  <w:style w:type="paragraph" w:styleId="BalloonText">
    <w:name w:val="Balloon Text"/>
    <w:basedOn w:val="Normal"/>
    <w:link w:val="BalloonTextChar"/>
    <w:semiHidden/>
    <w:unhideWhenUsed/>
    <w:rsid w:val="00A05D6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05D6F"/>
    <w:rPr>
      <w:rFonts w:ascii="Tahoma" w:eastAsia="Times New Roman" w:hAnsi="Tahoma" w:cs="Tahoma"/>
      <w:sz w:val="16"/>
      <w:szCs w:val="16"/>
      <w:lang w:val="en-GB"/>
    </w:rPr>
  </w:style>
  <w:style w:type="paragraph" w:styleId="Header">
    <w:name w:val="header"/>
    <w:basedOn w:val="Normal"/>
    <w:link w:val="HeaderChar"/>
    <w:rsid w:val="00A05D6F"/>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A05D6F"/>
    <w:rPr>
      <w:rFonts w:ascii="Calibri" w:eastAsia="Times New Roman" w:hAnsi="Calibri" w:cs="Times New Roman"/>
      <w:sz w:val="18"/>
      <w:szCs w:val="20"/>
      <w:lang w:val="en-GB"/>
    </w:rPr>
  </w:style>
  <w:style w:type="paragraph" w:styleId="Footer">
    <w:name w:val="footer"/>
    <w:basedOn w:val="Normal"/>
    <w:link w:val="FooterChar"/>
    <w:rsid w:val="00A05D6F"/>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BF3DFC"/>
    <w:rPr>
      <w:rFonts w:ascii="Calibri" w:eastAsia="Times New Roman" w:hAnsi="Calibri" w:cs="Times New Roman"/>
      <w:caps/>
      <w:noProof/>
      <w:sz w:val="16"/>
      <w:szCs w:val="20"/>
      <w:lang w:val="en-GB"/>
    </w:rPr>
  </w:style>
  <w:style w:type="paragraph" w:customStyle="1" w:styleId="Headingb">
    <w:name w:val="Heading_b"/>
    <w:basedOn w:val="Heading3"/>
    <w:next w:val="Normal"/>
    <w:rsid w:val="00A05D6F"/>
    <w:pPr>
      <w:spacing w:before="160"/>
      <w:outlineLvl w:val="0"/>
    </w:pPr>
  </w:style>
  <w:style w:type="paragraph" w:customStyle="1" w:styleId="Table">
    <w:name w:val="Table_#"/>
    <w:basedOn w:val="Normal"/>
    <w:next w:val="Normal"/>
    <w:rsid w:val="0068789D"/>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Heading3Char">
    <w:name w:val="Heading 3 Char"/>
    <w:basedOn w:val="DefaultParagraphFont"/>
    <w:link w:val="Heading3"/>
    <w:rsid w:val="0068789D"/>
    <w:rPr>
      <w:rFonts w:ascii="Calibri" w:eastAsia="Times New Roman" w:hAnsi="Calibri" w:cs="Times New Roman"/>
      <w:b/>
      <w:sz w:val="24"/>
      <w:szCs w:val="20"/>
      <w:lang w:val="en-GB"/>
    </w:rPr>
  </w:style>
  <w:style w:type="character" w:styleId="FollowedHyperlink">
    <w:name w:val="FollowedHyperlink"/>
    <w:basedOn w:val="DefaultParagraphFont"/>
    <w:rsid w:val="00A05D6F"/>
    <w:rPr>
      <w:color w:val="800080"/>
      <w:u w:val="single"/>
    </w:rPr>
  </w:style>
  <w:style w:type="character" w:customStyle="1" w:styleId="apple-style-span">
    <w:name w:val="apple-style-span"/>
    <w:basedOn w:val="DefaultParagraphFont"/>
    <w:rsid w:val="00BC5F9E"/>
  </w:style>
  <w:style w:type="paragraph" w:styleId="FootnoteText">
    <w:name w:val="footnote text"/>
    <w:basedOn w:val="Normal"/>
    <w:link w:val="FootnoteTextChar"/>
    <w:rsid w:val="00A05D6F"/>
    <w:pPr>
      <w:keepLines/>
      <w:tabs>
        <w:tab w:val="left" w:pos="256"/>
      </w:tabs>
      <w:ind w:left="256" w:hanging="256"/>
    </w:pPr>
  </w:style>
  <w:style w:type="character" w:customStyle="1" w:styleId="FootnoteTextChar">
    <w:name w:val="Footnote Text Char"/>
    <w:basedOn w:val="DefaultParagraphFont"/>
    <w:link w:val="FootnoteText"/>
    <w:rsid w:val="00A0359C"/>
    <w:rPr>
      <w:rFonts w:ascii="Calibri" w:eastAsia="Times New Roman" w:hAnsi="Calibri" w:cs="Times New Roman"/>
      <w:sz w:val="24"/>
      <w:szCs w:val="20"/>
      <w:lang w:val="en-GB"/>
    </w:rPr>
  </w:style>
  <w:style w:type="character" w:styleId="FootnoteReference">
    <w:name w:val="footnote reference"/>
    <w:basedOn w:val="DefaultParagraphFont"/>
    <w:rsid w:val="00A05D6F"/>
    <w:rPr>
      <w:rFonts w:ascii="Calibri" w:hAnsi="Calibri"/>
      <w:position w:val="6"/>
      <w:sz w:val="16"/>
    </w:rPr>
  </w:style>
  <w:style w:type="table" w:styleId="TableGrid">
    <w:name w:val="Table Grid"/>
    <w:basedOn w:val="TableNormal"/>
    <w:uiPriority w:val="59"/>
    <w:rsid w:val="001B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1638"/>
    <w:rPr>
      <w:sz w:val="16"/>
      <w:szCs w:val="16"/>
    </w:rPr>
  </w:style>
  <w:style w:type="paragraph" w:styleId="CommentText">
    <w:name w:val="annotation text"/>
    <w:basedOn w:val="Normal"/>
    <w:link w:val="CommentTextChar"/>
    <w:uiPriority w:val="99"/>
    <w:semiHidden/>
    <w:unhideWhenUsed/>
    <w:rsid w:val="00A71638"/>
    <w:rPr>
      <w:sz w:val="20"/>
    </w:rPr>
  </w:style>
  <w:style w:type="character" w:customStyle="1" w:styleId="CommentTextChar">
    <w:name w:val="Comment Text Char"/>
    <w:basedOn w:val="DefaultParagraphFont"/>
    <w:link w:val="CommentText"/>
    <w:uiPriority w:val="99"/>
    <w:semiHidden/>
    <w:rsid w:val="00A71638"/>
    <w:rPr>
      <w:sz w:val="20"/>
      <w:szCs w:val="20"/>
    </w:rPr>
  </w:style>
  <w:style w:type="paragraph" w:styleId="CommentSubject">
    <w:name w:val="annotation subject"/>
    <w:basedOn w:val="CommentText"/>
    <w:next w:val="CommentText"/>
    <w:link w:val="CommentSubjectChar"/>
    <w:uiPriority w:val="99"/>
    <w:semiHidden/>
    <w:unhideWhenUsed/>
    <w:rsid w:val="00A71638"/>
    <w:rPr>
      <w:b/>
      <w:bCs/>
    </w:rPr>
  </w:style>
  <w:style w:type="character" w:customStyle="1" w:styleId="CommentSubjectChar">
    <w:name w:val="Comment Subject Char"/>
    <w:basedOn w:val="CommentTextChar"/>
    <w:link w:val="CommentSubject"/>
    <w:uiPriority w:val="99"/>
    <w:semiHidden/>
    <w:rsid w:val="00A71638"/>
    <w:rPr>
      <w:b/>
      <w:bCs/>
      <w:sz w:val="20"/>
      <w:szCs w:val="20"/>
    </w:rPr>
  </w:style>
  <w:style w:type="paragraph" w:customStyle="1" w:styleId="Source">
    <w:name w:val="Source"/>
    <w:basedOn w:val="Normal"/>
    <w:next w:val="Title1"/>
    <w:autoRedefine/>
    <w:rsid w:val="00A05D6F"/>
    <w:pPr>
      <w:spacing w:before="840"/>
      <w:jc w:val="center"/>
    </w:pPr>
    <w:rPr>
      <w:b/>
      <w:sz w:val="28"/>
    </w:rPr>
  </w:style>
  <w:style w:type="paragraph" w:customStyle="1" w:styleId="Title1">
    <w:name w:val="Title 1"/>
    <w:basedOn w:val="Source"/>
    <w:next w:val="Title2"/>
    <w:rsid w:val="00A05D6F"/>
    <w:pPr>
      <w:spacing w:before="240"/>
    </w:pPr>
    <w:rPr>
      <w:b w:val="0"/>
      <w:caps/>
    </w:rPr>
  </w:style>
  <w:style w:type="paragraph" w:customStyle="1" w:styleId="Committee">
    <w:name w:val="Committee"/>
    <w:basedOn w:val="Normal"/>
    <w:qFormat/>
    <w:rsid w:val="00A05D6F"/>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ing2Char">
    <w:name w:val="Heading 2 Char"/>
    <w:basedOn w:val="DefaultParagraphFont"/>
    <w:link w:val="Heading2"/>
    <w:rsid w:val="009078AA"/>
    <w:rPr>
      <w:rFonts w:ascii="Calibri" w:eastAsia="Times New Roman" w:hAnsi="Calibri" w:cs="Times New Roman"/>
      <w:b/>
      <w:sz w:val="24"/>
      <w:szCs w:val="20"/>
      <w:lang w:val="en-GB"/>
    </w:rPr>
  </w:style>
  <w:style w:type="character" w:customStyle="1" w:styleId="Heading4Char">
    <w:name w:val="Heading 4 Char"/>
    <w:basedOn w:val="DefaultParagraphFont"/>
    <w:link w:val="Heading4"/>
    <w:rsid w:val="009078AA"/>
    <w:rPr>
      <w:rFonts w:ascii="Calibri" w:eastAsia="Times New Roman" w:hAnsi="Calibri" w:cs="Times New Roman"/>
      <w:b/>
      <w:sz w:val="24"/>
      <w:szCs w:val="20"/>
      <w:lang w:val="en-GB"/>
    </w:rPr>
  </w:style>
  <w:style w:type="character" w:customStyle="1" w:styleId="Heading5Char">
    <w:name w:val="Heading 5 Char"/>
    <w:basedOn w:val="DefaultParagraphFont"/>
    <w:link w:val="Heading5"/>
    <w:rsid w:val="009078AA"/>
    <w:rPr>
      <w:rFonts w:ascii="Calibri" w:eastAsia="Times New Roman" w:hAnsi="Calibri" w:cs="Times New Roman"/>
      <w:b/>
      <w:sz w:val="24"/>
      <w:szCs w:val="20"/>
      <w:lang w:val="en-GB"/>
    </w:rPr>
  </w:style>
  <w:style w:type="character" w:customStyle="1" w:styleId="Heading6Char">
    <w:name w:val="Heading 6 Char"/>
    <w:basedOn w:val="DefaultParagraphFont"/>
    <w:link w:val="Heading6"/>
    <w:rsid w:val="009078AA"/>
    <w:rPr>
      <w:rFonts w:ascii="Calibri" w:eastAsia="Times New Roman" w:hAnsi="Calibri" w:cs="Times New Roman"/>
      <w:b/>
      <w:sz w:val="24"/>
      <w:szCs w:val="20"/>
      <w:lang w:val="en-GB"/>
    </w:rPr>
  </w:style>
  <w:style w:type="character" w:customStyle="1" w:styleId="Heading7Char">
    <w:name w:val="Heading 7 Char"/>
    <w:basedOn w:val="DefaultParagraphFont"/>
    <w:link w:val="Heading7"/>
    <w:rsid w:val="009078AA"/>
    <w:rPr>
      <w:rFonts w:ascii="Calibri" w:eastAsia="Times New Roman" w:hAnsi="Calibri" w:cs="Times New Roman"/>
      <w:b/>
      <w:sz w:val="24"/>
      <w:szCs w:val="20"/>
      <w:lang w:val="en-GB"/>
    </w:rPr>
  </w:style>
  <w:style w:type="character" w:customStyle="1" w:styleId="Heading8Char">
    <w:name w:val="Heading 8 Char"/>
    <w:basedOn w:val="DefaultParagraphFont"/>
    <w:link w:val="Heading8"/>
    <w:rsid w:val="009078AA"/>
    <w:rPr>
      <w:rFonts w:ascii="Calibri" w:eastAsia="Times New Roman" w:hAnsi="Calibri" w:cs="Times New Roman"/>
      <w:b/>
      <w:sz w:val="24"/>
      <w:szCs w:val="20"/>
      <w:lang w:val="en-GB"/>
    </w:rPr>
  </w:style>
  <w:style w:type="character" w:customStyle="1" w:styleId="Heading9Char">
    <w:name w:val="Heading 9 Char"/>
    <w:basedOn w:val="DefaultParagraphFont"/>
    <w:link w:val="Heading9"/>
    <w:rsid w:val="009078AA"/>
    <w:rPr>
      <w:rFonts w:ascii="Calibri" w:eastAsia="Times New Roman" w:hAnsi="Calibri" w:cs="Times New Roman"/>
      <w:b/>
      <w:sz w:val="24"/>
      <w:szCs w:val="20"/>
      <w:lang w:val="en-GB"/>
    </w:rPr>
  </w:style>
  <w:style w:type="paragraph" w:styleId="TOC8">
    <w:name w:val="toc 8"/>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05D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05D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05D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NormalIndent">
    <w:name w:val="Normal Indent"/>
    <w:basedOn w:val="Normal"/>
    <w:rsid w:val="00A05D6F"/>
    <w:pPr>
      <w:ind w:left="567"/>
    </w:pPr>
  </w:style>
  <w:style w:type="paragraph" w:customStyle="1" w:styleId="Tablelegend">
    <w:name w:val="Table_legend"/>
    <w:basedOn w:val="Tabletext"/>
    <w:rsid w:val="00A05D6F"/>
    <w:pPr>
      <w:spacing w:before="120"/>
    </w:pPr>
  </w:style>
  <w:style w:type="paragraph" w:customStyle="1" w:styleId="Tabletext">
    <w:name w:val="Table_text"/>
    <w:basedOn w:val="Normal"/>
    <w:rsid w:val="00A05D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05D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05D6F"/>
    <w:pPr>
      <w:keepNext/>
      <w:spacing w:before="560" w:after="120"/>
      <w:jc w:val="center"/>
    </w:pPr>
    <w:rPr>
      <w:caps/>
    </w:rPr>
  </w:style>
  <w:style w:type="paragraph" w:customStyle="1" w:styleId="enumlev1">
    <w:name w:val="enumlev1"/>
    <w:basedOn w:val="Normal"/>
    <w:rsid w:val="00A05D6F"/>
    <w:pPr>
      <w:spacing w:before="86"/>
      <w:ind w:left="567" w:hanging="567"/>
    </w:pPr>
  </w:style>
  <w:style w:type="paragraph" w:customStyle="1" w:styleId="enumlev2">
    <w:name w:val="enumlev2"/>
    <w:basedOn w:val="enumlev1"/>
    <w:rsid w:val="00A05D6F"/>
    <w:pPr>
      <w:ind w:left="1134"/>
    </w:pPr>
  </w:style>
  <w:style w:type="paragraph" w:customStyle="1" w:styleId="enumlev3">
    <w:name w:val="enumlev3"/>
    <w:basedOn w:val="enumlev2"/>
    <w:rsid w:val="00A05D6F"/>
    <w:pPr>
      <w:ind w:left="1701"/>
    </w:pPr>
  </w:style>
  <w:style w:type="paragraph" w:customStyle="1" w:styleId="Tablehead">
    <w:name w:val="Table_head"/>
    <w:basedOn w:val="Tabletext"/>
    <w:rsid w:val="00A05D6F"/>
    <w:pPr>
      <w:spacing w:before="120" w:after="120"/>
      <w:jc w:val="center"/>
    </w:pPr>
    <w:rPr>
      <w:b/>
    </w:rPr>
  </w:style>
  <w:style w:type="paragraph" w:customStyle="1" w:styleId="Annexref">
    <w:name w:val="Annex_ref"/>
    <w:basedOn w:val="Normal"/>
    <w:next w:val="Annextitle"/>
    <w:rsid w:val="00A05D6F"/>
    <w:pPr>
      <w:jc w:val="center"/>
    </w:pPr>
  </w:style>
  <w:style w:type="paragraph" w:customStyle="1" w:styleId="AppendixNo">
    <w:name w:val="Appendix_No"/>
    <w:basedOn w:val="AnnexNo"/>
    <w:next w:val="Appendixref"/>
    <w:rsid w:val="00A05D6F"/>
  </w:style>
  <w:style w:type="paragraph" w:customStyle="1" w:styleId="Appendixref">
    <w:name w:val="Appendix_ref"/>
    <w:basedOn w:val="Annexref"/>
    <w:next w:val="Appendixtitle"/>
    <w:rsid w:val="00A05D6F"/>
  </w:style>
  <w:style w:type="paragraph" w:customStyle="1" w:styleId="Appendixtitle">
    <w:name w:val="Appendix_title"/>
    <w:basedOn w:val="Annextitle"/>
    <w:next w:val="Normal"/>
    <w:rsid w:val="00A05D6F"/>
  </w:style>
  <w:style w:type="paragraph" w:customStyle="1" w:styleId="Reftitle">
    <w:name w:val="Ref_title"/>
    <w:basedOn w:val="Normal"/>
    <w:next w:val="Reftext"/>
    <w:rsid w:val="00A05D6F"/>
    <w:pPr>
      <w:spacing w:before="480"/>
      <w:jc w:val="center"/>
    </w:pPr>
    <w:rPr>
      <w:caps/>
      <w:sz w:val="28"/>
    </w:rPr>
  </w:style>
  <w:style w:type="paragraph" w:customStyle="1" w:styleId="Reftext">
    <w:name w:val="Ref_text"/>
    <w:basedOn w:val="Normal"/>
    <w:rsid w:val="00A05D6F"/>
    <w:pPr>
      <w:ind w:left="567" w:hanging="567"/>
    </w:pPr>
  </w:style>
  <w:style w:type="paragraph" w:customStyle="1" w:styleId="Call0">
    <w:name w:val="Call"/>
    <w:basedOn w:val="Normal"/>
    <w:next w:val="Normal"/>
    <w:rsid w:val="00A05D6F"/>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A05D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A05D6F"/>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05D6F"/>
    <w:pPr>
      <w:tabs>
        <w:tab w:val="clear" w:pos="567"/>
        <w:tab w:val="left" w:pos="851"/>
      </w:tabs>
    </w:pPr>
  </w:style>
  <w:style w:type="paragraph" w:customStyle="1" w:styleId="MinusFootnote">
    <w:name w:val="MinusFootnote"/>
    <w:basedOn w:val="Normal"/>
    <w:rsid w:val="00A05D6F"/>
    <w:pPr>
      <w:ind w:left="-1701" w:hanging="284"/>
    </w:pPr>
  </w:style>
  <w:style w:type="paragraph" w:customStyle="1" w:styleId="Title3">
    <w:name w:val="Title 3"/>
    <w:basedOn w:val="Title2"/>
    <w:next w:val="Normalaftertitle"/>
    <w:rsid w:val="00A05D6F"/>
    <w:rPr>
      <w:caps w:val="0"/>
    </w:rPr>
  </w:style>
  <w:style w:type="paragraph" w:customStyle="1" w:styleId="Title2">
    <w:name w:val="Title 2"/>
    <w:basedOn w:val="Source"/>
    <w:next w:val="Title3"/>
    <w:rsid w:val="00A05D6F"/>
    <w:pPr>
      <w:spacing w:before="240"/>
    </w:pPr>
    <w:rPr>
      <w:b w:val="0"/>
      <w:caps/>
    </w:rPr>
  </w:style>
  <w:style w:type="paragraph" w:customStyle="1" w:styleId="ArtNo">
    <w:name w:val="Art_No"/>
    <w:basedOn w:val="Normal"/>
    <w:next w:val="Arttitle"/>
    <w:rsid w:val="00A05D6F"/>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A05D6F"/>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05D6F"/>
  </w:style>
  <w:style w:type="paragraph" w:customStyle="1" w:styleId="Chaptitle">
    <w:name w:val="Chap_title"/>
    <w:basedOn w:val="Arttitle"/>
    <w:next w:val="Normal"/>
    <w:rsid w:val="00A05D6F"/>
  </w:style>
  <w:style w:type="paragraph" w:customStyle="1" w:styleId="Reasons">
    <w:name w:val="Reasons"/>
    <w:basedOn w:val="Normal"/>
    <w:rsid w:val="00A05D6F"/>
  </w:style>
  <w:style w:type="paragraph" w:customStyle="1" w:styleId="ResNo">
    <w:name w:val="Res_No"/>
    <w:basedOn w:val="AnnexNo"/>
    <w:next w:val="Restitle"/>
    <w:rsid w:val="00A05D6F"/>
  </w:style>
  <w:style w:type="paragraph" w:customStyle="1" w:styleId="Restitle">
    <w:name w:val="Res_title"/>
    <w:basedOn w:val="Annextitle"/>
    <w:next w:val="Normal"/>
    <w:rsid w:val="00A05D6F"/>
  </w:style>
  <w:style w:type="paragraph" w:customStyle="1" w:styleId="AnnexNoS2">
    <w:name w:val="Annex_No_S2"/>
    <w:basedOn w:val="AnnexNo"/>
    <w:next w:val="AnnexrefS2"/>
    <w:rsid w:val="00A05D6F"/>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05D6F"/>
    <w:rPr>
      <w:caps w:val="0"/>
    </w:rPr>
  </w:style>
  <w:style w:type="paragraph" w:customStyle="1" w:styleId="AnnexrefS2">
    <w:name w:val="Annex_ref_S2"/>
    <w:basedOn w:val="Annexref"/>
    <w:next w:val="AnnextitleS2"/>
    <w:rsid w:val="00A05D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05D6F"/>
    <w:pPr>
      <w:spacing w:before="240"/>
    </w:pPr>
    <w:rPr>
      <w:b/>
      <w:i/>
    </w:rPr>
  </w:style>
  <w:style w:type="paragraph" w:customStyle="1" w:styleId="AnnextitleS2">
    <w:name w:val="Annex_title_S2"/>
    <w:basedOn w:val="Annextitle"/>
    <w:next w:val="NormalS2"/>
    <w:rsid w:val="00A05D6F"/>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A05D6F"/>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05D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A05D6F"/>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A05D6F"/>
    <w:pPr>
      <w:tabs>
        <w:tab w:val="left" w:pos="851"/>
      </w:tabs>
      <w:jc w:val="left"/>
    </w:pPr>
    <w:rPr>
      <w:b/>
      <w:sz w:val="24"/>
    </w:rPr>
  </w:style>
  <w:style w:type="paragraph" w:customStyle="1" w:styleId="ArttitleS2">
    <w:name w:val="Art_title_S2"/>
    <w:basedOn w:val="Arttitle"/>
    <w:next w:val="NormalS2"/>
    <w:rsid w:val="00A05D6F"/>
    <w:pPr>
      <w:tabs>
        <w:tab w:val="left" w:pos="851"/>
      </w:tabs>
      <w:jc w:val="left"/>
    </w:pPr>
    <w:rPr>
      <w:sz w:val="24"/>
    </w:rPr>
  </w:style>
  <w:style w:type="paragraph" w:customStyle="1" w:styleId="ChapNoS2">
    <w:name w:val="Chap_No_S2"/>
    <w:basedOn w:val="ChapNo"/>
    <w:next w:val="ChaptitleS2"/>
    <w:rsid w:val="00A05D6F"/>
    <w:pPr>
      <w:tabs>
        <w:tab w:val="left" w:pos="851"/>
      </w:tabs>
      <w:jc w:val="left"/>
    </w:pPr>
    <w:rPr>
      <w:b/>
      <w:sz w:val="24"/>
    </w:rPr>
  </w:style>
  <w:style w:type="paragraph" w:customStyle="1" w:styleId="ChaptitleS2">
    <w:name w:val="Chap_title_S2"/>
    <w:basedOn w:val="Chaptitle"/>
    <w:next w:val="NormalS2"/>
    <w:rsid w:val="00A05D6F"/>
    <w:pPr>
      <w:tabs>
        <w:tab w:val="left" w:pos="851"/>
      </w:tabs>
      <w:jc w:val="left"/>
    </w:pPr>
    <w:rPr>
      <w:sz w:val="24"/>
    </w:rPr>
  </w:style>
  <w:style w:type="paragraph" w:customStyle="1" w:styleId="enumlev1S2">
    <w:name w:val="enumlev1_S2"/>
    <w:basedOn w:val="enumlev1"/>
    <w:rsid w:val="00A05D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05D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05D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05D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05D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05D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05D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05D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05D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05D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05D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05D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05D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05D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05D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05D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05D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A05D6F"/>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05D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05D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A05D6F"/>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A05D6F"/>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A05D6F"/>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A05D6F"/>
    <w:pPr>
      <w:tabs>
        <w:tab w:val="left" w:pos="851"/>
      </w:tabs>
      <w:jc w:val="left"/>
    </w:pPr>
    <w:rPr>
      <w:caps/>
      <w:sz w:val="24"/>
    </w:rPr>
  </w:style>
  <w:style w:type="paragraph" w:customStyle="1" w:styleId="Section2S2">
    <w:name w:val="Section 2_S2"/>
    <w:basedOn w:val="Section2"/>
    <w:next w:val="NormalS2"/>
    <w:rsid w:val="00A05D6F"/>
    <w:pPr>
      <w:tabs>
        <w:tab w:val="left" w:pos="851"/>
      </w:tabs>
      <w:jc w:val="left"/>
    </w:pPr>
    <w:rPr>
      <w:sz w:val="24"/>
    </w:rPr>
  </w:style>
  <w:style w:type="paragraph" w:customStyle="1" w:styleId="TableNoS2">
    <w:name w:val="Table_No_S2"/>
    <w:basedOn w:val="TableNo"/>
    <w:next w:val="TabletitleS2"/>
    <w:rsid w:val="00A05D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05D6F"/>
    <w:pPr>
      <w:tabs>
        <w:tab w:val="left" w:pos="851"/>
      </w:tabs>
      <w:spacing w:after="0"/>
    </w:pPr>
    <w:rPr>
      <w:b/>
    </w:rPr>
  </w:style>
  <w:style w:type="paragraph" w:customStyle="1" w:styleId="TabletextS2">
    <w:name w:val="Table_text_S2"/>
    <w:basedOn w:val="Tabletext"/>
    <w:rsid w:val="00A05D6F"/>
    <w:pPr>
      <w:tabs>
        <w:tab w:val="left" w:pos="851"/>
      </w:tabs>
    </w:pPr>
    <w:rPr>
      <w:b/>
    </w:rPr>
  </w:style>
  <w:style w:type="paragraph" w:customStyle="1" w:styleId="TabletitleS2">
    <w:name w:val="Table_title_S2"/>
    <w:basedOn w:val="Tabletitle"/>
    <w:next w:val="TabletextS2"/>
    <w:rsid w:val="00A05D6F"/>
    <w:pPr>
      <w:keepNext w:val="0"/>
      <w:tabs>
        <w:tab w:val="clear" w:pos="2948"/>
        <w:tab w:val="clear" w:pos="4082"/>
        <w:tab w:val="left" w:pos="851"/>
      </w:tabs>
      <w:jc w:val="left"/>
    </w:pPr>
  </w:style>
  <w:style w:type="paragraph" w:customStyle="1" w:styleId="FooterS2">
    <w:name w:val="Footer_S2"/>
    <w:basedOn w:val="Footer"/>
    <w:rsid w:val="00A05D6F"/>
    <w:pPr>
      <w:tabs>
        <w:tab w:val="clear" w:pos="5954"/>
        <w:tab w:val="clear" w:pos="9639"/>
        <w:tab w:val="left" w:pos="3686"/>
        <w:tab w:val="right" w:pos="7655"/>
      </w:tabs>
      <w:ind w:left="-1985"/>
    </w:pPr>
  </w:style>
  <w:style w:type="paragraph" w:customStyle="1" w:styleId="HeaderS2">
    <w:name w:val="Header_S2"/>
    <w:basedOn w:val="Normal"/>
    <w:rsid w:val="00A05D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05D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05D6F"/>
    <w:pPr>
      <w:tabs>
        <w:tab w:val="left" w:pos="851"/>
      </w:tabs>
      <w:jc w:val="left"/>
    </w:pPr>
  </w:style>
  <w:style w:type="paragraph" w:customStyle="1" w:styleId="NoteS2">
    <w:name w:val="Note_S2"/>
    <w:basedOn w:val="Note"/>
    <w:rsid w:val="00A05D6F"/>
    <w:pPr>
      <w:tabs>
        <w:tab w:val="clear" w:pos="1134"/>
        <w:tab w:val="clear" w:pos="1701"/>
        <w:tab w:val="clear" w:pos="2268"/>
        <w:tab w:val="clear" w:pos="2835"/>
      </w:tabs>
    </w:pPr>
    <w:rPr>
      <w:b/>
    </w:rPr>
  </w:style>
  <w:style w:type="paragraph" w:customStyle="1" w:styleId="HeadingbS2">
    <w:name w:val="Headingb_S2"/>
    <w:basedOn w:val="Headingb"/>
    <w:next w:val="NormalS2"/>
    <w:rsid w:val="00A05D6F"/>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A05D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A05D6F"/>
    <w:pPr>
      <w:spacing w:before="160"/>
      <w:outlineLvl w:val="0"/>
    </w:pPr>
    <w:rPr>
      <w:rFonts w:asciiTheme="minorHAnsi" w:hAnsiTheme="minorHAnsi"/>
      <w:b w:val="0"/>
      <w:i/>
    </w:rPr>
  </w:style>
  <w:style w:type="paragraph" w:customStyle="1" w:styleId="FirstFooter">
    <w:name w:val="FirstFooter"/>
    <w:basedOn w:val="Footer"/>
    <w:rsid w:val="00A05D6F"/>
    <w:rPr>
      <w:caps w:val="0"/>
    </w:rPr>
  </w:style>
  <w:style w:type="character" w:styleId="PageNumber">
    <w:name w:val="page number"/>
    <w:basedOn w:val="DefaultParagraphFont"/>
    <w:rsid w:val="00A05D6F"/>
    <w:rPr>
      <w:rFonts w:ascii="Calibri" w:hAnsi="Calibri"/>
    </w:rPr>
  </w:style>
  <w:style w:type="paragraph" w:styleId="Date">
    <w:name w:val="Date"/>
    <w:basedOn w:val="Normal"/>
    <w:link w:val="DateChar"/>
    <w:rsid w:val="00A05D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9078AA"/>
    <w:rPr>
      <w:rFonts w:ascii="Calibri" w:eastAsia="Times New Roman" w:hAnsi="Calibri" w:cs="Times New Roman"/>
      <w:sz w:val="20"/>
      <w:szCs w:val="20"/>
      <w:lang w:val="en-GB"/>
    </w:rPr>
  </w:style>
  <w:style w:type="paragraph" w:customStyle="1" w:styleId="Heading1c">
    <w:name w:val="Heading 1c"/>
    <w:basedOn w:val="Heading1"/>
    <w:next w:val="Normal"/>
    <w:rsid w:val="00A05D6F"/>
    <w:pPr>
      <w:ind w:left="0" w:firstLine="0"/>
      <w:jc w:val="center"/>
      <w:outlineLvl w:val="9"/>
    </w:pPr>
  </w:style>
  <w:style w:type="paragraph" w:customStyle="1" w:styleId="Heading1cS2">
    <w:name w:val="Heading 1c_S2"/>
    <w:basedOn w:val="Heading1c"/>
    <w:next w:val="NormalS2"/>
    <w:rsid w:val="00A05D6F"/>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A05D6F"/>
    <w:rPr>
      <w:b w:val="0"/>
      <w:i/>
    </w:rPr>
  </w:style>
  <w:style w:type="paragraph" w:customStyle="1" w:styleId="Heading2iS2">
    <w:name w:val="Heading 2i_S2"/>
    <w:basedOn w:val="Heading2i"/>
    <w:next w:val="NormalS2"/>
    <w:rsid w:val="00A05D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A05D6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05D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05D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A05D6F"/>
    <w:pPr>
      <w:spacing w:before="320"/>
      <w:outlineLvl w:val="1"/>
    </w:pPr>
    <w:rPr>
      <w:sz w:val="24"/>
    </w:rPr>
  </w:style>
  <w:style w:type="paragraph" w:customStyle="1" w:styleId="Heading3pv">
    <w:name w:val="Heading 3pv"/>
    <w:basedOn w:val="Heading1pv"/>
    <w:next w:val="Normalpv"/>
    <w:rsid w:val="00A05D6F"/>
    <w:pPr>
      <w:spacing w:before="200"/>
      <w:outlineLvl w:val="2"/>
    </w:pPr>
    <w:rPr>
      <w:sz w:val="24"/>
    </w:rPr>
  </w:style>
  <w:style w:type="paragraph" w:customStyle="1" w:styleId="SpecialFooter">
    <w:name w:val="Special Footer"/>
    <w:basedOn w:val="Footer"/>
    <w:rsid w:val="00A05D6F"/>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A05D6F"/>
  </w:style>
  <w:style w:type="paragraph" w:customStyle="1" w:styleId="Dectitle">
    <w:name w:val="Dec_title"/>
    <w:basedOn w:val="Restitle"/>
    <w:next w:val="Normalaftertitle"/>
    <w:qFormat/>
    <w:rsid w:val="00A05D6F"/>
    <w:rPr>
      <w:rFonts w:cs="Times New Roman Bold"/>
    </w:rPr>
  </w:style>
  <w:style w:type="paragraph" w:customStyle="1" w:styleId="DecNo">
    <w:name w:val="Dec_No"/>
    <w:basedOn w:val="RecNo"/>
    <w:next w:val="Dectitle"/>
    <w:qFormat/>
    <w:rsid w:val="00A05D6F"/>
  </w:style>
  <w:style w:type="paragraph" w:customStyle="1" w:styleId="DectitleS2">
    <w:name w:val="Dec_title_S2"/>
    <w:basedOn w:val="RestitleS2"/>
    <w:next w:val="Normal"/>
    <w:qFormat/>
    <w:rsid w:val="00A05D6F"/>
  </w:style>
  <w:style w:type="paragraph" w:customStyle="1" w:styleId="DecNoS2">
    <w:name w:val="Dec_No_S2"/>
    <w:basedOn w:val="ResNoS2"/>
    <w:next w:val="DectitleS2"/>
    <w:qFormat/>
    <w:rsid w:val="00A05D6F"/>
  </w:style>
  <w:style w:type="paragraph" w:customStyle="1" w:styleId="Sectiontitle">
    <w:name w:val="Section_title"/>
    <w:basedOn w:val="Arttitle"/>
    <w:next w:val="Normalaftertitle"/>
    <w:qFormat/>
    <w:rsid w:val="00A05D6F"/>
  </w:style>
  <w:style w:type="paragraph" w:customStyle="1" w:styleId="SectionNo">
    <w:name w:val="Section_No"/>
    <w:basedOn w:val="ArtNo"/>
    <w:next w:val="Sectiontitle"/>
    <w:qFormat/>
    <w:rsid w:val="00A05D6F"/>
  </w:style>
  <w:style w:type="paragraph" w:customStyle="1" w:styleId="SectiontitleS2">
    <w:name w:val="Section_title_S2"/>
    <w:basedOn w:val="ArttitleS2"/>
    <w:next w:val="Normal"/>
    <w:qFormat/>
    <w:rsid w:val="00A05D6F"/>
  </w:style>
  <w:style w:type="paragraph" w:customStyle="1" w:styleId="SectionNoS2">
    <w:name w:val="Section_No_S2"/>
    <w:basedOn w:val="ArtNoS2"/>
    <w:next w:val="SectiontitleS2"/>
    <w:qFormat/>
    <w:rsid w:val="00A05D6F"/>
  </w:style>
  <w:style w:type="paragraph" w:customStyle="1" w:styleId="Proposal">
    <w:name w:val="Proposal"/>
    <w:basedOn w:val="Normal"/>
    <w:next w:val="Normal"/>
    <w:rsid w:val="00A05D6F"/>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A05D6F"/>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Annexti">
    <w:name w:val="Annex_ ti"/>
    <w:basedOn w:val="Normal"/>
    <w:rsid w:val="000D4425"/>
    <w:pPr>
      <w:tabs>
        <w:tab w:val="left" w:pos="900"/>
      </w:tabs>
      <w:snapToGrid w:val="0"/>
      <w:jc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7363">
      <w:bodyDiv w:val="1"/>
      <w:marLeft w:val="0"/>
      <w:marRight w:val="0"/>
      <w:marTop w:val="0"/>
      <w:marBottom w:val="0"/>
      <w:divBdr>
        <w:top w:val="none" w:sz="0" w:space="0" w:color="auto"/>
        <w:left w:val="none" w:sz="0" w:space="0" w:color="auto"/>
        <w:bottom w:val="none" w:sz="0" w:space="0" w:color="auto"/>
        <w:right w:val="none" w:sz="0" w:space="0" w:color="auto"/>
      </w:divBdr>
    </w:div>
    <w:div w:id="199049256">
      <w:bodyDiv w:val="1"/>
      <w:marLeft w:val="0"/>
      <w:marRight w:val="0"/>
      <w:marTop w:val="0"/>
      <w:marBottom w:val="0"/>
      <w:divBdr>
        <w:top w:val="none" w:sz="0" w:space="0" w:color="auto"/>
        <w:left w:val="none" w:sz="0" w:space="0" w:color="auto"/>
        <w:bottom w:val="none" w:sz="0" w:space="0" w:color="auto"/>
        <w:right w:val="none" w:sz="0" w:space="0" w:color="auto"/>
      </w:divBdr>
    </w:div>
    <w:div w:id="887376776">
      <w:bodyDiv w:val="1"/>
      <w:marLeft w:val="0"/>
      <w:marRight w:val="0"/>
      <w:marTop w:val="0"/>
      <w:marBottom w:val="0"/>
      <w:divBdr>
        <w:top w:val="none" w:sz="0" w:space="0" w:color="auto"/>
        <w:left w:val="none" w:sz="0" w:space="0" w:color="auto"/>
        <w:bottom w:val="none" w:sz="0" w:space="0" w:color="auto"/>
        <w:right w:val="none" w:sz="0" w:space="0" w:color="auto"/>
      </w:divBdr>
    </w:div>
    <w:div w:id="913317199">
      <w:bodyDiv w:val="1"/>
      <w:marLeft w:val="0"/>
      <w:marRight w:val="0"/>
      <w:marTop w:val="0"/>
      <w:marBottom w:val="0"/>
      <w:divBdr>
        <w:top w:val="none" w:sz="0" w:space="0" w:color="auto"/>
        <w:left w:val="none" w:sz="0" w:space="0" w:color="auto"/>
        <w:bottom w:val="none" w:sz="0" w:space="0" w:color="auto"/>
        <w:right w:val="none" w:sz="0" w:space="0" w:color="auto"/>
      </w:divBdr>
    </w:div>
    <w:div w:id="920522993">
      <w:bodyDiv w:val="1"/>
      <w:marLeft w:val="0"/>
      <w:marRight w:val="0"/>
      <w:marTop w:val="0"/>
      <w:marBottom w:val="0"/>
      <w:divBdr>
        <w:top w:val="none" w:sz="0" w:space="0" w:color="auto"/>
        <w:left w:val="none" w:sz="0" w:space="0" w:color="auto"/>
        <w:bottom w:val="none" w:sz="0" w:space="0" w:color="auto"/>
        <w:right w:val="none" w:sz="0" w:space="0" w:color="auto"/>
      </w:divBdr>
    </w:div>
    <w:div w:id="1038166184">
      <w:bodyDiv w:val="1"/>
      <w:marLeft w:val="0"/>
      <w:marRight w:val="0"/>
      <w:marTop w:val="0"/>
      <w:marBottom w:val="0"/>
      <w:divBdr>
        <w:top w:val="none" w:sz="0" w:space="0" w:color="auto"/>
        <w:left w:val="none" w:sz="0" w:space="0" w:color="auto"/>
        <w:bottom w:val="none" w:sz="0" w:space="0" w:color="auto"/>
        <w:right w:val="none" w:sz="0" w:space="0" w:color="auto"/>
      </w:divBdr>
    </w:div>
    <w:div w:id="1450126941">
      <w:bodyDiv w:val="1"/>
      <w:marLeft w:val="0"/>
      <w:marRight w:val="0"/>
      <w:marTop w:val="0"/>
      <w:marBottom w:val="0"/>
      <w:divBdr>
        <w:top w:val="none" w:sz="0" w:space="0" w:color="auto"/>
        <w:left w:val="none" w:sz="0" w:space="0" w:color="auto"/>
        <w:bottom w:val="none" w:sz="0" w:space="0" w:color="auto"/>
        <w:right w:val="none" w:sz="0" w:space="0" w:color="auto"/>
      </w:divBdr>
    </w:div>
    <w:div w:id="1562401853">
      <w:bodyDiv w:val="1"/>
      <w:marLeft w:val="0"/>
      <w:marRight w:val="0"/>
      <w:marTop w:val="0"/>
      <w:marBottom w:val="0"/>
      <w:divBdr>
        <w:top w:val="none" w:sz="0" w:space="0" w:color="auto"/>
        <w:left w:val="none" w:sz="0" w:space="0" w:color="auto"/>
        <w:bottom w:val="none" w:sz="0" w:space="0" w:color="auto"/>
        <w:right w:val="none" w:sz="0" w:space="0" w:color="auto"/>
      </w:divBdr>
    </w:div>
    <w:div w:id="1699894632">
      <w:bodyDiv w:val="1"/>
      <w:marLeft w:val="0"/>
      <w:marRight w:val="0"/>
      <w:marTop w:val="0"/>
      <w:marBottom w:val="0"/>
      <w:divBdr>
        <w:top w:val="none" w:sz="0" w:space="0" w:color="auto"/>
        <w:left w:val="none" w:sz="0" w:space="0" w:color="auto"/>
        <w:bottom w:val="none" w:sz="0" w:space="0" w:color="auto"/>
        <w:right w:val="none" w:sz="0" w:space="0" w:color="auto"/>
      </w:divBdr>
    </w:div>
    <w:div w:id="2069449241">
      <w:bodyDiv w:val="1"/>
      <w:marLeft w:val="0"/>
      <w:marRight w:val="0"/>
      <w:marTop w:val="0"/>
      <w:marBottom w:val="0"/>
      <w:divBdr>
        <w:top w:val="none" w:sz="0" w:space="0" w:color="auto"/>
        <w:left w:val="none" w:sz="0" w:space="0" w:color="auto"/>
        <w:bottom w:val="none" w:sz="0" w:space="0" w:color="auto"/>
        <w:right w:val="none" w:sz="0" w:space="0" w:color="auto"/>
      </w:divBdr>
    </w:div>
    <w:div w:id="21044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ouncil/Basic-Texts/convention-e.docx" TargetMode="External"/><Relationship Id="rId18" Type="http://schemas.openxmlformats.org/officeDocument/2006/relationships/hyperlink" Target="http://www.itu.int/council/Basic-Texts/ResDecRec-PP10-e.docx" TargetMode="External"/><Relationship Id="rId26" Type="http://schemas.openxmlformats.org/officeDocument/2006/relationships/hyperlink" Target="http://www.itu.int/md/S14-PP-C-0061/en" TargetMode="External"/><Relationship Id="rId3" Type="http://schemas.openxmlformats.org/officeDocument/2006/relationships/styles" Target="styles.xml"/><Relationship Id="rId21" Type="http://schemas.openxmlformats.org/officeDocument/2006/relationships/hyperlink" Target="http://www.itu.int/pub/R-RES-R.43-2000" TargetMode="External"/><Relationship Id="rId7" Type="http://schemas.openxmlformats.org/officeDocument/2006/relationships/footnotes" Target="footnotes.xml"/><Relationship Id="rId12" Type="http://schemas.openxmlformats.org/officeDocument/2006/relationships/hyperlink" Target="http://www.itu.int/council/Basic-Texts/constitution-e.docx" TargetMode="External"/><Relationship Id="rId17" Type="http://schemas.openxmlformats.org/officeDocument/2006/relationships/hyperlink" Target="http://www.itu.int/council/Basic-Texts/ResDecRec-PP10-e.docx" TargetMode="External"/><Relationship Id="rId25" Type="http://schemas.openxmlformats.org/officeDocument/2006/relationships/hyperlink" Target="http://www.itu.int/md/S14-CL-C-0108/en" TargetMode="External"/><Relationship Id="rId2" Type="http://schemas.openxmlformats.org/officeDocument/2006/relationships/numbering" Target="numbering.xml"/><Relationship Id="rId16" Type="http://schemas.openxmlformats.org/officeDocument/2006/relationships/hyperlink" Target="http://www.itu.int/itudoc/gs/council/c00/docs/28rev1.html" TargetMode="External"/><Relationship Id="rId20" Type="http://schemas.openxmlformats.org/officeDocument/2006/relationships/hyperlink" Target="http://www.itu.int/council/Basic-Texts/ResDecRec-PP10-e.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Basic-Texts/constitution-e.docx" TargetMode="External"/><Relationship Id="rId24" Type="http://schemas.openxmlformats.org/officeDocument/2006/relationships/hyperlink" Target="http://www.itu.int/md/S14-PP-C-0053/en" TargetMode="External"/><Relationship Id="rId5" Type="http://schemas.openxmlformats.org/officeDocument/2006/relationships/settings" Target="settings.xml"/><Relationship Id="rId15" Type="http://schemas.openxmlformats.org/officeDocument/2006/relationships/hyperlink" Target="http://www.itu.int/council/Basic-Texts/convention-e.docx" TargetMode="External"/><Relationship Id="rId23" Type="http://schemas.openxmlformats.org/officeDocument/2006/relationships/hyperlink" Target="http://www.itu.int/pub/T-RES-T.31-2012" TargetMode="External"/><Relationship Id="rId28" Type="http://schemas.openxmlformats.org/officeDocument/2006/relationships/footer" Target="footer1.xml"/><Relationship Id="rId10" Type="http://schemas.openxmlformats.org/officeDocument/2006/relationships/hyperlink" Target="http://www.itu.int/council/Basic-Texts/constitution-e.docx" TargetMode="External"/><Relationship Id="rId19" Type="http://schemas.openxmlformats.org/officeDocument/2006/relationships/hyperlink" Target="http://www.itu.int/council/Basic-Texts/ResDecRec-PP10-e.doc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council/Basic-Texts/convention-e.docx" TargetMode="External"/><Relationship Id="rId22" Type="http://schemas.openxmlformats.org/officeDocument/2006/relationships/hyperlink" Target="http://www.itu.int/pub/T-RES-T.71-2012"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D83D-DC74-49D1-BC0D-23ACC203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3</TotalTime>
  <Pages>11</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PP-14/60</vt:lpstr>
    </vt:vector>
  </TitlesOfParts>
  <Company>International Telecommunication Union</Company>
  <LinksUpToDate>false</LinksUpToDate>
  <CharactersWithSpaces>30271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PP-14/60</dc:title>
  <dc:creator>s</dc:creator>
  <cp:lastModifiedBy>Brouard, Ricarda</cp:lastModifiedBy>
  <cp:revision>4</cp:revision>
  <cp:lastPrinted>2014-08-14T08:29:00Z</cp:lastPrinted>
  <dcterms:created xsi:type="dcterms:W3CDTF">2014-08-14T08:29:00Z</dcterms:created>
  <dcterms:modified xsi:type="dcterms:W3CDTF">2014-08-14T16:11:00Z</dcterms:modified>
</cp:coreProperties>
</file>