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78895141" w14:textId="77777777" w:rsidTr="000E7785">
        <w:trPr>
          <w:cantSplit/>
        </w:trPr>
        <w:tc>
          <w:tcPr>
            <w:tcW w:w="6911" w:type="dxa"/>
          </w:tcPr>
          <w:p w14:paraId="20A7E657" w14:textId="77777777"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14:paraId="643C4E00" w14:textId="77777777" w:rsidR="00C710E5" w:rsidRPr="00622560" w:rsidRDefault="00C710E5" w:rsidP="000E7785">
            <w:bookmarkStart w:id="2" w:name="ditulogo"/>
            <w:bookmarkEnd w:id="2"/>
            <w:r w:rsidRPr="00622560">
              <w:rPr>
                <w:noProof/>
                <w:lang w:val="en-US" w:eastAsia="zh-CN"/>
              </w:rPr>
              <w:drawing>
                <wp:inline distT="0" distB="0" distL="0" distR="0" wp14:anchorId="0D287390" wp14:editId="63E6220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14:paraId="1F63DD3C" w14:textId="77777777" w:rsidTr="000E7785">
        <w:trPr>
          <w:cantSplit/>
        </w:trPr>
        <w:tc>
          <w:tcPr>
            <w:tcW w:w="6911" w:type="dxa"/>
            <w:tcBorders>
              <w:bottom w:val="single" w:sz="12" w:space="0" w:color="auto"/>
            </w:tcBorders>
          </w:tcPr>
          <w:p w14:paraId="46FF2319" w14:textId="77777777" w:rsidR="00C710E5" w:rsidRPr="00617BE4" w:rsidRDefault="00C710E5" w:rsidP="000E7785">
            <w:pPr>
              <w:spacing w:after="48" w:line="240" w:lineRule="atLeast"/>
              <w:rPr>
                <w:b/>
                <w:smallCaps/>
                <w:szCs w:val="24"/>
              </w:rPr>
            </w:pPr>
            <w:bookmarkStart w:id="3" w:name="dhead"/>
          </w:p>
        </w:tc>
        <w:tc>
          <w:tcPr>
            <w:tcW w:w="3120" w:type="dxa"/>
            <w:tcBorders>
              <w:bottom w:val="single" w:sz="12" w:space="0" w:color="auto"/>
            </w:tcBorders>
          </w:tcPr>
          <w:p w14:paraId="44F252EB" w14:textId="77777777" w:rsidR="00C710E5" w:rsidRPr="00622560" w:rsidRDefault="00C710E5" w:rsidP="000E7785">
            <w:pPr>
              <w:spacing w:before="0" w:line="240" w:lineRule="atLeast"/>
              <w:rPr>
                <w:rFonts w:ascii="Verdana" w:hAnsi="Verdana"/>
                <w:sz w:val="20"/>
                <w:szCs w:val="24"/>
              </w:rPr>
            </w:pPr>
          </w:p>
        </w:tc>
      </w:tr>
      <w:tr w:rsidR="00C710E5" w:rsidRPr="00C324A8" w14:paraId="04F12922" w14:textId="77777777" w:rsidTr="000E7785">
        <w:trPr>
          <w:cantSplit/>
        </w:trPr>
        <w:tc>
          <w:tcPr>
            <w:tcW w:w="6911" w:type="dxa"/>
            <w:tcBorders>
              <w:top w:val="single" w:sz="12" w:space="0" w:color="auto"/>
            </w:tcBorders>
          </w:tcPr>
          <w:p w14:paraId="552B14CC" w14:textId="77777777" w:rsidR="00C710E5" w:rsidRPr="00CB4E5A" w:rsidRDefault="00C710E5" w:rsidP="000E7785">
            <w:pPr>
              <w:spacing w:line="240" w:lineRule="atLeast"/>
              <w:rPr>
                <w:rFonts w:ascii="Verdana" w:hAnsi="Verdana"/>
                <w:b/>
                <w:bCs/>
                <w:sz w:val="20"/>
              </w:rPr>
            </w:pPr>
          </w:p>
        </w:tc>
        <w:tc>
          <w:tcPr>
            <w:tcW w:w="3120" w:type="dxa"/>
            <w:tcBorders>
              <w:top w:val="single" w:sz="12" w:space="0" w:color="auto"/>
            </w:tcBorders>
          </w:tcPr>
          <w:p w14:paraId="70C9B351" w14:textId="77777777" w:rsidR="00C710E5" w:rsidRPr="00CB4E5A" w:rsidRDefault="00C710E5" w:rsidP="000E7785">
            <w:pPr>
              <w:spacing w:line="240" w:lineRule="atLeast"/>
              <w:rPr>
                <w:rFonts w:ascii="Verdana" w:hAnsi="Verdana"/>
                <w:b/>
                <w:bCs/>
                <w:sz w:val="20"/>
              </w:rPr>
            </w:pPr>
          </w:p>
        </w:tc>
      </w:tr>
      <w:tr w:rsidR="00C710E5" w:rsidRPr="00C324A8" w14:paraId="3333FE95" w14:textId="77777777" w:rsidTr="000E7785">
        <w:trPr>
          <w:cantSplit/>
          <w:trHeight w:val="23"/>
        </w:trPr>
        <w:tc>
          <w:tcPr>
            <w:tcW w:w="6911" w:type="dxa"/>
          </w:tcPr>
          <w:p w14:paraId="32C3B6D3" w14:textId="77777777" w:rsidR="00C710E5" w:rsidRPr="007F0374" w:rsidRDefault="00811D55" w:rsidP="000E7785">
            <w:pPr>
              <w:pStyle w:val="Committee"/>
              <w:framePr w:hSpace="0" w:wrap="auto" w:hAnchor="text" w:yAlign="inline"/>
            </w:pPr>
            <w:r w:rsidRPr="007F0374">
              <w:t>全体会议</w:t>
            </w:r>
          </w:p>
        </w:tc>
        <w:tc>
          <w:tcPr>
            <w:tcW w:w="3120" w:type="dxa"/>
          </w:tcPr>
          <w:p w14:paraId="19497C58" w14:textId="77777777" w:rsidR="00C710E5" w:rsidRPr="007F0374" w:rsidRDefault="00811D55" w:rsidP="00B80DA4">
            <w:pPr>
              <w:spacing w:before="0" w:line="240" w:lineRule="atLeast"/>
              <w:rPr>
                <w:rFonts w:cstheme="minorHAnsi"/>
                <w:szCs w:val="24"/>
                <w:lang w:eastAsia="zh-CN"/>
              </w:rPr>
            </w:pPr>
            <w:r>
              <w:rPr>
                <w:rFonts w:cstheme="minorHAnsi"/>
                <w:b/>
                <w:szCs w:val="24"/>
                <w:lang w:eastAsia="zh-CN"/>
              </w:rPr>
              <w:t>文件</w:t>
            </w:r>
            <w:r>
              <w:rPr>
                <w:rFonts w:cstheme="minorHAnsi"/>
                <w:b/>
                <w:szCs w:val="24"/>
                <w:lang w:eastAsia="zh-CN"/>
              </w:rPr>
              <w:t xml:space="preserve"> </w:t>
            </w:r>
            <w:r w:rsidR="00B80DA4">
              <w:rPr>
                <w:rFonts w:cstheme="minorHAnsi"/>
                <w:b/>
                <w:szCs w:val="24"/>
                <w:lang w:eastAsia="zh-CN"/>
              </w:rPr>
              <w:t>57</w:t>
            </w:r>
            <w:r w:rsidR="0094565B">
              <w:rPr>
                <w:rFonts w:cstheme="minorHAnsi"/>
                <w:b/>
                <w:szCs w:val="24"/>
                <w:lang w:val="en-US" w:eastAsia="zh-CN"/>
              </w:rPr>
              <w:t>(Rev.</w:t>
            </w:r>
            <w:r w:rsidR="0094565B">
              <w:rPr>
                <w:rFonts w:cstheme="minorHAnsi"/>
                <w:b/>
                <w:szCs w:val="24"/>
                <w:lang w:val="en-US"/>
              </w:rPr>
              <w:t>1)</w:t>
            </w:r>
            <w:r>
              <w:rPr>
                <w:rFonts w:cstheme="minorHAnsi"/>
                <w:b/>
                <w:szCs w:val="24"/>
                <w:lang w:eastAsia="zh-CN"/>
              </w:rPr>
              <w:t>-C</w:t>
            </w:r>
          </w:p>
        </w:tc>
      </w:tr>
      <w:tr w:rsidR="00C710E5" w:rsidRPr="00C324A8" w14:paraId="366F41DD" w14:textId="77777777" w:rsidTr="000E7785">
        <w:trPr>
          <w:cantSplit/>
          <w:trHeight w:val="23"/>
        </w:trPr>
        <w:tc>
          <w:tcPr>
            <w:tcW w:w="6911" w:type="dxa"/>
          </w:tcPr>
          <w:p w14:paraId="6CBA5FF6" w14:textId="77777777" w:rsidR="00C710E5" w:rsidRPr="007F0374" w:rsidRDefault="00C710E5" w:rsidP="000E7785">
            <w:pPr>
              <w:spacing w:before="0" w:line="240" w:lineRule="atLeast"/>
              <w:rPr>
                <w:rFonts w:cstheme="minorHAnsi"/>
                <w:b/>
                <w:bCs/>
                <w:szCs w:val="24"/>
                <w:lang w:eastAsia="zh-CN"/>
              </w:rPr>
            </w:pPr>
          </w:p>
        </w:tc>
        <w:tc>
          <w:tcPr>
            <w:tcW w:w="3120" w:type="dxa"/>
          </w:tcPr>
          <w:p w14:paraId="4500454C" w14:textId="60023B0F" w:rsidR="00C710E5" w:rsidRPr="007F0374" w:rsidRDefault="00811D55" w:rsidP="00B80DA4">
            <w:pPr>
              <w:spacing w:before="0" w:line="240" w:lineRule="atLeast"/>
              <w:rPr>
                <w:rFonts w:cstheme="minorHAnsi"/>
                <w:szCs w:val="24"/>
                <w:lang w:eastAsia="zh-CN"/>
              </w:rPr>
            </w:pPr>
            <w:r w:rsidRPr="007F0374">
              <w:rPr>
                <w:rFonts w:cstheme="minorHAnsi"/>
                <w:b/>
                <w:bCs/>
                <w:szCs w:val="24"/>
                <w:lang w:eastAsia="zh-CN"/>
              </w:rPr>
              <w:t>201</w:t>
            </w:r>
            <w:r w:rsidR="00B80DA4">
              <w:rPr>
                <w:rFonts w:cstheme="minorHAnsi"/>
                <w:b/>
                <w:bCs/>
                <w:szCs w:val="24"/>
                <w:lang w:eastAsia="zh-CN"/>
              </w:rPr>
              <w:t>4</w:t>
            </w:r>
            <w:r w:rsidRPr="007F0374">
              <w:rPr>
                <w:rFonts w:cstheme="minorHAnsi"/>
                <w:b/>
                <w:bCs/>
                <w:szCs w:val="24"/>
                <w:lang w:eastAsia="zh-CN"/>
              </w:rPr>
              <w:t>年</w:t>
            </w:r>
            <w:r w:rsidR="0094565B">
              <w:rPr>
                <w:rFonts w:cstheme="minorHAnsi"/>
                <w:b/>
                <w:bCs/>
                <w:szCs w:val="24"/>
                <w:lang w:eastAsia="zh-CN"/>
              </w:rPr>
              <w:t>10</w:t>
            </w:r>
            <w:r w:rsidRPr="007F0374">
              <w:rPr>
                <w:rFonts w:cstheme="minorHAnsi"/>
                <w:b/>
                <w:bCs/>
                <w:szCs w:val="24"/>
                <w:lang w:eastAsia="zh-CN"/>
              </w:rPr>
              <w:t>月</w:t>
            </w:r>
            <w:r w:rsidR="00994E12">
              <w:rPr>
                <w:rFonts w:cstheme="minorHAnsi"/>
                <w:b/>
                <w:bCs/>
                <w:szCs w:val="24"/>
                <w:lang w:eastAsia="zh-CN"/>
              </w:rPr>
              <w:t>14</w:t>
            </w:r>
            <w:r w:rsidRPr="007F0374">
              <w:rPr>
                <w:rFonts w:cstheme="minorHAnsi"/>
                <w:b/>
                <w:bCs/>
                <w:szCs w:val="24"/>
                <w:lang w:eastAsia="zh-CN"/>
              </w:rPr>
              <w:t>日</w:t>
            </w:r>
          </w:p>
        </w:tc>
      </w:tr>
      <w:tr w:rsidR="00C710E5" w:rsidRPr="00C324A8" w14:paraId="3E57F9C8" w14:textId="77777777" w:rsidTr="000E7785">
        <w:trPr>
          <w:cantSplit/>
          <w:trHeight w:val="23"/>
        </w:trPr>
        <w:tc>
          <w:tcPr>
            <w:tcW w:w="6911" w:type="dxa"/>
          </w:tcPr>
          <w:p w14:paraId="653E792D" w14:textId="77777777" w:rsidR="00C710E5" w:rsidRPr="007F0374" w:rsidRDefault="00C710E5" w:rsidP="000E7785">
            <w:pPr>
              <w:spacing w:before="0" w:line="240" w:lineRule="atLeast"/>
              <w:rPr>
                <w:rFonts w:cstheme="minorHAnsi"/>
                <w:b/>
                <w:bCs/>
                <w:szCs w:val="24"/>
                <w:lang w:eastAsia="zh-CN"/>
              </w:rPr>
            </w:pPr>
          </w:p>
        </w:tc>
        <w:tc>
          <w:tcPr>
            <w:tcW w:w="3120" w:type="dxa"/>
          </w:tcPr>
          <w:p w14:paraId="28BB8E8A" w14:textId="77777777" w:rsidR="00C710E5" w:rsidRPr="007F0374" w:rsidRDefault="00811D55" w:rsidP="000E7785">
            <w:pPr>
              <w:spacing w:before="0" w:line="240" w:lineRule="atLeast"/>
              <w:rPr>
                <w:rFonts w:cstheme="minorHAnsi"/>
                <w:szCs w:val="24"/>
                <w:lang w:eastAsia="zh-CN"/>
              </w:rPr>
            </w:pPr>
            <w:r w:rsidRPr="007F0374">
              <w:rPr>
                <w:rFonts w:cstheme="minorHAnsi"/>
                <w:b/>
                <w:bCs/>
                <w:szCs w:val="24"/>
                <w:lang w:eastAsia="zh-CN"/>
              </w:rPr>
              <w:t>原文：英文</w:t>
            </w:r>
          </w:p>
        </w:tc>
      </w:tr>
      <w:tr w:rsidR="00C710E5" w:rsidRPr="00C324A8" w14:paraId="02122131" w14:textId="77777777" w:rsidTr="000E7785">
        <w:trPr>
          <w:cantSplit/>
          <w:trHeight w:val="23"/>
        </w:trPr>
        <w:tc>
          <w:tcPr>
            <w:tcW w:w="10031" w:type="dxa"/>
            <w:gridSpan w:val="2"/>
          </w:tcPr>
          <w:p w14:paraId="50164998" w14:textId="77777777" w:rsidR="00C710E5" w:rsidRDefault="00C710E5" w:rsidP="000E7785">
            <w:pPr>
              <w:spacing w:before="0" w:line="240" w:lineRule="atLeast"/>
              <w:rPr>
                <w:rFonts w:ascii="Verdana" w:hAnsi="Verdana"/>
                <w:b/>
                <w:bCs/>
                <w:sz w:val="20"/>
                <w:lang w:eastAsia="zh-CN"/>
              </w:rPr>
            </w:pPr>
          </w:p>
        </w:tc>
      </w:tr>
      <w:tr w:rsidR="00C710E5" w14:paraId="0C7D9EC4" w14:textId="77777777" w:rsidTr="000E7785">
        <w:trPr>
          <w:cantSplit/>
        </w:trPr>
        <w:tc>
          <w:tcPr>
            <w:tcW w:w="10031" w:type="dxa"/>
            <w:gridSpan w:val="2"/>
          </w:tcPr>
          <w:p w14:paraId="0C900788" w14:textId="77777777" w:rsidR="00C710E5" w:rsidRDefault="00B80DA4" w:rsidP="000E7785">
            <w:pPr>
              <w:pStyle w:val="Source"/>
              <w:rPr>
                <w:lang w:eastAsia="zh-CN"/>
              </w:rPr>
            </w:pPr>
            <w:bookmarkStart w:id="4" w:name="dsource" w:colFirst="0" w:colLast="0"/>
            <w:bookmarkEnd w:id="1"/>
            <w:bookmarkEnd w:id="3"/>
            <w:r w:rsidRPr="00B80DA4">
              <w:rPr>
                <w:rFonts w:hint="eastAsia"/>
                <w:lang w:eastAsia="zh-CN"/>
              </w:rPr>
              <w:t>秘书长的报告</w:t>
            </w:r>
          </w:p>
        </w:tc>
      </w:tr>
      <w:tr w:rsidR="00C710E5" w14:paraId="2470D746" w14:textId="77777777" w:rsidTr="000E7785">
        <w:trPr>
          <w:cantSplit/>
        </w:trPr>
        <w:tc>
          <w:tcPr>
            <w:tcW w:w="10031" w:type="dxa"/>
            <w:gridSpan w:val="2"/>
          </w:tcPr>
          <w:p w14:paraId="4A406BB5" w14:textId="77777777" w:rsidR="00C710E5" w:rsidRDefault="00B80DA4" w:rsidP="000E7785">
            <w:pPr>
              <w:pStyle w:val="Title1"/>
              <w:rPr>
                <w:lang w:eastAsia="zh-CN"/>
              </w:rPr>
            </w:pPr>
            <w:bookmarkStart w:id="5" w:name="dtitle1" w:colFirst="0" w:colLast="0"/>
            <w:bookmarkEnd w:id="4"/>
            <w:r w:rsidRPr="00B80DA4">
              <w:rPr>
                <w:rFonts w:hint="eastAsia"/>
                <w:lang w:eastAsia="zh-CN"/>
              </w:rPr>
              <w:t>有关国际电联总部长期办公场所的选择方案</w:t>
            </w:r>
          </w:p>
        </w:tc>
      </w:tr>
      <w:tr w:rsidR="00C710E5" w14:paraId="3C2625E1" w14:textId="77777777" w:rsidTr="000E7785">
        <w:trPr>
          <w:cantSplit/>
        </w:trPr>
        <w:tc>
          <w:tcPr>
            <w:tcW w:w="10031" w:type="dxa"/>
            <w:gridSpan w:val="2"/>
          </w:tcPr>
          <w:p w14:paraId="17FF672F" w14:textId="77777777" w:rsidR="00C710E5" w:rsidRDefault="00C710E5" w:rsidP="000E7785">
            <w:pPr>
              <w:pStyle w:val="Agendaitem"/>
            </w:pPr>
            <w:bookmarkStart w:id="6" w:name="dtitle3" w:colFirst="0" w:colLast="0"/>
            <w:bookmarkEnd w:id="5"/>
          </w:p>
        </w:tc>
      </w:tr>
      <w:bookmarkEnd w:id="6"/>
    </w:tbl>
    <w:p w14:paraId="1E87FE3C" w14:textId="77777777" w:rsidR="00B80DA4" w:rsidRDefault="00B80DA4" w:rsidP="00B80DA4">
      <w:pPr>
        <w:rPr>
          <w:lang w:val="en-US" w:eastAsia="zh-CN"/>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B80DA4" w:rsidRPr="0063347C" w14:paraId="303B1264" w14:textId="77777777" w:rsidTr="000E7785">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14:paraId="623100F0" w14:textId="77777777" w:rsidR="00B80DA4" w:rsidRPr="0063347C" w:rsidRDefault="00B80DA4" w:rsidP="000E7785">
            <w:pPr>
              <w:pStyle w:val="Headingb"/>
              <w:rPr>
                <w:lang w:eastAsia="zh-CN"/>
              </w:rPr>
            </w:pPr>
            <w:r>
              <w:rPr>
                <w:rFonts w:hint="eastAsia"/>
                <w:lang w:eastAsia="zh-CN"/>
              </w:rPr>
              <w:t>概要</w:t>
            </w:r>
          </w:p>
          <w:p w14:paraId="0CFDD96C" w14:textId="77777777" w:rsidR="00B80DA4" w:rsidRPr="0063347C" w:rsidRDefault="00B80DA4" w:rsidP="00602EDE">
            <w:pPr>
              <w:ind w:firstLineChars="200" w:firstLine="480"/>
              <w:rPr>
                <w:lang w:eastAsia="zh-CN"/>
              </w:rPr>
            </w:pPr>
            <w:r w:rsidRPr="00602EDE">
              <w:rPr>
                <w:rFonts w:hint="eastAsia"/>
                <w:lang w:eastAsia="zh-CN"/>
              </w:rPr>
              <w:t>本报告是对国际电联理事会</w:t>
            </w:r>
            <w:r w:rsidRPr="00602EDE">
              <w:rPr>
                <w:rFonts w:hint="eastAsia"/>
                <w:lang w:eastAsia="zh-CN"/>
              </w:rPr>
              <w:t>2014</w:t>
            </w:r>
            <w:r w:rsidRPr="00602EDE">
              <w:rPr>
                <w:rFonts w:hint="eastAsia"/>
                <w:lang w:eastAsia="zh-CN"/>
              </w:rPr>
              <w:t>年会议建议</w:t>
            </w:r>
            <w:r w:rsidRPr="00602EDE">
              <w:rPr>
                <w:rFonts w:hint="eastAsia"/>
                <w:lang w:eastAsia="zh-CN"/>
              </w:rPr>
              <w:t>14</w:t>
            </w:r>
            <w:r w:rsidRPr="00602EDE">
              <w:rPr>
                <w:lang w:eastAsia="zh-CN"/>
              </w:rPr>
              <w:t>.6</w:t>
            </w:r>
            <w:r w:rsidRPr="00602EDE">
              <w:rPr>
                <w:rFonts w:hint="eastAsia"/>
                <w:lang w:eastAsia="zh-CN"/>
              </w:rPr>
              <w:t>的回应。该建议提出，就</w:t>
            </w:r>
            <w:r w:rsidRPr="00602EDE">
              <w:rPr>
                <w:rFonts w:hint="eastAsia"/>
                <w:lang w:eastAsia="zh-CN"/>
              </w:rPr>
              <w:t>C14/50</w:t>
            </w:r>
            <w:r w:rsidRPr="00602EDE">
              <w:rPr>
                <w:rFonts w:hint="eastAsia"/>
                <w:lang w:eastAsia="zh-CN"/>
              </w:rPr>
              <w:t>号文件列出的四项可能选择方案（</w:t>
            </w:r>
            <w:r w:rsidRPr="00602EDE">
              <w:rPr>
                <w:rFonts w:hint="eastAsia"/>
                <w:lang w:eastAsia="zh-CN"/>
              </w:rPr>
              <w:t xml:space="preserve">option </w:t>
            </w:r>
            <w:r w:rsidRPr="00602EDE">
              <w:rPr>
                <w:lang w:eastAsia="zh-CN"/>
              </w:rPr>
              <w:t>–</w:t>
            </w:r>
            <w:r w:rsidRPr="00602EDE">
              <w:rPr>
                <w:rFonts w:hint="eastAsia"/>
                <w:lang w:eastAsia="zh-CN"/>
              </w:rPr>
              <w:t xml:space="preserve"> </w:t>
            </w:r>
            <w:r w:rsidRPr="00602EDE">
              <w:rPr>
                <w:rFonts w:hint="eastAsia"/>
                <w:lang w:eastAsia="zh-CN"/>
              </w:rPr>
              <w:t>以下译为“方案”）</w:t>
            </w:r>
            <w:r>
              <w:rPr>
                <w:rFonts w:hint="eastAsia"/>
                <w:lang w:eastAsia="zh-CN"/>
              </w:rPr>
              <w:t>向全权代表大会做出报告，以便后者做出决定。这四项方案是：</w:t>
            </w:r>
            <w:r w:rsidRPr="00602EDE">
              <w:rPr>
                <w:rFonts w:hint="eastAsia"/>
                <w:lang w:eastAsia="zh-CN"/>
              </w:rPr>
              <w:t>重建</w:t>
            </w:r>
            <w:r w:rsidRPr="0063347C">
              <w:rPr>
                <w:lang w:eastAsia="zh-CN"/>
              </w:rPr>
              <w:t>Varembé</w:t>
            </w:r>
            <w:r>
              <w:rPr>
                <w:rFonts w:hint="eastAsia"/>
                <w:lang w:eastAsia="zh-CN"/>
              </w:rPr>
              <w:t>办公楼、翻修</w:t>
            </w:r>
            <w:r w:rsidRPr="0063347C">
              <w:rPr>
                <w:lang w:eastAsia="zh-CN"/>
              </w:rPr>
              <w:t>Varembé</w:t>
            </w:r>
            <w:r>
              <w:rPr>
                <w:rFonts w:hint="eastAsia"/>
                <w:lang w:eastAsia="zh-CN"/>
              </w:rPr>
              <w:t>办公楼、在（日内瓦）当地租用</w:t>
            </w:r>
            <w:r w:rsidRPr="00706A80">
              <w:rPr>
                <w:rFonts w:hint="eastAsia"/>
                <w:lang w:eastAsia="zh-CN"/>
              </w:rPr>
              <w:t>办公场所</w:t>
            </w:r>
            <w:r>
              <w:rPr>
                <w:rFonts w:hint="eastAsia"/>
                <w:lang w:eastAsia="zh-CN"/>
              </w:rPr>
              <w:t>或将国际电联总部迁离。该报告涉及总部</w:t>
            </w:r>
            <w:r w:rsidRPr="00706A80">
              <w:rPr>
                <w:rFonts w:hint="eastAsia"/>
                <w:lang w:eastAsia="zh-CN"/>
              </w:rPr>
              <w:t>办公场所</w:t>
            </w:r>
            <w:r>
              <w:rPr>
                <w:rFonts w:hint="eastAsia"/>
                <w:lang w:eastAsia="zh-CN"/>
              </w:rPr>
              <w:t>整体情况并包含每种方案的行动时间段和费用</w:t>
            </w:r>
            <w:r>
              <w:rPr>
                <w:rFonts w:hint="eastAsia"/>
                <w:lang w:eastAsia="zh-CN"/>
              </w:rPr>
              <w:t>/</w:t>
            </w:r>
            <w:r>
              <w:rPr>
                <w:rFonts w:hint="eastAsia"/>
                <w:lang w:eastAsia="zh-CN"/>
              </w:rPr>
              <w:t>效益的财务分析。</w:t>
            </w:r>
          </w:p>
          <w:p w14:paraId="018ABCBC" w14:textId="77777777" w:rsidR="00B80DA4" w:rsidRPr="0063347C" w:rsidRDefault="00B80DA4" w:rsidP="00602EDE">
            <w:pPr>
              <w:ind w:firstLineChars="200" w:firstLine="480"/>
              <w:rPr>
                <w:rFonts w:cs="Calibri"/>
                <w:lang w:eastAsia="zh-CN"/>
              </w:rPr>
            </w:pPr>
            <w:r>
              <w:rPr>
                <w:rFonts w:hint="eastAsia"/>
                <w:lang w:eastAsia="zh-CN"/>
              </w:rPr>
              <w:t>此外，在迁址方案方面，报告还包含对</w:t>
            </w:r>
            <w:r>
              <w:rPr>
                <w:rFonts w:hint="eastAsia"/>
                <w:lang w:eastAsia="zh-CN"/>
              </w:rPr>
              <w:t>C14/75</w:t>
            </w:r>
            <w:r>
              <w:rPr>
                <w:rFonts w:hint="eastAsia"/>
                <w:lang w:eastAsia="zh-CN"/>
              </w:rPr>
              <w:t>号文件所提问题以及生活质量的分析。</w:t>
            </w:r>
          </w:p>
          <w:p w14:paraId="42772A20" w14:textId="77777777" w:rsidR="00B80DA4" w:rsidRPr="002C1AC0" w:rsidRDefault="00B80DA4" w:rsidP="000E7785">
            <w:pPr>
              <w:pStyle w:val="Headingb"/>
              <w:jc w:val="both"/>
              <w:rPr>
                <w:lang w:eastAsia="zh-CN"/>
              </w:rPr>
            </w:pPr>
            <w:r w:rsidRPr="002C1AC0">
              <w:rPr>
                <w:rFonts w:hint="eastAsia"/>
                <w:lang w:eastAsia="zh-CN"/>
              </w:rPr>
              <w:t>需采取的行动</w:t>
            </w:r>
          </w:p>
          <w:p w14:paraId="7097DF72" w14:textId="77777777" w:rsidR="00B80DA4" w:rsidRPr="0063347C" w:rsidRDefault="00B80DA4" w:rsidP="000E7785">
            <w:pPr>
              <w:overflowPunct/>
              <w:autoSpaceDE/>
              <w:autoSpaceDN/>
              <w:adjustRightInd/>
              <w:ind w:firstLineChars="200" w:firstLine="480"/>
              <w:textAlignment w:val="auto"/>
              <w:rPr>
                <w:rFonts w:asciiTheme="minorHAnsi" w:hAnsiTheme="minorHAnsi" w:cs="Calibri"/>
                <w:szCs w:val="24"/>
                <w:lang w:eastAsia="zh-CN"/>
              </w:rPr>
            </w:pPr>
            <w:r>
              <w:rPr>
                <w:rFonts w:asciiTheme="minorHAnsi" w:hAnsiTheme="minorHAnsi" w:cs="Calibri" w:hint="eastAsia"/>
                <w:szCs w:val="24"/>
                <w:lang w:eastAsia="zh-CN"/>
              </w:rPr>
              <w:t>请全权代表大会就本文件阐述的四项方案之中的一项</w:t>
            </w:r>
            <w:r w:rsidRPr="00DF04A6">
              <w:rPr>
                <w:rFonts w:asciiTheme="minorHAnsi" w:hAnsiTheme="minorHAnsi" w:cs="Calibri" w:hint="eastAsia"/>
                <w:b/>
                <w:bCs/>
                <w:szCs w:val="24"/>
                <w:lang w:eastAsia="zh-CN"/>
              </w:rPr>
              <w:t>做出决定</w:t>
            </w:r>
            <w:r>
              <w:rPr>
                <w:rFonts w:asciiTheme="minorHAnsi" w:hAnsiTheme="minorHAnsi" w:cs="Calibri" w:hint="eastAsia"/>
                <w:szCs w:val="24"/>
                <w:lang w:eastAsia="zh-CN"/>
              </w:rPr>
              <w:t>。</w:t>
            </w:r>
          </w:p>
          <w:p w14:paraId="0D640B35" w14:textId="77777777" w:rsidR="00B80DA4" w:rsidRPr="0063347C" w:rsidRDefault="00B80DA4" w:rsidP="000E7785">
            <w:pPr>
              <w:spacing w:after="120"/>
              <w:jc w:val="center"/>
              <w:rPr>
                <w:rFonts w:asciiTheme="minorHAnsi" w:hAnsiTheme="minorHAnsi" w:cs="Calibri"/>
                <w:szCs w:val="24"/>
                <w:lang w:eastAsia="zh-CN"/>
              </w:rPr>
            </w:pPr>
            <w:r w:rsidRPr="0063347C">
              <w:rPr>
                <w:rFonts w:asciiTheme="minorHAnsi" w:hAnsiTheme="minorHAnsi" w:cs="Calibri"/>
                <w:szCs w:val="24"/>
                <w:lang w:eastAsia="zh-CN"/>
              </w:rPr>
              <w:t>_________________</w:t>
            </w:r>
          </w:p>
          <w:p w14:paraId="520EAE38" w14:textId="77777777" w:rsidR="00B80DA4" w:rsidRPr="002C1AC0" w:rsidRDefault="00B80DA4" w:rsidP="000E7785">
            <w:pPr>
              <w:pStyle w:val="Headingb"/>
              <w:rPr>
                <w:lang w:eastAsia="zh-CN"/>
              </w:rPr>
            </w:pPr>
            <w:r w:rsidRPr="002C1AC0">
              <w:rPr>
                <w:rFonts w:hint="eastAsia"/>
                <w:lang w:eastAsia="zh-CN"/>
              </w:rPr>
              <w:t>参考文件</w:t>
            </w:r>
          </w:p>
          <w:p w14:paraId="183E7C81" w14:textId="1FAAFCDA" w:rsidR="00B80DA4" w:rsidRPr="00706A80" w:rsidRDefault="00DA4E4D" w:rsidP="000E7785">
            <w:pPr>
              <w:spacing w:after="120"/>
              <w:rPr>
                <w:rFonts w:asciiTheme="minorHAnsi" w:hAnsiTheme="minorHAnsi"/>
                <w:szCs w:val="24"/>
                <w:lang w:eastAsia="zh-CN"/>
              </w:rPr>
            </w:pPr>
            <w:hyperlink r:id="rId8" w:history="1">
              <w:r w:rsidR="00B80DA4" w:rsidRPr="006711D3">
                <w:rPr>
                  <w:rStyle w:val="Hyperlink"/>
                  <w:rFonts w:asciiTheme="minorHAnsi" w:hAnsiTheme="minorHAnsi"/>
                  <w:szCs w:val="24"/>
                  <w:lang w:eastAsia="zh-CN"/>
                </w:rPr>
                <w:t>C13/INF/18</w:t>
              </w:r>
            </w:hyperlink>
            <w:r w:rsidR="00B80DA4">
              <w:rPr>
                <w:rFonts w:asciiTheme="minorHAnsi" w:hAnsiTheme="minorHAnsi"/>
                <w:szCs w:val="24"/>
                <w:lang w:eastAsia="zh-CN"/>
              </w:rPr>
              <w:t>、</w:t>
            </w:r>
            <w:hyperlink r:id="rId9" w:history="1">
              <w:r w:rsidR="00B80DA4" w:rsidRPr="006711D3">
                <w:rPr>
                  <w:rStyle w:val="Hyperlink"/>
                  <w:rFonts w:asciiTheme="minorHAnsi" w:hAnsiTheme="minorHAnsi"/>
                  <w:szCs w:val="24"/>
                  <w:lang w:eastAsia="zh-CN"/>
                </w:rPr>
                <w:t>C14/92</w:t>
              </w:r>
            </w:hyperlink>
            <w:r w:rsidR="00B80DA4">
              <w:rPr>
                <w:rFonts w:asciiTheme="minorHAnsi" w:hAnsiTheme="minorHAnsi"/>
                <w:szCs w:val="24"/>
                <w:lang w:eastAsia="zh-CN"/>
              </w:rPr>
              <w:t>、</w:t>
            </w:r>
            <w:hyperlink r:id="rId10" w:history="1">
              <w:r w:rsidR="00B80DA4" w:rsidRPr="006711D3">
                <w:rPr>
                  <w:rStyle w:val="Hyperlink"/>
                  <w:rFonts w:asciiTheme="minorHAnsi" w:hAnsiTheme="minorHAnsi"/>
                  <w:szCs w:val="24"/>
                  <w:lang w:eastAsia="zh-CN"/>
                </w:rPr>
                <w:t>C14/50</w:t>
              </w:r>
            </w:hyperlink>
            <w:r w:rsidR="00B80DA4">
              <w:rPr>
                <w:rFonts w:asciiTheme="minorHAnsi" w:hAnsiTheme="minorHAnsi"/>
                <w:szCs w:val="24"/>
                <w:lang w:eastAsia="zh-CN"/>
              </w:rPr>
              <w:t>、</w:t>
            </w:r>
            <w:hyperlink r:id="rId11" w:history="1">
              <w:r w:rsidR="00B80DA4" w:rsidRPr="006711D3">
                <w:rPr>
                  <w:rStyle w:val="Hyperlink"/>
                  <w:rFonts w:asciiTheme="minorHAnsi" w:hAnsiTheme="minorHAnsi"/>
                  <w:szCs w:val="24"/>
                  <w:lang w:eastAsia="zh-CN"/>
                </w:rPr>
                <w:t>C14/75</w:t>
              </w:r>
            </w:hyperlink>
            <w:r w:rsidR="00B80DA4" w:rsidRPr="005A4515">
              <w:rPr>
                <w:rFonts w:hint="eastAsia"/>
                <w:lang w:eastAsia="zh-CN"/>
              </w:rPr>
              <w:t>号文件</w:t>
            </w:r>
          </w:p>
        </w:tc>
      </w:tr>
    </w:tbl>
    <w:p w14:paraId="653D62A3" w14:textId="77777777" w:rsidR="00B80DA4" w:rsidRDefault="00B80DA4" w:rsidP="00B80DA4">
      <w:pPr>
        <w:rPr>
          <w:lang w:val="en-US" w:eastAsia="zh-CN"/>
        </w:rPr>
      </w:pPr>
    </w:p>
    <w:p w14:paraId="7EFDFF06" w14:textId="77777777" w:rsidR="00B80DA4" w:rsidRDefault="00B80DA4" w:rsidP="00B80DA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7" w:name="_GoBack"/>
      <w:bookmarkEnd w:id="7"/>
    </w:p>
    <w:p w14:paraId="712D7406" w14:textId="77777777" w:rsidR="00B80DA4" w:rsidRPr="00866971" w:rsidRDefault="00B80DA4" w:rsidP="00B80DA4">
      <w:pPr>
        <w:pStyle w:val="Heading1"/>
        <w:rPr>
          <w:lang w:eastAsia="zh-CN"/>
        </w:rPr>
      </w:pPr>
      <w:r w:rsidRPr="00866971">
        <w:rPr>
          <w:lang w:eastAsia="zh-CN"/>
        </w:rPr>
        <w:lastRenderedPageBreak/>
        <w:t>1</w:t>
      </w:r>
      <w:r w:rsidRPr="00866971">
        <w:rPr>
          <w:lang w:eastAsia="zh-CN"/>
        </w:rPr>
        <w:tab/>
      </w:r>
      <w:r>
        <w:rPr>
          <w:rFonts w:hint="eastAsia"/>
          <w:lang w:eastAsia="zh-CN"/>
        </w:rPr>
        <w:t>背景及介绍</w:t>
      </w:r>
    </w:p>
    <w:p w14:paraId="77C90B47" w14:textId="77777777" w:rsidR="00B80DA4" w:rsidRPr="0063347C" w:rsidRDefault="00B80DA4" w:rsidP="00B80DA4">
      <w:pPr>
        <w:rPr>
          <w:lang w:eastAsia="zh-CN"/>
        </w:rPr>
      </w:pPr>
      <w:r>
        <w:rPr>
          <w:rFonts w:hint="eastAsia"/>
          <w:lang w:eastAsia="zh-CN"/>
        </w:rPr>
        <w:t>1</w:t>
      </w:r>
      <w:r>
        <w:rPr>
          <w:lang w:val="en-US" w:eastAsia="zh-CN"/>
        </w:rPr>
        <w:t>.1</w:t>
      </w:r>
      <w:r>
        <w:rPr>
          <w:lang w:val="en-US" w:eastAsia="zh-CN"/>
        </w:rPr>
        <w:tab/>
      </w:r>
      <w:r>
        <w:rPr>
          <w:rFonts w:hint="eastAsia"/>
          <w:lang w:eastAsia="zh-CN"/>
        </w:rPr>
        <w:t>本文件涉及未来数十年国际电联总部（</w:t>
      </w:r>
      <w:r>
        <w:rPr>
          <w:rFonts w:hint="eastAsia"/>
          <w:lang w:eastAsia="zh-CN"/>
        </w:rPr>
        <w:t>HQ</w:t>
      </w:r>
      <w:r>
        <w:rPr>
          <w:rFonts w:hint="eastAsia"/>
          <w:lang w:eastAsia="zh-CN"/>
        </w:rPr>
        <w:t>）</w:t>
      </w:r>
      <w:r w:rsidRPr="00706A80">
        <w:rPr>
          <w:rFonts w:hint="eastAsia"/>
          <w:lang w:eastAsia="zh-CN"/>
        </w:rPr>
        <w:t>办公场所</w:t>
      </w:r>
      <w:r>
        <w:rPr>
          <w:rFonts w:hint="eastAsia"/>
          <w:lang w:eastAsia="zh-CN"/>
        </w:rPr>
        <w:t>的选择方案问题。自</w:t>
      </w:r>
      <w:r w:rsidRPr="0063347C">
        <w:rPr>
          <w:lang w:eastAsia="zh-CN"/>
        </w:rPr>
        <w:t>Varembé</w:t>
      </w:r>
      <w:r>
        <w:rPr>
          <w:rFonts w:hint="eastAsia"/>
          <w:lang w:eastAsia="zh-CN"/>
        </w:rPr>
        <w:t>办公楼建成（于</w:t>
      </w:r>
      <w:r>
        <w:rPr>
          <w:rFonts w:hint="eastAsia"/>
          <w:lang w:eastAsia="zh-CN"/>
        </w:rPr>
        <w:t>1962</w:t>
      </w:r>
      <w:r>
        <w:rPr>
          <w:rFonts w:hint="eastAsia"/>
          <w:lang w:eastAsia="zh-CN"/>
        </w:rPr>
        <w:t>年启用）以来，国际电联总部一直设在目前的日内瓦联合国广场（</w:t>
      </w:r>
      <w:r w:rsidRPr="0063347C">
        <w:rPr>
          <w:lang w:eastAsia="zh-CN"/>
        </w:rPr>
        <w:t>Place des Nations</w:t>
      </w:r>
      <w:r>
        <w:rPr>
          <w:rFonts w:hint="eastAsia"/>
          <w:lang w:eastAsia="zh-CN"/>
        </w:rPr>
        <w:t>）。国际电联《组织法》第</w:t>
      </w:r>
      <w:r>
        <w:rPr>
          <w:rFonts w:hint="eastAsia"/>
          <w:lang w:eastAsia="zh-CN"/>
        </w:rPr>
        <w:t>30</w:t>
      </w:r>
      <w:r>
        <w:rPr>
          <w:rFonts w:hint="eastAsia"/>
          <w:lang w:eastAsia="zh-CN"/>
        </w:rPr>
        <w:t>条规定，“</w:t>
      </w:r>
      <w:r w:rsidRPr="002D7C02">
        <w:rPr>
          <w:rFonts w:ascii="STKaiti" w:eastAsia="STKaiti" w:hAnsi="STKaiti" w:hint="eastAsia"/>
          <w:lang w:eastAsia="zh-CN"/>
        </w:rPr>
        <w:t>国际电联所在地为日内瓦</w:t>
      </w:r>
      <w:r>
        <w:rPr>
          <w:rFonts w:hint="eastAsia"/>
          <w:lang w:eastAsia="zh-CN"/>
        </w:rPr>
        <w:t>”。</w:t>
      </w:r>
    </w:p>
    <w:p w14:paraId="76C2A1CB" w14:textId="77777777" w:rsidR="00B80DA4" w:rsidRPr="0063347C" w:rsidRDefault="00B80DA4" w:rsidP="00B80DA4">
      <w:pPr>
        <w:rPr>
          <w:lang w:eastAsia="zh-CN"/>
        </w:rPr>
      </w:pPr>
      <w:r>
        <w:rPr>
          <w:rFonts w:hint="eastAsia"/>
          <w:lang w:eastAsia="zh-CN"/>
        </w:rPr>
        <w:t>1</w:t>
      </w:r>
      <w:r>
        <w:rPr>
          <w:lang w:val="en-US" w:eastAsia="zh-CN"/>
        </w:rPr>
        <w:t>.2</w:t>
      </w:r>
      <w:r>
        <w:rPr>
          <w:lang w:val="en-US" w:eastAsia="zh-CN"/>
        </w:rPr>
        <w:tab/>
      </w:r>
      <w:r>
        <w:rPr>
          <w:rFonts w:hint="eastAsia"/>
          <w:lang w:eastAsia="zh-CN"/>
        </w:rPr>
        <w:t>国际电联总部由位于上述同一地址的</w:t>
      </w:r>
      <w:bookmarkStart w:id="8" w:name="OLE_LINK1"/>
      <w:bookmarkStart w:id="9" w:name="OLE_LINK2"/>
      <w:r>
        <w:rPr>
          <w:rFonts w:hint="eastAsia"/>
          <w:lang w:eastAsia="zh-CN"/>
        </w:rPr>
        <w:t>三座办公楼</w:t>
      </w:r>
      <w:bookmarkEnd w:id="8"/>
      <w:bookmarkEnd w:id="9"/>
      <w:r>
        <w:rPr>
          <w:rFonts w:hint="eastAsia"/>
          <w:lang w:eastAsia="zh-CN"/>
        </w:rPr>
        <w:t>组成：</w:t>
      </w:r>
      <w:r w:rsidRPr="0063347C">
        <w:rPr>
          <w:lang w:eastAsia="zh-CN"/>
        </w:rPr>
        <w:t>Varembé</w:t>
      </w:r>
      <w:r>
        <w:rPr>
          <w:rFonts w:hint="eastAsia"/>
          <w:lang w:eastAsia="zh-CN"/>
        </w:rPr>
        <w:t>办公楼（于</w:t>
      </w:r>
      <w:r>
        <w:rPr>
          <w:rFonts w:hint="eastAsia"/>
          <w:lang w:eastAsia="zh-CN"/>
        </w:rPr>
        <w:t>1962</w:t>
      </w:r>
      <w:r>
        <w:rPr>
          <w:rFonts w:hint="eastAsia"/>
          <w:lang w:eastAsia="zh-CN"/>
        </w:rPr>
        <w:t>年启用）、塔楼（于</w:t>
      </w:r>
      <w:r>
        <w:rPr>
          <w:rFonts w:hint="eastAsia"/>
          <w:lang w:eastAsia="zh-CN"/>
        </w:rPr>
        <w:t>1973</w:t>
      </w:r>
      <w:r>
        <w:rPr>
          <w:rFonts w:hint="eastAsia"/>
          <w:lang w:eastAsia="zh-CN"/>
        </w:rPr>
        <w:t>年启用）和</w:t>
      </w:r>
      <w:r w:rsidRPr="0063347C">
        <w:rPr>
          <w:lang w:eastAsia="zh-CN"/>
        </w:rPr>
        <w:t>Montbrillant</w:t>
      </w:r>
      <w:r>
        <w:rPr>
          <w:rFonts w:hint="eastAsia"/>
          <w:lang w:eastAsia="zh-CN"/>
        </w:rPr>
        <w:t>办公楼（于</w:t>
      </w:r>
      <w:r>
        <w:rPr>
          <w:rFonts w:hint="eastAsia"/>
          <w:lang w:eastAsia="zh-CN"/>
        </w:rPr>
        <w:t>1999</w:t>
      </w:r>
      <w:r>
        <w:rPr>
          <w:rFonts w:hint="eastAsia"/>
          <w:lang w:eastAsia="zh-CN"/>
        </w:rPr>
        <w:t>年启用）。这些办公楼由国际电联拥有，而土地使用权则遵循东道国给予的可延长“地上权”（</w:t>
      </w:r>
      <w:r>
        <w:rPr>
          <w:rFonts w:hint="eastAsia"/>
          <w:lang w:eastAsia="zh-CN"/>
        </w:rPr>
        <w:t>droit de superficie</w:t>
      </w:r>
      <w:r>
        <w:rPr>
          <w:rFonts w:hint="eastAsia"/>
          <w:lang w:eastAsia="zh-CN"/>
        </w:rPr>
        <w:t>）</w:t>
      </w:r>
      <w:r w:rsidRPr="0063347C">
        <w:rPr>
          <w:rStyle w:val="FootnoteReference"/>
        </w:rPr>
        <w:footnoteReference w:id="1"/>
      </w:r>
      <w:r>
        <w:rPr>
          <w:rFonts w:hint="eastAsia"/>
          <w:lang w:eastAsia="zh-CN"/>
        </w:rPr>
        <w:t>。</w:t>
      </w:r>
    </w:p>
    <w:p w14:paraId="23C5E474" w14:textId="77777777" w:rsidR="00B80DA4" w:rsidRPr="0063347C" w:rsidRDefault="00B80DA4" w:rsidP="00B80DA4">
      <w:pPr>
        <w:rPr>
          <w:lang w:eastAsia="zh-CN"/>
        </w:rPr>
      </w:pPr>
      <w:r>
        <w:rPr>
          <w:rFonts w:hint="eastAsia"/>
          <w:lang w:eastAsia="zh-CN"/>
        </w:rPr>
        <w:t>1</w:t>
      </w:r>
      <w:r>
        <w:rPr>
          <w:lang w:val="en-US" w:eastAsia="zh-CN"/>
        </w:rPr>
        <w:t>.3</w:t>
      </w:r>
      <w:r>
        <w:rPr>
          <w:lang w:val="en-US" w:eastAsia="zh-CN"/>
        </w:rPr>
        <w:tab/>
      </w:r>
      <w:r>
        <w:rPr>
          <w:rFonts w:hint="eastAsia"/>
          <w:lang w:eastAsia="zh-CN"/>
        </w:rPr>
        <w:t>与现代化建筑相比，按照</w:t>
      </w:r>
      <w:r>
        <w:rPr>
          <w:rFonts w:hint="eastAsia"/>
          <w:lang w:eastAsia="zh-CN"/>
        </w:rPr>
        <w:t>50</w:t>
      </w:r>
      <w:r>
        <w:rPr>
          <w:rFonts w:hint="eastAsia"/>
          <w:lang w:eastAsia="zh-CN"/>
        </w:rPr>
        <w:t>年前建筑标准建设的</w:t>
      </w:r>
      <w:r w:rsidRPr="0063347C">
        <w:rPr>
          <w:lang w:eastAsia="zh-CN"/>
        </w:rPr>
        <w:t>Varembé</w:t>
      </w:r>
      <w:r>
        <w:rPr>
          <w:rFonts w:hint="eastAsia"/>
          <w:lang w:eastAsia="zh-CN"/>
        </w:rPr>
        <w:t>办公楼在隔热保温</w:t>
      </w:r>
      <w:r>
        <w:rPr>
          <w:rStyle w:val="FootnoteReference"/>
        </w:rPr>
        <w:footnoteReference w:id="2"/>
      </w:r>
      <w:r>
        <w:rPr>
          <w:rFonts w:hint="eastAsia"/>
          <w:lang w:eastAsia="zh-CN"/>
        </w:rPr>
        <w:t>、残疾人无障碍通行、消防安全和抗震等方面存在严重不足。</w:t>
      </w:r>
      <w:r w:rsidRPr="00560DE1">
        <w:rPr>
          <w:lang w:eastAsia="zh-CN"/>
        </w:rPr>
        <w:t>理事会第</w:t>
      </w:r>
      <w:r w:rsidRPr="00560DE1">
        <w:rPr>
          <w:lang w:eastAsia="zh-CN"/>
        </w:rPr>
        <w:t>1142</w:t>
      </w:r>
      <w:r w:rsidRPr="00560DE1">
        <w:rPr>
          <w:lang w:eastAsia="zh-CN"/>
        </w:rPr>
        <w:t>号决议</w:t>
      </w:r>
      <w:r>
        <w:rPr>
          <w:rFonts w:hint="eastAsia"/>
          <w:lang w:eastAsia="zh-CN"/>
        </w:rPr>
        <w:t>（</w:t>
      </w:r>
      <w:r>
        <w:rPr>
          <w:rFonts w:hint="eastAsia"/>
          <w:lang w:eastAsia="zh-CN"/>
        </w:rPr>
        <w:t>C-99</w:t>
      </w:r>
      <w:r>
        <w:rPr>
          <w:rFonts w:hint="eastAsia"/>
          <w:lang w:eastAsia="zh-CN"/>
        </w:rPr>
        <w:t>）</w:t>
      </w:r>
      <w:r w:rsidRPr="00983991">
        <w:rPr>
          <w:rFonts w:ascii="STKaiti" w:eastAsia="STKaiti" w:hAnsi="STKaiti" w:hint="eastAsia"/>
          <w:lang w:eastAsia="zh-CN"/>
        </w:rPr>
        <w:t>特别</w:t>
      </w:r>
      <w:r>
        <w:rPr>
          <w:rFonts w:hint="eastAsia"/>
          <w:lang w:eastAsia="zh-CN"/>
        </w:rPr>
        <w:t>责成秘书长“确保国际电联所在东道国现行的安全、卫生和环境标准适用于国际电联…”。虽然总部办公楼目前在建筑围护性能方面仍符合东道国的相关法律，但自</w:t>
      </w:r>
      <w:r>
        <w:rPr>
          <w:rFonts w:hint="eastAsia"/>
          <w:lang w:eastAsia="zh-CN"/>
        </w:rPr>
        <w:t>2017</w:t>
      </w:r>
      <w:r>
        <w:rPr>
          <w:rFonts w:hint="eastAsia"/>
          <w:lang w:eastAsia="zh-CN"/>
        </w:rPr>
        <w:t>年起将不再如此。因此，必须采取补救措施。</w:t>
      </w:r>
    </w:p>
    <w:p w14:paraId="79DA0BC8" w14:textId="77777777" w:rsidR="00B80DA4" w:rsidRPr="0063347C" w:rsidRDefault="00B80DA4" w:rsidP="00B80DA4">
      <w:pPr>
        <w:rPr>
          <w:lang w:eastAsia="zh-CN"/>
        </w:rPr>
      </w:pPr>
      <w:r>
        <w:rPr>
          <w:rFonts w:hint="eastAsia"/>
          <w:lang w:eastAsia="zh-CN"/>
        </w:rPr>
        <w:t>1</w:t>
      </w:r>
      <w:r>
        <w:rPr>
          <w:lang w:val="en-US" w:eastAsia="zh-CN"/>
        </w:rPr>
        <w:t>.4</w:t>
      </w:r>
      <w:r>
        <w:rPr>
          <w:lang w:val="en-US" w:eastAsia="zh-CN"/>
        </w:rPr>
        <w:tab/>
      </w:r>
      <w:r>
        <w:rPr>
          <w:rFonts w:hint="eastAsia"/>
          <w:lang w:eastAsia="zh-CN"/>
        </w:rPr>
        <w:t>实际上，翻修</w:t>
      </w:r>
      <w:r w:rsidRPr="0063347C">
        <w:rPr>
          <w:lang w:eastAsia="zh-CN"/>
        </w:rPr>
        <w:t>Varembé</w:t>
      </w:r>
      <w:r>
        <w:rPr>
          <w:rFonts w:hint="eastAsia"/>
          <w:lang w:eastAsia="zh-CN"/>
        </w:rPr>
        <w:t>办公楼无法达到无障碍通行、消防安全和抗震方面的要求，因为这将包括增加楼梯、扩大电梯和走廊面积以及加固建筑结构等。因此，虽然提高隔热保温性能并进行其它修缮在技术层面可行，但这种做法不能提供一个总体有效的解决方案。塔楼的建造年代决定了该楼也存在同样缺陷（略少而已）。国际电联的政策过去是且未来也将是根据成员国决定的专用资源尽可能进行办公楼的维护。</w:t>
      </w:r>
    </w:p>
    <w:p w14:paraId="3D02E919" w14:textId="1AACFF0C" w:rsidR="00B80DA4" w:rsidRPr="0063347C" w:rsidRDefault="00D63CC6" w:rsidP="00DE3C98">
      <w:pPr>
        <w:rPr>
          <w:lang w:eastAsia="zh-CN"/>
        </w:rPr>
      </w:pPr>
      <w:r>
        <w:rPr>
          <w:rFonts w:hint="eastAsia"/>
          <w:lang w:eastAsia="zh-CN"/>
        </w:rPr>
        <w:t>1</w:t>
      </w:r>
      <w:r>
        <w:rPr>
          <w:lang w:val="en-US" w:eastAsia="zh-CN"/>
        </w:rPr>
        <w:t>.5</w:t>
      </w:r>
      <w:r>
        <w:rPr>
          <w:lang w:val="en-US" w:eastAsia="zh-CN"/>
        </w:rPr>
        <w:tab/>
      </w:r>
      <w:r w:rsidR="0094565B" w:rsidRPr="0094565B">
        <w:rPr>
          <w:rFonts w:hint="eastAsia"/>
          <w:lang w:eastAsia="zh-CN"/>
        </w:rPr>
        <w:t>国际电联秘书长已决定与东道国一道研究以新楼取代</w:t>
      </w:r>
      <w:r w:rsidR="0094565B" w:rsidRPr="0094565B">
        <w:rPr>
          <w:lang w:eastAsia="zh-CN"/>
        </w:rPr>
        <w:t>Varembé</w:t>
      </w:r>
      <w:r w:rsidR="0094565B" w:rsidRPr="0094565B">
        <w:rPr>
          <w:rFonts w:hint="eastAsia"/>
          <w:lang w:eastAsia="zh-CN"/>
        </w:rPr>
        <w:t>办公楼的可能性（后者将在建设新楼之前或之后拆除</w:t>
      </w:r>
      <w:r w:rsidR="0094565B" w:rsidRPr="0094565B">
        <w:rPr>
          <w:rFonts w:hint="eastAsia"/>
          <w:lang w:eastAsia="zh-CN"/>
        </w:rPr>
        <w:t xml:space="preserve"> </w:t>
      </w:r>
      <w:r w:rsidR="0094565B" w:rsidRPr="0094565B">
        <w:rPr>
          <w:lang w:eastAsia="zh-CN"/>
        </w:rPr>
        <w:t xml:space="preserve">– </w:t>
      </w:r>
      <w:r w:rsidR="0094565B" w:rsidRPr="0094565B">
        <w:rPr>
          <w:rFonts w:hint="eastAsia"/>
          <w:lang w:eastAsia="zh-CN"/>
        </w:rPr>
        <w:t>将按照最佳技术和财务效益做出选择）。在本文件中，拟取代现有办公楼的新楼称为</w:t>
      </w:r>
      <w:r w:rsidR="0094565B" w:rsidRPr="0094565B">
        <w:rPr>
          <w:lang w:eastAsia="zh-CN"/>
        </w:rPr>
        <w:t>Varembé</w:t>
      </w:r>
      <w:r w:rsidR="0094565B" w:rsidRPr="0094565B">
        <w:rPr>
          <w:rFonts w:hint="eastAsia"/>
          <w:lang w:eastAsia="zh-CN"/>
        </w:rPr>
        <w:t xml:space="preserve"> II</w:t>
      </w:r>
      <w:r w:rsidR="0094565B" w:rsidRPr="0094565B">
        <w:rPr>
          <w:rFonts w:hint="eastAsia"/>
          <w:lang w:eastAsia="zh-CN"/>
        </w:rPr>
        <w:t>楼。</w:t>
      </w:r>
      <w:r w:rsidR="00DE3C98" w:rsidRPr="0094565B">
        <w:rPr>
          <w:rFonts w:hint="eastAsia"/>
          <w:lang w:eastAsia="zh-CN"/>
        </w:rPr>
        <w:t>根据瑞士的东道国法案，东道国可向国际组织提供建筑贷款，以支持新楼宇的建造。此类贷款为无息贷款且必须在</w:t>
      </w:r>
      <w:r w:rsidR="00DE3C98" w:rsidRPr="0094565B">
        <w:rPr>
          <w:lang w:eastAsia="zh-CN"/>
        </w:rPr>
        <w:t>50</w:t>
      </w:r>
      <w:r w:rsidR="00DE3C98">
        <w:rPr>
          <w:rFonts w:hint="eastAsia"/>
          <w:lang w:eastAsia="zh-CN"/>
        </w:rPr>
        <w:t>年</w:t>
      </w:r>
      <w:r w:rsidR="00DE3C98" w:rsidRPr="0094565B">
        <w:rPr>
          <w:rFonts w:hint="eastAsia"/>
          <w:lang w:eastAsia="zh-CN"/>
        </w:rPr>
        <w:t>还</w:t>
      </w:r>
      <w:r w:rsidR="00DE3C98">
        <w:rPr>
          <w:rFonts w:hint="eastAsia"/>
          <w:lang w:eastAsia="zh-CN"/>
        </w:rPr>
        <w:t>清</w:t>
      </w:r>
      <w:r w:rsidR="00DE3C98" w:rsidRPr="0094565B">
        <w:rPr>
          <w:rFonts w:hint="eastAsia"/>
          <w:lang w:eastAsia="zh-CN"/>
        </w:rPr>
        <w:t>。过去东道国已多次采用了这一机制。</w:t>
      </w:r>
      <w:r w:rsidR="00DE3C98" w:rsidRPr="0094565B">
        <w:rPr>
          <w:lang w:eastAsia="zh-CN"/>
        </w:rPr>
        <w:t>2013</w:t>
      </w:r>
      <w:r w:rsidR="00DE3C98" w:rsidRPr="0094565B">
        <w:rPr>
          <w:rFonts w:hint="eastAsia"/>
          <w:lang w:eastAsia="zh-CN"/>
        </w:rPr>
        <w:t>年</w:t>
      </w:r>
      <w:r w:rsidR="00DE3C98" w:rsidRPr="0094565B">
        <w:rPr>
          <w:rFonts w:hint="eastAsia"/>
          <w:lang w:eastAsia="zh-CN"/>
        </w:rPr>
        <w:t>6</w:t>
      </w:r>
      <w:r w:rsidR="00DE3C98" w:rsidRPr="0094565B">
        <w:rPr>
          <w:rFonts w:hint="eastAsia"/>
          <w:lang w:eastAsia="zh-CN"/>
        </w:rPr>
        <w:t>月，</w:t>
      </w:r>
      <w:r w:rsidR="00DE3C98">
        <w:rPr>
          <w:rFonts w:hint="eastAsia"/>
          <w:lang w:eastAsia="zh-CN"/>
        </w:rPr>
        <w:t>瑞士政府通过</w:t>
      </w:r>
      <w:r w:rsidR="00DE3C98" w:rsidRPr="0094565B">
        <w:rPr>
          <w:rFonts w:hint="eastAsia"/>
          <w:lang w:eastAsia="zh-CN"/>
        </w:rPr>
        <w:t>了一项完善现有政策的新政策，即允许为翻修项目提供贷款。</w:t>
      </w:r>
      <w:r w:rsidR="00DE3C98" w:rsidRPr="0094565B">
        <w:rPr>
          <w:lang w:eastAsia="zh-CN"/>
        </w:rPr>
        <w:t>翻修贷款为有息优惠贷款，利息低于市场水平，</w:t>
      </w:r>
      <w:r w:rsidR="00DE3C98" w:rsidRPr="0094565B">
        <w:rPr>
          <w:rFonts w:hint="eastAsia"/>
          <w:lang w:eastAsia="zh-CN"/>
        </w:rPr>
        <w:t>必须在</w:t>
      </w:r>
      <w:r w:rsidR="00DE3C98" w:rsidRPr="0094565B">
        <w:rPr>
          <w:rFonts w:hint="eastAsia"/>
          <w:lang w:eastAsia="zh-CN"/>
        </w:rPr>
        <w:t>3</w:t>
      </w:r>
      <w:r w:rsidR="00DE3C98" w:rsidRPr="0094565B">
        <w:rPr>
          <w:lang w:eastAsia="zh-CN"/>
        </w:rPr>
        <w:t>0</w:t>
      </w:r>
      <w:r w:rsidR="00DE3C98">
        <w:rPr>
          <w:rFonts w:hint="eastAsia"/>
          <w:lang w:eastAsia="zh-CN"/>
        </w:rPr>
        <w:t>年</w:t>
      </w:r>
      <w:r w:rsidR="00DE3C98" w:rsidRPr="0094565B">
        <w:rPr>
          <w:rFonts w:hint="eastAsia"/>
          <w:lang w:eastAsia="zh-CN"/>
        </w:rPr>
        <w:t>还</w:t>
      </w:r>
      <w:r w:rsidR="00DE3C98">
        <w:rPr>
          <w:rFonts w:hint="eastAsia"/>
          <w:lang w:eastAsia="zh-CN"/>
        </w:rPr>
        <w:t>清</w:t>
      </w:r>
      <w:r w:rsidR="00DE3C98" w:rsidRPr="0094565B">
        <w:rPr>
          <w:rFonts w:hint="eastAsia"/>
          <w:lang w:eastAsia="zh-CN"/>
        </w:rPr>
        <w:t>。</w:t>
      </w:r>
      <w:r w:rsidR="00DE3C98">
        <w:rPr>
          <w:lang w:eastAsia="zh-CN"/>
        </w:rPr>
        <w:t>翻修贷款的利</w:t>
      </w:r>
      <w:r w:rsidR="00DE3C98" w:rsidRPr="0094565B">
        <w:rPr>
          <w:lang w:eastAsia="zh-CN"/>
        </w:rPr>
        <w:t>率根据瑞士联邦</w:t>
      </w:r>
      <w:r w:rsidR="00DE3C98" w:rsidRPr="0094565B">
        <w:rPr>
          <w:lang w:eastAsia="zh-CN"/>
        </w:rPr>
        <w:t>30</w:t>
      </w:r>
      <w:r w:rsidR="00DE3C98" w:rsidRPr="0094565B">
        <w:rPr>
          <w:lang w:eastAsia="zh-CN"/>
        </w:rPr>
        <w:t>年再</w:t>
      </w:r>
      <w:r w:rsidR="00DE3C98" w:rsidRPr="0094565B">
        <w:rPr>
          <w:rFonts w:hint="eastAsia"/>
          <w:lang w:eastAsia="zh-CN"/>
        </w:rPr>
        <w:t>融</w:t>
      </w:r>
      <w:r w:rsidR="00DE3C98" w:rsidRPr="0094565B">
        <w:rPr>
          <w:lang w:eastAsia="zh-CN"/>
        </w:rPr>
        <w:t>资</w:t>
      </w:r>
      <w:r w:rsidR="00DE3C98" w:rsidRPr="0094565B">
        <w:rPr>
          <w:rFonts w:hint="eastAsia"/>
          <w:lang w:eastAsia="zh-CN"/>
        </w:rPr>
        <w:t>利</w:t>
      </w:r>
      <w:r w:rsidR="00DE3C98" w:rsidRPr="0094565B">
        <w:rPr>
          <w:lang w:eastAsia="zh-CN"/>
        </w:rPr>
        <w:t>率确定，</w:t>
      </w:r>
      <w:r w:rsidR="00DE3C98" w:rsidRPr="0094565B">
        <w:rPr>
          <w:lang w:eastAsia="zh-CN"/>
        </w:rPr>
        <w:t>2014</w:t>
      </w:r>
      <w:r w:rsidR="00DE3C98" w:rsidRPr="0094565B">
        <w:rPr>
          <w:lang w:eastAsia="zh-CN"/>
        </w:rPr>
        <w:t>年</w:t>
      </w:r>
      <w:r w:rsidR="00DE3C98">
        <w:rPr>
          <w:rFonts w:hint="eastAsia"/>
          <w:lang w:eastAsia="zh-CN"/>
        </w:rPr>
        <w:t>时</w:t>
      </w:r>
      <w:r w:rsidR="00DE3C98" w:rsidRPr="0094565B">
        <w:rPr>
          <w:lang w:eastAsia="zh-CN"/>
        </w:rPr>
        <w:t>约为</w:t>
      </w:r>
      <w:r w:rsidR="00DE3C98" w:rsidRPr="0094565B">
        <w:rPr>
          <w:lang w:eastAsia="zh-CN"/>
        </w:rPr>
        <w:t>1.5%</w:t>
      </w:r>
      <w:r w:rsidR="00DE3C98">
        <w:rPr>
          <w:lang w:eastAsia="zh-CN"/>
        </w:rPr>
        <w:t>。应该注意的是，在达成贷款安排</w:t>
      </w:r>
      <w:r w:rsidR="00DE3C98">
        <w:rPr>
          <w:rFonts w:hint="eastAsia"/>
          <w:lang w:eastAsia="zh-CN"/>
        </w:rPr>
        <w:t>并</w:t>
      </w:r>
      <w:r w:rsidR="00DE3C98" w:rsidRPr="0094565B">
        <w:rPr>
          <w:lang w:eastAsia="zh-CN"/>
        </w:rPr>
        <w:t>确定整个贷款期相关利率之前，此利率会受市场浮动影响。目前瑞士公开</w:t>
      </w:r>
      <w:r w:rsidR="00DE3C98" w:rsidRPr="0094565B">
        <w:rPr>
          <w:rFonts w:hint="eastAsia"/>
          <w:lang w:eastAsia="zh-CN"/>
        </w:rPr>
        <w:t>市场</w:t>
      </w:r>
      <w:r w:rsidR="00DE3C98" w:rsidRPr="0094565B">
        <w:rPr>
          <w:lang w:eastAsia="zh-CN"/>
        </w:rPr>
        <w:t>提供的</w:t>
      </w:r>
      <w:r w:rsidR="00DE3C98" w:rsidRPr="0094565B">
        <w:rPr>
          <w:lang w:eastAsia="zh-CN"/>
        </w:rPr>
        <w:t>10</w:t>
      </w:r>
      <w:r w:rsidR="00DE3C98" w:rsidRPr="0094565B">
        <w:rPr>
          <w:lang w:eastAsia="zh-CN"/>
        </w:rPr>
        <w:t>年固定分期付款</w:t>
      </w:r>
      <w:r w:rsidR="00DE3C98">
        <w:rPr>
          <w:rFonts w:hint="eastAsia"/>
          <w:lang w:eastAsia="zh-CN"/>
        </w:rPr>
        <w:t>利</w:t>
      </w:r>
      <w:r w:rsidR="00DE3C98" w:rsidRPr="0094565B">
        <w:rPr>
          <w:lang w:eastAsia="zh-CN"/>
        </w:rPr>
        <w:t>率介于</w:t>
      </w:r>
      <w:r w:rsidR="00DE3C98" w:rsidRPr="0094565B">
        <w:rPr>
          <w:lang w:eastAsia="zh-CN"/>
        </w:rPr>
        <w:t>2.5%</w:t>
      </w:r>
      <w:r w:rsidR="00DE3C98" w:rsidRPr="0094565B">
        <w:rPr>
          <w:lang w:eastAsia="zh-CN"/>
        </w:rPr>
        <w:t>至</w:t>
      </w:r>
      <w:r w:rsidR="00DE3C98" w:rsidRPr="0094565B">
        <w:rPr>
          <w:lang w:eastAsia="zh-CN"/>
        </w:rPr>
        <w:t>3.0%</w:t>
      </w:r>
      <w:r w:rsidR="00DE3C98" w:rsidRPr="0094565B">
        <w:rPr>
          <w:lang w:eastAsia="zh-CN"/>
        </w:rPr>
        <w:t>之间。</w:t>
      </w:r>
      <w:r w:rsidR="00DE3C98" w:rsidRPr="0094565B">
        <w:rPr>
          <w:rFonts w:hint="eastAsia"/>
          <w:lang w:eastAsia="zh-CN"/>
        </w:rPr>
        <w:t>公开市场上没有</w:t>
      </w:r>
      <w:r w:rsidR="00DE3C98" w:rsidRPr="0094565B">
        <w:rPr>
          <w:rFonts w:hint="eastAsia"/>
          <w:lang w:eastAsia="zh-CN"/>
        </w:rPr>
        <w:t>3</w:t>
      </w:r>
      <w:r w:rsidR="00DE3C98" w:rsidRPr="0094565B">
        <w:rPr>
          <w:lang w:eastAsia="zh-CN"/>
        </w:rPr>
        <w:t>0</w:t>
      </w:r>
      <w:r w:rsidR="00DE3C98" w:rsidRPr="0094565B">
        <w:rPr>
          <w:rFonts w:hint="eastAsia"/>
          <w:lang w:eastAsia="zh-CN"/>
        </w:rPr>
        <w:t>年贷款的固定利率。</w:t>
      </w:r>
    </w:p>
    <w:p w14:paraId="33B53E39" w14:textId="067C8390" w:rsidR="00B80DA4" w:rsidRDefault="00DF579D" w:rsidP="0094565B">
      <w:pPr>
        <w:rPr>
          <w:lang w:eastAsia="zh-CN"/>
        </w:rPr>
      </w:pPr>
      <w:r>
        <w:rPr>
          <w:lang w:val="en-US" w:eastAsia="zh-CN"/>
        </w:rPr>
        <w:t>1</w:t>
      </w:r>
      <w:r w:rsidR="00994E12">
        <w:rPr>
          <w:lang w:val="en-US" w:eastAsia="zh-CN"/>
        </w:rPr>
        <w:t>.6</w:t>
      </w:r>
      <w:r w:rsidR="00B80DA4">
        <w:rPr>
          <w:lang w:val="en-US" w:eastAsia="zh-CN"/>
        </w:rPr>
        <w:tab/>
      </w:r>
      <w:r w:rsidR="0094565B" w:rsidRPr="0094565B">
        <w:rPr>
          <w:rFonts w:hint="eastAsia"/>
          <w:lang w:eastAsia="zh-CN"/>
        </w:rPr>
        <w:t>建设工程之前及期间的建筑贷款和翻修贷款以及技术帮助</w:t>
      </w:r>
      <w:r w:rsidR="0094565B" w:rsidRPr="0094565B">
        <w:rPr>
          <w:lang w:eastAsia="zh-CN"/>
        </w:rPr>
        <w:t>将由</w:t>
      </w:r>
      <w:r w:rsidR="0094565B" w:rsidRPr="0094565B">
        <w:rPr>
          <w:rFonts w:hint="eastAsia"/>
          <w:lang w:eastAsia="zh-CN"/>
        </w:rPr>
        <w:t>国际组织不动产基金会（</w:t>
      </w:r>
      <w:r w:rsidR="0094565B" w:rsidRPr="0094565B">
        <w:rPr>
          <w:lang w:eastAsia="zh-CN"/>
        </w:rPr>
        <w:t>FIPOI</w:t>
      </w:r>
      <w:r w:rsidR="0094565B" w:rsidRPr="000E7785">
        <w:rPr>
          <w:rStyle w:val="FootnoteReference"/>
          <w:lang w:eastAsia="zh-CN"/>
        </w:rPr>
        <w:footnoteReference w:id="3"/>
      </w:r>
      <w:r w:rsidR="0094565B" w:rsidRPr="0094565B">
        <w:rPr>
          <w:rFonts w:hint="eastAsia"/>
          <w:lang w:eastAsia="zh-CN"/>
        </w:rPr>
        <w:t>）提供。该基金会是东道国所有的一</w:t>
      </w:r>
      <w:r w:rsidR="00C44F27">
        <w:rPr>
          <w:rFonts w:hint="eastAsia"/>
          <w:lang w:eastAsia="zh-CN"/>
        </w:rPr>
        <w:t>家</w:t>
      </w:r>
      <w:r w:rsidR="0094565B" w:rsidRPr="0094565B">
        <w:rPr>
          <w:rFonts w:hint="eastAsia"/>
          <w:lang w:eastAsia="zh-CN"/>
        </w:rPr>
        <w:t>非赢利性基金会。值得注意的是，东道国在做出上述决定前已经考虑了所有拟议方案（翻修、升级和建造新楼）并得出结论，从节能、空间利用、美观和便利角度而言，建造全新办公楼是最佳选择。尤其是，这一方案符合瑞士最新建筑标准，而且资金还可利用上述</w:t>
      </w:r>
      <w:r w:rsidR="0094565B" w:rsidRPr="0094565B">
        <w:rPr>
          <w:lang w:eastAsia="zh-CN"/>
        </w:rPr>
        <w:t>50</w:t>
      </w:r>
      <w:r w:rsidR="00C44F27">
        <w:rPr>
          <w:rFonts w:hint="eastAsia"/>
          <w:lang w:eastAsia="zh-CN"/>
        </w:rPr>
        <w:t>年</w:t>
      </w:r>
      <w:r w:rsidR="0094565B" w:rsidRPr="0094565B">
        <w:rPr>
          <w:rFonts w:hint="eastAsia"/>
          <w:lang w:eastAsia="zh-CN"/>
        </w:rPr>
        <w:t>还</w:t>
      </w:r>
      <w:r w:rsidR="00C44F27">
        <w:rPr>
          <w:rFonts w:hint="eastAsia"/>
          <w:lang w:eastAsia="zh-CN"/>
        </w:rPr>
        <w:t>清</w:t>
      </w:r>
      <w:r w:rsidR="0094565B" w:rsidRPr="0094565B">
        <w:rPr>
          <w:rFonts w:hint="eastAsia"/>
          <w:lang w:eastAsia="zh-CN"/>
        </w:rPr>
        <w:t>的无息贷款。</w:t>
      </w:r>
    </w:p>
    <w:p w14:paraId="6E05239E" w14:textId="6FBC62CB" w:rsidR="00537256" w:rsidRPr="0063347C" w:rsidRDefault="00537256" w:rsidP="0094565B">
      <w:pPr>
        <w:rPr>
          <w:lang w:eastAsia="zh-CN"/>
        </w:rPr>
      </w:pPr>
      <w:r>
        <w:rPr>
          <w:rFonts w:hint="eastAsia"/>
          <w:lang w:eastAsia="zh-CN"/>
        </w:rPr>
        <w:t>1</w:t>
      </w:r>
      <w:r>
        <w:rPr>
          <w:lang w:val="en-US" w:eastAsia="zh-CN"/>
        </w:rPr>
        <w:t>.</w:t>
      </w:r>
      <w:r>
        <w:rPr>
          <w:rFonts w:hint="eastAsia"/>
          <w:lang w:val="en-US" w:eastAsia="zh-CN"/>
        </w:rPr>
        <w:t>7</w:t>
      </w:r>
      <w:r>
        <w:rPr>
          <w:lang w:val="en-US" w:eastAsia="zh-CN"/>
        </w:rPr>
        <w:tab/>
      </w:r>
      <w:r>
        <w:rPr>
          <w:rFonts w:hint="eastAsia"/>
          <w:lang w:eastAsia="zh-CN"/>
        </w:rPr>
        <w:t>秘书长就此项目以及有关解决</w:t>
      </w:r>
      <w:r w:rsidRPr="0063347C">
        <w:rPr>
          <w:lang w:eastAsia="zh-CN"/>
        </w:rPr>
        <w:t>Varembé</w:t>
      </w:r>
      <w:r>
        <w:rPr>
          <w:rFonts w:hint="eastAsia"/>
          <w:lang w:eastAsia="zh-CN"/>
        </w:rPr>
        <w:t>办公楼问题的其它方案向国际电联理事会</w:t>
      </w:r>
      <w:r>
        <w:rPr>
          <w:rFonts w:hint="eastAsia"/>
          <w:lang w:eastAsia="zh-CN"/>
        </w:rPr>
        <w:t>2014</w:t>
      </w:r>
      <w:r>
        <w:rPr>
          <w:rFonts w:hint="eastAsia"/>
          <w:lang w:eastAsia="zh-CN"/>
        </w:rPr>
        <w:t>年会议提交了一份文件（</w:t>
      </w:r>
      <w:r>
        <w:rPr>
          <w:rFonts w:hint="eastAsia"/>
          <w:lang w:eastAsia="zh-CN"/>
        </w:rPr>
        <w:t>C14/50</w:t>
      </w:r>
      <w:r>
        <w:rPr>
          <w:rFonts w:hint="eastAsia"/>
          <w:lang w:eastAsia="zh-CN"/>
        </w:rPr>
        <w:t>号文件）。成员国在理事会上发表意见指出，应更加宽泛地看</w:t>
      </w:r>
      <w:r>
        <w:rPr>
          <w:rFonts w:hint="eastAsia"/>
          <w:lang w:eastAsia="zh-CN"/>
        </w:rPr>
        <w:lastRenderedPageBreak/>
        <w:t>待国际电联总部</w:t>
      </w:r>
      <w:r w:rsidRPr="003E7F9B">
        <w:rPr>
          <w:rFonts w:hint="eastAsia"/>
          <w:lang w:eastAsia="zh-CN"/>
        </w:rPr>
        <w:t>办公场所</w:t>
      </w:r>
      <w:r>
        <w:rPr>
          <w:rFonts w:hint="eastAsia"/>
          <w:lang w:eastAsia="zh-CN"/>
        </w:rPr>
        <w:t>的整体问题，并指示向即将召开的全权代表大会（</w:t>
      </w:r>
      <w:r>
        <w:rPr>
          <w:rFonts w:hint="eastAsia"/>
          <w:lang w:eastAsia="zh-CN"/>
        </w:rPr>
        <w:t>PP-14</w:t>
      </w:r>
      <w:r>
        <w:rPr>
          <w:rFonts w:hint="eastAsia"/>
          <w:lang w:eastAsia="zh-CN"/>
        </w:rPr>
        <w:t>）提交四项方案，以便后者做出决定（</w:t>
      </w:r>
      <w:r>
        <w:rPr>
          <w:rFonts w:hint="eastAsia"/>
          <w:lang w:eastAsia="zh-CN"/>
        </w:rPr>
        <w:t>C14/92</w:t>
      </w:r>
      <w:r>
        <w:rPr>
          <w:rFonts w:hint="eastAsia"/>
          <w:lang w:eastAsia="zh-CN"/>
        </w:rPr>
        <w:t>号文件</w:t>
      </w:r>
      <w:r>
        <w:rPr>
          <w:rFonts w:hint="eastAsia"/>
          <w:lang w:val="en-US" w:eastAsia="zh-CN"/>
        </w:rPr>
        <w:t>中的建议</w:t>
      </w:r>
      <w:r>
        <w:rPr>
          <w:rFonts w:hint="eastAsia"/>
          <w:lang w:val="en-US" w:eastAsia="zh-CN"/>
        </w:rPr>
        <w:t>14</w:t>
      </w:r>
      <w:r>
        <w:rPr>
          <w:lang w:val="en-US" w:eastAsia="zh-CN"/>
        </w:rPr>
        <w:t>.6</w:t>
      </w:r>
      <w:r>
        <w:rPr>
          <w:rFonts w:hint="eastAsia"/>
          <w:lang w:eastAsia="zh-CN"/>
        </w:rPr>
        <w:t>）：</w:t>
      </w:r>
    </w:p>
    <w:p w14:paraId="4B20D7E3" w14:textId="77777777" w:rsidR="00B80DA4" w:rsidRPr="003E0A98" w:rsidRDefault="00B80DA4" w:rsidP="00B80DA4">
      <w:pPr>
        <w:pStyle w:val="enumlev1"/>
        <w:rPr>
          <w:lang w:eastAsia="zh-CN"/>
        </w:rPr>
      </w:pPr>
      <w:r w:rsidRPr="003E0A98">
        <w:rPr>
          <w:lang w:eastAsia="zh-CN"/>
        </w:rPr>
        <w:t>–</w:t>
      </w:r>
      <w:r w:rsidRPr="003E0A98">
        <w:rPr>
          <w:lang w:eastAsia="zh-CN"/>
        </w:rPr>
        <w:tab/>
      </w:r>
      <w:r>
        <w:rPr>
          <w:rFonts w:hint="eastAsia"/>
          <w:lang w:eastAsia="zh-CN"/>
        </w:rPr>
        <w:t>重建</w:t>
      </w:r>
      <w:r w:rsidRPr="003E0A98">
        <w:rPr>
          <w:lang w:eastAsia="zh-CN"/>
        </w:rPr>
        <w:t>Varembé</w:t>
      </w:r>
      <w:r w:rsidRPr="003E0A98">
        <w:rPr>
          <w:rFonts w:hint="eastAsia"/>
          <w:lang w:eastAsia="zh-CN"/>
        </w:rPr>
        <w:t>办公楼并视需要翻修其它办公楼；</w:t>
      </w:r>
    </w:p>
    <w:p w14:paraId="46070EBC"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视需要翻修所有三幢办公楼，不重建</w:t>
      </w:r>
      <w:r w:rsidRPr="0063347C">
        <w:rPr>
          <w:lang w:eastAsia="zh-CN"/>
        </w:rPr>
        <w:t>Varembé</w:t>
      </w:r>
      <w:r>
        <w:rPr>
          <w:rFonts w:hint="eastAsia"/>
          <w:lang w:eastAsia="zh-CN"/>
        </w:rPr>
        <w:t>办公楼；</w:t>
      </w:r>
    </w:p>
    <w:p w14:paraId="17CD1206"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为重建</w:t>
      </w:r>
      <w:r w:rsidRPr="0063347C">
        <w:rPr>
          <w:lang w:eastAsia="zh-CN"/>
        </w:rPr>
        <w:t>Varembé</w:t>
      </w:r>
      <w:r>
        <w:rPr>
          <w:rFonts w:hint="eastAsia"/>
          <w:lang w:eastAsia="zh-CN"/>
        </w:rPr>
        <w:t>楼而在日内瓦租用</w:t>
      </w:r>
      <w:r w:rsidRPr="003E7F9B">
        <w:rPr>
          <w:rFonts w:hint="eastAsia"/>
          <w:lang w:eastAsia="zh-CN"/>
        </w:rPr>
        <w:t>办公场所</w:t>
      </w:r>
      <w:r>
        <w:rPr>
          <w:rFonts w:hint="eastAsia"/>
          <w:lang w:eastAsia="zh-CN"/>
        </w:rPr>
        <w:t>，拆除</w:t>
      </w:r>
      <w:r w:rsidRPr="0063347C">
        <w:rPr>
          <w:lang w:eastAsia="zh-CN"/>
        </w:rPr>
        <w:t>Varembé</w:t>
      </w:r>
      <w:r>
        <w:rPr>
          <w:rFonts w:hint="eastAsia"/>
          <w:lang w:eastAsia="zh-CN"/>
        </w:rPr>
        <w:t>办公楼并视需要翻修其它办公楼；</w:t>
      </w:r>
    </w:p>
    <w:p w14:paraId="31392DD9"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若有国际电联成员国主动提出全面且国际电联可接受的邀请意向，将国际电联总部迁离日内瓦。</w:t>
      </w:r>
    </w:p>
    <w:p w14:paraId="79A0A41D" w14:textId="583057A1" w:rsidR="00B80DA4" w:rsidRPr="00A31C54" w:rsidRDefault="00994E12" w:rsidP="00B80DA4">
      <w:pPr>
        <w:rPr>
          <w:lang w:eastAsia="zh-CN"/>
        </w:rPr>
      </w:pPr>
      <w:r>
        <w:rPr>
          <w:lang w:val="en-US" w:eastAsia="zh-CN"/>
        </w:rPr>
        <w:t>1.</w:t>
      </w:r>
      <w:r w:rsidR="00537256">
        <w:rPr>
          <w:lang w:val="en-US" w:eastAsia="zh-CN"/>
        </w:rPr>
        <w:t>8</w:t>
      </w:r>
      <w:r w:rsidR="00B80DA4">
        <w:rPr>
          <w:lang w:val="en-US" w:eastAsia="zh-CN"/>
        </w:rPr>
        <w:tab/>
      </w:r>
      <w:r w:rsidR="00B80DA4">
        <w:rPr>
          <w:rFonts w:hint="eastAsia"/>
          <w:lang w:eastAsia="zh-CN"/>
        </w:rPr>
        <w:t>如</w:t>
      </w:r>
      <w:r w:rsidR="00B80DA4">
        <w:rPr>
          <w:rFonts w:hint="eastAsia"/>
          <w:lang w:eastAsia="zh-CN"/>
        </w:rPr>
        <w:t>C14/75</w:t>
      </w:r>
      <w:r w:rsidR="00B80DA4">
        <w:rPr>
          <w:rFonts w:hint="eastAsia"/>
          <w:lang w:eastAsia="zh-CN"/>
        </w:rPr>
        <w:t>号文件所述，理事会在要求做出财务比较的同时，还要求在提交</w:t>
      </w:r>
      <w:r w:rsidR="00B80DA4">
        <w:rPr>
          <w:rFonts w:hint="eastAsia"/>
          <w:lang w:eastAsia="zh-CN"/>
        </w:rPr>
        <w:t>PP-14</w:t>
      </w:r>
      <w:r w:rsidR="00B80DA4">
        <w:rPr>
          <w:rFonts w:hint="eastAsia"/>
          <w:lang w:eastAsia="zh-CN"/>
        </w:rPr>
        <w:t>的报告中将其它多种不同因素考虑在内。</w:t>
      </w:r>
    </w:p>
    <w:p w14:paraId="22C4D4EA" w14:textId="4BB3EA9C" w:rsidR="00B80DA4" w:rsidRDefault="00994E12" w:rsidP="00B80DA4">
      <w:pPr>
        <w:rPr>
          <w:lang w:eastAsia="zh-CN"/>
        </w:rPr>
      </w:pPr>
      <w:r>
        <w:rPr>
          <w:lang w:val="en-US" w:eastAsia="zh-CN"/>
        </w:rPr>
        <w:t>1.</w:t>
      </w:r>
      <w:r w:rsidR="00537256">
        <w:rPr>
          <w:lang w:val="en-US" w:eastAsia="zh-CN"/>
        </w:rPr>
        <w:t>9</w:t>
      </w:r>
      <w:r w:rsidR="00B80DA4">
        <w:rPr>
          <w:lang w:val="en-US" w:eastAsia="zh-CN"/>
        </w:rPr>
        <w:tab/>
      </w:r>
      <w:r w:rsidR="00B80DA4">
        <w:rPr>
          <w:rFonts w:hint="eastAsia"/>
          <w:lang w:eastAsia="zh-CN"/>
        </w:rPr>
        <w:t>本文件是对理事会要求的回应：审查四项方案，以便</w:t>
      </w:r>
      <w:r w:rsidR="00B80DA4">
        <w:rPr>
          <w:rFonts w:hint="eastAsia"/>
          <w:lang w:eastAsia="zh-CN"/>
        </w:rPr>
        <w:t>PP-14</w:t>
      </w:r>
      <w:r w:rsidR="00B80DA4">
        <w:rPr>
          <w:rFonts w:hint="eastAsia"/>
          <w:lang w:eastAsia="zh-CN"/>
        </w:rPr>
        <w:t>能够掌握足够信息，从而就应采用的适当方案做出决定。本文件对国际电联总部的所有办公楼都得到考虑。</w:t>
      </w:r>
    </w:p>
    <w:p w14:paraId="7428C988" w14:textId="32E45403" w:rsidR="00B80DA4" w:rsidRPr="00242F6A" w:rsidRDefault="00994E12" w:rsidP="00B80DA4">
      <w:pPr>
        <w:rPr>
          <w:lang w:eastAsia="zh-CN"/>
        </w:rPr>
      </w:pPr>
      <w:r>
        <w:rPr>
          <w:lang w:val="en-US" w:eastAsia="zh-CN"/>
        </w:rPr>
        <w:t>1.</w:t>
      </w:r>
      <w:r w:rsidR="00537256">
        <w:rPr>
          <w:lang w:val="en-US" w:eastAsia="zh-CN"/>
        </w:rPr>
        <w:t>10</w:t>
      </w:r>
      <w:r w:rsidR="00B80DA4">
        <w:rPr>
          <w:lang w:val="en-US" w:eastAsia="zh-CN"/>
        </w:rPr>
        <w:tab/>
      </w:r>
      <w:r w:rsidR="00B80DA4">
        <w:rPr>
          <w:rFonts w:hint="eastAsia"/>
          <w:lang w:eastAsia="zh-CN"/>
        </w:rPr>
        <w:t>本文件引用的财务数字是根据管理层目前最了解的情况、可提供的文件和市场信息做出的估算。这些数字是对将发生费用的高级别估算，并将按照未来的决定和发展情况进一步调整。</w:t>
      </w:r>
    </w:p>
    <w:p w14:paraId="5BC84CE8" w14:textId="77777777" w:rsidR="00B80DA4" w:rsidRPr="0063347C" w:rsidRDefault="00B80DA4" w:rsidP="00B80DA4">
      <w:pPr>
        <w:pStyle w:val="Heading1"/>
        <w:rPr>
          <w:lang w:eastAsia="zh-CN"/>
        </w:rPr>
      </w:pPr>
      <w:r w:rsidRPr="0063347C">
        <w:rPr>
          <w:lang w:eastAsia="zh-CN"/>
        </w:rPr>
        <w:t>2</w:t>
      </w:r>
      <w:r>
        <w:rPr>
          <w:lang w:eastAsia="zh-CN"/>
        </w:rPr>
        <w:tab/>
      </w:r>
      <w:r>
        <w:rPr>
          <w:rFonts w:hint="eastAsia"/>
          <w:lang w:eastAsia="zh-CN"/>
        </w:rPr>
        <w:t>评估标准</w:t>
      </w:r>
    </w:p>
    <w:p w14:paraId="2E3B4CB4" w14:textId="77777777" w:rsidR="00B80DA4" w:rsidRPr="0063347C" w:rsidRDefault="00B80DA4" w:rsidP="00B80DA4">
      <w:pPr>
        <w:rPr>
          <w:lang w:eastAsia="zh-CN"/>
        </w:rPr>
      </w:pPr>
      <w:r>
        <w:rPr>
          <w:lang w:eastAsia="zh-CN"/>
        </w:rPr>
        <w:t>2</w:t>
      </w:r>
      <w:r>
        <w:rPr>
          <w:lang w:val="en-US" w:eastAsia="zh-CN"/>
        </w:rPr>
        <w:t>.1</w:t>
      </w:r>
      <w:r>
        <w:rPr>
          <w:lang w:val="en-US" w:eastAsia="zh-CN"/>
        </w:rPr>
        <w:tab/>
      </w:r>
      <w:r>
        <w:rPr>
          <w:rFonts w:hint="eastAsia"/>
          <w:lang w:eastAsia="zh-CN"/>
        </w:rPr>
        <w:t>除财务方面考虑外，在</w:t>
      </w:r>
      <w:r>
        <w:rPr>
          <w:rFonts w:hint="eastAsia"/>
          <w:lang w:eastAsia="zh-CN"/>
        </w:rPr>
        <w:t>C14/75</w:t>
      </w:r>
      <w:r>
        <w:rPr>
          <w:rFonts w:hint="eastAsia"/>
          <w:lang w:eastAsia="zh-CN"/>
        </w:rPr>
        <w:t>号文件（阿联酋）中确定、而且</w:t>
      </w:r>
      <w:r>
        <w:rPr>
          <w:rFonts w:hint="eastAsia"/>
          <w:lang w:eastAsia="zh-CN"/>
        </w:rPr>
        <w:t>C-14</w:t>
      </w:r>
      <w:r>
        <w:rPr>
          <w:rFonts w:hint="eastAsia"/>
          <w:lang w:eastAsia="zh-CN"/>
        </w:rPr>
        <w:t>要求在审议总部迁离目前东道国时考虑的标准为：</w:t>
      </w:r>
    </w:p>
    <w:p w14:paraId="33FA68DD" w14:textId="77777777" w:rsidR="00B80DA4" w:rsidRPr="00ED280A" w:rsidRDefault="00B80DA4" w:rsidP="00B80DA4">
      <w:pPr>
        <w:pStyle w:val="enumlev1"/>
        <w:rPr>
          <w:lang w:eastAsia="zh-CN"/>
        </w:rPr>
      </w:pPr>
      <w:bookmarkStart w:id="10" w:name="OLE_LINK3"/>
      <w:bookmarkStart w:id="11" w:name="OLE_LINK4"/>
      <w:r w:rsidRPr="00ED280A">
        <w:rPr>
          <w:lang w:eastAsia="zh-CN"/>
        </w:rPr>
        <w:t>–</w:t>
      </w:r>
      <w:r w:rsidRPr="00ED280A">
        <w:rPr>
          <w:lang w:eastAsia="zh-CN"/>
        </w:rPr>
        <w:tab/>
      </w:r>
      <w:bookmarkEnd w:id="10"/>
      <w:bookmarkEnd w:id="11"/>
      <w:r w:rsidRPr="00ED280A">
        <w:rPr>
          <w:rFonts w:hint="eastAsia"/>
          <w:lang w:eastAsia="zh-CN"/>
        </w:rPr>
        <w:t>向国际电联职员提供的豁免、特权和</w:t>
      </w:r>
      <w:r>
        <w:rPr>
          <w:rFonts w:hint="eastAsia"/>
          <w:lang w:eastAsia="zh-CN"/>
        </w:rPr>
        <w:t>便利条件</w:t>
      </w:r>
      <w:r w:rsidRPr="00ED280A">
        <w:rPr>
          <w:rFonts w:hint="eastAsia"/>
          <w:lang w:eastAsia="zh-CN"/>
        </w:rPr>
        <w:t>；</w:t>
      </w:r>
    </w:p>
    <w:p w14:paraId="2895A71A" w14:textId="77777777" w:rsidR="00B80DA4" w:rsidRPr="003A1667" w:rsidRDefault="00B80DA4" w:rsidP="00B80DA4">
      <w:pPr>
        <w:pStyle w:val="enumlev1"/>
        <w:rPr>
          <w:lang w:eastAsia="zh-CN"/>
        </w:rPr>
      </w:pPr>
      <w:r>
        <w:rPr>
          <w:lang w:eastAsia="zh-CN"/>
        </w:rPr>
        <w:t>–</w:t>
      </w:r>
      <w:r>
        <w:rPr>
          <w:lang w:eastAsia="zh-CN"/>
        </w:rPr>
        <w:tab/>
      </w:r>
      <w:r w:rsidRPr="003A1667">
        <w:rPr>
          <w:rFonts w:hint="eastAsia"/>
          <w:lang w:eastAsia="zh-CN"/>
        </w:rPr>
        <w:t>免除所得税或物业税、关税和商品及服务税</w:t>
      </w:r>
      <w:r>
        <w:rPr>
          <w:rFonts w:hint="eastAsia"/>
          <w:lang w:eastAsia="zh-CN"/>
        </w:rPr>
        <w:t>方面的情况；</w:t>
      </w:r>
    </w:p>
    <w:p w14:paraId="1038487F" w14:textId="77777777" w:rsidR="00B80DA4" w:rsidRPr="0063347C" w:rsidRDefault="00B80DA4" w:rsidP="00B80DA4">
      <w:pPr>
        <w:pStyle w:val="enumlev1"/>
        <w:rPr>
          <w:lang w:eastAsia="zh-CN"/>
        </w:rPr>
      </w:pPr>
      <w:r>
        <w:rPr>
          <w:lang w:eastAsia="zh-CN"/>
        </w:rPr>
        <w:t>–</w:t>
      </w:r>
      <w:r>
        <w:rPr>
          <w:lang w:eastAsia="zh-CN"/>
        </w:rPr>
        <w:tab/>
      </w:r>
      <w:r w:rsidRPr="003A1667">
        <w:rPr>
          <w:rFonts w:hint="eastAsia"/>
          <w:lang w:eastAsia="zh-CN"/>
        </w:rPr>
        <w:t>对</w:t>
      </w:r>
      <w:r>
        <w:rPr>
          <w:rFonts w:hint="eastAsia"/>
          <w:lang w:eastAsia="zh-CN"/>
        </w:rPr>
        <w:t>迁址所需的职员异地迁移</w:t>
      </w:r>
      <w:r w:rsidRPr="003A1667">
        <w:rPr>
          <w:rFonts w:hint="eastAsia"/>
          <w:lang w:eastAsia="zh-CN"/>
        </w:rPr>
        <w:t>/</w:t>
      </w:r>
      <w:r w:rsidRPr="003A1667">
        <w:rPr>
          <w:rFonts w:hint="eastAsia"/>
          <w:lang w:eastAsia="zh-CN"/>
        </w:rPr>
        <w:t>终止服务</w:t>
      </w:r>
      <w:r w:rsidRPr="003A1667">
        <w:rPr>
          <w:rFonts w:hint="eastAsia"/>
          <w:lang w:eastAsia="zh-CN"/>
        </w:rPr>
        <w:t>/</w:t>
      </w:r>
      <w:r w:rsidRPr="003A1667">
        <w:rPr>
          <w:rFonts w:hint="eastAsia"/>
          <w:lang w:eastAsia="zh-CN"/>
        </w:rPr>
        <w:t>聘用</w:t>
      </w:r>
      <w:r>
        <w:rPr>
          <w:rFonts w:hint="eastAsia"/>
          <w:lang w:eastAsia="zh-CN"/>
        </w:rPr>
        <w:t>的费用</w:t>
      </w:r>
      <w:r w:rsidRPr="003A1667">
        <w:rPr>
          <w:rFonts w:hint="eastAsia"/>
          <w:lang w:eastAsia="zh-CN"/>
        </w:rPr>
        <w:t>、设施、必要的公共服务、</w:t>
      </w:r>
      <w:r>
        <w:rPr>
          <w:rFonts w:hint="eastAsia"/>
          <w:lang w:eastAsia="zh-CN"/>
        </w:rPr>
        <w:t>可提供的房舍等方面的要求和期待；</w:t>
      </w:r>
    </w:p>
    <w:p w14:paraId="5A41DE84"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迁离决定的拟议时间段和未来机制；</w:t>
      </w:r>
    </w:p>
    <w:p w14:paraId="2C025881" w14:textId="77777777" w:rsidR="00B80DA4" w:rsidRPr="003A1667" w:rsidRDefault="00B80DA4" w:rsidP="00B80DA4">
      <w:pPr>
        <w:pStyle w:val="enumlev1"/>
        <w:rPr>
          <w:lang w:eastAsia="zh-CN"/>
        </w:rPr>
      </w:pPr>
      <w:r>
        <w:rPr>
          <w:lang w:eastAsia="zh-CN"/>
        </w:rPr>
        <w:t>–</w:t>
      </w:r>
      <w:r>
        <w:rPr>
          <w:lang w:eastAsia="zh-CN"/>
        </w:rPr>
        <w:tab/>
      </w:r>
      <w:r w:rsidRPr="003A1667">
        <w:rPr>
          <w:rFonts w:hint="eastAsia"/>
          <w:lang w:eastAsia="zh-CN"/>
        </w:rPr>
        <w:t>迁</w:t>
      </w:r>
      <w:r>
        <w:rPr>
          <w:rFonts w:hint="eastAsia"/>
          <w:lang w:eastAsia="zh-CN"/>
        </w:rPr>
        <w:t>离情况下</w:t>
      </w:r>
      <w:r w:rsidRPr="003A1667">
        <w:rPr>
          <w:rFonts w:hint="eastAsia"/>
          <w:lang w:eastAsia="zh-CN"/>
        </w:rPr>
        <w:t>的财务制约因素、限制条件和</w:t>
      </w:r>
      <w:r>
        <w:rPr>
          <w:rFonts w:hint="eastAsia"/>
          <w:lang w:eastAsia="zh-CN"/>
        </w:rPr>
        <w:t>国际电联</w:t>
      </w:r>
      <w:r w:rsidRPr="003A1667">
        <w:rPr>
          <w:rFonts w:hint="eastAsia"/>
          <w:lang w:eastAsia="zh-CN"/>
        </w:rPr>
        <w:t>可能</w:t>
      </w:r>
      <w:r>
        <w:rPr>
          <w:rFonts w:hint="eastAsia"/>
          <w:lang w:eastAsia="zh-CN"/>
        </w:rPr>
        <w:t>实现的节省；</w:t>
      </w:r>
    </w:p>
    <w:p w14:paraId="710A0B93" w14:textId="77777777" w:rsidR="00B80DA4" w:rsidRPr="003A1667" w:rsidRDefault="00B80DA4" w:rsidP="00B80DA4">
      <w:pPr>
        <w:pStyle w:val="enumlev1"/>
        <w:rPr>
          <w:lang w:eastAsia="zh-CN"/>
        </w:rPr>
      </w:pPr>
      <w:r>
        <w:rPr>
          <w:lang w:eastAsia="zh-CN"/>
        </w:rPr>
        <w:t>–</w:t>
      </w:r>
      <w:r>
        <w:rPr>
          <w:lang w:eastAsia="zh-CN"/>
        </w:rPr>
        <w:tab/>
      </w:r>
      <w:r>
        <w:rPr>
          <w:rFonts w:hint="eastAsia"/>
          <w:lang w:eastAsia="zh-CN"/>
        </w:rPr>
        <w:t>构成国际组织与东道国之间关系依据的法律概念；</w:t>
      </w:r>
    </w:p>
    <w:p w14:paraId="296B07E1" w14:textId="77777777" w:rsidR="00B80DA4" w:rsidRPr="0063347C" w:rsidRDefault="00B80DA4" w:rsidP="00B80DA4">
      <w:pPr>
        <w:pStyle w:val="enumlev1"/>
        <w:rPr>
          <w:lang w:eastAsia="zh-CN"/>
        </w:rPr>
      </w:pPr>
      <w:r>
        <w:rPr>
          <w:lang w:eastAsia="zh-CN"/>
        </w:rPr>
        <w:t>–</w:t>
      </w:r>
      <w:r>
        <w:rPr>
          <w:lang w:eastAsia="zh-CN"/>
        </w:rPr>
        <w:tab/>
      </w:r>
      <w:r w:rsidRPr="003A1667">
        <w:rPr>
          <w:rFonts w:hint="eastAsia"/>
          <w:lang w:eastAsia="zh-CN"/>
        </w:rPr>
        <w:t>迁</w:t>
      </w:r>
      <w:r>
        <w:rPr>
          <w:rFonts w:hint="eastAsia"/>
          <w:lang w:eastAsia="zh-CN"/>
        </w:rPr>
        <w:t>离情况下的</w:t>
      </w:r>
      <w:r w:rsidRPr="003A1667">
        <w:rPr>
          <w:rFonts w:hint="eastAsia"/>
          <w:lang w:eastAsia="zh-CN"/>
        </w:rPr>
        <w:t>国际电联</w:t>
      </w:r>
      <w:r>
        <w:rPr>
          <w:rFonts w:hint="eastAsia"/>
          <w:lang w:eastAsia="zh-CN"/>
        </w:rPr>
        <w:t>现有</w:t>
      </w:r>
      <w:r w:rsidRPr="003A1667">
        <w:rPr>
          <w:rFonts w:hint="eastAsia"/>
          <w:lang w:eastAsia="zh-CN"/>
        </w:rPr>
        <w:t>资产状况及其未来使用</w:t>
      </w:r>
      <w:r>
        <w:rPr>
          <w:rFonts w:hint="eastAsia"/>
          <w:lang w:eastAsia="zh-CN"/>
        </w:rPr>
        <w:t>状</w:t>
      </w:r>
      <w:r w:rsidRPr="003A1667">
        <w:rPr>
          <w:rFonts w:hint="eastAsia"/>
          <w:lang w:eastAsia="zh-CN"/>
        </w:rPr>
        <w:t>况。</w:t>
      </w:r>
    </w:p>
    <w:p w14:paraId="0A1A17C9" w14:textId="77777777" w:rsidR="00B80DA4" w:rsidRPr="0063347C" w:rsidRDefault="00B80DA4" w:rsidP="00B80DA4">
      <w:pPr>
        <w:rPr>
          <w:lang w:eastAsia="zh-CN"/>
        </w:rPr>
      </w:pPr>
      <w:r>
        <w:rPr>
          <w:lang w:eastAsia="zh-CN"/>
        </w:rPr>
        <w:t>2</w:t>
      </w:r>
      <w:r>
        <w:rPr>
          <w:lang w:val="en-US" w:eastAsia="zh-CN"/>
        </w:rPr>
        <w:t>.2</w:t>
      </w:r>
      <w:r>
        <w:rPr>
          <w:lang w:val="en-US" w:eastAsia="zh-CN"/>
        </w:rPr>
        <w:tab/>
      </w:r>
      <w:r w:rsidRPr="0063347C">
        <w:rPr>
          <w:lang w:eastAsia="zh-CN"/>
        </w:rPr>
        <w:t>C-14</w:t>
      </w:r>
      <w:r>
        <w:rPr>
          <w:rFonts w:hint="eastAsia"/>
          <w:lang w:eastAsia="zh-CN"/>
        </w:rPr>
        <w:t>还要求在提交</w:t>
      </w:r>
      <w:r>
        <w:rPr>
          <w:rFonts w:hint="eastAsia"/>
          <w:lang w:eastAsia="zh-CN"/>
        </w:rPr>
        <w:t>PP-14</w:t>
      </w:r>
      <w:r>
        <w:rPr>
          <w:rFonts w:hint="eastAsia"/>
          <w:lang w:eastAsia="zh-CN"/>
        </w:rPr>
        <w:t>的报告中考虑到“生活质量”问题。</w:t>
      </w:r>
    </w:p>
    <w:p w14:paraId="260F33B7" w14:textId="77777777" w:rsidR="00B80DA4" w:rsidRPr="0063347C" w:rsidRDefault="00B80DA4" w:rsidP="00B80DA4">
      <w:pPr>
        <w:pStyle w:val="Heading1"/>
        <w:rPr>
          <w:lang w:eastAsia="zh-CN"/>
        </w:rPr>
      </w:pPr>
      <w:r w:rsidRPr="0063347C">
        <w:rPr>
          <w:lang w:eastAsia="zh-CN"/>
        </w:rPr>
        <w:t>3</w:t>
      </w:r>
      <w:r>
        <w:rPr>
          <w:lang w:eastAsia="zh-CN"/>
        </w:rPr>
        <w:tab/>
      </w:r>
      <w:r>
        <w:rPr>
          <w:rFonts w:hint="eastAsia"/>
          <w:lang w:eastAsia="zh-CN"/>
        </w:rPr>
        <w:t>各办公楼的面积和状况</w:t>
      </w:r>
    </w:p>
    <w:p w14:paraId="303FC813" w14:textId="77777777" w:rsidR="00B80DA4" w:rsidRDefault="00B80DA4" w:rsidP="00B412B2">
      <w:pPr>
        <w:spacing w:after="120"/>
        <w:rPr>
          <w:lang w:eastAsia="zh-CN"/>
        </w:rPr>
      </w:pPr>
      <w:r>
        <w:rPr>
          <w:lang w:eastAsia="zh-CN"/>
        </w:rPr>
        <w:t>3</w:t>
      </w:r>
      <w:r>
        <w:rPr>
          <w:lang w:val="en-US" w:eastAsia="zh-CN"/>
        </w:rPr>
        <w:t>.1</w:t>
      </w:r>
      <w:r>
        <w:rPr>
          <w:lang w:val="en-US" w:eastAsia="zh-CN"/>
        </w:rPr>
        <w:tab/>
      </w:r>
      <w:r>
        <w:rPr>
          <w:rFonts w:hint="eastAsia"/>
          <w:lang w:eastAsia="zh-CN"/>
        </w:rPr>
        <w:t>总部办公楼的可使用空间如下：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39"/>
        <w:gridCol w:w="1421"/>
        <w:gridCol w:w="1559"/>
        <w:gridCol w:w="2123"/>
      </w:tblGrid>
      <w:tr w:rsidR="00B80DA4" w:rsidRPr="0063347C" w14:paraId="715AFE38" w14:textId="77777777" w:rsidTr="000E7785">
        <w:trPr>
          <w:jc w:val="center"/>
        </w:trPr>
        <w:tc>
          <w:tcPr>
            <w:tcW w:w="1980" w:type="dxa"/>
            <w:tcBorders>
              <w:bottom w:val="single" w:sz="4" w:space="0" w:color="auto"/>
            </w:tcBorders>
          </w:tcPr>
          <w:p w14:paraId="19EB5D84" w14:textId="77777777" w:rsidR="00B80DA4" w:rsidRPr="0063347C" w:rsidRDefault="00B80DA4" w:rsidP="00111A9E">
            <w:pPr>
              <w:keepLines/>
              <w:pageBreakBefore/>
              <w:rPr>
                <w:rFonts w:asciiTheme="minorHAnsi" w:hAnsiTheme="minorHAnsi"/>
                <w:sz w:val="22"/>
                <w:szCs w:val="22"/>
                <w:lang w:eastAsia="zh-CN"/>
              </w:rPr>
            </w:pPr>
          </w:p>
        </w:tc>
        <w:tc>
          <w:tcPr>
            <w:tcW w:w="1839" w:type="dxa"/>
            <w:tcBorders>
              <w:bottom w:val="single" w:sz="4" w:space="0" w:color="auto"/>
            </w:tcBorders>
          </w:tcPr>
          <w:p w14:paraId="756F57E8" w14:textId="77777777" w:rsidR="00B80DA4" w:rsidRPr="00AB2D3E" w:rsidRDefault="00B80DA4" w:rsidP="00111A9E">
            <w:pPr>
              <w:pStyle w:val="Tablehead"/>
              <w:pageBreakBefore/>
              <w:rPr>
                <w:lang w:eastAsia="zh-CN"/>
              </w:rPr>
            </w:pPr>
            <w:r>
              <w:rPr>
                <w:rFonts w:hint="eastAsia"/>
                <w:lang w:eastAsia="zh-CN"/>
              </w:rPr>
              <w:t>容积</w:t>
            </w:r>
            <w:r w:rsidRPr="0063347C">
              <w:rPr>
                <w:lang w:eastAsia="zh-CN"/>
              </w:rPr>
              <w:br/>
            </w:r>
            <w:r>
              <w:rPr>
                <w:lang w:eastAsia="zh-CN"/>
              </w:rPr>
              <w:t>（</w:t>
            </w:r>
            <w:r>
              <w:rPr>
                <w:rFonts w:hint="eastAsia"/>
                <w:lang w:eastAsia="zh-CN"/>
              </w:rPr>
              <w:t>参见</w:t>
            </w:r>
            <w:r w:rsidRPr="0063347C">
              <w:rPr>
                <w:lang w:eastAsia="zh-CN"/>
              </w:rPr>
              <w:t>SIA 416</w:t>
            </w:r>
            <w:r>
              <w:rPr>
                <w:lang w:eastAsia="zh-CN"/>
              </w:rPr>
              <w:t>）</w:t>
            </w:r>
            <w:r>
              <w:rPr>
                <w:lang w:eastAsia="zh-CN"/>
              </w:rPr>
              <w:br/>
            </w:r>
            <w:r>
              <w:rPr>
                <w:lang w:eastAsia="zh-CN"/>
              </w:rPr>
              <w:t>（</w:t>
            </w:r>
            <w:r w:rsidRPr="0063347C">
              <w:rPr>
                <w:lang w:eastAsia="zh-CN"/>
              </w:rPr>
              <w:t>m</w:t>
            </w:r>
            <w:r w:rsidRPr="0063347C">
              <w:rPr>
                <w:vertAlign w:val="superscript"/>
                <w:lang w:eastAsia="zh-CN"/>
              </w:rPr>
              <w:t>3</w:t>
            </w:r>
            <w:r>
              <w:rPr>
                <w:lang w:eastAsia="zh-CN"/>
              </w:rPr>
              <w:t>）</w:t>
            </w:r>
          </w:p>
        </w:tc>
        <w:tc>
          <w:tcPr>
            <w:tcW w:w="1421" w:type="dxa"/>
            <w:tcBorders>
              <w:bottom w:val="single" w:sz="4" w:space="0" w:color="auto"/>
            </w:tcBorders>
          </w:tcPr>
          <w:p w14:paraId="4B8C6002" w14:textId="77777777" w:rsidR="00B80DA4" w:rsidRPr="00AB2D3E" w:rsidRDefault="00B80DA4" w:rsidP="00111A9E">
            <w:pPr>
              <w:pStyle w:val="Tablehead"/>
              <w:pageBreakBefore/>
              <w:rPr>
                <w:rFonts w:eastAsiaTheme="majorEastAsia" w:cstheme="majorBidi"/>
                <w:lang w:eastAsia="zh-CN"/>
              </w:rPr>
            </w:pPr>
            <w:r>
              <w:rPr>
                <w:rFonts w:hint="eastAsia"/>
                <w:lang w:eastAsia="zh-CN"/>
              </w:rPr>
              <w:t>楼层面积</w:t>
            </w:r>
            <w:r>
              <w:rPr>
                <w:lang w:eastAsia="zh-CN"/>
              </w:rPr>
              <w:br/>
            </w:r>
            <w:r>
              <w:rPr>
                <w:lang w:eastAsia="zh-CN"/>
              </w:rPr>
              <w:t>（</w:t>
            </w:r>
            <w:r w:rsidRPr="0063347C">
              <w:rPr>
                <w:lang w:eastAsia="zh-CN"/>
              </w:rPr>
              <w:t>m</w:t>
            </w:r>
            <w:r w:rsidRPr="0063347C">
              <w:rPr>
                <w:vertAlign w:val="superscript"/>
                <w:lang w:eastAsia="zh-CN"/>
              </w:rPr>
              <w:t>2</w:t>
            </w:r>
            <w:r>
              <w:rPr>
                <w:lang w:eastAsia="zh-CN"/>
              </w:rPr>
              <w:t>）</w:t>
            </w:r>
          </w:p>
        </w:tc>
        <w:tc>
          <w:tcPr>
            <w:tcW w:w="1559" w:type="dxa"/>
            <w:tcBorders>
              <w:bottom w:val="single" w:sz="4" w:space="0" w:color="auto"/>
            </w:tcBorders>
          </w:tcPr>
          <w:p w14:paraId="634C08F6" w14:textId="77777777" w:rsidR="00B80DA4" w:rsidRPr="0063347C" w:rsidRDefault="00B80DA4" w:rsidP="00111A9E">
            <w:pPr>
              <w:pStyle w:val="Tablehead"/>
              <w:pageBreakBefore/>
              <w:rPr>
                <w:lang w:eastAsia="zh-CN"/>
              </w:rPr>
            </w:pPr>
            <w:r>
              <w:rPr>
                <w:rFonts w:hint="eastAsia"/>
                <w:lang w:eastAsia="zh-CN"/>
              </w:rPr>
              <w:t>建造年份</w:t>
            </w:r>
            <w:r>
              <w:rPr>
                <w:lang w:eastAsia="zh-CN"/>
              </w:rPr>
              <w:br/>
            </w:r>
            <w:r>
              <w:rPr>
                <w:rFonts w:hint="eastAsia"/>
                <w:lang w:eastAsia="zh-CN"/>
              </w:rPr>
              <w:t>（完工</w:t>
            </w:r>
            <w:r w:rsidR="00B412B2">
              <w:rPr>
                <w:lang w:eastAsia="zh-CN"/>
              </w:rPr>
              <w:br/>
            </w:r>
            <w:r>
              <w:rPr>
                <w:rFonts w:hint="eastAsia"/>
                <w:lang w:eastAsia="zh-CN"/>
              </w:rPr>
              <w:t>年份）</w:t>
            </w:r>
          </w:p>
        </w:tc>
        <w:tc>
          <w:tcPr>
            <w:tcW w:w="2123" w:type="dxa"/>
            <w:tcBorders>
              <w:bottom w:val="single" w:sz="4" w:space="0" w:color="auto"/>
            </w:tcBorders>
          </w:tcPr>
          <w:p w14:paraId="7700B635" w14:textId="77777777" w:rsidR="00B80DA4" w:rsidRPr="0063347C" w:rsidRDefault="00B80DA4" w:rsidP="00111A9E">
            <w:pPr>
              <w:pStyle w:val="Tablehead"/>
              <w:pageBreakBefore/>
              <w:rPr>
                <w:lang w:eastAsia="zh-CN"/>
              </w:rPr>
            </w:pPr>
            <w:r>
              <w:rPr>
                <w:rFonts w:hint="eastAsia"/>
                <w:lang w:eastAsia="zh-CN"/>
              </w:rPr>
              <w:t>不含停车场的</w:t>
            </w:r>
            <w:r w:rsidR="00B412B2">
              <w:rPr>
                <w:lang w:eastAsia="zh-CN"/>
              </w:rPr>
              <w:br/>
            </w:r>
            <w:r>
              <w:rPr>
                <w:rFonts w:hint="eastAsia"/>
                <w:lang w:eastAsia="zh-CN"/>
              </w:rPr>
              <w:t>总部占地容积</w:t>
            </w:r>
            <w:r w:rsidR="00B412B2">
              <w:rPr>
                <w:lang w:eastAsia="zh-CN"/>
              </w:rPr>
              <w:br/>
            </w:r>
            <w:r>
              <w:rPr>
                <w:rFonts w:hint="eastAsia"/>
                <w:lang w:eastAsia="zh-CN"/>
              </w:rPr>
              <w:t>百分比</w:t>
            </w:r>
            <w:r w:rsidRPr="0063347C">
              <w:rPr>
                <w:lang w:eastAsia="zh-CN"/>
              </w:rPr>
              <w:br/>
            </w:r>
            <w:r>
              <w:rPr>
                <w:lang w:eastAsia="zh-CN"/>
              </w:rPr>
              <w:t>（</w:t>
            </w:r>
            <w:r w:rsidRPr="0063347C">
              <w:rPr>
                <w:lang w:eastAsia="zh-CN"/>
              </w:rPr>
              <w:t>%</w:t>
            </w:r>
            <w:r>
              <w:rPr>
                <w:lang w:eastAsia="zh-CN"/>
              </w:rPr>
              <w:t>）</w:t>
            </w:r>
          </w:p>
        </w:tc>
      </w:tr>
      <w:tr w:rsidR="00B80DA4" w:rsidRPr="0063347C" w14:paraId="38721193" w14:textId="77777777" w:rsidTr="000E7785">
        <w:trPr>
          <w:jc w:val="center"/>
        </w:trPr>
        <w:tc>
          <w:tcPr>
            <w:tcW w:w="1980" w:type="dxa"/>
            <w:tcBorders>
              <w:top w:val="single" w:sz="4" w:space="0" w:color="auto"/>
              <w:left w:val="single" w:sz="4" w:space="0" w:color="auto"/>
              <w:bottom w:val="nil"/>
              <w:right w:val="single" w:sz="4" w:space="0" w:color="auto"/>
            </w:tcBorders>
          </w:tcPr>
          <w:p w14:paraId="4AD7AAFF" w14:textId="77777777" w:rsidR="00B80DA4" w:rsidRPr="0063347C" w:rsidRDefault="00B80DA4" w:rsidP="000E7785">
            <w:pPr>
              <w:pStyle w:val="Tabletext"/>
              <w:rPr>
                <w:lang w:eastAsia="zh-CN"/>
              </w:rPr>
            </w:pPr>
            <w:r w:rsidRPr="0063347C">
              <w:rPr>
                <w:lang w:eastAsia="zh-CN"/>
              </w:rPr>
              <w:t>Varembé</w:t>
            </w:r>
            <w:r>
              <w:rPr>
                <w:rFonts w:hint="eastAsia"/>
                <w:lang w:eastAsia="zh-CN"/>
              </w:rPr>
              <w:t>楼</w:t>
            </w:r>
          </w:p>
        </w:tc>
        <w:tc>
          <w:tcPr>
            <w:tcW w:w="1839" w:type="dxa"/>
            <w:tcBorders>
              <w:top w:val="single" w:sz="4" w:space="0" w:color="auto"/>
              <w:left w:val="single" w:sz="4" w:space="0" w:color="auto"/>
              <w:bottom w:val="nil"/>
              <w:right w:val="single" w:sz="4" w:space="0" w:color="auto"/>
            </w:tcBorders>
          </w:tcPr>
          <w:p w14:paraId="4EC7CDD4" w14:textId="77777777" w:rsidR="00B80DA4" w:rsidRPr="0063347C" w:rsidRDefault="00B80DA4" w:rsidP="000E7785">
            <w:pPr>
              <w:pStyle w:val="Tabletext"/>
              <w:jc w:val="center"/>
              <w:rPr>
                <w:lang w:eastAsia="zh-CN"/>
              </w:rPr>
            </w:pPr>
            <w:r w:rsidRPr="0063347C">
              <w:rPr>
                <w:lang w:eastAsia="zh-CN"/>
              </w:rPr>
              <w:t>42’900</w:t>
            </w:r>
          </w:p>
        </w:tc>
        <w:tc>
          <w:tcPr>
            <w:tcW w:w="1421" w:type="dxa"/>
            <w:tcBorders>
              <w:top w:val="single" w:sz="4" w:space="0" w:color="auto"/>
              <w:left w:val="single" w:sz="4" w:space="0" w:color="auto"/>
              <w:bottom w:val="nil"/>
              <w:right w:val="single" w:sz="4" w:space="0" w:color="auto"/>
            </w:tcBorders>
          </w:tcPr>
          <w:p w14:paraId="62302C02" w14:textId="77777777" w:rsidR="00B80DA4" w:rsidRPr="0063347C" w:rsidRDefault="00B80DA4" w:rsidP="000E7785">
            <w:pPr>
              <w:pStyle w:val="Tabletext"/>
              <w:jc w:val="center"/>
              <w:rPr>
                <w:rFonts w:eastAsiaTheme="majorEastAsia" w:cstheme="majorBidi"/>
                <w:i/>
                <w:iCs/>
                <w:lang w:eastAsia="zh-CN"/>
              </w:rPr>
            </w:pPr>
            <w:r w:rsidRPr="0063347C">
              <w:rPr>
                <w:lang w:eastAsia="zh-CN"/>
              </w:rPr>
              <w:t>13’101</w:t>
            </w:r>
          </w:p>
        </w:tc>
        <w:tc>
          <w:tcPr>
            <w:tcW w:w="1559" w:type="dxa"/>
            <w:tcBorders>
              <w:top w:val="single" w:sz="4" w:space="0" w:color="auto"/>
              <w:left w:val="single" w:sz="4" w:space="0" w:color="auto"/>
              <w:bottom w:val="nil"/>
              <w:right w:val="single" w:sz="4" w:space="0" w:color="auto"/>
            </w:tcBorders>
          </w:tcPr>
          <w:p w14:paraId="6D153B70" w14:textId="77777777" w:rsidR="00B80DA4" w:rsidRPr="0063347C" w:rsidRDefault="00B80DA4" w:rsidP="000E7785">
            <w:pPr>
              <w:pStyle w:val="Tabletext"/>
              <w:jc w:val="center"/>
              <w:rPr>
                <w:lang w:eastAsia="zh-CN"/>
              </w:rPr>
            </w:pPr>
            <w:r w:rsidRPr="0063347C">
              <w:rPr>
                <w:lang w:eastAsia="zh-CN"/>
              </w:rPr>
              <w:t>1962</w:t>
            </w:r>
          </w:p>
        </w:tc>
        <w:tc>
          <w:tcPr>
            <w:tcW w:w="2123" w:type="dxa"/>
            <w:tcBorders>
              <w:top w:val="single" w:sz="4" w:space="0" w:color="auto"/>
              <w:left w:val="single" w:sz="4" w:space="0" w:color="auto"/>
              <w:bottom w:val="nil"/>
              <w:right w:val="single" w:sz="4" w:space="0" w:color="auto"/>
            </w:tcBorders>
          </w:tcPr>
          <w:p w14:paraId="62963B69" w14:textId="77777777" w:rsidR="00B80DA4" w:rsidRPr="0063347C" w:rsidRDefault="00B80DA4" w:rsidP="000E7785">
            <w:pPr>
              <w:pStyle w:val="Tabletext"/>
              <w:jc w:val="center"/>
              <w:rPr>
                <w:lang w:eastAsia="zh-CN"/>
              </w:rPr>
            </w:pPr>
            <w:r w:rsidRPr="0063347C">
              <w:rPr>
                <w:lang w:eastAsia="zh-CN"/>
              </w:rPr>
              <w:t>28</w:t>
            </w:r>
            <w:r>
              <w:rPr>
                <w:rFonts w:hint="eastAsia"/>
                <w:lang w:eastAsia="zh-CN"/>
              </w:rPr>
              <w:t>（组合）</w:t>
            </w:r>
          </w:p>
        </w:tc>
      </w:tr>
      <w:tr w:rsidR="00B80DA4" w:rsidRPr="0063347C" w14:paraId="7F8C5ECD" w14:textId="77777777" w:rsidTr="000E7785">
        <w:trPr>
          <w:jc w:val="center"/>
        </w:trPr>
        <w:tc>
          <w:tcPr>
            <w:tcW w:w="1980" w:type="dxa"/>
            <w:tcBorders>
              <w:top w:val="nil"/>
              <w:left w:val="single" w:sz="4" w:space="0" w:color="auto"/>
              <w:bottom w:val="single" w:sz="4" w:space="0" w:color="auto"/>
              <w:right w:val="single" w:sz="4" w:space="0" w:color="auto"/>
            </w:tcBorders>
          </w:tcPr>
          <w:p w14:paraId="0B18F37F" w14:textId="77777777" w:rsidR="00B80DA4" w:rsidRPr="0063347C" w:rsidRDefault="00B80DA4" w:rsidP="000E7785">
            <w:pPr>
              <w:pStyle w:val="Tabletext"/>
              <w:rPr>
                <w:lang w:eastAsia="zh-CN"/>
              </w:rPr>
            </w:pPr>
            <w:r w:rsidRPr="0063347C">
              <w:rPr>
                <w:lang w:eastAsia="zh-CN"/>
              </w:rPr>
              <w:t>C</w:t>
            </w:r>
            <w:r>
              <w:rPr>
                <w:rFonts w:hint="eastAsia"/>
                <w:lang w:eastAsia="zh-CN"/>
              </w:rPr>
              <w:t>翼、咖啡厅</w:t>
            </w:r>
          </w:p>
        </w:tc>
        <w:tc>
          <w:tcPr>
            <w:tcW w:w="1839" w:type="dxa"/>
            <w:tcBorders>
              <w:top w:val="nil"/>
              <w:left w:val="single" w:sz="4" w:space="0" w:color="auto"/>
              <w:bottom w:val="single" w:sz="4" w:space="0" w:color="auto"/>
              <w:right w:val="single" w:sz="4" w:space="0" w:color="auto"/>
            </w:tcBorders>
          </w:tcPr>
          <w:p w14:paraId="5742005D" w14:textId="77777777" w:rsidR="00B80DA4" w:rsidRPr="0063347C" w:rsidRDefault="00B80DA4" w:rsidP="000E7785">
            <w:pPr>
              <w:pStyle w:val="Tabletext"/>
              <w:jc w:val="center"/>
              <w:rPr>
                <w:lang w:eastAsia="zh-CN"/>
              </w:rPr>
            </w:pPr>
            <w:r w:rsidRPr="0063347C">
              <w:rPr>
                <w:lang w:eastAsia="zh-CN"/>
              </w:rPr>
              <w:t>9’350</w:t>
            </w:r>
          </w:p>
        </w:tc>
        <w:tc>
          <w:tcPr>
            <w:tcW w:w="1421" w:type="dxa"/>
            <w:tcBorders>
              <w:top w:val="nil"/>
              <w:left w:val="single" w:sz="4" w:space="0" w:color="auto"/>
              <w:bottom w:val="single" w:sz="4" w:space="0" w:color="auto"/>
              <w:right w:val="single" w:sz="4" w:space="0" w:color="auto"/>
            </w:tcBorders>
          </w:tcPr>
          <w:p w14:paraId="1A14D697" w14:textId="77777777" w:rsidR="00B80DA4" w:rsidRPr="0063347C" w:rsidRDefault="00B80DA4" w:rsidP="000E7785">
            <w:pPr>
              <w:pStyle w:val="Tabletext"/>
              <w:jc w:val="center"/>
              <w:rPr>
                <w:lang w:eastAsia="zh-CN"/>
              </w:rPr>
            </w:pPr>
            <w:r w:rsidRPr="0063347C">
              <w:rPr>
                <w:lang w:eastAsia="zh-CN"/>
              </w:rPr>
              <w:t>2’240</w:t>
            </w:r>
          </w:p>
        </w:tc>
        <w:tc>
          <w:tcPr>
            <w:tcW w:w="1559" w:type="dxa"/>
            <w:tcBorders>
              <w:top w:val="nil"/>
              <w:left w:val="single" w:sz="4" w:space="0" w:color="auto"/>
              <w:bottom w:val="single" w:sz="4" w:space="0" w:color="auto"/>
              <w:right w:val="single" w:sz="4" w:space="0" w:color="auto"/>
            </w:tcBorders>
          </w:tcPr>
          <w:p w14:paraId="2C791A6D" w14:textId="77777777" w:rsidR="00B80DA4" w:rsidRPr="0063347C" w:rsidRDefault="00B80DA4" w:rsidP="000E7785">
            <w:pPr>
              <w:pStyle w:val="Tabletext"/>
              <w:jc w:val="center"/>
              <w:rPr>
                <w:lang w:eastAsia="zh-CN"/>
              </w:rPr>
            </w:pPr>
            <w:r w:rsidRPr="0063347C">
              <w:rPr>
                <w:lang w:eastAsia="zh-CN"/>
              </w:rPr>
              <w:t>1999</w:t>
            </w:r>
          </w:p>
        </w:tc>
        <w:tc>
          <w:tcPr>
            <w:tcW w:w="2123" w:type="dxa"/>
            <w:tcBorders>
              <w:top w:val="nil"/>
              <w:left w:val="single" w:sz="4" w:space="0" w:color="auto"/>
              <w:bottom w:val="single" w:sz="4" w:space="0" w:color="auto"/>
              <w:right w:val="single" w:sz="4" w:space="0" w:color="auto"/>
            </w:tcBorders>
          </w:tcPr>
          <w:p w14:paraId="3CF78A96" w14:textId="77777777" w:rsidR="00B80DA4" w:rsidRPr="0063347C" w:rsidRDefault="00B80DA4" w:rsidP="000E7785">
            <w:pPr>
              <w:pStyle w:val="Tabletext"/>
              <w:jc w:val="center"/>
              <w:rPr>
                <w:lang w:eastAsia="zh-CN"/>
              </w:rPr>
            </w:pPr>
          </w:p>
        </w:tc>
      </w:tr>
      <w:tr w:rsidR="00B80DA4" w:rsidRPr="0063347C" w14:paraId="35D40B84" w14:textId="77777777" w:rsidTr="000E7785">
        <w:trPr>
          <w:jc w:val="center"/>
        </w:trPr>
        <w:tc>
          <w:tcPr>
            <w:tcW w:w="1980" w:type="dxa"/>
            <w:tcBorders>
              <w:top w:val="single" w:sz="4" w:space="0" w:color="auto"/>
            </w:tcBorders>
          </w:tcPr>
          <w:p w14:paraId="471DD529" w14:textId="77777777" w:rsidR="00B80DA4" w:rsidRPr="0063347C" w:rsidRDefault="00B80DA4" w:rsidP="000E7785">
            <w:pPr>
              <w:pStyle w:val="Tabletext"/>
              <w:rPr>
                <w:lang w:eastAsia="zh-CN"/>
              </w:rPr>
            </w:pPr>
            <w:r>
              <w:rPr>
                <w:rFonts w:hint="eastAsia"/>
                <w:lang w:eastAsia="zh-CN"/>
              </w:rPr>
              <w:t>塔楼</w:t>
            </w:r>
          </w:p>
          <w:p w14:paraId="5E8754F1" w14:textId="77777777" w:rsidR="00B80DA4" w:rsidRPr="0063347C" w:rsidRDefault="00B80DA4" w:rsidP="000E7785">
            <w:pPr>
              <w:pStyle w:val="Tabletext"/>
              <w:rPr>
                <w:lang w:eastAsia="zh-CN"/>
              </w:rPr>
            </w:pPr>
            <w:r>
              <w:rPr>
                <w:rFonts w:hint="eastAsia"/>
                <w:lang w:eastAsia="zh-CN"/>
              </w:rPr>
              <w:t>塔楼扩展部分</w:t>
            </w:r>
          </w:p>
        </w:tc>
        <w:tc>
          <w:tcPr>
            <w:tcW w:w="1839" w:type="dxa"/>
            <w:tcBorders>
              <w:top w:val="single" w:sz="4" w:space="0" w:color="auto"/>
            </w:tcBorders>
          </w:tcPr>
          <w:p w14:paraId="08D29398" w14:textId="77777777" w:rsidR="00B80DA4" w:rsidRPr="0063347C" w:rsidRDefault="00B80DA4" w:rsidP="000E7785">
            <w:pPr>
              <w:pStyle w:val="Tabletext"/>
              <w:jc w:val="center"/>
              <w:rPr>
                <w:rFonts w:eastAsiaTheme="majorEastAsia" w:cstheme="majorBidi"/>
                <w:i/>
                <w:iCs/>
                <w:lang w:eastAsia="zh-CN"/>
              </w:rPr>
            </w:pPr>
            <w:r w:rsidRPr="0063347C">
              <w:rPr>
                <w:lang w:eastAsia="zh-CN"/>
              </w:rPr>
              <w:t>85’580</w:t>
            </w:r>
          </w:p>
        </w:tc>
        <w:tc>
          <w:tcPr>
            <w:tcW w:w="1421" w:type="dxa"/>
            <w:tcBorders>
              <w:top w:val="single" w:sz="4" w:space="0" w:color="auto"/>
            </w:tcBorders>
          </w:tcPr>
          <w:p w14:paraId="1174F33B" w14:textId="77777777" w:rsidR="00B80DA4" w:rsidRPr="0063347C" w:rsidRDefault="00B80DA4" w:rsidP="000E7785">
            <w:pPr>
              <w:pStyle w:val="Tabletext"/>
              <w:jc w:val="center"/>
              <w:rPr>
                <w:rFonts w:eastAsiaTheme="majorEastAsia" w:cstheme="majorBidi"/>
                <w:i/>
                <w:iCs/>
                <w:lang w:eastAsia="zh-CN"/>
              </w:rPr>
            </w:pPr>
            <w:r w:rsidRPr="0063347C">
              <w:rPr>
                <w:lang w:eastAsia="zh-CN"/>
              </w:rPr>
              <w:t>19’710</w:t>
            </w:r>
          </w:p>
        </w:tc>
        <w:tc>
          <w:tcPr>
            <w:tcW w:w="1559" w:type="dxa"/>
            <w:tcBorders>
              <w:top w:val="single" w:sz="4" w:space="0" w:color="auto"/>
            </w:tcBorders>
          </w:tcPr>
          <w:p w14:paraId="4EA3DD13" w14:textId="77777777" w:rsidR="00B80DA4" w:rsidRPr="0063347C" w:rsidRDefault="00B80DA4" w:rsidP="000E7785">
            <w:pPr>
              <w:pStyle w:val="Tabletext"/>
              <w:jc w:val="center"/>
              <w:rPr>
                <w:lang w:eastAsia="zh-CN"/>
              </w:rPr>
            </w:pPr>
            <w:r w:rsidRPr="0063347C">
              <w:rPr>
                <w:lang w:eastAsia="zh-CN"/>
              </w:rPr>
              <w:t>1973</w:t>
            </w:r>
          </w:p>
          <w:p w14:paraId="7F64F60B" w14:textId="77777777" w:rsidR="00B80DA4" w:rsidRPr="0063347C" w:rsidRDefault="00B80DA4" w:rsidP="000E7785">
            <w:pPr>
              <w:pStyle w:val="Tabletext"/>
              <w:jc w:val="center"/>
              <w:rPr>
                <w:rFonts w:eastAsiaTheme="majorEastAsia" w:cstheme="majorBidi"/>
                <w:i/>
                <w:iCs/>
                <w:lang w:eastAsia="zh-CN"/>
              </w:rPr>
            </w:pPr>
            <w:r w:rsidRPr="0063347C">
              <w:rPr>
                <w:lang w:eastAsia="zh-CN"/>
              </w:rPr>
              <w:t>1989</w:t>
            </w:r>
          </w:p>
        </w:tc>
        <w:tc>
          <w:tcPr>
            <w:tcW w:w="2123" w:type="dxa"/>
            <w:tcBorders>
              <w:top w:val="single" w:sz="4" w:space="0" w:color="auto"/>
            </w:tcBorders>
          </w:tcPr>
          <w:p w14:paraId="5F400386" w14:textId="77777777" w:rsidR="00B80DA4" w:rsidRPr="0063347C" w:rsidRDefault="00B80DA4" w:rsidP="000E7785">
            <w:pPr>
              <w:pStyle w:val="Tabletext"/>
              <w:jc w:val="center"/>
              <w:rPr>
                <w:lang w:eastAsia="zh-CN"/>
              </w:rPr>
            </w:pPr>
            <w:r w:rsidRPr="0063347C">
              <w:rPr>
                <w:lang w:eastAsia="zh-CN"/>
              </w:rPr>
              <w:t>47</w:t>
            </w:r>
          </w:p>
        </w:tc>
      </w:tr>
      <w:tr w:rsidR="00B80DA4" w:rsidRPr="0063347C" w14:paraId="0C12FBA8" w14:textId="77777777" w:rsidTr="000E7785">
        <w:trPr>
          <w:jc w:val="center"/>
        </w:trPr>
        <w:tc>
          <w:tcPr>
            <w:tcW w:w="1980" w:type="dxa"/>
          </w:tcPr>
          <w:p w14:paraId="22CA86A5" w14:textId="77777777" w:rsidR="00B80DA4" w:rsidRPr="0063347C" w:rsidRDefault="00B80DA4" w:rsidP="000E7785">
            <w:pPr>
              <w:pStyle w:val="Tabletext"/>
              <w:rPr>
                <w:rFonts w:eastAsiaTheme="majorEastAsia" w:cstheme="majorBidi"/>
                <w:i/>
                <w:iCs/>
              </w:rPr>
            </w:pPr>
            <w:r w:rsidRPr="0063347C">
              <w:rPr>
                <w:lang w:eastAsia="zh-CN"/>
              </w:rPr>
              <w:t>Montbr</w:t>
            </w:r>
            <w:r w:rsidRPr="0063347C">
              <w:t>illant</w:t>
            </w:r>
            <w:r>
              <w:rPr>
                <w:rFonts w:hint="eastAsia"/>
                <w:lang w:eastAsia="zh-CN"/>
              </w:rPr>
              <w:t>楼</w:t>
            </w:r>
            <w:r>
              <w:br/>
            </w:r>
            <w:r>
              <w:rPr>
                <w:rFonts w:hint="eastAsia"/>
                <w:lang w:eastAsia="zh-CN"/>
              </w:rPr>
              <w:t>（除去停车场后的调整比例为</w:t>
            </w:r>
            <w:r>
              <w:t>70%</w:t>
            </w:r>
            <w:r>
              <w:rPr>
                <w:rFonts w:hint="eastAsia"/>
                <w:lang w:eastAsia="zh-CN"/>
              </w:rPr>
              <w:t>）</w:t>
            </w:r>
          </w:p>
        </w:tc>
        <w:tc>
          <w:tcPr>
            <w:tcW w:w="1839" w:type="dxa"/>
          </w:tcPr>
          <w:p w14:paraId="4E9C2A8D" w14:textId="77777777" w:rsidR="00B80DA4" w:rsidRPr="0063347C" w:rsidRDefault="00B80DA4" w:rsidP="000E7785">
            <w:pPr>
              <w:pStyle w:val="Tabletext"/>
              <w:jc w:val="center"/>
              <w:rPr>
                <w:i/>
              </w:rPr>
            </w:pPr>
            <w:r w:rsidRPr="0063347C">
              <w:rPr>
                <w:i/>
              </w:rPr>
              <w:t>(64’700</w:t>
            </w:r>
            <w:r>
              <w:rPr>
                <w:i/>
              </w:rPr>
              <w:t>）</w:t>
            </w:r>
          </w:p>
          <w:p w14:paraId="58194F6B" w14:textId="77777777" w:rsidR="00B80DA4" w:rsidRPr="0063347C" w:rsidRDefault="00B80DA4" w:rsidP="000E7785">
            <w:pPr>
              <w:pStyle w:val="Tabletext"/>
              <w:jc w:val="center"/>
              <w:rPr>
                <w:rFonts w:eastAsiaTheme="majorEastAsia" w:cstheme="majorBidi"/>
                <w:iCs/>
              </w:rPr>
            </w:pPr>
            <w:r w:rsidRPr="0063347C">
              <w:t>45’290</w:t>
            </w:r>
          </w:p>
        </w:tc>
        <w:tc>
          <w:tcPr>
            <w:tcW w:w="1421" w:type="dxa"/>
          </w:tcPr>
          <w:p w14:paraId="5E08A0CC" w14:textId="77777777" w:rsidR="00B80DA4" w:rsidRPr="0063347C" w:rsidRDefault="00B80DA4" w:rsidP="000E7785">
            <w:pPr>
              <w:pStyle w:val="Tabletext"/>
              <w:jc w:val="center"/>
              <w:rPr>
                <w:rFonts w:eastAsiaTheme="majorEastAsia" w:cstheme="majorBidi"/>
                <w:i/>
                <w:iCs/>
              </w:rPr>
            </w:pPr>
            <w:r w:rsidRPr="0063347C">
              <w:rPr>
                <w:i/>
              </w:rPr>
              <w:t>(17’390</w:t>
            </w:r>
            <w:r>
              <w:rPr>
                <w:i/>
              </w:rPr>
              <w:t>）</w:t>
            </w:r>
          </w:p>
          <w:p w14:paraId="0C0DA5A7" w14:textId="77777777" w:rsidR="00B80DA4" w:rsidRPr="0063347C" w:rsidRDefault="00B80DA4" w:rsidP="000E7785">
            <w:pPr>
              <w:pStyle w:val="Tabletext"/>
              <w:jc w:val="center"/>
              <w:rPr>
                <w:rFonts w:eastAsiaTheme="majorEastAsia" w:cstheme="majorBidi"/>
                <w:i/>
                <w:iCs/>
              </w:rPr>
            </w:pPr>
            <w:r w:rsidRPr="0063347C">
              <w:t>12’173</w:t>
            </w:r>
          </w:p>
        </w:tc>
        <w:tc>
          <w:tcPr>
            <w:tcW w:w="1559" w:type="dxa"/>
          </w:tcPr>
          <w:p w14:paraId="0298AE98" w14:textId="77777777" w:rsidR="00B80DA4" w:rsidRPr="0063347C" w:rsidRDefault="00B80DA4" w:rsidP="000E7785">
            <w:pPr>
              <w:pStyle w:val="Tabletext"/>
              <w:jc w:val="center"/>
              <w:rPr>
                <w:rFonts w:eastAsiaTheme="majorEastAsia" w:cstheme="majorBidi"/>
                <w:i/>
                <w:iCs/>
              </w:rPr>
            </w:pPr>
            <w:r w:rsidRPr="0063347C">
              <w:t>1999</w:t>
            </w:r>
          </w:p>
        </w:tc>
        <w:tc>
          <w:tcPr>
            <w:tcW w:w="2123" w:type="dxa"/>
          </w:tcPr>
          <w:p w14:paraId="366EB62A" w14:textId="77777777" w:rsidR="00B80DA4" w:rsidRPr="0063347C" w:rsidRDefault="00B80DA4" w:rsidP="000E7785">
            <w:pPr>
              <w:pStyle w:val="Tabletext"/>
              <w:jc w:val="center"/>
            </w:pPr>
          </w:p>
          <w:p w14:paraId="504F44E6" w14:textId="77777777" w:rsidR="00B80DA4" w:rsidRPr="0063347C" w:rsidRDefault="00B80DA4" w:rsidP="000E7785">
            <w:pPr>
              <w:pStyle w:val="Tabletext"/>
              <w:jc w:val="center"/>
            </w:pPr>
            <w:r w:rsidRPr="0063347C">
              <w:t>25</w:t>
            </w:r>
            <w:r>
              <w:rPr>
                <w:rFonts w:hint="eastAsia"/>
                <w:lang w:eastAsia="zh-CN"/>
              </w:rPr>
              <w:t>（不含停车场）</w:t>
            </w:r>
          </w:p>
        </w:tc>
      </w:tr>
      <w:tr w:rsidR="00B80DA4" w:rsidRPr="0063347C" w14:paraId="1702EAE7" w14:textId="77777777" w:rsidTr="000E7785">
        <w:trPr>
          <w:jc w:val="center"/>
        </w:trPr>
        <w:tc>
          <w:tcPr>
            <w:tcW w:w="1980" w:type="dxa"/>
          </w:tcPr>
          <w:p w14:paraId="4F4D162D" w14:textId="77777777" w:rsidR="00B80DA4" w:rsidRPr="0063347C" w:rsidRDefault="00B80DA4" w:rsidP="000E7785">
            <w:pPr>
              <w:pStyle w:val="Tabletext"/>
            </w:pPr>
            <w:r>
              <w:rPr>
                <w:rFonts w:hint="eastAsia"/>
                <w:lang w:eastAsia="zh-CN"/>
              </w:rPr>
              <w:t>合计</w:t>
            </w:r>
          </w:p>
        </w:tc>
        <w:tc>
          <w:tcPr>
            <w:tcW w:w="1839" w:type="dxa"/>
          </w:tcPr>
          <w:p w14:paraId="5B589463" w14:textId="77777777" w:rsidR="00B80DA4" w:rsidRPr="0063347C" w:rsidRDefault="00B80DA4" w:rsidP="000E7785">
            <w:pPr>
              <w:pStyle w:val="Tabletext"/>
              <w:jc w:val="center"/>
              <w:rPr>
                <w:i/>
              </w:rPr>
            </w:pPr>
            <w:r w:rsidRPr="0063347C">
              <w:rPr>
                <w:i/>
              </w:rPr>
              <w:t>(202’530</w:t>
            </w:r>
            <w:r>
              <w:rPr>
                <w:i/>
              </w:rPr>
              <w:t>）</w:t>
            </w:r>
          </w:p>
        </w:tc>
        <w:tc>
          <w:tcPr>
            <w:tcW w:w="1421" w:type="dxa"/>
          </w:tcPr>
          <w:p w14:paraId="70418436" w14:textId="77777777" w:rsidR="00B80DA4" w:rsidRPr="0063347C" w:rsidRDefault="00B80DA4" w:rsidP="000E7785">
            <w:pPr>
              <w:pStyle w:val="Tabletext"/>
              <w:jc w:val="center"/>
              <w:rPr>
                <w:i/>
              </w:rPr>
            </w:pPr>
            <w:r w:rsidRPr="0063347C">
              <w:rPr>
                <w:i/>
              </w:rPr>
              <w:t>(52’441</w:t>
            </w:r>
            <w:r>
              <w:rPr>
                <w:i/>
              </w:rPr>
              <w:t>）</w:t>
            </w:r>
          </w:p>
        </w:tc>
        <w:tc>
          <w:tcPr>
            <w:tcW w:w="1559" w:type="dxa"/>
          </w:tcPr>
          <w:p w14:paraId="1C79FB30" w14:textId="77777777" w:rsidR="00B80DA4" w:rsidRPr="0063347C" w:rsidRDefault="00B80DA4" w:rsidP="000E7785">
            <w:pPr>
              <w:pStyle w:val="Tabletext"/>
              <w:jc w:val="center"/>
            </w:pPr>
          </w:p>
        </w:tc>
        <w:tc>
          <w:tcPr>
            <w:tcW w:w="2123" w:type="dxa"/>
          </w:tcPr>
          <w:p w14:paraId="0EA625C0" w14:textId="77777777" w:rsidR="00B80DA4" w:rsidRPr="0063347C" w:rsidRDefault="00B80DA4" w:rsidP="000E7785">
            <w:pPr>
              <w:pStyle w:val="Tabletext"/>
              <w:jc w:val="center"/>
            </w:pPr>
          </w:p>
        </w:tc>
      </w:tr>
      <w:tr w:rsidR="00B80DA4" w:rsidRPr="0063347C" w14:paraId="0547C94E" w14:textId="77777777" w:rsidTr="000E7785">
        <w:trPr>
          <w:jc w:val="center"/>
        </w:trPr>
        <w:tc>
          <w:tcPr>
            <w:tcW w:w="1980" w:type="dxa"/>
          </w:tcPr>
          <w:p w14:paraId="65FA6394" w14:textId="77777777" w:rsidR="00B80DA4" w:rsidRPr="0063347C" w:rsidRDefault="00B80DA4" w:rsidP="000E7785">
            <w:pPr>
              <w:pStyle w:val="Tabletext"/>
              <w:rPr>
                <w:b/>
                <w:lang w:eastAsia="zh-CN"/>
              </w:rPr>
            </w:pPr>
            <w:r>
              <w:rPr>
                <w:rFonts w:hint="eastAsia"/>
                <w:b/>
                <w:lang w:eastAsia="zh-CN"/>
              </w:rPr>
              <w:t>合计</w:t>
            </w:r>
            <w:r w:rsidRPr="00190008">
              <w:rPr>
                <w:rFonts w:hint="eastAsia"/>
                <w:bCs/>
                <w:lang w:eastAsia="zh-CN"/>
              </w:rPr>
              <w:t>（</w:t>
            </w:r>
            <w:r w:rsidRPr="00190008">
              <w:rPr>
                <w:rFonts w:hint="eastAsia"/>
                <w:bCs/>
                <w:lang w:eastAsia="zh-CN"/>
              </w:rPr>
              <w:t>M</w:t>
            </w:r>
            <w:r w:rsidRPr="00190008">
              <w:rPr>
                <w:rFonts w:hint="eastAsia"/>
                <w:bCs/>
                <w:lang w:eastAsia="zh-CN"/>
              </w:rPr>
              <w:t>楼为除去</w:t>
            </w:r>
            <w:r>
              <w:rPr>
                <w:rFonts w:hint="eastAsia"/>
                <w:bCs/>
                <w:lang w:eastAsia="zh-CN"/>
              </w:rPr>
              <w:t>停车场后的调整空间）</w:t>
            </w:r>
          </w:p>
        </w:tc>
        <w:tc>
          <w:tcPr>
            <w:tcW w:w="1839" w:type="dxa"/>
          </w:tcPr>
          <w:p w14:paraId="51CAFF6E" w14:textId="77777777" w:rsidR="00B80DA4" w:rsidRPr="0063347C" w:rsidRDefault="00B80DA4" w:rsidP="000E7785">
            <w:pPr>
              <w:pStyle w:val="Tabletext"/>
              <w:jc w:val="center"/>
              <w:rPr>
                <w:b/>
              </w:rPr>
            </w:pPr>
            <w:r w:rsidRPr="0063347C">
              <w:rPr>
                <w:b/>
              </w:rPr>
              <w:t>183’120</w:t>
            </w:r>
          </w:p>
        </w:tc>
        <w:tc>
          <w:tcPr>
            <w:tcW w:w="1421" w:type="dxa"/>
          </w:tcPr>
          <w:p w14:paraId="73B5F08E" w14:textId="77777777" w:rsidR="00B80DA4" w:rsidRPr="0063347C" w:rsidRDefault="00B80DA4" w:rsidP="000E7785">
            <w:pPr>
              <w:pStyle w:val="Tabletext"/>
              <w:jc w:val="center"/>
              <w:rPr>
                <w:b/>
              </w:rPr>
            </w:pPr>
            <w:r w:rsidRPr="0063347C">
              <w:rPr>
                <w:b/>
              </w:rPr>
              <w:t>47’224</w:t>
            </w:r>
          </w:p>
        </w:tc>
        <w:tc>
          <w:tcPr>
            <w:tcW w:w="1559" w:type="dxa"/>
          </w:tcPr>
          <w:p w14:paraId="25DA705F" w14:textId="77777777" w:rsidR="00B80DA4" w:rsidRPr="0063347C" w:rsidRDefault="00B80DA4" w:rsidP="000E7785">
            <w:pPr>
              <w:pStyle w:val="Tabletext"/>
              <w:jc w:val="center"/>
              <w:rPr>
                <w:b/>
              </w:rPr>
            </w:pPr>
          </w:p>
        </w:tc>
        <w:tc>
          <w:tcPr>
            <w:tcW w:w="2123" w:type="dxa"/>
          </w:tcPr>
          <w:p w14:paraId="4815BEDC" w14:textId="77777777" w:rsidR="00B80DA4" w:rsidRPr="0063347C" w:rsidRDefault="00B80DA4" w:rsidP="000E7785">
            <w:pPr>
              <w:pStyle w:val="Tabletext"/>
              <w:jc w:val="center"/>
              <w:rPr>
                <w:b/>
              </w:rPr>
            </w:pPr>
            <w:r w:rsidRPr="0063347C">
              <w:rPr>
                <w:b/>
              </w:rPr>
              <w:t>100</w:t>
            </w:r>
          </w:p>
        </w:tc>
      </w:tr>
    </w:tbl>
    <w:p w14:paraId="2E025E79" w14:textId="77777777" w:rsidR="00B80DA4" w:rsidRPr="0063347C" w:rsidRDefault="00B80DA4" w:rsidP="00B80DA4">
      <w:pPr>
        <w:rPr>
          <w:lang w:eastAsia="zh-CN"/>
        </w:rPr>
      </w:pPr>
      <w:r>
        <w:rPr>
          <w:lang w:eastAsia="zh-CN"/>
        </w:rPr>
        <w:t>3</w:t>
      </w:r>
      <w:r>
        <w:rPr>
          <w:lang w:val="en-US" w:eastAsia="zh-CN"/>
        </w:rPr>
        <w:t>.2</w:t>
      </w:r>
      <w:r>
        <w:rPr>
          <w:lang w:val="en-US" w:eastAsia="zh-CN"/>
        </w:rPr>
        <w:tab/>
      </w:r>
      <w:r w:rsidRPr="003E7F9B">
        <w:rPr>
          <w:rFonts w:hint="eastAsia"/>
          <w:lang w:eastAsia="zh-CN"/>
        </w:rPr>
        <w:t>办公场所</w:t>
      </w:r>
      <w:r>
        <w:rPr>
          <w:rFonts w:hint="eastAsia"/>
          <w:lang w:eastAsia="zh-CN"/>
        </w:rPr>
        <w:t>包括职员办工场地、会议厅、公共区和支撑职能（如储藏间、车间、咖啡厅）所用空间。各办公楼之间设有安全的室内连接通道，以利于在国际电联安全的围护建筑结构内总部办公空间的全天候灵活使用和分配。如果在国际电联总部办公场地（无论距离如何）之间不存在通道，则意味着需要增加安保支出以及秘书处、代表和访客方面的日常开销。</w:t>
      </w:r>
    </w:p>
    <w:p w14:paraId="2BEF1715" w14:textId="77777777" w:rsidR="00B80DA4" w:rsidRPr="0063347C" w:rsidRDefault="00B80DA4" w:rsidP="00B80DA4">
      <w:pPr>
        <w:rPr>
          <w:lang w:eastAsia="zh-CN"/>
        </w:rPr>
      </w:pPr>
      <w:r>
        <w:rPr>
          <w:lang w:eastAsia="zh-CN"/>
        </w:rPr>
        <w:t>3</w:t>
      </w:r>
      <w:r>
        <w:rPr>
          <w:lang w:val="en-US" w:eastAsia="zh-CN"/>
        </w:rPr>
        <w:t>.3</w:t>
      </w:r>
      <w:r>
        <w:rPr>
          <w:lang w:val="en-US" w:eastAsia="zh-CN"/>
        </w:rPr>
        <w:tab/>
      </w:r>
      <w:r>
        <w:rPr>
          <w:rFonts w:hint="eastAsia"/>
          <w:lang w:eastAsia="zh-CN"/>
        </w:rPr>
        <w:t>各楼位于同一地点并由通道连接起来的优势为：最大限度地实现所有内部和外部利益攸关方的互动；运作成本更低；安保更加容易；空间分配灵活；可以集中利用公共区域和服务；方便职员和来访者的日常活动。</w:t>
      </w:r>
    </w:p>
    <w:p w14:paraId="0E555347" w14:textId="77777777" w:rsidR="00B80DA4" w:rsidRPr="0063347C" w:rsidRDefault="00B80DA4" w:rsidP="00B80DA4">
      <w:pPr>
        <w:rPr>
          <w:lang w:eastAsia="zh-CN"/>
        </w:rPr>
      </w:pPr>
      <w:r>
        <w:rPr>
          <w:lang w:eastAsia="zh-CN"/>
        </w:rPr>
        <w:t>3</w:t>
      </w:r>
      <w:r>
        <w:rPr>
          <w:lang w:val="en-US" w:eastAsia="zh-CN"/>
        </w:rPr>
        <w:t>.4</w:t>
      </w:r>
      <w:r>
        <w:rPr>
          <w:lang w:val="en-US" w:eastAsia="zh-CN"/>
        </w:rPr>
        <w:tab/>
      </w:r>
      <w:r>
        <w:rPr>
          <w:rFonts w:hint="eastAsia"/>
          <w:lang w:val="en-US" w:eastAsia="zh-CN"/>
        </w:rPr>
        <w:t>对</w:t>
      </w:r>
      <w:r>
        <w:rPr>
          <w:rFonts w:hint="eastAsia"/>
          <w:lang w:eastAsia="zh-CN"/>
        </w:rPr>
        <w:t>非近期建造的办公楼谨慎确定的长期翻修费用相当于办公楼火灾保险（即，重建办公楼）额的</w:t>
      </w:r>
      <w:r>
        <w:rPr>
          <w:rFonts w:hint="eastAsia"/>
          <w:lang w:eastAsia="zh-CN"/>
        </w:rPr>
        <w:t>1.5%</w:t>
      </w:r>
      <w:r>
        <w:rPr>
          <w:rFonts w:hint="eastAsia"/>
          <w:lang w:eastAsia="zh-CN"/>
        </w:rPr>
        <w:t>。在这一金额范围内，可通过预防性维修计划维持</w:t>
      </w:r>
      <w:r w:rsidRPr="005777C8">
        <w:rPr>
          <w:rFonts w:hint="eastAsia"/>
          <w:lang w:eastAsia="zh-CN"/>
        </w:rPr>
        <w:t>办公场所</w:t>
      </w:r>
      <w:r>
        <w:rPr>
          <w:rFonts w:hint="eastAsia"/>
          <w:lang w:eastAsia="zh-CN"/>
        </w:rPr>
        <w:t>的完整功能性。由于财务限制，国际电联近年来以及目前提供的翻修和维修资金总额约为火灾保险额的</w:t>
      </w:r>
      <w:r>
        <w:rPr>
          <w:lang w:val="en-US" w:eastAsia="zh-CN"/>
        </w:rPr>
        <w:t>0.5%</w:t>
      </w:r>
      <w:r>
        <w:rPr>
          <w:rFonts w:hint="eastAsia"/>
          <w:lang w:val="en-US" w:eastAsia="zh-CN"/>
        </w:rPr>
        <w:t>，因此</w:t>
      </w:r>
      <w:r w:rsidRPr="005777C8">
        <w:rPr>
          <w:rFonts w:hint="eastAsia"/>
          <w:lang w:val="en-US" w:eastAsia="zh-CN"/>
        </w:rPr>
        <w:t>办公场所</w:t>
      </w:r>
      <w:r>
        <w:rPr>
          <w:rFonts w:hint="eastAsia"/>
          <w:lang w:val="en-US" w:eastAsia="zh-CN"/>
        </w:rPr>
        <w:t>品质下降不可避免。为维持关键性能，至少应考虑</w:t>
      </w:r>
      <w:r>
        <w:rPr>
          <w:rFonts w:hint="eastAsia"/>
          <w:lang w:val="en-US" w:eastAsia="zh-CN"/>
        </w:rPr>
        <w:t>1%</w:t>
      </w:r>
      <w:r>
        <w:rPr>
          <w:rFonts w:hint="eastAsia"/>
          <w:lang w:val="en-US" w:eastAsia="zh-CN"/>
        </w:rPr>
        <w:t>的数额。考虑到国际电联的财务状况，本文件在长期翻修方案之间做比较时使用了</w:t>
      </w:r>
      <w:r>
        <w:rPr>
          <w:rFonts w:hint="eastAsia"/>
          <w:lang w:val="en-US" w:eastAsia="zh-CN"/>
        </w:rPr>
        <w:t>1%</w:t>
      </w:r>
      <w:r>
        <w:rPr>
          <w:rFonts w:hint="eastAsia"/>
          <w:lang w:val="en-US" w:eastAsia="zh-CN"/>
        </w:rPr>
        <w:t>的年度数字。如在短期内建造新楼，则使用最初几年的维护费可大大降低，因为最初会有建筑商的保质期，之后，（从统计角度上看）可更换系统仍可使用一段时间不出问题。</w:t>
      </w:r>
    </w:p>
    <w:p w14:paraId="7A688BAD" w14:textId="77777777" w:rsidR="00B80DA4" w:rsidRPr="0063347C" w:rsidRDefault="00B80DA4" w:rsidP="00B80DA4">
      <w:pPr>
        <w:pStyle w:val="Heading1"/>
        <w:rPr>
          <w:lang w:eastAsia="zh-CN"/>
        </w:rPr>
      </w:pPr>
      <w:r w:rsidRPr="0063347C">
        <w:rPr>
          <w:lang w:eastAsia="zh-CN"/>
        </w:rPr>
        <w:t>4</w:t>
      </w:r>
      <w:r>
        <w:rPr>
          <w:lang w:eastAsia="zh-CN"/>
        </w:rPr>
        <w:tab/>
      </w:r>
      <w:r>
        <w:rPr>
          <w:rFonts w:hint="eastAsia"/>
          <w:lang w:eastAsia="zh-CN"/>
        </w:rPr>
        <w:t>不做决定的风险</w:t>
      </w:r>
    </w:p>
    <w:p w14:paraId="17C37797" w14:textId="77777777" w:rsidR="00B80DA4" w:rsidRPr="0063347C" w:rsidRDefault="00B80DA4" w:rsidP="00B80DA4">
      <w:pPr>
        <w:rPr>
          <w:lang w:eastAsia="zh-CN"/>
        </w:rPr>
      </w:pPr>
      <w:r>
        <w:rPr>
          <w:lang w:eastAsia="zh-CN"/>
        </w:rPr>
        <w:t>4</w:t>
      </w:r>
      <w:r>
        <w:rPr>
          <w:lang w:val="en-US" w:eastAsia="zh-CN"/>
        </w:rPr>
        <w:t>.1</w:t>
      </w:r>
      <w:r>
        <w:rPr>
          <w:lang w:val="en-US" w:eastAsia="zh-CN"/>
        </w:rPr>
        <w:tab/>
      </w:r>
      <w:r>
        <w:rPr>
          <w:rFonts w:hint="eastAsia"/>
          <w:lang w:eastAsia="zh-CN"/>
        </w:rPr>
        <w:t>请</w:t>
      </w:r>
      <w:r w:rsidRPr="0063347C">
        <w:rPr>
          <w:lang w:eastAsia="zh-CN"/>
        </w:rPr>
        <w:t>PP-14</w:t>
      </w:r>
      <w:r>
        <w:rPr>
          <w:rFonts w:hint="eastAsia"/>
          <w:lang w:eastAsia="zh-CN"/>
        </w:rPr>
        <w:t>评估理事会提出的四项方案并就秘书处应采取哪项方案做出决定。</w:t>
      </w:r>
    </w:p>
    <w:p w14:paraId="40CFAC8E" w14:textId="77777777" w:rsidR="00B80DA4" w:rsidRPr="0063347C" w:rsidRDefault="00B80DA4" w:rsidP="00B80DA4">
      <w:pPr>
        <w:rPr>
          <w:lang w:eastAsia="zh-CN"/>
        </w:rPr>
      </w:pPr>
      <w:r>
        <w:rPr>
          <w:lang w:eastAsia="zh-CN"/>
        </w:rPr>
        <w:t>4</w:t>
      </w:r>
      <w:r>
        <w:rPr>
          <w:lang w:val="en-US" w:eastAsia="zh-CN"/>
        </w:rPr>
        <w:t>.2</w:t>
      </w:r>
      <w:r>
        <w:rPr>
          <w:lang w:val="en-US" w:eastAsia="zh-CN"/>
        </w:rPr>
        <w:tab/>
      </w:r>
      <w:r>
        <w:rPr>
          <w:rFonts w:hint="eastAsia"/>
          <w:lang w:eastAsia="zh-CN"/>
        </w:rPr>
        <w:t>如不采取上述第</w:t>
      </w:r>
      <w:r>
        <w:rPr>
          <w:rFonts w:hint="eastAsia"/>
          <w:lang w:eastAsia="zh-CN"/>
        </w:rPr>
        <w:t>1</w:t>
      </w:r>
      <w:r>
        <w:rPr>
          <w:rFonts w:hint="eastAsia"/>
          <w:lang w:eastAsia="zh-CN"/>
        </w:rPr>
        <w:t>段所述四项方案中的任何一种，则总部办公楼的品质将持续降低。秘书处将在可用资源范围内尽力完善</w:t>
      </w:r>
      <w:r w:rsidRPr="005777C8">
        <w:rPr>
          <w:rFonts w:hint="eastAsia"/>
          <w:lang w:eastAsia="zh-CN"/>
        </w:rPr>
        <w:t>办公场所</w:t>
      </w:r>
      <w:r>
        <w:rPr>
          <w:rFonts w:hint="eastAsia"/>
          <w:lang w:eastAsia="zh-CN"/>
        </w:rPr>
        <w:t>。尤其是在已分配的资源内优先进行翻修工作（主要是</w:t>
      </w:r>
      <w:r w:rsidRPr="0063347C">
        <w:rPr>
          <w:lang w:eastAsia="zh-CN"/>
        </w:rPr>
        <w:t>Varembé</w:t>
      </w:r>
      <w:r>
        <w:rPr>
          <w:rFonts w:hint="eastAsia"/>
          <w:lang w:eastAsia="zh-CN"/>
        </w:rPr>
        <w:t>楼），以优先解决安全和保障问题，之后才考虑保持服务、提高效率和使用舒适度。</w:t>
      </w:r>
      <w:r w:rsidRPr="005777C8">
        <w:rPr>
          <w:rFonts w:hint="eastAsia"/>
          <w:lang w:eastAsia="zh-CN"/>
        </w:rPr>
        <w:t>办公场所</w:t>
      </w:r>
      <w:r>
        <w:rPr>
          <w:rFonts w:hint="eastAsia"/>
          <w:lang w:eastAsia="zh-CN"/>
        </w:rPr>
        <w:t>的服务将受到影响，办公楼系统的可靠性和可用性降低，而且还有主要系统失效的风险。</w:t>
      </w:r>
    </w:p>
    <w:p w14:paraId="7A1B8F1C" w14:textId="3009C4A2" w:rsidR="00B80DA4" w:rsidRPr="004831DC" w:rsidRDefault="00B80DA4" w:rsidP="007D5C3C">
      <w:pPr>
        <w:rPr>
          <w:lang w:eastAsia="zh-CN"/>
        </w:rPr>
      </w:pPr>
      <w:r>
        <w:rPr>
          <w:lang w:eastAsia="zh-CN"/>
        </w:rPr>
        <w:lastRenderedPageBreak/>
        <w:t>4</w:t>
      </w:r>
      <w:r w:rsidRPr="004831DC">
        <w:rPr>
          <w:lang w:eastAsia="zh-CN"/>
        </w:rPr>
        <w:t>.3</w:t>
      </w:r>
      <w:r w:rsidRPr="004831DC">
        <w:rPr>
          <w:lang w:eastAsia="zh-CN"/>
        </w:rPr>
        <w:tab/>
      </w:r>
      <w:r w:rsidR="004831DC" w:rsidRPr="004831DC">
        <w:rPr>
          <w:rFonts w:hint="eastAsia"/>
          <w:lang w:eastAsia="zh-CN"/>
        </w:rPr>
        <w:t>如果</w:t>
      </w:r>
      <w:r w:rsidR="004831DC" w:rsidRPr="004831DC">
        <w:rPr>
          <w:rFonts w:hint="eastAsia"/>
          <w:lang w:eastAsia="zh-CN"/>
        </w:rPr>
        <w:t>PP-14</w:t>
      </w:r>
      <w:r w:rsidR="004831DC" w:rsidRPr="004831DC">
        <w:rPr>
          <w:rFonts w:hint="eastAsia"/>
          <w:lang w:eastAsia="zh-CN"/>
        </w:rPr>
        <w:t>支持“重建”</w:t>
      </w:r>
      <w:r w:rsidR="004831DC" w:rsidRPr="004831DC">
        <w:rPr>
          <w:lang w:eastAsia="zh-CN"/>
        </w:rPr>
        <w:t>Varembé</w:t>
      </w:r>
      <w:r w:rsidR="004831DC" w:rsidRPr="004831DC">
        <w:rPr>
          <w:rFonts w:hint="eastAsia"/>
          <w:lang w:eastAsia="zh-CN"/>
        </w:rPr>
        <w:t>楼的方案，则将</w:t>
      </w:r>
      <w:r w:rsidR="00927D68" w:rsidRPr="004831DC">
        <w:rPr>
          <w:rFonts w:hint="eastAsia"/>
          <w:lang w:eastAsia="zh-CN"/>
        </w:rPr>
        <w:t>在大会后</w:t>
      </w:r>
      <w:r w:rsidR="004831DC" w:rsidRPr="004831DC">
        <w:rPr>
          <w:rFonts w:hint="eastAsia"/>
          <w:lang w:eastAsia="zh-CN"/>
        </w:rPr>
        <w:t>向东道国提出资金申请。瑞士当局已表示，可在</w:t>
      </w:r>
      <w:r w:rsidR="004831DC" w:rsidRPr="004831DC">
        <w:rPr>
          <w:rFonts w:hint="eastAsia"/>
          <w:lang w:eastAsia="zh-CN"/>
        </w:rPr>
        <w:t>2015</w:t>
      </w:r>
      <w:r w:rsidR="004831DC" w:rsidRPr="004831DC">
        <w:rPr>
          <w:rFonts w:hint="eastAsia"/>
          <w:lang w:eastAsia="zh-CN"/>
        </w:rPr>
        <w:t>年初向联邦委员会提交资金申请，如得到该委员会和瑞士议会的批准，则可于</w:t>
      </w:r>
      <w:r w:rsidR="004831DC" w:rsidRPr="004831DC">
        <w:rPr>
          <w:rFonts w:hint="eastAsia"/>
          <w:lang w:eastAsia="zh-CN"/>
        </w:rPr>
        <w:t>2015</w:t>
      </w:r>
      <w:r w:rsidR="004831DC" w:rsidRPr="004831DC">
        <w:rPr>
          <w:rFonts w:hint="eastAsia"/>
          <w:lang w:eastAsia="zh-CN"/>
        </w:rPr>
        <w:t>年</w:t>
      </w:r>
      <w:r w:rsidR="004831DC" w:rsidRPr="004831DC">
        <w:rPr>
          <w:rFonts w:hint="eastAsia"/>
          <w:lang w:eastAsia="zh-CN"/>
        </w:rPr>
        <w:t>6</w:t>
      </w:r>
      <w:r w:rsidR="004831DC" w:rsidRPr="004831DC">
        <w:rPr>
          <w:rFonts w:hint="eastAsia"/>
          <w:lang w:eastAsia="zh-CN"/>
        </w:rPr>
        <w:t>月发放</w:t>
      </w:r>
      <w:r w:rsidR="004831DC" w:rsidRPr="004831DC">
        <w:rPr>
          <w:rFonts w:hint="eastAsia"/>
          <w:lang w:eastAsia="zh-CN"/>
        </w:rPr>
        <w:t>10%</w:t>
      </w:r>
      <w:r w:rsidR="004831DC" w:rsidRPr="004831DC">
        <w:rPr>
          <w:rFonts w:hint="eastAsia"/>
          <w:lang w:eastAsia="zh-CN"/>
        </w:rPr>
        <w:t>的项目资金，资助开展详细的筹备研究工作和国际建筑竞标工作。</w:t>
      </w:r>
      <w:r w:rsidR="004831DC" w:rsidRPr="004831DC">
        <w:rPr>
          <w:lang w:eastAsia="zh-CN"/>
        </w:rPr>
        <w:t>按照东道国的做法</w:t>
      </w:r>
      <w:r w:rsidR="004831DC" w:rsidRPr="004831DC">
        <w:rPr>
          <w:rFonts w:hint="eastAsia"/>
          <w:lang w:eastAsia="zh-CN"/>
        </w:rPr>
        <w:t>，建筑贷款和翻修贷款须由瑞士议会批准。在</w:t>
      </w:r>
      <w:r w:rsidR="00C7345F">
        <w:rPr>
          <w:rFonts w:hint="eastAsia"/>
          <w:lang w:eastAsia="zh-CN"/>
        </w:rPr>
        <w:t>详细</w:t>
      </w:r>
      <w:r w:rsidR="004831DC" w:rsidRPr="004831DC">
        <w:rPr>
          <w:rFonts w:hint="eastAsia"/>
          <w:lang w:eastAsia="zh-CN"/>
        </w:rPr>
        <w:t>筹备研究工作的基础上，将向瑞士议会提出有关剩余</w:t>
      </w:r>
      <w:r w:rsidR="00C7345F" w:rsidRPr="004831DC">
        <w:rPr>
          <w:rFonts w:hint="eastAsia"/>
          <w:lang w:eastAsia="zh-CN"/>
        </w:rPr>
        <w:t>9</w:t>
      </w:r>
      <w:r w:rsidR="00C7345F" w:rsidRPr="004831DC">
        <w:rPr>
          <w:lang w:eastAsia="zh-CN"/>
        </w:rPr>
        <w:t>0%</w:t>
      </w:r>
      <w:r w:rsidR="004831DC" w:rsidRPr="004831DC">
        <w:rPr>
          <w:rFonts w:hint="eastAsia"/>
          <w:lang w:eastAsia="zh-CN"/>
        </w:rPr>
        <w:t>的预期建筑贷款或翻修费用的申请，以求批准。瑞士议会的批准进程可能会长达一年。国际电联的计划是，在</w:t>
      </w:r>
      <w:r w:rsidR="004831DC" w:rsidRPr="004831DC">
        <w:rPr>
          <w:lang w:eastAsia="zh-CN"/>
        </w:rPr>
        <w:t>2016</w:t>
      </w:r>
      <w:r w:rsidR="004831DC" w:rsidRPr="004831DC">
        <w:rPr>
          <w:rFonts w:hint="eastAsia"/>
          <w:lang w:eastAsia="zh-CN"/>
        </w:rPr>
        <w:t>年秋季</w:t>
      </w:r>
      <w:r w:rsidR="00C7345F">
        <w:rPr>
          <w:rFonts w:hint="eastAsia"/>
          <w:lang w:eastAsia="zh-CN"/>
        </w:rPr>
        <w:t>提出</w:t>
      </w:r>
      <w:r w:rsidR="004831DC" w:rsidRPr="004831DC">
        <w:rPr>
          <w:rFonts w:hint="eastAsia"/>
          <w:lang w:eastAsia="zh-CN"/>
        </w:rPr>
        <w:t>资金</w:t>
      </w:r>
      <w:r w:rsidR="00C7345F" w:rsidRPr="004831DC">
        <w:rPr>
          <w:rFonts w:hint="eastAsia"/>
          <w:lang w:eastAsia="zh-CN"/>
        </w:rPr>
        <w:t>申请</w:t>
      </w:r>
      <w:r w:rsidR="004831DC" w:rsidRPr="004831DC">
        <w:rPr>
          <w:rFonts w:hint="eastAsia"/>
          <w:lang w:eastAsia="zh-CN"/>
        </w:rPr>
        <w:t>，以期在</w:t>
      </w:r>
      <w:r w:rsidR="004831DC" w:rsidRPr="004831DC">
        <w:rPr>
          <w:lang w:eastAsia="zh-CN"/>
        </w:rPr>
        <w:t>2018</w:t>
      </w:r>
      <w:r w:rsidR="004831DC" w:rsidRPr="004831DC">
        <w:rPr>
          <w:rFonts w:hint="eastAsia"/>
          <w:lang w:eastAsia="zh-CN"/>
        </w:rPr>
        <w:t>年年初开始资助建筑和翻修工程。</w:t>
      </w:r>
    </w:p>
    <w:p w14:paraId="0E4E28F9" w14:textId="77777777" w:rsidR="00B80DA4" w:rsidRPr="005D04E8" w:rsidRDefault="00B80DA4" w:rsidP="00B80DA4">
      <w:pPr>
        <w:pStyle w:val="Heading1"/>
        <w:rPr>
          <w:lang w:eastAsia="zh-CN"/>
        </w:rPr>
      </w:pPr>
      <w:r w:rsidRPr="005D04E8">
        <w:rPr>
          <w:lang w:eastAsia="zh-CN"/>
        </w:rPr>
        <w:t>5</w:t>
      </w:r>
      <w:r w:rsidRPr="005D04E8">
        <w:rPr>
          <w:lang w:eastAsia="zh-CN"/>
        </w:rPr>
        <w:tab/>
      </w:r>
      <w:r w:rsidRPr="005D04E8">
        <w:rPr>
          <w:rFonts w:hint="eastAsia"/>
          <w:lang w:eastAsia="zh-CN"/>
        </w:rPr>
        <w:t>方案</w:t>
      </w:r>
      <w:r w:rsidRPr="005D04E8">
        <w:rPr>
          <w:lang w:eastAsia="zh-CN"/>
        </w:rPr>
        <w:t>1</w:t>
      </w:r>
      <w:r w:rsidRPr="005D04E8">
        <w:rPr>
          <w:rFonts w:hint="eastAsia"/>
          <w:lang w:eastAsia="zh-CN"/>
        </w:rPr>
        <w:t>：</w:t>
      </w:r>
      <w:r>
        <w:rPr>
          <w:rFonts w:hint="eastAsia"/>
          <w:lang w:eastAsia="zh-CN"/>
        </w:rPr>
        <w:t>重建</w:t>
      </w:r>
      <w:r w:rsidRPr="005D04E8">
        <w:rPr>
          <w:lang w:eastAsia="zh-CN"/>
        </w:rPr>
        <w:t>Varembé</w:t>
      </w:r>
      <w:r w:rsidRPr="005D04E8">
        <w:rPr>
          <w:rFonts w:hint="eastAsia"/>
          <w:lang w:eastAsia="zh-CN"/>
        </w:rPr>
        <w:t>办公楼，同时翻修总部其它办公楼</w:t>
      </w:r>
    </w:p>
    <w:p w14:paraId="67869F69" w14:textId="77777777" w:rsidR="00B80DA4" w:rsidRPr="0063347C" w:rsidRDefault="00B80DA4" w:rsidP="00B80DA4">
      <w:pPr>
        <w:rPr>
          <w:lang w:eastAsia="zh-CN"/>
        </w:rPr>
      </w:pPr>
      <w:r>
        <w:rPr>
          <w:lang w:eastAsia="zh-CN"/>
        </w:rPr>
        <w:t>5</w:t>
      </w:r>
      <w:r>
        <w:rPr>
          <w:lang w:val="en-US" w:eastAsia="zh-CN"/>
        </w:rPr>
        <w:t>.1</w:t>
      </w:r>
      <w:r>
        <w:rPr>
          <w:lang w:val="en-US" w:eastAsia="zh-CN"/>
        </w:rPr>
        <w:tab/>
      </w:r>
      <w:r>
        <w:rPr>
          <w:rFonts w:hint="eastAsia"/>
          <w:lang w:val="en-US" w:eastAsia="zh-CN"/>
        </w:rPr>
        <w:t>此</w:t>
      </w:r>
      <w:r>
        <w:rPr>
          <w:rFonts w:hint="eastAsia"/>
          <w:lang w:eastAsia="zh-CN"/>
        </w:rPr>
        <w:t>方案涉及国际电联秘书处与东道国一道进行的有关重建</w:t>
      </w:r>
      <w:r>
        <w:rPr>
          <w:lang w:eastAsia="zh-CN"/>
        </w:rPr>
        <w:t>Varembé</w:t>
      </w:r>
      <w:r>
        <w:rPr>
          <w:rFonts w:hint="eastAsia"/>
          <w:lang w:eastAsia="zh-CN"/>
        </w:rPr>
        <w:t>办公楼的项目研究。此外，必要时，在此方案估算费用中还包含了新楼以及塔楼和</w:t>
      </w:r>
      <w:r w:rsidRPr="0063347C">
        <w:rPr>
          <w:lang w:eastAsia="zh-CN"/>
        </w:rPr>
        <w:t>Montbrillant</w:t>
      </w:r>
      <w:r>
        <w:rPr>
          <w:rFonts w:hint="eastAsia"/>
          <w:lang w:eastAsia="zh-CN"/>
        </w:rPr>
        <w:t>办公楼的翻修需求。</w:t>
      </w:r>
    </w:p>
    <w:p w14:paraId="329E7FDF" w14:textId="407BE4CA" w:rsidR="00B80DA4" w:rsidRPr="0063347C" w:rsidRDefault="00B80DA4" w:rsidP="00B80DA4">
      <w:pPr>
        <w:rPr>
          <w:lang w:eastAsia="zh-CN"/>
        </w:rPr>
      </w:pPr>
      <w:r>
        <w:rPr>
          <w:lang w:eastAsia="zh-CN"/>
        </w:rPr>
        <w:t>5</w:t>
      </w:r>
      <w:r>
        <w:rPr>
          <w:lang w:val="en-US" w:eastAsia="zh-CN"/>
        </w:rPr>
        <w:t>.2</w:t>
      </w:r>
      <w:r>
        <w:rPr>
          <w:lang w:val="en-US" w:eastAsia="zh-CN"/>
        </w:rPr>
        <w:tab/>
      </w:r>
      <w:r>
        <w:rPr>
          <w:rFonts w:hint="eastAsia"/>
          <w:lang w:val="en-AU" w:eastAsia="zh-CN"/>
        </w:rPr>
        <w:t>秘书处正在与东道国代表团、外交部以及相关联邦机构和州机构密切协作，探讨根据国际电联不断壮大</w:t>
      </w:r>
      <w:r w:rsidRPr="00866971">
        <w:rPr>
          <w:rFonts w:hint="eastAsia"/>
          <w:lang w:eastAsia="zh-CN"/>
        </w:rPr>
        <w:t>以及</w:t>
      </w:r>
      <w:r>
        <w:rPr>
          <w:rFonts w:hint="eastAsia"/>
          <w:lang w:val="en-AU" w:eastAsia="zh-CN"/>
        </w:rPr>
        <w:t>会议空间的需求提供总部办公空间的各种方案。</w:t>
      </w:r>
      <w:r>
        <w:rPr>
          <w:rFonts w:hint="eastAsia"/>
          <w:lang w:val="en-AU" w:eastAsia="zh-CN"/>
        </w:rPr>
        <w:t>2012</w:t>
      </w:r>
      <w:r>
        <w:rPr>
          <w:rFonts w:hint="eastAsia"/>
          <w:lang w:val="en-AU" w:eastAsia="zh-CN"/>
        </w:rPr>
        <w:t>年，</w:t>
      </w:r>
      <w:r w:rsidRPr="006B7880">
        <w:rPr>
          <w:rFonts w:hint="eastAsia"/>
          <w:lang w:eastAsia="zh-CN"/>
        </w:rPr>
        <w:t>瑞士联邦</w:t>
      </w:r>
      <w:r>
        <w:rPr>
          <w:rFonts w:hint="eastAsia"/>
          <w:lang w:val="en-AU" w:eastAsia="zh-CN"/>
        </w:rPr>
        <w:t>在此领域的专业机构国际组织不动产基金会（</w:t>
      </w:r>
      <w:r>
        <w:rPr>
          <w:rFonts w:hint="eastAsia"/>
          <w:lang w:val="en-AU" w:eastAsia="zh-CN"/>
        </w:rPr>
        <w:t>FIPOI</w:t>
      </w:r>
      <w:r>
        <w:rPr>
          <w:rFonts w:hint="eastAsia"/>
          <w:lang w:val="en-AU" w:eastAsia="zh-CN"/>
        </w:rPr>
        <w:t>）围绕</w:t>
      </w:r>
      <w:r>
        <w:rPr>
          <w:rFonts w:hint="eastAsia"/>
          <w:lang w:eastAsia="zh-CN"/>
        </w:rPr>
        <w:t>完善</w:t>
      </w:r>
      <w:r w:rsidRPr="00DF66CB">
        <w:rPr>
          <w:lang w:eastAsia="zh-CN"/>
        </w:rPr>
        <w:t>Varembé</w:t>
      </w:r>
      <w:r>
        <w:rPr>
          <w:rFonts w:hint="eastAsia"/>
          <w:lang w:eastAsia="zh-CN"/>
        </w:rPr>
        <w:t>楼状况的管理工作和方案开展了一次</w:t>
      </w:r>
      <w:r w:rsidR="00753029">
        <w:rPr>
          <w:rFonts w:hint="eastAsia"/>
          <w:lang w:eastAsia="zh-CN"/>
        </w:rPr>
        <w:t>初步</w:t>
      </w:r>
      <w:r>
        <w:rPr>
          <w:rFonts w:hint="eastAsia"/>
          <w:lang w:eastAsia="zh-CN"/>
        </w:rPr>
        <w:t>技术调查并得出结论，拆除并重建（而非翻修）办公楼是一项合乎逻辑的选择。</w:t>
      </w:r>
    </w:p>
    <w:p w14:paraId="059C6A1A" w14:textId="77777777" w:rsidR="00B80DA4" w:rsidRPr="0063347C" w:rsidRDefault="00B80DA4" w:rsidP="00B80DA4">
      <w:pPr>
        <w:rPr>
          <w:lang w:eastAsia="zh-CN"/>
        </w:rPr>
      </w:pPr>
      <w:r>
        <w:rPr>
          <w:lang w:eastAsia="zh-CN"/>
        </w:rPr>
        <w:t>5</w:t>
      </w:r>
      <w:r>
        <w:rPr>
          <w:lang w:val="en-US" w:eastAsia="zh-CN"/>
        </w:rPr>
        <w:t>.3</w:t>
      </w:r>
      <w:r>
        <w:rPr>
          <w:lang w:val="en-US" w:eastAsia="zh-CN"/>
        </w:rPr>
        <w:tab/>
      </w:r>
      <w:r>
        <w:rPr>
          <w:rFonts w:hint="eastAsia"/>
          <w:lang w:eastAsia="zh-CN"/>
        </w:rPr>
        <w:t>该项目的总体目标是以一项成本高效的解决方案取代一项关键的过时资产（</w:t>
      </w:r>
      <w:r>
        <w:rPr>
          <w:lang w:eastAsia="zh-CN"/>
        </w:rPr>
        <w:t>Varembé</w:t>
      </w:r>
      <w:r>
        <w:rPr>
          <w:rFonts w:hint="eastAsia"/>
          <w:lang w:eastAsia="zh-CN"/>
        </w:rPr>
        <w:t>办公楼），有利于国际电联在</w:t>
      </w:r>
      <w:r>
        <w:rPr>
          <w:rFonts w:hint="eastAsia"/>
          <w:lang w:eastAsia="zh-CN"/>
        </w:rPr>
        <w:t>21</w:t>
      </w:r>
      <w:r>
        <w:rPr>
          <w:rFonts w:hint="eastAsia"/>
          <w:lang w:eastAsia="zh-CN"/>
        </w:rPr>
        <w:t>世纪剩余时间内灵活发展，并将风险保持在可接受的水平。随着项目的推进，风险将更加明确和减少：例如，费用范围会缩小，法律和技术风险将得到规避。本文件所提供信息为最新信息。</w:t>
      </w:r>
    </w:p>
    <w:p w14:paraId="5C9F23FC" w14:textId="77777777" w:rsidR="00B80DA4" w:rsidRPr="005D04E8" w:rsidRDefault="00B80DA4" w:rsidP="00B80DA4">
      <w:pPr>
        <w:pStyle w:val="Heading2"/>
        <w:rPr>
          <w:lang w:eastAsia="zh-CN"/>
        </w:rPr>
      </w:pPr>
      <w:r w:rsidRPr="005D04E8">
        <w:rPr>
          <w:lang w:eastAsia="zh-CN"/>
        </w:rPr>
        <w:t>A</w:t>
      </w:r>
      <w:r w:rsidRPr="005D04E8">
        <w:rPr>
          <w:lang w:eastAsia="zh-CN"/>
        </w:rPr>
        <w:tab/>
        <w:t>Varembé II</w:t>
      </w:r>
      <w:r w:rsidRPr="005D04E8">
        <w:rPr>
          <w:rFonts w:hint="eastAsia"/>
          <w:lang w:eastAsia="zh-CN"/>
        </w:rPr>
        <w:t>项目</w:t>
      </w:r>
    </w:p>
    <w:p w14:paraId="603471C2" w14:textId="77777777" w:rsidR="00B80DA4" w:rsidRPr="0063347C" w:rsidRDefault="00B80DA4" w:rsidP="00B34094">
      <w:pPr>
        <w:rPr>
          <w:lang w:eastAsia="zh-CN"/>
        </w:rPr>
      </w:pPr>
      <w:r>
        <w:rPr>
          <w:lang w:eastAsia="zh-CN"/>
        </w:rPr>
        <w:t>5</w:t>
      </w:r>
      <w:r>
        <w:rPr>
          <w:lang w:val="en-US" w:eastAsia="zh-CN"/>
        </w:rPr>
        <w:t>.4</w:t>
      </w:r>
      <w:r>
        <w:rPr>
          <w:lang w:val="en-US" w:eastAsia="zh-CN"/>
        </w:rPr>
        <w:tab/>
      </w:r>
      <w:r>
        <w:rPr>
          <w:rFonts w:hint="eastAsia"/>
          <w:lang w:val="en-US" w:eastAsia="zh-CN"/>
        </w:rPr>
        <w:t>此项目将在秘书处管理下、与东道国密切协作，按照当地建筑项目的专业做法进行。目前，当地一家建筑设计所正在对初步项目进行技术研究，将于</w:t>
      </w:r>
      <w:r>
        <w:rPr>
          <w:rFonts w:hint="eastAsia"/>
          <w:lang w:val="en-US" w:eastAsia="zh-CN"/>
        </w:rPr>
        <w:t>2014</w:t>
      </w:r>
      <w:r>
        <w:rPr>
          <w:rFonts w:hint="eastAsia"/>
          <w:lang w:val="en-US" w:eastAsia="zh-CN"/>
        </w:rPr>
        <w:t>年</w:t>
      </w:r>
      <w:r>
        <w:rPr>
          <w:rFonts w:hint="eastAsia"/>
          <w:lang w:val="en-US" w:eastAsia="zh-CN"/>
        </w:rPr>
        <w:t>10</w:t>
      </w:r>
      <w:r>
        <w:rPr>
          <w:rFonts w:hint="eastAsia"/>
          <w:lang w:val="en-US" w:eastAsia="zh-CN"/>
        </w:rPr>
        <w:t>月提出报告。该研究的成果将包括总体项目费用估算（预计在</w:t>
      </w:r>
      <w:r>
        <w:rPr>
          <w:lang w:eastAsia="zh-CN"/>
        </w:rPr>
        <w:t>± 15%</w:t>
      </w:r>
      <w:r>
        <w:rPr>
          <w:rFonts w:hint="eastAsia"/>
          <w:lang w:eastAsia="zh-CN"/>
        </w:rPr>
        <w:t>范围内），可行性确认（法律、地理技术）和新办公楼的具体选址（同时考虑</w:t>
      </w:r>
      <w:r>
        <w:rPr>
          <w:lang w:eastAsia="zh-CN"/>
        </w:rPr>
        <w:t>Varembé</w:t>
      </w:r>
      <w:r>
        <w:rPr>
          <w:rFonts w:hint="eastAsia"/>
          <w:lang w:eastAsia="zh-CN"/>
        </w:rPr>
        <w:t>办公楼现有工作人员临时安置期方面的影响）。</w:t>
      </w:r>
    </w:p>
    <w:p w14:paraId="56FCF8F1" w14:textId="77777777" w:rsidR="00B80DA4" w:rsidRPr="0063347C" w:rsidRDefault="00B80DA4" w:rsidP="00B34094">
      <w:pPr>
        <w:rPr>
          <w:lang w:eastAsia="zh-CN"/>
        </w:rPr>
      </w:pPr>
      <w:r>
        <w:rPr>
          <w:lang w:eastAsia="zh-CN"/>
        </w:rPr>
        <w:t>5</w:t>
      </w:r>
      <w:r>
        <w:rPr>
          <w:lang w:val="en-US" w:eastAsia="zh-CN"/>
        </w:rPr>
        <w:t>.5</w:t>
      </w:r>
      <w:r>
        <w:rPr>
          <w:lang w:val="en-US" w:eastAsia="zh-CN"/>
        </w:rPr>
        <w:tab/>
      </w:r>
      <w:r>
        <w:rPr>
          <w:rFonts w:hint="eastAsia"/>
          <w:lang w:val="en-US" w:eastAsia="zh-CN"/>
        </w:rPr>
        <w:t>目前的设想是建造一座在可持续性、公用设施使用效率、可维护性、办公人员环境和无障碍通行方面均符合高标准的办公楼。将通过国际建筑设计竞标选出最终的办公楼设计方案。</w:t>
      </w:r>
    </w:p>
    <w:p w14:paraId="41E70ABF" w14:textId="77777777" w:rsidR="00B80DA4" w:rsidRDefault="00B80DA4" w:rsidP="00B34094">
      <w:pPr>
        <w:rPr>
          <w:lang w:eastAsia="zh-CN"/>
        </w:rPr>
      </w:pPr>
      <w:r>
        <w:rPr>
          <w:lang w:eastAsia="zh-CN"/>
        </w:rPr>
        <w:t>5</w:t>
      </w:r>
      <w:r>
        <w:rPr>
          <w:lang w:val="en-US" w:eastAsia="zh-CN"/>
        </w:rPr>
        <w:t>.6</w:t>
      </w:r>
      <w:r>
        <w:rPr>
          <w:lang w:val="en-US" w:eastAsia="zh-CN"/>
        </w:rPr>
        <w:tab/>
      </w:r>
      <w:r>
        <w:rPr>
          <w:rFonts w:hint="eastAsia"/>
          <w:lang w:val="en-US" w:eastAsia="zh-CN"/>
        </w:rPr>
        <w:t>目前设想的办公楼容积将比</w:t>
      </w:r>
      <w:r>
        <w:rPr>
          <w:lang w:eastAsia="zh-CN"/>
        </w:rPr>
        <w:t>Varembé</w:t>
      </w:r>
      <w:r>
        <w:rPr>
          <w:rFonts w:hint="eastAsia"/>
          <w:lang w:eastAsia="zh-CN"/>
        </w:rPr>
        <w:t>办公楼高出</w:t>
      </w:r>
      <w:r>
        <w:rPr>
          <w:rFonts w:hint="eastAsia"/>
          <w:lang w:eastAsia="zh-CN"/>
        </w:rPr>
        <w:t>30%</w:t>
      </w:r>
      <w:r>
        <w:rPr>
          <w:rFonts w:hint="eastAsia"/>
          <w:lang w:eastAsia="zh-CN"/>
        </w:rPr>
        <w:t>，这意味着总体办公场地的建筑容积将增加</w:t>
      </w:r>
      <w:r>
        <w:rPr>
          <w:rFonts w:hint="eastAsia"/>
          <w:lang w:eastAsia="zh-CN"/>
        </w:rPr>
        <w:t>8%</w:t>
      </w:r>
      <w:r>
        <w:rPr>
          <w:rFonts w:hint="eastAsia"/>
          <w:lang w:eastAsia="zh-CN"/>
        </w:rPr>
        <w:t>，从而和谐实现与塔楼和</w:t>
      </w:r>
      <w:r w:rsidRPr="0063347C">
        <w:rPr>
          <w:lang w:eastAsia="zh-CN"/>
        </w:rPr>
        <w:t>Montbrillant</w:t>
      </w:r>
      <w:r>
        <w:rPr>
          <w:rFonts w:hint="eastAsia"/>
          <w:lang w:eastAsia="zh-CN"/>
        </w:rPr>
        <w:t>办公楼的物理连通。</w:t>
      </w:r>
      <w:r>
        <w:rPr>
          <w:rFonts w:hint="eastAsia"/>
          <w:lang w:eastAsia="zh-CN"/>
        </w:rPr>
        <w:t>C13/INF/18</w:t>
      </w:r>
      <w:r>
        <w:rPr>
          <w:rFonts w:hint="eastAsia"/>
          <w:lang w:eastAsia="zh-CN"/>
        </w:rPr>
        <w:t>号文件提供了所增加容积的细分情况。</w:t>
      </w:r>
    </w:p>
    <w:p w14:paraId="57940904" w14:textId="77777777" w:rsidR="00B80DA4" w:rsidRPr="0063347C" w:rsidRDefault="00B80DA4" w:rsidP="00B34094">
      <w:pPr>
        <w:rPr>
          <w:lang w:eastAsia="zh-CN"/>
        </w:rPr>
      </w:pPr>
      <w:r>
        <w:rPr>
          <w:lang w:eastAsia="zh-CN"/>
        </w:rPr>
        <w:t>5</w:t>
      </w:r>
      <w:r>
        <w:rPr>
          <w:lang w:val="en-US" w:eastAsia="zh-CN"/>
        </w:rPr>
        <w:t>.7</w:t>
      </w:r>
      <w:r>
        <w:rPr>
          <w:lang w:val="en-US" w:eastAsia="zh-CN"/>
        </w:rPr>
        <w:tab/>
      </w:r>
      <w:r>
        <w:rPr>
          <w:rFonts w:hint="eastAsia"/>
          <w:lang w:val="en-US" w:eastAsia="zh-CN"/>
        </w:rPr>
        <w:t>该新楼将扩展会议室空间，额外增加约</w:t>
      </w:r>
      <w:r>
        <w:rPr>
          <w:rFonts w:hint="eastAsia"/>
          <w:lang w:val="en-US" w:eastAsia="zh-CN"/>
        </w:rPr>
        <w:t>400</w:t>
      </w:r>
      <w:r>
        <w:rPr>
          <w:rFonts w:hint="eastAsia"/>
          <w:lang w:val="en-US" w:eastAsia="zh-CN"/>
        </w:rPr>
        <w:t>个代表坐席，使总部地点提供的代表坐席总数增加</w:t>
      </w:r>
      <w:r>
        <w:rPr>
          <w:rFonts w:hint="eastAsia"/>
          <w:lang w:val="en-US" w:eastAsia="zh-CN"/>
        </w:rPr>
        <w:t>30%</w:t>
      </w:r>
      <w:r>
        <w:rPr>
          <w:rFonts w:hint="eastAsia"/>
          <w:lang w:val="en-US" w:eastAsia="zh-CN"/>
        </w:rPr>
        <w:t>以上，从而解决国际电联总部现有地点会议空间有限的问题。</w:t>
      </w:r>
    </w:p>
    <w:p w14:paraId="652AD12B" w14:textId="3130EFA6" w:rsidR="00B80DA4" w:rsidRPr="0063347C" w:rsidRDefault="00B80DA4">
      <w:pPr>
        <w:rPr>
          <w:lang w:eastAsia="zh-CN"/>
        </w:rPr>
      </w:pPr>
      <w:r>
        <w:rPr>
          <w:lang w:eastAsia="zh-CN"/>
        </w:rPr>
        <w:t>5</w:t>
      </w:r>
      <w:r>
        <w:rPr>
          <w:lang w:val="en-US" w:eastAsia="zh-CN"/>
        </w:rPr>
        <w:t>.8</w:t>
      </w:r>
      <w:r>
        <w:rPr>
          <w:lang w:val="en-US" w:eastAsia="zh-CN"/>
        </w:rPr>
        <w:tab/>
      </w:r>
      <w:r w:rsidR="00701ECB">
        <w:rPr>
          <w:rFonts w:hint="eastAsia"/>
          <w:lang w:val="en-US" w:eastAsia="zh-CN"/>
        </w:rPr>
        <w:t>目前</w:t>
      </w:r>
      <w:r w:rsidR="005148C5">
        <w:rPr>
          <w:rFonts w:hint="eastAsia"/>
          <w:lang w:val="en-US" w:eastAsia="zh-CN"/>
        </w:rPr>
        <w:t>国际电联</w:t>
      </w:r>
      <w:r w:rsidR="005148C5">
        <w:rPr>
          <w:rStyle w:val="CommentReference"/>
          <w:rFonts w:ascii="Times New Roman" w:hAnsi="Times New Roman"/>
        </w:rPr>
        <w:commentReference w:id="12"/>
      </w:r>
      <w:r w:rsidR="005148C5">
        <w:rPr>
          <w:rFonts w:hint="eastAsia"/>
          <w:lang w:val="en-US" w:eastAsia="zh-CN"/>
        </w:rPr>
        <w:t>对</w:t>
      </w:r>
      <w:r w:rsidR="00701ECB">
        <w:rPr>
          <w:rFonts w:hint="eastAsia"/>
          <w:lang w:val="en-US" w:eastAsia="zh-CN"/>
        </w:rPr>
        <w:t>该项目的总体费用估算为</w:t>
      </w:r>
      <w:r w:rsidR="00701ECB">
        <w:rPr>
          <w:rFonts w:hint="eastAsia"/>
          <w:lang w:val="en-US" w:eastAsia="zh-CN"/>
        </w:rPr>
        <w:t>1</w:t>
      </w:r>
      <w:r w:rsidR="00701ECB">
        <w:rPr>
          <w:lang w:val="en-US" w:eastAsia="zh-CN"/>
        </w:rPr>
        <w:t>.5</w:t>
      </w:r>
      <w:r w:rsidR="00701ECB">
        <w:rPr>
          <w:rFonts w:hint="eastAsia"/>
          <w:lang w:val="en-US" w:eastAsia="zh-CN"/>
        </w:rPr>
        <w:t>亿瑞郎，全部由东道国的</w:t>
      </w:r>
      <w:r w:rsidR="00701ECB">
        <w:rPr>
          <w:rFonts w:hint="eastAsia"/>
          <w:lang w:val="en-US" w:eastAsia="zh-CN"/>
        </w:rPr>
        <w:t>1</w:t>
      </w:r>
      <w:r w:rsidR="00701ECB">
        <w:rPr>
          <w:lang w:val="en-US" w:eastAsia="zh-CN"/>
        </w:rPr>
        <w:t>.5</w:t>
      </w:r>
      <w:r w:rsidR="00701ECB">
        <w:rPr>
          <w:rFonts w:hint="eastAsia"/>
          <w:lang w:val="en-US" w:eastAsia="zh-CN"/>
        </w:rPr>
        <w:t>亿瑞郎</w:t>
      </w:r>
      <w:r w:rsidR="005148C5">
        <w:rPr>
          <w:rFonts w:hint="eastAsia"/>
          <w:lang w:val="en-US" w:eastAsia="zh-CN"/>
        </w:rPr>
        <w:t>建筑</w:t>
      </w:r>
      <w:r w:rsidR="00701ECB">
        <w:rPr>
          <w:rFonts w:hint="eastAsia"/>
          <w:lang w:val="en-US" w:eastAsia="zh-CN"/>
        </w:rPr>
        <w:t>贷款出资，该贷款为每年还款的</w:t>
      </w:r>
      <w:r w:rsidR="00701ECB">
        <w:rPr>
          <w:rFonts w:hint="eastAsia"/>
          <w:lang w:val="en-US" w:eastAsia="zh-CN"/>
        </w:rPr>
        <w:t>50</w:t>
      </w:r>
      <w:r w:rsidR="00701ECB">
        <w:rPr>
          <w:rFonts w:hint="eastAsia"/>
          <w:lang w:val="en-US" w:eastAsia="zh-CN"/>
        </w:rPr>
        <w:t>年无息贷款，首次还款时间为</w:t>
      </w:r>
      <w:r w:rsidR="005148C5">
        <w:rPr>
          <w:rFonts w:hint="eastAsia"/>
          <w:lang w:val="en-US" w:eastAsia="zh-CN"/>
        </w:rPr>
        <w:t>建筑施工完成年的</w:t>
      </w:r>
      <w:r w:rsidR="00701ECB">
        <w:rPr>
          <w:rFonts w:hint="eastAsia"/>
          <w:lang w:val="en-US" w:eastAsia="zh-CN"/>
        </w:rPr>
        <w:t>年底。根据这种时间安排，</w:t>
      </w:r>
      <w:r w:rsidR="00701ECB">
        <w:rPr>
          <w:rFonts w:hint="eastAsia"/>
          <w:lang w:val="en-US" w:eastAsia="zh-CN"/>
        </w:rPr>
        <w:t>2016-2019</w:t>
      </w:r>
      <w:r w:rsidR="00701ECB">
        <w:rPr>
          <w:rFonts w:hint="eastAsia"/>
          <w:lang w:val="en-US" w:eastAsia="zh-CN"/>
        </w:rPr>
        <w:t>财务规划期内将没有额外支出，因为贷款偿还将自</w:t>
      </w:r>
      <w:r w:rsidR="00701ECB">
        <w:rPr>
          <w:rFonts w:hint="eastAsia"/>
          <w:lang w:val="en-US" w:eastAsia="zh-CN"/>
        </w:rPr>
        <w:t>2021</w:t>
      </w:r>
      <w:r w:rsidR="00701ECB">
        <w:rPr>
          <w:rFonts w:hint="eastAsia"/>
          <w:lang w:val="en-US" w:eastAsia="zh-CN"/>
        </w:rPr>
        <w:t>年开始。</w:t>
      </w:r>
    </w:p>
    <w:p w14:paraId="36A73BFC" w14:textId="77777777" w:rsidR="00B80DA4" w:rsidRPr="0063347C" w:rsidRDefault="00B80DA4" w:rsidP="00B34094">
      <w:pPr>
        <w:rPr>
          <w:lang w:eastAsia="zh-CN"/>
        </w:rPr>
      </w:pPr>
      <w:r>
        <w:rPr>
          <w:lang w:eastAsia="zh-CN"/>
        </w:rPr>
        <w:lastRenderedPageBreak/>
        <w:t>5</w:t>
      </w:r>
      <w:r>
        <w:rPr>
          <w:lang w:val="en-US" w:eastAsia="zh-CN"/>
        </w:rPr>
        <w:t>.9</w:t>
      </w:r>
      <w:r>
        <w:rPr>
          <w:lang w:val="en-US" w:eastAsia="zh-CN"/>
        </w:rPr>
        <w:tab/>
      </w:r>
      <w:r>
        <w:rPr>
          <w:rFonts w:hint="eastAsia"/>
          <w:lang w:val="en-US" w:eastAsia="zh-CN"/>
        </w:rPr>
        <w:t>资金将随该项目不同阶段工作的推进逐渐向国际电联发放，并按照国际公共部门会计准则（</w:t>
      </w:r>
      <w:r>
        <w:rPr>
          <w:rFonts w:hint="eastAsia"/>
          <w:lang w:val="en-US" w:eastAsia="zh-CN"/>
        </w:rPr>
        <w:t>IPSAS</w:t>
      </w:r>
      <w:r>
        <w:rPr>
          <w:rFonts w:hint="eastAsia"/>
          <w:lang w:val="en-US" w:eastAsia="zh-CN"/>
        </w:rPr>
        <w:t>），而且建设费用将在所涉物品和服务交付之际资本化。新办公楼的折旧将在新办公楼启用（如</w:t>
      </w:r>
      <w:r>
        <w:rPr>
          <w:rFonts w:hint="eastAsia"/>
          <w:lang w:val="en-US" w:eastAsia="zh-CN"/>
        </w:rPr>
        <w:t>PP-14</w:t>
      </w:r>
      <w:r>
        <w:rPr>
          <w:rFonts w:hint="eastAsia"/>
          <w:lang w:val="en-US" w:eastAsia="zh-CN"/>
        </w:rPr>
        <w:t>决定采用此方案，预计将为</w:t>
      </w:r>
      <w:r>
        <w:rPr>
          <w:rFonts w:hint="eastAsia"/>
          <w:lang w:val="en-US" w:eastAsia="zh-CN"/>
        </w:rPr>
        <w:t>20</w:t>
      </w:r>
      <w:r>
        <w:rPr>
          <w:lang w:val="en-US" w:eastAsia="zh-CN"/>
        </w:rPr>
        <w:t>21</w:t>
      </w:r>
      <w:r>
        <w:rPr>
          <w:rFonts w:hint="eastAsia"/>
          <w:lang w:val="en-US" w:eastAsia="zh-CN"/>
        </w:rPr>
        <w:t>年）后开始。</w:t>
      </w:r>
    </w:p>
    <w:p w14:paraId="48B4F276" w14:textId="77777777" w:rsidR="00B80DA4" w:rsidRPr="0063347C" w:rsidRDefault="00B80DA4" w:rsidP="00B34094">
      <w:pPr>
        <w:rPr>
          <w:lang w:eastAsia="zh-CN"/>
        </w:rPr>
      </w:pPr>
      <w:r>
        <w:rPr>
          <w:lang w:eastAsia="zh-CN"/>
        </w:rPr>
        <w:t>5</w:t>
      </w:r>
      <w:r>
        <w:rPr>
          <w:lang w:val="en-US" w:eastAsia="zh-CN"/>
        </w:rPr>
        <w:t>.10</w:t>
      </w:r>
      <w:r>
        <w:rPr>
          <w:lang w:val="en-US" w:eastAsia="zh-CN"/>
        </w:rPr>
        <w:tab/>
      </w:r>
      <w:r>
        <w:rPr>
          <w:rFonts w:hint="eastAsia"/>
          <w:lang w:val="en-US" w:eastAsia="zh-CN"/>
        </w:rPr>
        <w:t>这意味着，因收到了资金和费用的资本化，国际电联财务状况表的资产会受到影响，而且因确认东道国的债务，国际电联的负债也将受到影响。</w:t>
      </w:r>
    </w:p>
    <w:p w14:paraId="60C67062" w14:textId="77777777" w:rsidR="00B80DA4" w:rsidRPr="0063347C" w:rsidRDefault="00B80DA4" w:rsidP="00B34094">
      <w:pPr>
        <w:rPr>
          <w:lang w:eastAsia="zh-CN"/>
        </w:rPr>
      </w:pPr>
      <w:r>
        <w:rPr>
          <w:lang w:eastAsia="zh-CN"/>
        </w:rPr>
        <w:t>5</w:t>
      </w:r>
      <w:r>
        <w:rPr>
          <w:lang w:val="en-US" w:eastAsia="zh-CN"/>
        </w:rPr>
        <w:t>.11</w:t>
      </w:r>
      <w:r>
        <w:rPr>
          <w:lang w:val="en-US" w:eastAsia="zh-CN"/>
        </w:rPr>
        <w:tab/>
      </w:r>
      <w:r>
        <w:rPr>
          <w:rFonts w:hint="eastAsia"/>
          <w:lang w:val="en-US" w:eastAsia="zh-CN"/>
        </w:rPr>
        <w:t>此外，一旦决定建造新楼，则须在旧楼的剩余寿命时间内将其剩余账面值（</w:t>
      </w:r>
      <w:r w:rsidRPr="0063347C">
        <w:rPr>
          <w:lang w:eastAsia="zh-CN"/>
        </w:rPr>
        <w:t>accounting value</w:t>
      </w:r>
      <w:r>
        <w:rPr>
          <w:rFonts w:hint="eastAsia"/>
          <w:lang w:eastAsia="zh-CN"/>
        </w:rPr>
        <w:t>）（截至</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日为</w:t>
      </w:r>
      <w:r>
        <w:rPr>
          <w:rFonts w:hint="eastAsia"/>
          <w:lang w:eastAsia="zh-CN"/>
        </w:rPr>
        <w:t>1</w:t>
      </w:r>
      <w:r w:rsidR="00262A06">
        <w:rPr>
          <w:lang w:eastAsia="zh-CN"/>
        </w:rPr>
        <w:t xml:space="preserve"> </w:t>
      </w:r>
      <w:r>
        <w:rPr>
          <w:rFonts w:hint="eastAsia"/>
          <w:lang w:eastAsia="zh-CN"/>
        </w:rPr>
        <w:t>300</w:t>
      </w:r>
      <w:r>
        <w:rPr>
          <w:rFonts w:hint="eastAsia"/>
          <w:lang w:eastAsia="zh-CN"/>
        </w:rPr>
        <w:t>万瑞郎）进行贬值。如果在</w:t>
      </w:r>
      <w:r>
        <w:rPr>
          <w:rFonts w:hint="eastAsia"/>
          <w:lang w:eastAsia="zh-CN"/>
        </w:rPr>
        <w:t>PP-1</w:t>
      </w:r>
      <w:r>
        <w:rPr>
          <w:lang w:eastAsia="zh-CN"/>
        </w:rPr>
        <w:t>4</w:t>
      </w:r>
      <w:r>
        <w:rPr>
          <w:rFonts w:hint="eastAsia"/>
          <w:lang w:eastAsia="zh-CN"/>
        </w:rPr>
        <w:t>上做出决定，则上述剩余寿命时间将被缩至七年，使年度折旧达到</w:t>
      </w:r>
      <w:r>
        <w:rPr>
          <w:rFonts w:hint="eastAsia"/>
          <w:lang w:eastAsia="zh-CN"/>
        </w:rPr>
        <w:t>190</w:t>
      </w:r>
      <w:r>
        <w:rPr>
          <w:rFonts w:hint="eastAsia"/>
          <w:lang w:eastAsia="zh-CN"/>
        </w:rPr>
        <w:t>万瑞郎，而非目前的</w:t>
      </w:r>
      <w:r>
        <w:rPr>
          <w:rFonts w:hint="eastAsia"/>
          <w:lang w:eastAsia="zh-CN"/>
        </w:rPr>
        <w:t>70</w:t>
      </w:r>
      <w:r>
        <w:rPr>
          <w:rFonts w:hint="eastAsia"/>
          <w:lang w:eastAsia="zh-CN"/>
        </w:rPr>
        <w:t>万瑞郎。应当指出，目前折旧费用不列入预算，仅仅是不涉及任何实际货币流出的统计条目。</w:t>
      </w:r>
    </w:p>
    <w:p w14:paraId="37D23F70" w14:textId="77777777" w:rsidR="00B80DA4" w:rsidRPr="0063347C" w:rsidRDefault="00B80DA4" w:rsidP="00B34094">
      <w:pPr>
        <w:rPr>
          <w:lang w:eastAsia="zh-CN"/>
        </w:rPr>
      </w:pPr>
      <w:r>
        <w:rPr>
          <w:lang w:eastAsia="zh-CN"/>
        </w:rPr>
        <w:t>5</w:t>
      </w:r>
      <w:r>
        <w:rPr>
          <w:lang w:val="en-US" w:eastAsia="zh-CN"/>
        </w:rPr>
        <w:t>.12</w:t>
      </w:r>
      <w:r>
        <w:rPr>
          <w:lang w:val="en-US" w:eastAsia="zh-CN"/>
        </w:rPr>
        <w:tab/>
      </w:r>
      <w:r>
        <w:rPr>
          <w:rFonts w:hint="eastAsia"/>
          <w:lang w:val="en-US" w:eastAsia="zh-CN"/>
        </w:rPr>
        <w:t>由于这座高质量新楼将建在日内瓦黄金地段，因此可设想在五至十年后会对该楼重新评估，以便整合国际电联资产值。根据日内瓦州此类建筑不动产市场的演变发展情况，这将大大增加新楼的净账面值。</w:t>
      </w:r>
    </w:p>
    <w:p w14:paraId="17D86B61" w14:textId="77777777" w:rsidR="00B80DA4" w:rsidRPr="0063347C" w:rsidRDefault="00B80DA4" w:rsidP="00B34094">
      <w:pPr>
        <w:rPr>
          <w:lang w:eastAsia="zh-CN"/>
        </w:rPr>
      </w:pPr>
      <w:r>
        <w:rPr>
          <w:lang w:eastAsia="zh-CN"/>
        </w:rPr>
        <w:t>5</w:t>
      </w:r>
      <w:r>
        <w:rPr>
          <w:lang w:val="en-US" w:eastAsia="zh-CN"/>
        </w:rPr>
        <w:t>.13</w:t>
      </w:r>
      <w:r>
        <w:rPr>
          <w:lang w:val="en-US" w:eastAsia="zh-CN"/>
        </w:rPr>
        <w:tab/>
      </w:r>
      <w:r>
        <w:rPr>
          <w:rFonts w:hint="eastAsia"/>
          <w:lang w:val="en-US" w:eastAsia="zh-CN"/>
        </w:rPr>
        <w:t>考虑到塔楼的老化程度，可能需要进行翻修，估算费用为</w:t>
      </w:r>
      <w:r>
        <w:rPr>
          <w:rFonts w:hint="eastAsia"/>
          <w:lang w:val="en-US" w:eastAsia="zh-CN"/>
        </w:rPr>
        <w:t>4 500</w:t>
      </w:r>
      <w:r>
        <w:rPr>
          <w:rFonts w:hint="eastAsia"/>
          <w:lang w:val="en-US" w:eastAsia="zh-CN"/>
        </w:rPr>
        <w:t>万瑞郎。如启动重建</w:t>
      </w:r>
      <w:r>
        <w:rPr>
          <w:lang w:eastAsia="zh-CN"/>
        </w:rPr>
        <w:t>Varembé</w:t>
      </w:r>
      <w:r>
        <w:rPr>
          <w:rFonts w:hint="eastAsia"/>
          <w:lang w:eastAsia="zh-CN"/>
        </w:rPr>
        <w:t>办公楼的项目，目前在塔楼办公的一些职员就可在塔楼翻修期间搬至新楼办公而不增加任何费用。</w:t>
      </w:r>
    </w:p>
    <w:p w14:paraId="649C2AD9" w14:textId="77777777" w:rsidR="00B80DA4" w:rsidRPr="0063347C" w:rsidRDefault="00B80DA4" w:rsidP="00B34094">
      <w:pPr>
        <w:rPr>
          <w:lang w:eastAsia="zh-CN"/>
        </w:rPr>
      </w:pPr>
      <w:r>
        <w:rPr>
          <w:lang w:eastAsia="zh-CN"/>
        </w:rPr>
        <w:t>5</w:t>
      </w:r>
      <w:r>
        <w:rPr>
          <w:lang w:val="en-US" w:eastAsia="zh-CN"/>
        </w:rPr>
        <w:t>.14</w:t>
      </w:r>
      <w:r>
        <w:rPr>
          <w:lang w:val="en-US" w:eastAsia="zh-CN"/>
        </w:rPr>
        <w:tab/>
      </w:r>
      <w:r>
        <w:rPr>
          <w:rFonts w:hint="eastAsia"/>
          <w:lang w:val="en-US" w:eastAsia="zh-CN"/>
        </w:rPr>
        <w:t>此外，亦需考虑</w:t>
      </w:r>
      <w:r w:rsidRPr="0063347C">
        <w:rPr>
          <w:lang w:eastAsia="zh-CN"/>
        </w:rPr>
        <w:t>Montbrillant</w:t>
      </w:r>
      <w:r>
        <w:rPr>
          <w:rFonts w:hint="eastAsia"/>
          <w:lang w:eastAsia="zh-CN"/>
        </w:rPr>
        <w:t>楼的翻修费用（塔楼和</w:t>
      </w:r>
      <w:r>
        <w:rPr>
          <w:lang w:eastAsia="zh-CN"/>
        </w:rPr>
        <w:t>Montbrillant</w:t>
      </w:r>
      <w:r>
        <w:rPr>
          <w:rFonts w:hint="eastAsia"/>
          <w:lang w:eastAsia="zh-CN"/>
        </w:rPr>
        <w:t>楼的总体估算翻修费用为</w:t>
      </w:r>
      <w:r>
        <w:rPr>
          <w:rFonts w:hint="eastAsia"/>
          <w:lang w:eastAsia="zh-CN"/>
        </w:rPr>
        <w:t>4 900</w:t>
      </w:r>
      <w:r>
        <w:rPr>
          <w:rFonts w:hint="eastAsia"/>
          <w:lang w:eastAsia="zh-CN"/>
        </w:rPr>
        <w:t>万瑞郎）以及所有办公楼的维护费用。</w:t>
      </w:r>
    </w:p>
    <w:p w14:paraId="5624B307" w14:textId="77777777" w:rsidR="00B80DA4" w:rsidRPr="000003DF" w:rsidRDefault="00B80DA4" w:rsidP="00B80DA4">
      <w:pPr>
        <w:pStyle w:val="Heading2"/>
        <w:rPr>
          <w:lang w:eastAsia="zh-CN"/>
        </w:rPr>
      </w:pPr>
      <w:r w:rsidRPr="000003DF">
        <w:rPr>
          <w:lang w:eastAsia="zh-CN"/>
        </w:rPr>
        <w:t>B</w:t>
      </w:r>
      <w:r w:rsidRPr="000003DF">
        <w:rPr>
          <w:lang w:eastAsia="zh-CN"/>
        </w:rPr>
        <w:tab/>
      </w:r>
      <w:r>
        <w:rPr>
          <w:rFonts w:hint="eastAsia"/>
          <w:lang w:eastAsia="zh-CN"/>
        </w:rPr>
        <w:t>塔楼和</w:t>
      </w:r>
      <w:r w:rsidRPr="000003DF">
        <w:rPr>
          <w:lang w:eastAsia="zh-CN"/>
        </w:rPr>
        <w:t>Montbrillant</w:t>
      </w:r>
      <w:r>
        <w:rPr>
          <w:rFonts w:hint="eastAsia"/>
          <w:lang w:eastAsia="zh-CN"/>
        </w:rPr>
        <w:t>楼的翻修</w:t>
      </w:r>
    </w:p>
    <w:p w14:paraId="58F4F878" w14:textId="77777777" w:rsidR="00B80DA4" w:rsidRPr="0063347C" w:rsidRDefault="00B80DA4" w:rsidP="00B80DA4">
      <w:pPr>
        <w:tabs>
          <w:tab w:val="clear" w:pos="567"/>
          <w:tab w:val="clear" w:pos="1134"/>
          <w:tab w:val="clear" w:pos="1701"/>
          <w:tab w:val="clear" w:pos="2268"/>
          <w:tab w:val="clear" w:pos="2835"/>
        </w:tabs>
        <w:spacing w:after="120"/>
        <w:rPr>
          <w:lang w:eastAsia="zh-CN"/>
        </w:rPr>
      </w:pPr>
      <w:r>
        <w:rPr>
          <w:lang w:eastAsia="zh-CN"/>
        </w:rPr>
        <w:t>5</w:t>
      </w:r>
      <w:r>
        <w:rPr>
          <w:lang w:val="en-US" w:eastAsia="zh-CN"/>
        </w:rPr>
        <w:t>.15</w:t>
      </w:r>
      <w:r>
        <w:rPr>
          <w:lang w:val="en-US" w:eastAsia="zh-CN"/>
        </w:rPr>
        <w:tab/>
      </w:r>
      <w:r>
        <w:rPr>
          <w:rFonts w:hint="eastAsia"/>
          <w:lang w:val="en-US" w:eastAsia="zh-CN"/>
        </w:rPr>
        <w:t>设想：在可行情况下克服现有缺陷和不足；随后的维护服务费用的平均预算将为每年火灾保险额的</w:t>
      </w:r>
      <w:r>
        <w:rPr>
          <w:rFonts w:hint="eastAsia"/>
          <w:lang w:val="en-US" w:eastAsia="zh-CN"/>
        </w:rPr>
        <w:t>1%</w:t>
      </w:r>
      <w:r>
        <w:rPr>
          <w:rFonts w:hint="eastAsia"/>
          <w:lang w:val="en-US" w:eastAsia="zh-CN"/>
        </w:rPr>
        <w:t>（利用容积比从</w:t>
      </w:r>
      <w:r>
        <w:rPr>
          <w:rFonts w:hint="eastAsia"/>
          <w:lang w:val="en-US" w:eastAsia="zh-CN"/>
        </w:rPr>
        <w:t>2014</w:t>
      </w:r>
      <w:r>
        <w:rPr>
          <w:rFonts w:hint="eastAsia"/>
          <w:lang w:val="en-US" w:eastAsia="zh-CN"/>
        </w:rPr>
        <w:t>年数字（</w:t>
      </w:r>
      <w:r>
        <w:rPr>
          <w:rFonts w:hint="eastAsia"/>
          <w:lang w:val="en-US" w:eastAsia="zh-CN"/>
        </w:rPr>
        <w:t>2</w:t>
      </w:r>
      <w:r>
        <w:rPr>
          <w:lang w:val="en-US" w:eastAsia="zh-CN"/>
        </w:rPr>
        <w:t>.11</w:t>
      </w:r>
      <w:r>
        <w:rPr>
          <w:rFonts w:hint="eastAsia"/>
          <w:lang w:val="en-US" w:eastAsia="zh-CN"/>
        </w:rPr>
        <w:t>亿瑞郎）调整得出）。</w:t>
      </w:r>
    </w:p>
    <w:p w14:paraId="48ED0722" w14:textId="77777777" w:rsidR="00B80DA4" w:rsidRPr="0063347C" w:rsidRDefault="00B80DA4" w:rsidP="00B80DA4">
      <w:pPr>
        <w:tabs>
          <w:tab w:val="clear" w:pos="567"/>
          <w:tab w:val="clear" w:pos="1134"/>
          <w:tab w:val="clear" w:pos="1701"/>
          <w:tab w:val="clear" w:pos="2268"/>
          <w:tab w:val="clear" w:pos="2835"/>
        </w:tabs>
        <w:spacing w:after="120"/>
        <w:rPr>
          <w:lang w:eastAsia="zh-CN"/>
        </w:rPr>
      </w:pPr>
      <w:r>
        <w:rPr>
          <w:lang w:eastAsia="zh-CN"/>
        </w:rPr>
        <w:t>5.16</w:t>
      </w:r>
      <w:r>
        <w:rPr>
          <w:lang w:eastAsia="zh-CN"/>
        </w:rPr>
        <w:tab/>
        <w:t>2014</w:t>
      </w:r>
      <w:r>
        <w:rPr>
          <w:rFonts w:hint="eastAsia"/>
          <w:lang w:eastAsia="zh-CN"/>
        </w:rPr>
        <w:t>年价格：通货膨胀因素未予考虑。</w:t>
      </w:r>
    </w:p>
    <w:p w14:paraId="483780A3" w14:textId="77777777" w:rsidR="00B80DA4" w:rsidRPr="0063347C" w:rsidRDefault="00B80DA4" w:rsidP="00B80DA4">
      <w:pPr>
        <w:pStyle w:val="Headingb"/>
        <w:tabs>
          <w:tab w:val="clear" w:pos="567"/>
          <w:tab w:val="clear" w:pos="1134"/>
          <w:tab w:val="clear" w:pos="1701"/>
          <w:tab w:val="clear" w:pos="2268"/>
          <w:tab w:val="clear" w:pos="2835"/>
        </w:tabs>
        <w:spacing w:before="240" w:after="240"/>
      </w:pPr>
      <w:r>
        <w:rPr>
          <w:rFonts w:hint="eastAsia"/>
          <w:lang w:eastAsia="zh-CN"/>
        </w:rPr>
        <w:t>亟待进行的</w:t>
      </w:r>
      <w:r w:rsidRPr="0063347C">
        <w:t>Montbrillant</w:t>
      </w:r>
      <w:r>
        <w:rPr>
          <w:rFonts w:hint="eastAsia"/>
          <w:lang w:eastAsia="zh-CN"/>
        </w:rPr>
        <w:t>办公楼翻修工程（</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4599"/>
      </w:tblGrid>
      <w:tr w:rsidR="00B80DA4" w:rsidRPr="0063347C" w14:paraId="0358DD11" w14:textId="77777777" w:rsidTr="000E7785">
        <w:trPr>
          <w:jc w:val="center"/>
        </w:trPr>
        <w:tc>
          <w:tcPr>
            <w:tcW w:w="2405" w:type="dxa"/>
          </w:tcPr>
          <w:p w14:paraId="144ECC87" w14:textId="77777777" w:rsidR="00B80DA4" w:rsidRPr="0063347C" w:rsidRDefault="00B80DA4" w:rsidP="000E7785">
            <w:pPr>
              <w:pStyle w:val="Tablehead"/>
              <w:spacing w:before="60" w:after="60"/>
            </w:pPr>
            <w:r>
              <w:rPr>
                <w:rFonts w:hint="eastAsia"/>
                <w:lang w:eastAsia="zh-CN"/>
              </w:rPr>
              <w:t>项目</w:t>
            </w:r>
          </w:p>
        </w:tc>
        <w:tc>
          <w:tcPr>
            <w:tcW w:w="1559" w:type="dxa"/>
          </w:tcPr>
          <w:p w14:paraId="2E090C52" w14:textId="77777777" w:rsidR="00B80DA4" w:rsidRPr="0063347C" w:rsidRDefault="00B80DA4" w:rsidP="000E7785">
            <w:pPr>
              <w:pStyle w:val="Tablehead"/>
              <w:spacing w:before="60" w:after="60"/>
              <w:rPr>
                <w:lang w:eastAsia="zh-CN"/>
              </w:rPr>
            </w:pPr>
            <w:r>
              <w:rPr>
                <w:rFonts w:hint="eastAsia"/>
                <w:lang w:eastAsia="zh-CN"/>
              </w:rPr>
              <w:t>费用</w:t>
            </w:r>
          </w:p>
          <w:p w14:paraId="2C2A5EE3"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599" w:type="dxa"/>
          </w:tcPr>
          <w:p w14:paraId="7086EDAC" w14:textId="77777777" w:rsidR="00B80DA4" w:rsidRPr="0063347C" w:rsidRDefault="00B80DA4" w:rsidP="000E7785">
            <w:pPr>
              <w:pStyle w:val="Tablehead"/>
              <w:spacing w:before="60" w:after="60"/>
              <w:rPr>
                <w:lang w:eastAsia="zh-CN"/>
              </w:rPr>
            </w:pPr>
            <w:r>
              <w:rPr>
                <w:rFonts w:hint="eastAsia"/>
                <w:lang w:eastAsia="zh-CN"/>
              </w:rPr>
              <w:t>说明</w:t>
            </w:r>
          </w:p>
        </w:tc>
      </w:tr>
      <w:tr w:rsidR="00B80DA4" w:rsidRPr="0063347C" w14:paraId="03E5627A" w14:textId="77777777" w:rsidTr="000E7785">
        <w:trPr>
          <w:jc w:val="center"/>
        </w:trPr>
        <w:tc>
          <w:tcPr>
            <w:tcW w:w="2405" w:type="dxa"/>
          </w:tcPr>
          <w:p w14:paraId="03259924" w14:textId="77777777" w:rsidR="00B80DA4" w:rsidRPr="0063347C" w:rsidRDefault="00B80DA4" w:rsidP="000E7785">
            <w:pPr>
              <w:pStyle w:val="Tabletext"/>
              <w:rPr>
                <w:lang w:eastAsia="zh-CN"/>
              </w:rPr>
            </w:pPr>
            <w:r>
              <w:rPr>
                <w:rFonts w:hint="eastAsia"/>
                <w:lang w:eastAsia="zh-CN"/>
              </w:rPr>
              <w:t>新建会议厅</w:t>
            </w:r>
          </w:p>
        </w:tc>
        <w:tc>
          <w:tcPr>
            <w:tcW w:w="1559" w:type="dxa"/>
          </w:tcPr>
          <w:p w14:paraId="5470A3E3" w14:textId="77777777" w:rsidR="00B80DA4" w:rsidRPr="0063347C" w:rsidRDefault="00B80DA4" w:rsidP="000E7785">
            <w:pPr>
              <w:pStyle w:val="Tabletext"/>
              <w:jc w:val="center"/>
              <w:rPr>
                <w:lang w:eastAsia="zh-CN"/>
              </w:rPr>
            </w:pPr>
            <w:r w:rsidRPr="0063347C">
              <w:rPr>
                <w:lang w:eastAsia="zh-CN"/>
              </w:rPr>
              <w:t>3</w:t>
            </w:r>
          </w:p>
        </w:tc>
        <w:tc>
          <w:tcPr>
            <w:tcW w:w="4599" w:type="dxa"/>
          </w:tcPr>
          <w:p w14:paraId="004C22F3" w14:textId="77777777" w:rsidR="00B80DA4" w:rsidRPr="0063347C" w:rsidRDefault="00B80DA4" w:rsidP="000E7785">
            <w:pPr>
              <w:pStyle w:val="Tabletext"/>
              <w:rPr>
                <w:lang w:eastAsia="zh-CN"/>
              </w:rPr>
            </w:pPr>
            <w:r w:rsidRPr="0063347C">
              <w:rPr>
                <w:lang w:eastAsia="zh-CN"/>
              </w:rPr>
              <w:t>316</w:t>
            </w:r>
            <w:r>
              <w:rPr>
                <w:rFonts w:hint="eastAsia"/>
                <w:lang w:eastAsia="zh-CN"/>
              </w:rPr>
              <w:t>个坐席，每坐席</w:t>
            </w:r>
            <w:r>
              <w:rPr>
                <w:lang w:eastAsia="zh-CN"/>
              </w:rPr>
              <w:t xml:space="preserve">10 </w:t>
            </w:r>
            <w:r w:rsidRPr="0063347C">
              <w:rPr>
                <w:lang w:eastAsia="zh-CN"/>
              </w:rPr>
              <w:t>000</w:t>
            </w:r>
            <w:r>
              <w:rPr>
                <w:rFonts w:hint="eastAsia"/>
                <w:lang w:eastAsia="zh-CN"/>
              </w:rPr>
              <w:t>瑞郎，包括音视频设备（</w:t>
            </w:r>
            <w:r>
              <w:rPr>
                <w:rFonts w:hint="eastAsia"/>
                <w:lang w:eastAsia="zh-CN"/>
              </w:rPr>
              <w:t>AV</w:t>
            </w:r>
            <w:r>
              <w:rPr>
                <w:rFonts w:hint="eastAsia"/>
                <w:lang w:eastAsia="zh-CN"/>
              </w:rPr>
              <w:t>）</w:t>
            </w:r>
          </w:p>
        </w:tc>
      </w:tr>
      <w:tr w:rsidR="00B80DA4" w:rsidRPr="0063347C" w14:paraId="582CD6A1" w14:textId="77777777" w:rsidTr="000E7785">
        <w:trPr>
          <w:jc w:val="center"/>
        </w:trPr>
        <w:tc>
          <w:tcPr>
            <w:tcW w:w="2405" w:type="dxa"/>
          </w:tcPr>
          <w:p w14:paraId="11FF9D85" w14:textId="77777777" w:rsidR="00B80DA4" w:rsidRPr="0063347C" w:rsidRDefault="00B80DA4" w:rsidP="000E7785">
            <w:pPr>
              <w:pStyle w:val="Tabletext"/>
              <w:rPr>
                <w:lang w:eastAsia="zh-CN"/>
              </w:rPr>
            </w:pPr>
            <w:r>
              <w:rPr>
                <w:rFonts w:hint="eastAsia"/>
                <w:lang w:eastAsia="zh-CN"/>
              </w:rPr>
              <w:t>制冷和供暖系统工程</w:t>
            </w:r>
          </w:p>
        </w:tc>
        <w:tc>
          <w:tcPr>
            <w:tcW w:w="1559" w:type="dxa"/>
          </w:tcPr>
          <w:p w14:paraId="164AA5D6" w14:textId="77777777" w:rsidR="00B80DA4" w:rsidRPr="0063347C" w:rsidRDefault="00B80DA4" w:rsidP="000E7785">
            <w:pPr>
              <w:pStyle w:val="Tabletext"/>
              <w:jc w:val="center"/>
              <w:rPr>
                <w:lang w:eastAsia="zh-CN"/>
              </w:rPr>
            </w:pPr>
            <w:r w:rsidRPr="0063347C">
              <w:rPr>
                <w:lang w:eastAsia="zh-CN"/>
              </w:rPr>
              <w:t>0.6</w:t>
            </w:r>
          </w:p>
        </w:tc>
        <w:tc>
          <w:tcPr>
            <w:tcW w:w="4599" w:type="dxa"/>
          </w:tcPr>
          <w:p w14:paraId="48C8BDF9" w14:textId="77777777" w:rsidR="00B80DA4" w:rsidRPr="0063347C" w:rsidRDefault="00B80DA4" w:rsidP="000E7785">
            <w:pPr>
              <w:pStyle w:val="Tabletext"/>
              <w:rPr>
                <w:lang w:eastAsia="zh-CN"/>
              </w:rPr>
            </w:pPr>
          </w:p>
        </w:tc>
      </w:tr>
      <w:tr w:rsidR="00B80DA4" w:rsidRPr="0063347C" w14:paraId="3ABFABB7" w14:textId="77777777" w:rsidTr="000E7785">
        <w:trPr>
          <w:jc w:val="center"/>
        </w:trPr>
        <w:tc>
          <w:tcPr>
            <w:tcW w:w="2405" w:type="dxa"/>
          </w:tcPr>
          <w:p w14:paraId="4B32C67D" w14:textId="77777777" w:rsidR="00B80DA4" w:rsidRPr="0063347C" w:rsidRDefault="00B80DA4" w:rsidP="000E7785">
            <w:pPr>
              <w:pStyle w:val="Tabletext"/>
              <w:rPr>
                <w:lang w:eastAsia="zh-CN"/>
              </w:rPr>
            </w:pPr>
            <w:r>
              <w:rPr>
                <w:rFonts w:hint="eastAsia"/>
                <w:lang w:eastAsia="zh-CN"/>
              </w:rPr>
              <w:t>其它工程</w:t>
            </w:r>
          </w:p>
        </w:tc>
        <w:tc>
          <w:tcPr>
            <w:tcW w:w="1559" w:type="dxa"/>
          </w:tcPr>
          <w:p w14:paraId="75F587BE" w14:textId="77777777" w:rsidR="00B80DA4" w:rsidRPr="0063347C" w:rsidRDefault="00B80DA4" w:rsidP="000E7785">
            <w:pPr>
              <w:pStyle w:val="Tabletext"/>
              <w:jc w:val="center"/>
              <w:rPr>
                <w:lang w:eastAsia="zh-CN"/>
              </w:rPr>
            </w:pPr>
            <w:r w:rsidRPr="0063347C">
              <w:rPr>
                <w:lang w:eastAsia="zh-CN"/>
              </w:rPr>
              <w:t>0.4</w:t>
            </w:r>
          </w:p>
        </w:tc>
        <w:tc>
          <w:tcPr>
            <w:tcW w:w="4599" w:type="dxa"/>
          </w:tcPr>
          <w:p w14:paraId="67657829" w14:textId="77777777" w:rsidR="00B80DA4" w:rsidRPr="0063347C" w:rsidRDefault="00B80DA4" w:rsidP="000E7785">
            <w:pPr>
              <w:pStyle w:val="Tabletext"/>
              <w:rPr>
                <w:lang w:eastAsia="zh-CN"/>
              </w:rPr>
            </w:pPr>
          </w:p>
        </w:tc>
      </w:tr>
      <w:tr w:rsidR="00B80DA4" w:rsidRPr="0063347C" w14:paraId="41CF9180" w14:textId="77777777" w:rsidTr="000E7785">
        <w:trPr>
          <w:jc w:val="center"/>
        </w:trPr>
        <w:tc>
          <w:tcPr>
            <w:tcW w:w="2405" w:type="dxa"/>
          </w:tcPr>
          <w:p w14:paraId="662B57C1" w14:textId="77777777" w:rsidR="00B80DA4" w:rsidRPr="0063347C" w:rsidRDefault="00B80DA4" w:rsidP="000E7785">
            <w:pPr>
              <w:pStyle w:val="Tabletext"/>
              <w:rPr>
                <w:b/>
                <w:lang w:eastAsia="zh-CN"/>
              </w:rPr>
            </w:pPr>
            <w:r>
              <w:rPr>
                <w:rFonts w:hint="eastAsia"/>
                <w:b/>
                <w:lang w:eastAsia="zh-CN"/>
              </w:rPr>
              <w:t>合计</w:t>
            </w:r>
          </w:p>
        </w:tc>
        <w:tc>
          <w:tcPr>
            <w:tcW w:w="1559" w:type="dxa"/>
          </w:tcPr>
          <w:p w14:paraId="27D283DF" w14:textId="77777777" w:rsidR="00B80DA4" w:rsidRPr="005B3B37" w:rsidRDefault="00B80DA4" w:rsidP="000E7785">
            <w:pPr>
              <w:pStyle w:val="Tabletext"/>
              <w:jc w:val="center"/>
              <w:rPr>
                <w:b/>
                <w:bCs/>
                <w:lang w:eastAsia="zh-CN"/>
              </w:rPr>
            </w:pPr>
            <w:r w:rsidRPr="005B3B37">
              <w:rPr>
                <w:b/>
                <w:bCs/>
                <w:lang w:eastAsia="zh-CN"/>
              </w:rPr>
              <w:t>4</w:t>
            </w:r>
          </w:p>
        </w:tc>
        <w:tc>
          <w:tcPr>
            <w:tcW w:w="4599" w:type="dxa"/>
          </w:tcPr>
          <w:p w14:paraId="5219C60C" w14:textId="77777777" w:rsidR="00B80DA4" w:rsidRPr="0063347C" w:rsidRDefault="00B80DA4" w:rsidP="000E7785">
            <w:pPr>
              <w:pStyle w:val="Tabletext"/>
              <w:rPr>
                <w:lang w:eastAsia="zh-CN"/>
              </w:rPr>
            </w:pPr>
          </w:p>
        </w:tc>
      </w:tr>
    </w:tbl>
    <w:p w14:paraId="530DBEDB" w14:textId="77777777" w:rsidR="00B80DA4" w:rsidRDefault="00B80DA4" w:rsidP="00B80DA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515FABDA" w14:textId="77777777" w:rsidR="00B80DA4" w:rsidRPr="0063347C" w:rsidRDefault="00B80DA4" w:rsidP="00B80DA4">
      <w:pPr>
        <w:pStyle w:val="Headingb"/>
        <w:spacing w:before="240" w:after="240"/>
        <w:rPr>
          <w:lang w:eastAsia="zh-CN"/>
        </w:rPr>
      </w:pPr>
      <w:r>
        <w:rPr>
          <w:rFonts w:hint="eastAsia"/>
          <w:lang w:eastAsia="zh-CN"/>
        </w:rPr>
        <w:lastRenderedPageBreak/>
        <w:t>亟待进行的塔楼翻修工程（</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B80DA4" w:rsidRPr="0063347C" w14:paraId="04FEC15D" w14:textId="77777777" w:rsidTr="000E7785">
        <w:trPr>
          <w:jc w:val="center"/>
        </w:trPr>
        <w:tc>
          <w:tcPr>
            <w:tcW w:w="2552" w:type="dxa"/>
          </w:tcPr>
          <w:p w14:paraId="5E50B14C" w14:textId="77777777" w:rsidR="00B80DA4" w:rsidRPr="0063347C" w:rsidRDefault="00B80DA4" w:rsidP="000E7785">
            <w:pPr>
              <w:pStyle w:val="Tablehead"/>
              <w:spacing w:before="60" w:after="60"/>
              <w:rPr>
                <w:lang w:eastAsia="zh-CN"/>
              </w:rPr>
            </w:pPr>
            <w:r>
              <w:rPr>
                <w:rFonts w:hint="eastAsia"/>
                <w:lang w:eastAsia="zh-CN"/>
              </w:rPr>
              <w:t>项目</w:t>
            </w:r>
          </w:p>
        </w:tc>
        <w:tc>
          <w:tcPr>
            <w:tcW w:w="1588" w:type="dxa"/>
          </w:tcPr>
          <w:p w14:paraId="58AE880D" w14:textId="77777777" w:rsidR="00B80DA4" w:rsidRPr="0063347C" w:rsidRDefault="00B80DA4" w:rsidP="000E7785">
            <w:pPr>
              <w:pStyle w:val="Tablehead"/>
              <w:spacing w:before="60" w:after="60"/>
              <w:rPr>
                <w:lang w:eastAsia="zh-CN"/>
              </w:rPr>
            </w:pPr>
            <w:r>
              <w:rPr>
                <w:rFonts w:hint="eastAsia"/>
                <w:lang w:eastAsia="zh-CN"/>
              </w:rPr>
              <w:t>费用</w:t>
            </w:r>
          </w:p>
          <w:p w14:paraId="3AA63397"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423" w:type="dxa"/>
          </w:tcPr>
          <w:p w14:paraId="1515EBAB" w14:textId="77777777" w:rsidR="00B80DA4" w:rsidRPr="0063347C" w:rsidRDefault="00B80DA4" w:rsidP="000E7785">
            <w:pPr>
              <w:pStyle w:val="Tablehead"/>
              <w:spacing w:before="60" w:after="60"/>
              <w:rPr>
                <w:lang w:eastAsia="zh-CN"/>
              </w:rPr>
            </w:pPr>
            <w:r>
              <w:rPr>
                <w:rFonts w:hint="eastAsia"/>
                <w:lang w:eastAsia="zh-CN"/>
              </w:rPr>
              <w:t>说明</w:t>
            </w:r>
          </w:p>
        </w:tc>
      </w:tr>
      <w:tr w:rsidR="00B80DA4" w:rsidRPr="0063347C" w14:paraId="3F85684D" w14:textId="77777777" w:rsidTr="000E7785">
        <w:trPr>
          <w:jc w:val="center"/>
        </w:trPr>
        <w:tc>
          <w:tcPr>
            <w:tcW w:w="2552" w:type="dxa"/>
          </w:tcPr>
          <w:p w14:paraId="3C4CAFC7" w14:textId="77777777" w:rsidR="00B80DA4" w:rsidRPr="0063347C" w:rsidRDefault="00B80DA4" w:rsidP="000E7785">
            <w:pPr>
              <w:pStyle w:val="Tabletext"/>
              <w:rPr>
                <w:szCs w:val="22"/>
                <w:lang w:eastAsia="zh-CN"/>
              </w:rPr>
            </w:pPr>
            <w:r>
              <w:rPr>
                <w:rFonts w:hint="eastAsia"/>
                <w:szCs w:val="22"/>
                <w:lang w:eastAsia="zh-CN"/>
              </w:rPr>
              <w:t>新修外立面：更换供热和配电系统</w:t>
            </w:r>
          </w:p>
        </w:tc>
        <w:tc>
          <w:tcPr>
            <w:tcW w:w="1588" w:type="dxa"/>
          </w:tcPr>
          <w:p w14:paraId="65003876" w14:textId="77777777" w:rsidR="00B80DA4" w:rsidRPr="0063347C" w:rsidRDefault="00B80DA4" w:rsidP="000E7785">
            <w:pPr>
              <w:pStyle w:val="Tabletext"/>
              <w:jc w:val="center"/>
              <w:rPr>
                <w:szCs w:val="22"/>
              </w:rPr>
            </w:pPr>
            <w:r w:rsidRPr="0063347C">
              <w:rPr>
                <w:szCs w:val="22"/>
              </w:rPr>
              <w:t>30</w:t>
            </w:r>
          </w:p>
        </w:tc>
        <w:tc>
          <w:tcPr>
            <w:tcW w:w="4423" w:type="dxa"/>
          </w:tcPr>
          <w:p w14:paraId="5482F888" w14:textId="77777777" w:rsidR="00B80DA4" w:rsidRPr="0063347C" w:rsidRDefault="00B80DA4" w:rsidP="000E7785">
            <w:pPr>
              <w:pStyle w:val="Tabletext"/>
              <w:rPr>
                <w:szCs w:val="22"/>
                <w:lang w:eastAsia="zh-CN"/>
              </w:rPr>
            </w:pPr>
            <w:r>
              <w:rPr>
                <w:rFonts w:hint="eastAsia"/>
                <w:szCs w:val="22"/>
                <w:lang w:eastAsia="zh-CN"/>
              </w:rPr>
              <w:t>根据针对</w:t>
            </w:r>
            <w:r w:rsidRPr="0063347C">
              <w:rPr>
                <w:szCs w:val="22"/>
                <w:lang w:eastAsia="zh-CN"/>
              </w:rPr>
              <w:t>Varembé</w:t>
            </w:r>
            <w:r>
              <w:rPr>
                <w:rFonts w:hint="eastAsia"/>
                <w:szCs w:val="22"/>
                <w:lang w:eastAsia="zh-CN"/>
              </w:rPr>
              <w:t>办公楼进行的外部研究经验</w:t>
            </w:r>
          </w:p>
        </w:tc>
      </w:tr>
      <w:tr w:rsidR="00B80DA4" w:rsidRPr="0063347C" w14:paraId="569DC48F" w14:textId="77777777" w:rsidTr="000E7785">
        <w:trPr>
          <w:jc w:val="center"/>
        </w:trPr>
        <w:tc>
          <w:tcPr>
            <w:tcW w:w="2552" w:type="dxa"/>
          </w:tcPr>
          <w:p w14:paraId="7BFF2537" w14:textId="77777777" w:rsidR="00B80DA4" w:rsidRPr="0063347C" w:rsidRDefault="00B80DA4" w:rsidP="000E7785">
            <w:pPr>
              <w:pStyle w:val="Tabletext"/>
              <w:rPr>
                <w:szCs w:val="22"/>
              </w:rPr>
            </w:pPr>
            <w:r>
              <w:rPr>
                <w:rFonts w:hint="eastAsia"/>
                <w:szCs w:val="22"/>
                <w:lang w:eastAsia="zh-CN"/>
              </w:rPr>
              <w:t>更换办公照明设施</w:t>
            </w:r>
          </w:p>
        </w:tc>
        <w:tc>
          <w:tcPr>
            <w:tcW w:w="1588" w:type="dxa"/>
          </w:tcPr>
          <w:p w14:paraId="0643A79E" w14:textId="77777777" w:rsidR="00B80DA4" w:rsidRPr="0063347C" w:rsidRDefault="00B80DA4" w:rsidP="000E7785">
            <w:pPr>
              <w:pStyle w:val="Tabletext"/>
              <w:jc w:val="center"/>
              <w:rPr>
                <w:szCs w:val="22"/>
              </w:rPr>
            </w:pPr>
            <w:r w:rsidRPr="0063347C">
              <w:rPr>
                <w:szCs w:val="22"/>
              </w:rPr>
              <w:t>2</w:t>
            </w:r>
          </w:p>
        </w:tc>
        <w:tc>
          <w:tcPr>
            <w:tcW w:w="4423" w:type="dxa"/>
          </w:tcPr>
          <w:p w14:paraId="6C821CF5" w14:textId="77777777" w:rsidR="00B80DA4" w:rsidRPr="0063347C" w:rsidRDefault="00B80DA4" w:rsidP="000E7785">
            <w:pPr>
              <w:pStyle w:val="Tabletext"/>
              <w:rPr>
                <w:szCs w:val="22"/>
                <w:lang w:eastAsia="zh-CN"/>
              </w:rPr>
            </w:pPr>
            <w:r>
              <w:rPr>
                <w:rFonts w:hint="eastAsia"/>
                <w:szCs w:val="22"/>
                <w:lang w:eastAsia="zh-CN"/>
              </w:rPr>
              <w:t>以塔楼特定办公室中试行的现代照明系统为基础</w:t>
            </w:r>
          </w:p>
        </w:tc>
      </w:tr>
      <w:tr w:rsidR="00B80DA4" w:rsidRPr="0063347C" w14:paraId="466B6A32" w14:textId="77777777" w:rsidTr="000E7785">
        <w:trPr>
          <w:jc w:val="center"/>
        </w:trPr>
        <w:tc>
          <w:tcPr>
            <w:tcW w:w="2552" w:type="dxa"/>
          </w:tcPr>
          <w:p w14:paraId="7D8A8EF7" w14:textId="77777777" w:rsidR="00B80DA4" w:rsidRPr="0063347C" w:rsidRDefault="00B80DA4" w:rsidP="000E7785">
            <w:pPr>
              <w:pStyle w:val="Tabletext"/>
              <w:rPr>
                <w:szCs w:val="22"/>
              </w:rPr>
            </w:pPr>
            <w:r>
              <w:rPr>
                <w:rFonts w:hint="eastAsia"/>
                <w:szCs w:val="22"/>
                <w:lang w:eastAsia="zh-CN"/>
              </w:rPr>
              <w:t>更换会议厅设施</w:t>
            </w:r>
          </w:p>
        </w:tc>
        <w:tc>
          <w:tcPr>
            <w:tcW w:w="1588" w:type="dxa"/>
          </w:tcPr>
          <w:p w14:paraId="479BA4F2" w14:textId="77777777" w:rsidR="00B80DA4" w:rsidRPr="0063347C" w:rsidRDefault="00B80DA4" w:rsidP="000E7785">
            <w:pPr>
              <w:pStyle w:val="Tabletext"/>
              <w:jc w:val="center"/>
              <w:rPr>
                <w:szCs w:val="22"/>
              </w:rPr>
            </w:pPr>
            <w:r w:rsidRPr="0063347C">
              <w:rPr>
                <w:szCs w:val="22"/>
              </w:rPr>
              <w:t>6</w:t>
            </w:r>
          </w:p>
        </w:tc>
        <w:tc>
          <w:tcPr>
            <w:tcW w:w="4423" w:type="dxa"/>
          </w:tcPr>
          <w:p w14:paraId="3913C4A3" w14:textId="77777777" w:rsidR="00B80DA4" w:rsidRPr="0063347C" w:rsidRDefault="00B80DA4" w:rsidP="000E7785">
            <w:pPr>
              <w:pStyle w:val="Tabletext"/>
              <w:rPr>
                <w:szCs w:val="22"/>
                <w:lang w:eastAsia="zh-CN"/>
              </w:rPr>
            </w:pPr>
            <w:r>
              <w:rPr>
                <w:szCs w:val="22"/>
                <w:lang w:eastAsia="zh-CN"/>
              </w:rPr>
              <w:t>600</w:t>
            </w:r>
            <w:r>
              <w:rPr>
                <w:rFonts w:hint="eastAsia"/>
                <w:szCs w:val="22"/>
                <w:lang w:eastAsia="zh-CN"/>
              </w:rPr>
              <w:t>个坐席，每坐席为</w:t>
            </w:r>
            <w:r>
              <w:rPr>
                <w:szCs w:val="22"/>
                <w:lang w:eastAsia="zh-CN"/>
              </w:rPr>
              <w:t xml:space="preserve">10 </w:t>
            </w:r>
            <w:r w:rsidRPr="0063347C">
              <w:rPr>
                <w:szCs w:val="22"/>
                <w:lang w:eastAsia="zh-CN"/>
              </w:rPr>
              <w:t>000</w:t>
            </w:r>
            <w:r>
              <w:rPr>
                <w:rFonts w:hint="eastAsia"/>
                <w:szCs w:val="22"/>
                <w:lang w:eastAsia="zh-CN"/>
              </w:rPr>
              <w:t>瑞郎，包括音视频设备</w:t>
            </w:r>
          </w:p>
        </w:tc>
      </w:tr>
      <w:tr w:rsidR="00B80DA4" w:rsidRPr="0063347C" w14:paraId="41F91D1B" w14:textId="77777777" w:rsidTr="000E7785">
        <w:trPr>
          <w:jc w:val="center"/>
        </w:trPr>
        <w:tc>
          <w:tcPr>
            <w:tcW w:w="2552" w:type="dxa"/>
          </w:tcPr>
          <w:p w14:paraId="21D5D6DC" w14:textId="77777777" w:rsidR="00B80DA4" w:rsidRPr="0063347C" w:rsidRDefault="00B80DA4" w:rsidP="000E7785">
            <w:pPr>
              <w:pStyle w:val="Tabletext"/>
              <w:rPr>
                <w:szCs w:val="22"/>
              </w:rPr>
            </w:pPr>
            <w:r>
              <w:rPr>
                <w:rFonts w:hint="eastAsia"/>
                <w:szCs w:val="22"/>
                <w:lang w:eastAsia="zh-CN"/>
              </w:rPr>
              <w:t>防爆膜、</w:t>
            </w:r>
            <w:r w:rsidRPr="0063347C">
              <w:rPr>
                <w:szCs w:val="22"/>
              </w:rPr>
              <w:t>MOSS</w:t>
            </w:r>
            <w:r>
              <w:rPr>
                <w:szCs w:val="22"/>
              </w:rPr>
              <w:t>*</w:t>
            </w:r>
            <w:r>
              <w:rPr>
                <w:rFonts w:hint="eastAsia"/>
                <w:szCs w:val="22"/>
                <w:lang w:eastAsia="zh-CN"/>
              </w:rPr>
              <w:t>措施</w:t>
            </w:r>
          </w:p>
        </w:tc>
        <w:tc>
          <w:tcPr>
            <w:tcW w:w="1588" w:type="dxa"/>
          </w:tcPr>
          <w:p w14:paraId="23A06F78" w14:textId="77777777" w:rsidR="00B80DA4" w:rsidRPr="0063347C" w:rsidRDefault="00B80DA4" w:rsidP="000E7785">
            <w:pPr>
              <w:pStyle w:val="Tabletext"/>
              <w:jc w:val="center"/>
              <w:rPr>
                <w:szCs w:val="22"/>
              </w:rPr>
            </w:pPr>
            <w:r w:rsidRPr="0063347C">
              <w:rPr>
                <w:szCs w:val="22"/>
              </w:rPr>
              <w:t>0.5</w:t>
            </w:r>
          </w:p>
        </w:tc>
        <w:tc>
          <w:tcPr>
            <w:tcW w:w="4423" w:type="dxa"/>
          </w:tcPr>
          <w:p w14:paraId="5CE11540" w14:textId="77777777" w:rsidR="00B80DA4" w:rsidRPr="0063347C" w:rsidRDefault="00B80DA4" w:rsidP="000E7785">
            <w:pPr>
              <w:pStyle w:val="Tabletext"/>
              <w:rPr>
                <w:szCs w:val="22"/>
              </w:rPr>
            </w:pPr>
          </w:p>
        </w:tc>
      </w:tr>
      <w:tr w:rsidR="00B80DA4" w:rsidRPr="0063347C" w14:paraId="77AEFFB7" w14:textId="77777777" w:rsidTr="000E7785">
        <w:trPr>
          <w:jc w:val="center"/>
        </w:trPr>
        <w:tc>
          <w:tcPr>
            <w:tcW w:w="2552" w:type="dxa"/>
          </w:tcPr>
          <w:p w14:paraId="0CDE5B05" w14:textId="77777777" w:rsidR="00B80DA4" w:rsidRPr="0063347C" w:rsidRDefault="00B80DA4" w:rsidP="000E7785">
            <w:pPr>
              <w:pStyle w:val="Tabletext"/>
              <w:rPr>
                <w:szCs w:val="22"/>
                <w:lang w:eastAsia="zh-CN"/>
              </w:rPr>
            </w:pPr>
            <w:r>
              <w:rPr>
                <w:rFonts w:hint="eastAsia"/>
                <w:szCs w:val="22"/>
                <w:lang w:eastAsia="zh-CN"/>
              </w:rPr>
              <w:t>计算机室：更换服务设施；信息处理连接和网络工程</w:t>
            </w:r>
          </w:p>
        </w:tc>
        <w:tc>
          <w:tcPr>
            <w:tcW w:w="1588" w:type="dxa"/>
          </w:tcPr>
          <w:p w14:paraId="495689DC" w14:textId="77777777" w:rsidR="00B80DA4" w:rsidRPr="0063347C" w:rsidRDefault="00B80DA4" w:rsidP="000E7785">
            <w:pPr>
              <w:pStyle w:val="Tabletext"/>
              <w:jc w:val="center"/>
              <w:rPr>
                <w:szCs w:val="22"/>
              </w:rPr>
            </w:pPr>
            <w:r>
              <w:rPr>
                <w:szCs w:val="22"/>
              </w:rPr>
              <w:t>1</w:t>
            </w:r>
          </w:p>
        </w:tc>
        <w:tc>
          <w:tcPr>
            <w:tcW w:w="4423" w:type="dxa"/>
          </w:tcPr>
          <w:p w14:paraId="17F39BDC" w14:textId="77777777" w:rsidR="00B80DA4" w:rsidRPr="0063347C" w:rsidRDefault="00B80DA4" w:rsidP="000E7785">
            <w:pPr>
              <w:pStyle w:val="Tabletext"/>
              <w:rPr>
                <w:szCs w:val="22"/>
              </w:rPr>
            </w:pPr>
          </w:p>
        </w:tc>
      </w:tr>
      <w:tr w:rsidR="00B80DA4" w:rsidRPr="0063347C" w14:paraId="118FEB10" w14:textId="77777777" w:rsidTr="000E7785">
        <w:trPr>
          <w:jc w:val="center"/>
        </w:trPr>
        <w:tc>
          <w:tcPr>
            <w:tcW w:w="2552" w:type="dxa"/>
          </w:tcPr>
          <w:p w14:paraId="0F95038C" w14:textId="77777777" w:rsidR="00B80DA4" w:rsidRPr="0063347C" w:rsidRDefault="00B80DA4" w:rsidP="000E7785">
            <w:pPr>
              <w:pStyle w:val="Tabletext"/>
              <w:rPr>
                <w:szCs w:val="22"/>
              </w:rPr>
            </w:pPr>
            <w:r>
              <w:rPr>
                <w:rFonts w:hint="eastAsia"/>
                <w:szCs w:val="22"/>
                <w:lang w:eastAsia="zh-CN"/>
              </w:rPr>
              <w:t>地下室再密封，外部工程</w:t>
            </w:r>
          </w:p>
        </w:tc>
        <w:tc>
          <w:tcPr>
            <w:tcW w:w="1588" w:type="dxa"/>
          </w:tcPr>
          <w:p w14:paraId="62B5D345" w14:textId="77777777" w:rsidR="00B80DA4" w:rsidRPr="0063347C" w:rsidRDefault="00B80DA4" w:rsidP="000E7785">
            <w:pPr>
              <w:pStyle w:val="Tabletext"/>
              <w:jc w:val="center"/>
              <w:rPr>
                <w:szCs w:val="22"/>
              </w:rPr>
            </w:pPr>
            <w:r w:rsidRPr="0063347C">
              <w:rPr>
                <w:szCs w:val="22"/>
              </w:rPr>
              <w:t>0.5</w:t>
            </w:r>
          </w:p>
        </w:tc>
        <w:tc>
          <w:tcPr>
            <w:tcW w:w="4423" w:type="dxa"/>
          </w:tcPr>
          <w:p w14:paraId="7476EDDB" w14:textId="77777777" w:rsidR="00B80DA4" w:rsidRPr="0063347C" w:rsidRDefault="00B80DA4" w:rsidP="000E7785">
            <w:pPr>
              <w:pStyle w:val="Tabletext"/>
              <w:rPr>
                <w:szCs w:val="22"/>
              </w:rPr>
            </w:pPr>
          </w:p>
        </w:tc>
      </w:tr>
      <w:tr w:rsidR="00B80DA4" w:rsidRPr="0063347C" w14:paraId="7DF71A93" w14:textId="77777777" w:rsidTr="000E7785">
        <w:trPr>
          <w:jc w:val="center"/>
        </w:trPr>
        <w:tc>
          <w:tcPr>
            <w:tcW w:w="2552" w:type="dxa"/>
          </w:tcPr>
          <w:p w14:paraId="59398C11" w14:textId="77777777" w:rsidR="00B80DA4" w:rsidRPr="0063347C" w:rsidRDefault="00B80DA4" w:rsidP="000E7785">
            <w:pPr>
              <w:pStyle w:val="Tabletext"/>
              <w:rPr>
                <w:szCs w:val="22"/>
              </w:rPr>
            </w:pPr>
            <w:r>
              <w:rPr>
                <w:rFonts w:hint="eastAsia"/>
                <w:szCs w:val="22"/>
                <w:lang w:eastAsia="zh-CN"/>
              </w:rPr>
              <w:t>更换卫生间设施</w:t>
            </w:r>
          </w:p>
        </w:tc>
        <w:tc>
          <w:tcPr>
            <w:tcW w:w="1588" w:type="dxa"/>
          </w:tcPr>
          <w:p w14:paraId="0FBF5E6A" w14:textId="77777777" w:rsidR="00B80DA4" w:rsidRPr="0063347C" w:rsidRDefault="00B80DA4" w:rsidP="000E7785">
            <w:pPr>
              <w:pStyle w:val="Tabletext"/>
              <w:jc w:val="center"/>
              <w:rPr>
                <w:szCs w:val="22"/>
              </w:rPr>
            </w:pPr>
            <w:r w:rsidRPr="0063347C">
              <w:rPr>
                <w:szCs w:val="22"/>
              </w:rPr>
              <w:t>2</w:t>
            </w:r>
          </w:p>
        </w:tc>
        <w:tc>
          <w:tcPr>
            <w:tcW w:w="4423" w:type="dxa"/>
          </w:tcPr>
          <w:p w14:paraId="3B95D41C" w14:textId="77777777" w:rsidR="00B80DA4" w:rsidRPr="0063347C" w:rsidRDefault="00B80DA4" w:rsidP="000E7785">
            <w:pPr>
              <w:pStyle w:val="Tabletext"/>
              <w:rPr>
                <w:szCs w:val="22"/>
              </w:rPr>
            </w:pPr>
          </w:p>
        </w:tc>
      </w:tr>
      <w:tr w:rsidR="00B80DA4" w:rsidRPr="0063347C" w14:paraId="3D369F11" w14:textId="77777777" w:rsidTr="000E7785">
        <w:trPr>
          <w:jc w:val="center"/>
        </w:trPr>
        <w:tc>
          <w:tcPr>
            <w:tcW w:w="2552" w:type="dxa"/>
          </w:tcPr>
          <w:p w14:paraId="0BC36288" w14:textId="77777777" w:rsidR="00B80DA4" w:rsidRPr="0063347C" w:rsidRDefault="00B80DA4" w:rsidP="000E7785">
            <w:pPr>
              <w:pStyle w:val="Tabletext"/>
              <w:rPr>
                <w:szCs w:val="22"/>
                <w:lang w:eastAsia="zh-CN"/>
              </w:rPr>
            </w:pPr>
            <w:r>
              <w:rPr>
                <w:rFonts w:hint="eastAsia"/>
                <w:szCs w:val="22"/>
                <w:lang w:eastAsia="zh-CN"/>
              </w:rPr>
              <w:t>更换集中配电、供热</w:t>
            </w:r>
            <w:r>
              <w:rPr>
                <w:rFonts w:hint="eastAsia"/>
                <w:szCs w:val="22"/>
                <w:lang w:eastAsia="zh-CN"/>
              </w:rPr>
              <w:t>/</w:t>
            </w:r>
            <w:r>
              <w:rPr>
                <w:rFonts w:hint="eastAsia"/>
                <w:szCs w:val="22"/>
                <w:lang w:eastAsia="zh-CN"/>
              </w:rPr>
              <w:t>制冷系统</w:t>
            </w:r>
          </w:p>
        </w:tc>
        <w:tc>
          <w:tcPr>
            <w:tcW w:w="1588" w:type="dxa"/>
          </w:tcPr>
          <w:p w14:paraId="61A7A8E3" w14:textId="77777777" w:rsidR="00B80DA4" w:rsidRPr="0063347C" w:rsidRDefault="00B80DA4" w:rsidP="000E7785">
            <w:pPr>
              <w:pStyle w:val="Tabletext"/>
              <w:jc w:val="center"/>
              <w:rPr>
                <w:szCs w:val="22"/>
              </w:rPr>
            </w:pPr>
            <w:r w:rsidRPr="0063347C">
              <w:rPr>
                <w:szCs w:val="22"/>
              </w:rPr>
              <w:t>1</w:t>
            </w:r>
          </w:p>
        </w:tc>
        <w:tc>
          <w:tcPr>
            <w:tcW w:w="4423" w:type="dxa"/>
          </w:tcPr>
          <w:p w14:paraId="7806F01E" w14:textId="77777777" w:rsidR="00B80DA4" w:rsidRPr="0063347C" w:rsidRDefault="00B80DA4" w:rsidP="000E7785">
            <w:pPr>
              <w:pStyle w:val="Tabletext"/>
              <w:rPr>
                <w:szCs w:val="22"/>
              </w:rPr>
            </w:pPr>
          </w:p>
        </w:tc>
      </w:tr>
      <w:tr w:rsidR="00B80DA4" w:rsidRPr="0063347C" w14:paraId="73850029" w14:textId="77777777" w:rsidTr="000E7785">
        <w:trPr>
          <w:jc w:val="center"/>
        </w:trPr>
        <w:tc>
          <w:tcPr>
            <w:tcW w:w="2552" w:type="dxa"/>
          </w:tcPr>
          <w:p w14:paraId="738125DD" w14:textId="77777777" w:rsidR="00B80DA4" w:rsidRPr="0063347C" w:rsidRDefault="00B80DA4" w:rsidP="000E7785">
            <w:pPr>
              <w:pStyle w:val="Tabletext"/>
              <w:rPr>
                <w:szCs w:val="22"/>
              </w:rPr>
            </w:pPr>
            <w:r>
              <w:rPr>
                <w:rFonts w:hint="eastAsia"/>
                <w:szCs w:val="22"/>
                <w:lang w:eastAsia="zh-CN"/>
              </w:rPr>
              <w:t>其它消防工程</w:t>
            </w:r>
          </w:p>
        </w:tc>
        <w:tc>
          <w:tcPr>
            <w:tcW w:w="1588" w:type="dxa"/>
          </w:tcPr>
          <w:p w14:paraId="3C96958F" w14:textId="77777777" w:rsidR="00B80DA4" w:rsidRPr="0063347C" w:rsidRDefault="00B80DA4" w:rsidP="000E7785">
            <w:pPr>
              <w:pStyle w:val="Tabletext"/>
              <w:jc w:val="center"/>
              <w:rPr>
                <w:szCs w:val="22"/>
              </w:rPr>
            </w:pPr>
            <w:r w:rsidRPr="0063347C">
              <w:rPr>
                <w:szCs w:val="22"/>
              </w:rPr>
              <w:t>1</w:t>
            </w:r>
          </w:p>
        </w:tc>
        <w:tc>
          <w:tcPr>
            <w:tcW w:w="4423" w:type="dxa"/>
          </w:tcPr>
          <w:p w14:paraId="77F4559A" w14:textId="77777777" w:rsidR="00B80DA4" w:rsidRPr="0063347C" w:rsidRDefault="00B80DA4" w:rsidP="000E7785">
            <w:pPr>
              <w:pStyle w:val="Tabletext"/>
              <w:rPr>
                <w:szCs w:val="22"/>
              </w:rPr>
            </w:pPr>
          </w:p>
        </w:tc>
      </w:tr>
      <w:tr w:rsidR="00B80DA4" w:rsidRPr="0063347C" w14:paraId="797D7242" w14:textId="77777777" w:rsidTr="000E7785">
        <w:trPr>
          <w:jc w:val="center"/>
        </w:trPr>
        <w:tc>
          <w:tcPr>
            <w:tcW w:w="2552" w:type="dxa"/>
          </w:tcPr>
          <w:p w14:paraId="5064119D" w14:textId="77777777" w:rsidR="00B80DA4" w:rsidRPr="0063347C" w:rsidRDefault="00B80DA4" w:rsidP="000E7785">
            <w:pPr>
              <w:pStyle w:val="Tabletext"/>
              <w:rPr>
                <w:szCs w:val="22"/>
              </w:rPr>
            </w:pPr>
            <w:r>
              <w:rPr>
                <w:rFonts w:hint="eastAsia"/>
                <w:szCs w:val="22"/>
                <w:lang w:eastAsia="zh-CN"/>
              </w:rPr>
              <w:t>其它无障碍通行工程</w:t>
            </w:r>
          </w:p>
        </w:tc>
        <w:tc>
          <w:tcPr>
            <w:tcW w:w="1588" w:type="dxa"/>
          </w:tcPr>
          <w:p w14:paraId="2A04A375" w14:textId="77777777" w:rsidR="00B80DA4" w:rsidRPr="0063347C" w:rsidRDefault="00B80DA4" w:rsidP="000E7785">
            <w:pPr>
              <w:pStyle w:val="Tabletext"/>
              <w:jc w:val="center"/>
              <w:rPr>
                <w:szCs w:val="22"/>
              </w:rPr>
            </w:pPr>
            <w:r w:rsidRPr="0063347C">
              <w:rPr>
                <w:szCs w:val="22"/>
              </w:rPr>
              <w:t>1</w:t>
            </w:r>
          </w:p>
        </w:tc>
        <w:tc>
          <w:tcPr>
            <w:tcW w:w="4423" w:type="dxa"/>
          </w:tcPr>
          <w:p w14:paraId="0EFF76CE" w14:textId="77777777" w:rsidR="00B80DA4" w:rsidRPr="0063347C" w:rsidRDefault="00B80DA4" w:rsidP="000E7785">
            <w:pPr>
              <w:pStyle w:val="Tabletext"/>
              <w:rPr>
                <w:szCs w:val="22"/>
              </w:rPr>
            </w:pPr>
          </w:p>
        </w:tc>
      </w:tr>
      <w:tr w:rsidR="00B80DA4" w:rsidRPr="0063347C" w14:paraId="26430F9B" w14:textId="77777777" w:rsidTr="000E7785">
        <w:trPr>
          <w:jc w:val="center"/>
        </w:trPr>
        <w:tc>
          <w:tcPr>
            <w:tcW w:w="2552" w:type="dxa"/>
          </w:tcPr>
          <w:p w14:paraId="5C953B5F" w14:textId="77777777" w:rsidR="00B80DA4" w:rsidRPr="005B3B37" w:rsidRDefault="00B80DA4" w:rsidP="000E7785">
            <w:pPr>
              <w:pStyle w:val="Tabletext"/>
              <w:rPr>
                <w:b/>
                <w:bCs/>
                <w:szCs w:val="22"/>
              </w:rPr>
            </w:pPr>
            <w:r>
              <w:rPr>
                <w:rFonts w:hint="eastAsia"/>
                <w:b/>
                <w:bCs/>
                <w:szCs w:val="22"/>
                <w:lang w:eastAsia="zh-CN"/>
              </w:rPr>
              <w:t>合计</w:t>
            </w:r>
            <w:r w:rsidRPr="008D1F1C">
              <w:rPr>
                <w:rFonts w:hint="eastAsia"/>
                <w:szCs w:val="22"/>
                <w:lang w:eastAsia="zh-CN"/>
              </w:rPr>
              <w:t>（四舍五入）</w:t>
            </w:r>
          </w:p>
        </w:tc>
        <w:tc>
          <w:tcPr>
            <w:tcW w:w="1588" w:type="dxa"/>
          </w:tcPr>
          <w:p w14:paraId="64138CD7" w14:textId="77777777" w:rsidR="00B80DA4" w:rsidRPr="005B3B37" w:rsidRDefault="00B80DA4" w:rsidP="000E7785">
            <w:pPr>
              <w:pStyle w:val="Tabletext"/>
              <w:jc w:val="center"/>
              <w:rPr>
                <w:b/>
                <w:bCs/>
                <w:szCs w:val="22"/>
              </w:rPr>
            </w:pPr>
            <w:r w:rsidRPr="005B3B37">
              <w:rPr>
                <w:b/>
                <w:bCs/>
                <w:szCs w:val="22"/>
              </w:rPr>
              <w:t>45</w:t>
            </w:r>
          </w:p>
        </w:tc>
        <w:tc>
          <w:tcPr>
            <w:tcW w:w="4423" w:type="dxa"/>
          </w:tcPr>
          <w:p w14:paraId="5D0F126F" w14:textId="77777777" w:rsidR="00B80DA4" w:rsidRPr="0063347C" w:rsidRDefault="00B80DA4" w:rsidP="000E7785">
            <w:pPr>
              <w:pStyle w:val="Tabletext"/>
              <w:rPr>
                <w:szCs w:val="22"/>
              </w:rPr>
            </w:pPr>
          </w:p>
        </w:tc>
      </w:tr>
    </w:tbl>
    <w:p w14:paraId="75BA7AA2" w14:textId="77777777" w:rsidR="00B80DA4" w:rsidRPr="001C6009" w:rsidRDefault="00B80DA4" w:rsidP="00B80DA4">
      <w:pPr>
        <w:tabs>
          <w:tab w:val="clear" w:pos="567"/>
          <w:tab w:val="clear" w:pos="1134"/>
          <w:tab w:val="clear" w:pos="1701"/>
          <w:tab w:val="clear" w:pos="2268"/>
          <w:tab w:val="clear" w:pos="2835"/>
        </w:tabs>
        <w:ind w:left="709" w:hanging="142"/>
        <w:rPr>
          <w:szCs w:val="24"/>
        </w:rPr>
      </w:pPr>
      <w:r>
        <w:t xml:space="preserve">*MOSS = </w:t>
      </w:r>
      <w:r>
        <w:rPr>
          <w:rFonts w:hint="eastAsia"/>
          <w:lang w:eastAsia="zh-CN"/>
        </w:rPr>
        <w:t>最低运行安全标准</w:t>
      </w:r>
    </w:p>
    <w:p w14:paraId="0DFF8414" w14:textId="77777777" w:rsidR="00B80DA4" w:rsidRPr="0063347C" w:rsidRDefault="00B80DA4" w:rsidP="00B80DA4">
      <w:pPr>
        <w:pStyle w:val="Headingb"/>
        <w:tabs>
          <w:tab w:val="clear" w:pos="567"/>
          <w:tab w:val="clear" w:pos="1134"/>
          <w:tab w:val="clear" w:pos="1701"/>
          <w:tab w:val="clear" w:pos="2268"/>
          <w:tab w:val="clear" w:pos="2835"/>
        </w:tabs>
        <w:spacing w:before="480" w:after="240"/>
        <w:ind w:left="0" w:firstLine="0"/>
        <w:rPr>
          <w:lang w:eastAsia="zh-CN"/>
        </w:rPr>
      </w:pPr>
      <w:r>
        <w:rPr>
          <w:rFonts w:hint="eastAsia"/>
          <w:lang w:eastAsia="zh-CN"/>
        </w:rPr>
        <w:t>亟待进行的</w:t>
      </w:r>
      <w:r w:rsidRPr="0063347C">
        <w:rPr>
          <w:lang w:eastAsia="zh-CN"/>
        </w:rPr>
        <w:t>Varembé</w:t>
      </w:r>
      <w:r>
        <w:rPr>
          <w:rFonts w:hint="eastAsia"/>
          <w:lang w:eastAsia="zh-CN"/>
        </w:rPr>
        <w:t>办公楼维护工程（现有大楼被拆除前，</w:t>
      </w:r>
      <w:r>
        <w:rPr>
          <w:rFonts w:hint="eastAsia"/>
          <w:lang w:eastAsia="zh-CN"/>
        </w:rPr>
        <w:t>2015-2024</w:t>
      </w:r>
      <w:r>
        <w:rPr>
          <w:rFonts w:hint="eastAsia"/>
          <w:lang w:eastAsia="zh-CN"/>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B80DA4" w:rsidRPr="0063347C" w14:paraId="73AE9887" w14:textId="77777777" w:rsidTr="000E7785">
        <w:trPr>
          <w:jc w:val="center"/>
        </w:trPr>
        <w:tc>
          <w:tcPr>
            <w:tcW w:w="2552" w:type="dxa"/>
          </w:tcPr>
          <w:p w14:paraId="1E7AA40C" w14:textId="77777777" w:rsidR="00B80DA4" w:rsidRPr="0063347C" w:rsidRDefault="00B80DA4" w:rsidP="000E7785">
            <w:pPr>
              <w:pStyle w:val="Tablehead"/>
              <w:spacing w:before="60" w:after="60"/>
            </w:pPr>
            <w:r>
              <w:rPr>
                <w:rFonts w:hint="eastAsia"/>
                <w:lang w:eastAsia="zh-CN"/>
              </w:rPr>
              <w:t>项目</w:t>
            </w:r>
          </w:p>
        </w:tc>
        <w:tc>
          <w:tcPr>
            <w:tcW w:w="1588" w:type="dxa"/>
          </w:tcPr>
          <w:p w14:paraId="61F41D59" w14:textId="77777777" w:rsidR="00B80DA4" w:rsidRPr="0063347C" w:rsidRDefault="00B80DA4" w:rsidP="000E7785">
            <w:pPr>
              <w:pStyle w:val="Tablehead"/>
              <w:spacing w:before="60" w:after="60"/>
              <w:rPr>
                <w:lang w:eastAsia="zh-CN"/>
              </w:rPr>
            </w:pPr>
            <w:r>
              <w:rPr>
                <w:rFonts w:hint="eastAsia"/>
                <w:lang w:eastAsia="zh-CN"/>
              </w:rPr>
              <w:t>费用</w:t>
            </w:r>
          </w:p>
          <w:p w14:paraId="6D16D9FD"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423" w:type="dxa"/>
          </w:tcPr>
          <w:p w14:paraId="20B5A604" w14:textId="77777777" w:rsidR="00B80DA4" w:rsidRPr="0063347C" w:rsidRDefault="00B80DA4" w:rsidP="000E7785">
            <w:pPr>
              <w:pStyle w:val="Tablehead"/>
              <w:spacing w:before="60" w:after="60"/>
              <w:rPr>
                <w:lang w:eastAsia="zh-CN"/>
              </w:rPr>
            </w:pPr>
            <w:r>
              <w:rPr>
                <w:rFonts w:hint="eastAsia"/>
                <w:lang w:eastAsia="zh-CN"/>
              </w:rPr>
              <w:t>说明</w:t>
            </w:r>
          </w:p>
        </w:tc>
      </w:tr>
      <w:tr w:rsidR="00B80DA4" w:rsidRPr="0063347C" w14:paraId="7F6874F9" w14:textId="77777777" w:rsidTr="000E7785">
        <w:trPr>
          <w:jc w:val="center"/>
        </w:trPr>
        <w:tc>
          <w:tcPr>
            <w:tcW w:w="2552" w:type="dxa"/>
          </w:tcPr>
          <w:p w14:paraId="0C1E7246" w14:textId="77777777" w:rsidR="00B80DA4" w:rsidRPr="0063347C" w:rsidRDefault="00B80DA4" w:rsidP="000E7785">
            <w:pPr>
              <w:pStyle w:val="Tabletext"/>
              <w:rPr>
                <w:lang w:eastAsia="zh-CN"/>
              </w:rPr>
            </w:pPr>
            <w:r>
              <w:rPr>
                <w:rFonts w:hint="eastAsia"/>
                <w:lang w:eastAsia="zh-CN"/>
              </w:rPr>
              <w:t>仅为紧急工程</w:t>
            </w:r>
          </w:p>
        </w:tc>
        <w:tc>
          <w:tcPr>
            <w:tcW w:w="1588" w:type="dxa"/>
          </w:tcPr>
          <w:p w14:paraId="0712AB65" w14:textId="77777777" w:rsidR="00B80DA4" w:rsidRPr="0063347C" w:rsidRDefault="00B80DA4" w:rsidP="000E7785">
            <w:pPr>
              <w:pStyle w:val="Tabletext"/>
              <w:jc w:val="center"/>
              <w:rPr>
                <w:lang w:eastAsia="zh-CN"/>
              </w:rPr>
            </w:pPr>
            <w:r w:rsidRPr="0063347C">
              <w:rPr>
                <w:lang w:eastAsia="zh-CN"/>
              </w:rPr>
              <w:t>1</w:t>
            </w:r>
          </w:p>
        </w:tc>
        <w:tc>
          <w:tcPr>
            <w:tcW w:w="4423" w:type="dxa"/>
          </w:tcPr>
          <w:p w14:paraId="7245EB80" w14:textId="77777777" w:rsidR="00B80DA4" w:rsidRPr="0063347C" w:rsidRDefault="00B80DA4" w:rsidP="000E7785">
            <w:pPr>
              <w:pStyle w:val="Tabletext"/>
              <w:rPr>
                <w:lang w:eastAsia="zh-CN"/>
              </w:rPr>
            </w:pPr>
            <w:r>
              <w:rPr>
                <w:rFonts w:hint="eastAsia"/>
                <w:lang w:eastAsia="zh-CN"/>
              </w:rPr>
              <w:t>为保证服务的继续，假设在进驻</w:t>
            </w:r>
            <w:r w:rsidRPr="0063347C">
              <w:rPr>
                <w:lang w:eastAsia="zh-CN"/>
              </w:rPr>
              <w:t>Varembé II</w:t>
            </w:r>
            <w:r>
              <w:rPr>
                <w:rFonts w:hint="eastAsia"/>
                <w:lang w:eastAsia="zh-CN"/>
              </w:rPr>
              <w:t>楼之后才拆除现有办公楼，资金将源自新办公楼项目</w:t>
            </w:r>
          </w:p>
        </w:tc>
      </w:tr>
      <w:tr w:rsidR="00B80DA4" w:rsidRPr="0063347C" w14:paraId="0C7084FB" w14:textId="77777777" w:rsidTr="000E7785">
        <w:trPr>
          <w:jc w:val="center"/>
        </w:trPr>
        <w:tc>
          <w:tcPr>
            <w:tcW w:w="2552" w:type="dxa"/>
          </w:tcPr>
          <w:p w14:paraId="655C6ED0" w14:textId="77777777" w:rsidR="00B80DA4" w:rsidRPr="005B3B37" w:rsidRDefault="00B80DA4" w:rsidP="000E7785">
            <w:pPr>
              <w:pStyle w:val="Tabletext"/>
              <w:rPr>
                <w:b/>
                <w:bCs/>
                <w:lang w:eastAsia="zh-CN"/>
              </w:rPr>
            </w:pPr>
            <w:r>
              <w:rPr>
                <w:rFonts w:hint="eastAsia"/>
                <w:b/>
                <w:bCs/>
                <w:lang w:eastAsia="zh-CN"/>
              </w:rPr>
              <w:t>合计</w:t>
            </w:r>
          </w:p>
        </w:tc>
        <w:tc>
          <w:tcPr>
            <w:tcW w:w="1588" w:type="dxa"/>
          </w:tcPr>
          <w:p w14:paraId="2614133B" w14:textId="77777777" w:rsidR="00B80DA4" w:rsidRPr="005B3B37" w:rsidRDefault="00B80DA4" w:rsidP="000E7785">
            <w:pPr>
              <w:pStyle w:val="Tabletext"/>
              <w:jc w:val="center"/>
              <w:rPr>
                <w:b/>
                <w:bCs/>
                <w:lang w:eastAsia="zh-CN"/>
              </w:rPr>
            </w:pPr>
            <w:r w:rsidRPr="005B3B37">
              <w:rPr>
                <w:b/>
                <w:bCs/>
                <w:lang w:eastAsia="zh-CN"/>
              </w:rPr>
              <w:t>1</w:t>
            </w:r>
          </w:p>
        </w:tc>
        <w:tc>
          <w:tcPr>
            <w:tcW w:w="4423" w:type="dxa"/>
          </w:tcPr>
          <w:p w14:paraId="6B3286F6" w14:textId="77777777" w:rsidR="00B80DA4" w:rsidRPr="0063347C" w:rsidRDefault="00B80DA4" w:rsidP="000E7785">
            <w:pPr>
              <w:pStyle w:val="Tabletext"/>
              <w:rPr>
                <w:lang w:eastAsia="zh-CN"/>
              </w:rPr>
            </w:pPr>
          </w:p>
        </w:tc>
      </w:tr>
    </w:tbl>
    <w:p w14:paraId="53AA3D2A" w14:textId="77777777" w:rsidR="00B80DA4" w:rsidRPr="0063347C" w:rsidRDefault="00B80DA4" w:rsidP="00B80DA4">
      <w:pPr>
        <w:pStyle w:val="Headingb"/>
        <w:spacing w:before="240" w:after="240"/>
        <w:rPr>
          <w:lang w:eastAsia="zh-CN"/>
        </w:rPr>
      </w:pPr>
      <w:r>
        <w:rPr>
          <w:rFonts w:hint="eastAsia"/>
          <w:lang w:eastAsia="zh-CN"/>
        </w:rPr>
        <w:lastRenderedPageBreak/>
        <w:t>方案</w:t>
      </w:r>
      <w:r>
        <w:rPr>
          <w:rFonts w:hint="eastAsia"/>
          <w:lang w:eastAsia="zh-CN"/>
        </w:rPr>
        <w:t>1</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B80DA4" w:rsidRPr="0063347C" w14:paraId="72EEFD4D" w14:textId="77777777" w:rsidTr="000E7785">
        <w:trPr>
          <w:jc w:val="center"/>
        </w:trPr>
        <w:tc>
          <w:tcPr>
            <w:tcW w:w="2381" w:type="dxa"/>
          </w:tcPr>
          <w:p w14:paraId="44F96600" w14:textId="77777777" w:rsidR="00B80DA4" w:rsidRPr="0063347C" w:rsidRDefault="00B80DA4" w:rsidP="000E7785">
            <w:pPr>
              <w:pStyle w:val="Tablehead"/>
              <w:keepNext/>
              <w:keepLines/>
              <w:spacing w:before="60" w:after="60"/>
              <w:rPr>
                <w:lang w:eastAsia="zh-CN"/>
              </w:rPr>
            </w:pPr>
            <w:r>
              <w:rPr>
                <w:rFonts w:hint="eastAsia"/>
                <w:lang w:eastAsia="zh-CN"/>
              </w:rPr>
              <w:t>楼宇</w:t>
            </w:r>
          </w:p>
        </w:tc>
        <w:tc>
          <w:tcPr>
            <w:tcW w:w="1588" w:type="dxa"/>
          </w:tcPr>
          <w:p w14:paraId="2ECADD80" w14:textId="77777777" w:rsidR="00B80DA4" w:rsidRPr="0063347C" w:rsidRDefault="00B80DA4" w:rsidP="000E7785">
            <w:pPr>
              <w:pStyle w:val="Tablehead"/>
              <w:keepNext/>
              <w:keepLines/>
              <w:spacing w:before="60" w:after="60"/>
              <w:rPr>
                <w:lang w:eastAsia="zh-CN"/>
              </w:rPr>
            </w:pPr>
          </w:p>
        </w:tc>
        <w:tc>
          <w:tcPr>
            <w:tcW w:w="1701" w:type="dxa"/>
          </w:tcPr>
          <w:p w14:paraId="37A046A0" w14:textId="77777777" w:rsidR="00B80DA4" w:rsidRPr="0063347C" w:rsidRDefault="00B80DA4" w:rsidP="000E7785">
            <w:pPr>
              <w:pStyle w:val="Tablehead"/>
              <w:spacing w:before="60" w:after="60"/>
              <w:rPr>
                <w:lang w:eastAsia="zh-CN"/>
              </w:rPr>
            </w:pPr>
            <w:r>
              <w:rPr>
                <w:rFonts w:hint="eastAsia"/>
                <w:lang w:eastAsia="zh-CN"/>
              </w:rPr>
              <w:t>费用</w:t>
            </w:r>
          </w:p>
          <w:p w14:paraId="1AC23AC6"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w:t>
            </w:r>
            <w:r w:rsidR="00262A06">
              <w:rPr>
                <w:lang w:eastAsia="zh-CN"/>
              </w:rPr>
              <w:br/>
            </w:r>
            <w:r>
              <w:rPr>
                <w:rFonts w:hint="eastAsia"/>
                <w:lang w:eastAsia="zh-CN"/>
              </w:rPr>
              <w:t>百万瑞郎）</w:t>
            </w:r>
          </w:p>
        </w:tc>
        <w:tc>
          <w:tcPr>
            <w:tcW w:w="4139" w:type="dxa"/>
          </w:tcPr>
          <w:p w14:paraId="28557ED2" w14:textId="77777777" w:rsidR="00B80DA4" w:rsidRPr="0063347C" w:rsidRDefault="00B80DA4" w:rsidP="000E7785">
            <w:pPr>
              <w:pStyle w:val="Tablehead"/>
              <w:spacing w:before="60" w:after="60"/>
              <w:rPr>
                <w:lang w:eastAsia="zh-CN"/>
              </w:rPr>
            </w:pPr>
            <w:r>
              <w:rPr>
                <w:rFonts w:hint="eastAsia"/>
                <w:lang w:eastAsia="zh-CN"/>
              </w:rPr>
              <w:t>说明</w:t>
            </w:r>
          </w:p>
        </w:tc>
      </w:tr>
      <w:tr w:rsidR="00B80DA4" w:rsidRPr="0063347C" w14:paraId="62D9F70C" w14:textId="77777777" w:rsidTr="000E7785">
        <w:trPr>
          <w:jc w:val="center"/>
        </w:trPr>
        <w:tc>
          <w:tcPr>
            <w:tcW w:w="2381" w:type="dxa"/>
          </w:tcPr>
          <w:p w14:paraId="557869F5" w14:textId="77777777" w:rsidR="00B80DA4" w:rsidRPr="0063347C" w:rsidRDefault="00B80DA4" w:rsidP="000E7785">
            <w:pPr>
              <w:pStyle w:val="Tabletext"/>
              <w:keepNext/>
              <w:keepLines/>
              <w:rPr>
                <w:lang w:eastAsia="zh-CN"/>
              </w:rPr>
            </w:pPr>
            <w:r w:rsidRPr="0063347C">
              <w:rPr>
                <w:lang w:eastAsia="zh-CN"/>
              </w:rPr>
              <w:t>Varembé II</w:t>
            </w:r>
          </w:p>
        </w:tc>
        <w:tc>
          <w:tcPr>
            <w:tcW w:w="1588" w:type="dxa"/>
          </w:tcPr>
          <w:p w14:paraId="0785C6EE" w14:textId="77777777" w:rsidR="00B80DA4" w:rsidRPr="0063347C" w:rsidRDefault="00B80DA4" w:rsidP="000E7785">
            <w:pPr>
              <w:pStyle w:val="Tabletext"/>
              <w:keepNext/>
              <w:keepLines/>
              <w:rPr>
                <w:lang w:eastAsia="zh-CN"/>
              </w:rPr>
            </w:pPr>
            <w:r>
              <w:rPr>
                <w:rFonts w:hint="eastAsia"/>
                <w:lang w:eastAsia="zh-CN"/>
              </w:rPr>
              <w:t>新建</w:t>
            </w:r>
          </w:p>
        </w:tc>
        <w:tc>
          <w:tcPr>
            <w:tcW w:w="1701" w:type="dxa"/>
          </w:tcPr>
          <w:p w14:paraId="322D53A8" w14:textId="77777777" w:rsidR="00B80DA4" w:rsidRPr="0063347C" w:rsidRDefault="00B80DA4" w:rsidP="000E7785">
            <w:pPr>
              <w:pStyle w:val="Tabletext"/>
              <w:keepNext/>
              <w:keepLines/>
              <w:jc w:val="center"/>
              <w:rPr>
                <w:lang w:eastAsia="zh-CN"/>
              </w:rPr>
            </w:pPr>
            <w:r w:rsidRPr="0063347C">
              <w:rPr>
                <w:lang w:eastAsia="zh-CN"/>
              </w:rPr>
              <w:t>150</w:t>
            </w:r>
          </w:p>
        </w:tc>
        <w:tc>
          <w:tcPr>
            <w:tcW w:w="4139" w:type="dxa"/>
          </w:tcPr>
          <w:p w14:paraId="0FEF1A8B" w14:textId="77777777" w:rsidR="00B80DA4" w:rsidRPr="0063347C" w:rsidRDefault="00B80DA4" w:rsidP="000E7785">
            <w:pPr>
              <w:pStyle w:val="Tabletext"/>
              <w:keepNext/>
              <w:keepLines/>
              <w:rPr>
                <w:lang w:eastAsia="zh-CN"/>
              </w:rPr>
            </w:pPr>
            <w:r>
              <w:rPr>
                <w:lang w:eastAsia="zh-CN"/>
              </w:rPr>
              <w:t>2021</w:t>
            </w:r>
            <w:r>
              <w:rPr>
                <w:rFonts w:hint="eastAsia"/>
                <w:lang w:eastAsia="zh-CN"/>
              </w:rPr>
              <w:t>年建成，包括临时安置职员和拆除</w:t>
            </w:r>
            <w:r w:rsidRPr="0063347C">
              <w:rPr>
                <w:lang w:eastAsia="zh-CN"/>
              </w:rPr>
              <w:t>Varembé</w:t>
            </w:r>
            <w:r>
              <w:rPr>
                <w:rFonts w:hint="eastAsia"/>
                <w:lang w:eastAsia="zh-CN"/>
              </w:rPr>
              <w:t>办公楼的费用</w:t>
            </w:r>
          </w:p>
        </w:tc>
      </w:tr>
      <w:tr w:rsidR="00B80DA4" w:rsidRPr="0063347C" w14:paraId="66B0E56D" w14:textId="77777777" w:rsidTr="000E7785">
        <w:trPr>
          <w:jc w:val="center"/>
        </w:trPr>
        <w:tc>
          <w:tcPr>
            <w:tcW w:w="2381" w:type="dxa"/>
          </w:tcPr>
          <w:p w14:paraId="5EE77C2C" w14:textId="77777777" w:rsidR="00B80DA4" w:rsidRPr="0063347C" w:rsidRDefault="00B80DA4" w:rsidP="000E7785">
            <w:pPr>
              <w:pStyle w:val="Tabletext"/>
              <w:keepNext/>
              <w:keepLines/>
              <w:rPr>
                <w:lang w:eastAsia="zh-CN"/>
              </w:rPr>
            </w:pPr>
            <w:r w:rsidRPr="0063347C">
              <w:rPr>
                <w:lang w:eastAsia="zh-CN"/>
              </w:rPr>
              <w:t>Montbrillant</w:t>
            </w:r>
          </w:p>
        </w:tc>
        <w:tc>
          <w:tcPr>
            <w:tcW w:w="1588" w:type="dxa"/>
          </w:tcPr>
          <w:p w14:paraId="719384A4" w14:textId="77777777" w:rsidR="00B80DA4" w:rsidRDefault="00B80DA4" w:rsidP="000E7785">
            <w:pPr>
              <w:pStyle w:val="Tabletext"/>
              <w:keepNext/>
              <w:keepLines/>
              <w:rPr>
                <w:lang w:eastAsia="zh-CN"/>
              </w:rPr>
            </w:pPr>
            <w:r>
              <w:rPr>
                <w:rFonts w:hint="eastAsia"/>
                <w:lang w:eastAsia="zh-CN"/>
              </w:rPr>
              <w:t>紧急工程</w:t>
            </w:r>
          </w:p>
          <w:p w14:paraId="43546D8E" w14:textId="77777777" w:rsidR="00B80DA4" w:rsidRPr="0063347C" w:rsidRDefault="00B80DA4" w:rsidP="000E7785">
            <w:pPr>
              <w:pStyle w:val="Tabletext"/>
              <w:keepNext/>
              <w:keepLines/>
              <w:rPr>
                <w:lang w:eastAsia="zh-CN"/>
              </w:rPr>
            </w:pPr>
          </w:p>
        </w:tc>
        <w:tc>
          <w:tcPr>
            <w:tcW w:w="1701" w:type="dxa"/>
          </w:tcPr>
          <w:p w14:paraId="18FBC2AB" w14:textId="77777777" w:rsidR="00B80DA4" w:rsidRPr="0063347C" w:rsidRDefault="00B80DA4" w:rsidP="000E7785">
            <w:pPr>
              <w:pStyle w:val="Tabletext"/>
              <w:keepNext/>
              <w:keepLines/>
              <w:jc w:val="center"/>
              <w:rPr>
                <w:lang w:eastAsia="zh-CN"/>
              </w:rPr>
            </w:pPr>
            <w:r w:rsidRPr="0063347C">
              <w:rPr>
                <w:lang w:eastAsia="zh-CN"/>
              </w:rPr>
              <w:t>4</w:t>
            </w:r>
          </w:p>
        </w:tc>
        <w:tc>
          <w:tcPr>
            <w:tcW w:w="4139" w:type="dxa"/>
          </w:tcPr>
          <w:p w14:paraId="0D67EB0C" w14:textId="77777777" w:rsidR="00B80DA4" w:rsidRPr="0063347C" w:rsidRDefault="00B80DA4" w:rsidP="000E7785">
            <w:pPr>
              <w:pStyle w:val="Tabletext"/>
              <w:keepNext/>
              <w:keepLines/>
              <w:rPr>
                <w:lang w:eastAsia="zh-CN"/>
              </w:rPr>
            </w:pPr>
          </w:p>
        </w:tc>
      </w:tr>
      <w:tr w:rsidR="00B80DA4" w:rsidRPr="0063347C" w14:paraId="015A68E5" w14:textId="77777777" w:rsidTr="000E7785">
        <w:trPr>
          <w:jc w:val="center"/>
        </w:trPr>
        <w:tc>
          <w:tcPr>
            <w:tcW w:w="2381" w:type="dxa"/>
          </w:tcPr>
          <w:p w14:paraId="2B5E7E09" w14:textId="77777777" w:rsidR="00B80DA4" w:rsidRPr="0063347C" w:rsidRDefault="00B80DA4" w:rsidP="000E7785">
            <w:pPr>
              <w:pStyle w:val="Tabletext"/>
              <w:keepNext/>
              <w:keepLines/>
              <w:rPr>
                <w:lang w:eastAsia="zh-CN"/>
              </w:rPr>
            </w:pPr>
            <w:r>
              <w:rPr>
                <w:rFonts w:hint="eastAsia"/>
                <w:lang w:eastAsia="zh-CN"/>
              </w:rPr>
              <w:t>塔楼</w:t>
            </w:r>
          </w:p>
        </w:tc>
        <w:tc>
          <w:tcPr>
            <w:tcW w:w="1588" w:type="dxa"/>
          </w:tcPr>
          <w:p w14:paraId="6315E746" w14:textId="77777777" w:rsidR="00B80DA4" w:rsidRPr="0063347C" w:rsidRDefault="00B80DA4" w:rsidP="000E7785">
            <w:pPr>
              <w:pStyle w:val="Tabletext"/>
              <w:keepNext/>
              <w:keepLines/>
              <w:rPr>
                <w:lang w:eastAsia="zh-CN"/>
              </w:rPr>
            </w:pPr>
            <w:r>
              <w:rPr>
                <w:rFonts w:hint="eastAsia"/>
                <w:lang w:eastAsia="zh-CN"/>
              </w:rPr>
              <w:t>紧急工程</w:t>
            </w:r>
          </w:p>
        </w:tc>
        <w:tc>
          <w:tcPr>
            <w:tcW w:w="1701" w:type="dxa"/>
          </w:tcPr>
          <w:p w14:paraId="5A56579F" w14:textId="77777777" w:rsidR="00B80DA4" w:rsidRPr="0063347C" w:rsidRDefault="00B80DA4" w:rsidP="000E7785">
            <w:pPr>
              <w:pStyle w:val="Tabletext"/>
              <w:keepNext/>
              <w:keepLines/>
              <w:jc w:val="center"/>
              <w:rPr>
                <w:lang w:eastAsia="zh-CN"/>
              </w:rPr>
            </w:pPr>
            <w:r w:rsidRPr="0063347C">
              <w:rPr>
                <w:lang w:eastAsia="zh-CN"/>
              </w:rPr>
              <w:t>45</w:t>
            </w:r>
          </w:p>
        </w:tc>
        <w:tc>
          <w:tcPr>
            <w:tcW w:w="4139" w:type="dxa"/>
          </w:tcPr>
          <w:p w14:paraId="3D6C5DE1" w14:textId="77777777" w:rsidR="00B80DA4" w:rsidRPr="0063347C" w:rsidRDefault="00B80DA4" w:rsidP="000E7785">
            <w:pPr>
              <w:pStyle w:val="Tabletext"/>
              <w:keepNext/>
              <w:keepLines/>
              <w:rPr>
                <w:lang w:eastAsia="zh-CN"/>
              </w:rPr>
            </w:pPr>
          </w:p>
        </w:tc>
      </w:tr>
      <w:tr w:rsidR="00B80DA4" w:rsidRPr="0063347C" w14:paraId="39BF68B6" w14:textId="77777777" w:rsidTr="000E7785">
        <w:trPr>
          <w:jc w:val="center"/>
        </w:trPr>
        <w:tc>
          <w:tcPr>
            <w:tcW w:w="2381" w:type="dxa"/>
          </w:tcPr>
          <w:p w14:paraId="0476B8BD" w14:textId="77777777" w:rsidR="00B80DA4" w:rsidRPr="0063347C" w:rsidRDefault="00B80DA4" w:rsidP="000E7785">
            <w:pPr>
              <w:pStyle w:val="Tabletext"/>
              <w:keepNext/>
              <w:keepLines/>
              <w:rPr>
                <w:lang w:eastAsia="zh-CN"/>
              </w:rPr>
            </w:pPr>
            <w:r w:rsidRPr="0063347C">
              <w:rPr>
                <w:lang w:eastAsia="zh-CN"/>
              </w:rPr>
              <w:t>Varembé</w:t>
            </w:r>
            <w:r>
              <w:rPr>
                <w:rFonts w:hint="eastAsia"/>
                <w:lang w:eastAsia="zh-CN"/>
              </w:rPr>
              <w:t>办公楼</w:t>
            </w:r>
          </w:p>
        </w:tc>
        <w:tc>
          <w:tcPr>
            <w:tcW w:w="1588" w:type="dxa"/>
          </w:tcPr>
          <w:p w14:paraId="5999F032" w14:textId="77777777" w:rsidR="00B80DA4" w:rsidRPr="0063347C" w:rsidRDefault="00B80DA4" w:rsidP="000E7785">
            <w:pPr>
              <w:pStyle w:val="Tabletext"/>
              <w:keepNext/>
              <w:keepLines/>
              <w:rPr>
                <w:lang w:eastAsia="zh-CN"/>
              </w:rPr>
            </w:pPr>
            <w:r>
              <w:rPr>
                <w:rFonts w:hint="eastAsia"/>
                <w:lang w:eastAsia="zh-CN"/>
              </w:rPr>
              <w:t>紧急工程</w:t>
            </w:r>
          </w:p>
        </w:tc>
        <w:tc>
          <w:tcPr>
            <w:tcW w:w="1701" w:type="dxa"/>
          </w:tcPr>
          <w:p w14:paraId="01A082B8" w14:textId="77777777" w:rsidR="00B80DA4" w:rsidRPr="0063347C" w:rsidRDefault="00B80DA4" w:rsidP="000E7785">
            <w:pPr>
              <w:pStyle w:val="Tabletext"/>
              <w:keepNext/>
              <w:keepLines/>
              <w:jc w:val="center"/>
              <w:rPr>
                <w:lang w:eastAsia="zh-CN"/>
              </w:rPr>
            </w:pPr>
            <w:r w:rsidRPr="0063347C">
              <w:rPr>
                <w:lang w:eastAsia="zh-CN"/>
              </w:rPr>
              <w:t>1</w:t>
            </w:r>
          </w:p>
        </w:tc>
        <w:tc>
          <w:tcPr>
            <w:tcW w:w="4139" w:type="dxa"/>
          </w:tcPr>
          <w:p w14:paraId="05C38B30" w14:textId="77777777" w:rsidR="00B80DA4" w:rsidRPr="0063347C" w:rsidRDefault="00B80DA4" w:rsidP="000E7785">
            <w:pPr>
              <w:pStyle w:val="Tabletext"/>
              <w:keepNext/>
              <w:keepLines/>
              <w:rPr>
                <w:lang w:eastAsia="zh-CN"/>
              </w:rPr>
            </w:pPr>
            <w:r w:rsidRPr="0063347C">
              <w:rPr>
                <w:lang w:eastAsia="zh-CN"/>
              </w:rPr>
              <w:t>2021</w:t>
            </w:r>
            <w:r>
              <w:rPr>
                <w:rFonts w:hint="eastAsia"/>
                <w:lang w:eastAsia="zh-CN"/>
              </w:rPr>
              <w:t>年拆除</w:t>
            </w:r>
          </w:p>
        </w:tc>
      </w:tr>
      <w:tr w:rsidR="00B80DA4" w:rsidRPr="0063347C" w14:paraId="0DDD5F4A" w14:textId="77777777" w:rsidTr="000E7785">
        <w:trPr>
          <w:jc w:val="center"/>
        </w:trPr>
        <w:tc>
          <w:tcPr>
            <w:tcW w:w="2381" w:type="dxa"/>
          </w:tcPr>
          <w:p w14:paraId="7F20DCE5" w14:textId="77777777" w:rsidR="00B80DA4" w:rsidRPr="0063347C" w:rsidRDefault="00B80DA4" w:rsidP="000E7785">
            <w:pPr>
              <w:pStyle w:val="Tabletext"/>
              <w:keepNext/>
              <w:keepLines/>
              <w:rPr>
                <w:i/>
                <w:lang w:eastAsia="zh-CN"/>
              </w:rPr>
            </w:pPr>
            <w:r>
              <w:rPr>
                <w:rFonts w:ascii="STKaiti" w:eastAsia="STKaiti" w:hAnsi="STKaiti" w:hint="eastAsia"/>
                <w:iCs/>
                <w:lang w:eastAsia="zh-CN"/>
              </w:rPr>
              <w:t>融资费用</w:t>
            </w:r>
          </w:p>
        </w:tc>
        <w:tc>
          <w:tcPr>
            <w:tcW w:w="1588" w:type="dxa"/>
          </w:tcPr>
          <w:p w14:paraId="2AC748C9" w14:textId="77777777" w:rsidR="00B80DA4" w:rsidRPr="0063347C" w:rsidRDefault="00B80DA4" w:rsidP="000E7785">
            <w:pPr>
              <w:pStyle w:val="Tabletext"/>
              <w:keepNext/>
              <w:keepLines/>
              <w:rPr>
                <w:lang w:eastAsia="zh-CN"/>
              </w:rPr>
            </w:pPr>
          </w:p>
        </w:tc>
        <w:tc>
          <w:tcPr>
            <w:tcW w:w="1701" w:type="dxa"/>
          </w:tcPr>
          <w:p w14:paraId="3A4009C8" w14:textId="1E538361" w:rsidR="00B80DA4" w:rsidRPr="00994E12" w:rsidRDefault="00C11BC0" w:rsidP="000E7785">
            <w:pPr>
              <w:pStyle w:val="Tabletext"/>
              <w:keepNext/>
              <w:keepLines/>
              <w:jc w:val="center"/>
              <w:rPr>
                <w:lang w:val="en-US" w:eastAsia="zh-CN"/>
              </w:rPr>
            </w:pPr>
            <w:r>
              <w:t>11</w:t>
            </w:r>
            <w:r>
              <w:rPr>
                <w:lang w:val="en-US" w:eastAsia="zh-CN"/>
              </w:rPr>
              <w:t>.25</w:t>
            </w:r>
          </w:p>
        </w:tc>
        <w:tc>
          <w:tcPr>
            <w:tcW w:w="4139" w:type="dxa"/>
          </w:tcPr>
          <w:p w14:paraId="45C4116D" w14:textId="77777777" w:rsidR="00B80DA4" w:rsidRPr="0063347C" w:rsidRDefault="00B80DA4" w:rsidP="000E7785">
            <w:pPr>
              <w:pStyle w:val="Tabletext"/>
              <w:keepNext/>
              <w:keepLines/>
            </w:pPr>
            <w:r>
              <w:rPr>
                <w:rFonts w:hint="eastAsia"/>
                <w:lang w:eastAsia="zh-CN"/>
              </w:rPr>
              <w:t>贷款累积利息</w:t>
            </w:r>
          </w:p>
        </w:tc>
      </w:tr>
      <w:tr w:rsidR="00B80DA4" w:rsidRPr="0063347C" w14:paraId="4833F366" w14:textId="77777777" w:rsidTr="000E7785">
        <w:trPr>
          <w:jc w:val="center"/>
        </w:trPr>
        <w:tc>
          <w:tcPr>
            <w:tcW w:w="2381" w:type="dxa"/>
          </w:tcPr>
          <w:p w14:paraId="009D4173" w14:textId="77777777" w:rsidR="00B80DA4" w:rsidRPr="0063347C" w:rsidRDefault="00B80DA4" w:rsidP="000E7785">
            <w:pPr>
              <w:pStyle w:val="Tabletext"/>
              <w:keepNext/>
              <w:keepLines/>
              <w:rPr>
                <w:b/>
              </w:rPr>
            </w:pPr>
            <w:r>
              <w:rPr>
                <w:rFonts w:hint="eastAsia"/>
                <w:b/>
                <w:lang w:eastAsia="zh-CN"/>
              </w:rPr>
              <w:t>合计</w:t>
            </w:r>
          </w:p>
        </w:tc>
        <w:tc>
          <w:tcPr>
            <w:tcW w:w="1588" w:type="dxa"/>
          </w:tcPr>
          <w:p w14:paraId="2BE488A8" w14:textId="77777777" w:rsidR="00B80DA4" w:rsidRPr="0063347C" w:rsidRDefault="00B80DA4" w:rsidP="000E7785">
            <w:pPr>
              <w:pStyle w:val="Tabletext"/>
              <w:keepNext/>
              <w:keepLines/>
              <w:rPr>
                <w:b/>
              </w:rPr>
            </w:pPr>
          </w:p>
        </w:tc>
        <w:tc>
          <w:tcPr>
            <w:tcW w:w="1701" w:type="dxa"/>
          </w:tcPr>
          <w:p w14:paraId="795B717E" w14:textId="04E3EA32" w:rsidR="00B80DA4" w:rsidRPr="0063347C" w:rsidRDefault="00C11BC0" w:rsidP="000E7785">
            <w:pPr>
              <w:pStyle w:val="Tabletext"/>
              <w:keepNext/>
              <w:keepLines/>
              <w:jc w:val="center"/>
              <w:rPr>
                <w:b/>
              </w:rPr>
            </w:pPr>
            <w:r>
              <w:rPr>
                <w:b/>
              </w:rPr>
              <w:t>211.25</w:t>
            </w:r>
          </w:p>
        </w:tc>
        <w:tc>
          <w:tcPr>
            <w:tcW w:w="4139" w:type="dxa"/>
          </w:tcPr>
          <w:p w14:paraId="441DD9A9" w14:textId="77777777" w:rsidR="00B80DA4" w:rsidRPr="0063347C" w:rsidRDefault="00B80DA4" w:rsidP="000E7785">
            <w:pPr>
              <w:pStyle w:val="Tabletext"/>
              <w:keepNext/>
              <w:keepLines/>
              <w:rPr>
                <w:b/>
              </w:rPr>
            </w:pPr>
          </w:p>
        </w:tc>
      </w:tr>
    </w:tbl>
    <w:p w14:paraId="0C0D6314" w14:textId="77777777" w:rsidR="00B80DA4" w:rsidRDefault="00B80DA4" w:rsidP="00B80DA4">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560"/>
        <w:gridCol w:w="1671"/>
        <w:gridCol w:w="4071"/>
      </w:tblGrid>
      <w:tr w:rsidR="00B80DA4" w:rsidRPr="0063347C" w14:paraId="73A42BD9" w14:textId="77777777" w:rsidTr="000E7785">
        <w:trPr>
          <w:jc w:val="center"/>
        </w:trPr>
        <w:tc>
          <w:tcPr>
            <w:tcW w:w="2381" w:type="dxa"/>
          </w:tcPr>
          <w:p w14:paraId="789EB3A1" w14:textId="77777777" w:rsidR="00B80DA4" w:rsidRPr="0063347C" w:rsidRDefault="00B80DA4" w:rsidP="000E7785">
            <w:pPr>
              <w:pStyle w:val="Tabletext"/>
            </w:pPr>
            <w:r>
              <w:rPr>
                <w:rFonts w:hint="eastAsia"/>
                <w:lang w:eastAsia="zh-CN"/>
              </w:rPr>
              <w:t>所有办公楼</w:t>
            </w:r>
          </w:p>
        </w:tc>
        <w:tc>
          <w:tcPr>
            <w:tcW w:w="1588" w:type="dxa"/>
          </w:tcPr>
          <w:p w14:paraId="7B5E1E9F" w14:textId="77777777" w:rsidR="00B80DA4" w:rsidRPr="0063347C" w:rsidRDefault="00B80DA4" w:rsidP="000E7785">
            <w:pPr>
              <w:pStyle w:val="Tabletext"/>
            </w:pPr>
            <w:r>
              <w:rPr>
                <w:rFonts w:hint="eastAsia"/>
                <w:lang w:eastAsia="zh-CN"/>
              </w:rPr>
              <w:t>年度费用合计</w:t>
            </w:r>
          </w:p>
        </w:tc>
        <w:tc>
          <w:tcPr>
            <w:tcW w:w="1701" w:type="dxa"/>
          </w:tcPr>
          <w:p w14:paraId="64C9B2C5" w14:textId="369C3E5B" w:rsidR="00B80DA4" w:rsidRPr="0063347C" w:rsidRDefault="00B80DA4">
            <w:pPr>
              <w:pStyle w:val="Tabletext"/>
              <w:jc w:val="center"/>
            </w:pPr>
            <w:r>
              <w:rPr>
                <w:rFonts w:hint="eastAsia"/>
                <w:lang w:eastAsia="zh-CN"/>
              </w:rPr>
              <w:t>每年</w:t>
            </w:r>
            <w:r w:rsidR="00F03CE8">
              <w:t>5.1</w:t>
            </w:r>
          </w:p>
        </w:tc>
        <w:tc>
          <w:tcPr>
            <w:tcW w:w="4139" w:type="dxa"/>
          </w:tcPr>
          <w:p w14:paraId="28DC16E5" w14:textId="77777777" w:rsidR="00B80DA4" w:rsidRPr="00DD05B6" w:rsidRDefault="00B80DA4" w:rsidP="000E7785">
            <w:pPr>
              <w:pStyle w:val="Tabletext"/>
              <w:tabs>
                <w:tab w:val="left" w:pos="275"/>
              </w:tabs>
              <w:rPr>
                <w:szCs w:val="22"/>
                <w:lang w:eastAsia="zh-CN"/>
              </w:rPr>
            </w:pPr>
            <w:r w:rsidRPr="004963AA">
              <w:rPr>
                <w:szCs w:val="22"/>
                <w:lang w:eastAsia="zh-CN"/>
              </w:rPr>
              <w:t>–</w:t>
            </w:r>
            <w:r>
              <w:rPr>
                <w:szCs w:val="22"/>
                <w:lang w:eastAsia="zh-CN"/>
              </w:rPr>
              <w:tab/>
            </w:r>
            <w:r>
              <w:rPr>
                <w:rFonts w:hint="eastAsia"/>
                <w:szCs w:val="22"/>
                <w:lang w:eastAsia="zh-CN"/>
              </w:rPr>
              <w:t>新楼每年</w:t>
            </w:r>
            <w:r>
              <w:rPr>
                <w:rFonts w:hint="eastAsia"/>
                <w:szCs w:val="22"/>
                <w:lang w:eastAsia="zh-CN"/>
              </w:rPr>
              <w:t>300</w:t>
            </w:r>
            <w:r>
              <w:rPr>
                <w:rFonts w:hint="eastAsia"/>
                <w:szCs w:val="22"/>
                <w:lang w:eastAsia="zh-CN"/>
              </w:rPr>
              <w:t>万瑞郎，自</w:t>
            </w:r>
            <w:r>
              <w:rPr>
                <w:rFonts w:hint="eastAsia"/>
                <w:szCs w:val="22"/>
                <w:lang w:eastAsia="zh-CN"/>
              </w:rPr>
              <w:t>20</w:t>
            </w:r>
            <w:r>
              <w:rPr>
                <w:szCs w:val="22"/>
                <w:lang w:eastAsia="zh-CN"/>
              </w:rPr>
              <w:t>21</w:t>
            </w:r>
            <w:r>
              <w:rPr>
                <w:rFonts w:hint="eastAsia"/>
                <w:szCs w:val="22"/>
                <w:lang w:eastAsia="zh-CN"/>
              </w:rPr>
              <w:t>年起</w:t>
            </w:r>
            <w:r>
              <w:rPr>
                <w:rFonts w:hint="eastAsia"/>
                <w:szCs w:val="22"/>
                <w:lang w:eastAsia="zh-CN"/>
              </w:rPr>
              <w:t>50</w:t>
            </w:r>
            <w:r>
              <w:rPr>
                <w:rFonts w:hint="eastAsia"/>
                <w:szCs w:val="22"/>
                <w:lang w:eastAsia="zh-CN"/>
              </w:rPr>
              <w:t>年内付清</w:t>
            </w:r>
          </w:p>
          <w:p w14:paraId="1E67152D" w14:textId="69E93888" w:rsidR="00B80DA4" w:rsidRPr="0063347C" w:rsidRDefault="00B80DA4" w:rsidP="000E7785">
            <w:pPr>
              <w:pStyle w:val="Tabletext"/>
              <w:tabs>
                <w:tab w:val="left" w:pos="275"/>
              </w:tabs>
            </w:pPr>
            <w:r w:rsidRPr="004963AA">
              <w:rPr>
                <w:szCs w:val="22"/>
              </w:rPr>
              <w:t>–</w:t>
            </w:r>
            <w:r>
              <w:rPr>
                <w:szCs w:val="22"/>
              </w:rPr>
              <w:tab/>
            </w:r>
            <w:r>
              <w:rPr>
                <w:rFonts w:hint="eastAsia"/>
                <w:szCs w:val="22"/>
                <w:lang w:eastAsia="zh-CN"/>
              </w:rPr>
              <w:t>塔楼和</w:t>
            </w:r>
            <w:r w:rsidRPr="00DD05B6">
              <w:rPr>
                <w:szCs w:val="22"/>
              </w:rPr>
              <w:t>Montbrillant</w:t>
            </w:r>
            <w:r>
              <w:rPr>
                <w:rFonts w:hint="eastAsia"/>
                <w:szCs w:val="22"/>
                <w:lang w:eastAsia="zh-CN"/>
              </w:rPr>
              <w:t>楼的翻修为每年</w:t>
            </w:r>
            <w:r>
              <w:rPr>
                <w:rFonts w:hint="eastAsia"/>
                <w:szCs w:val="22"/>
                <w:lang w:eastAsia="zh-CN"/>
              </w:rPr>
              <w:t>170</w:t>
            </w:r>
            <w:r>
              <w:rPr>
                <w:rFonts w:hint="eastAsia"/>
                <w:szCs w:val="22"/>
                <w:lang w:eastAsia="zh-CN"/>
              </w:rPr>
              <w:t>万瑞郎，加上自</w:t>
            </w:r>
            <w:r>
              <w:rPr>
                <w:rFonts w:hint="eastAsia"/>
                <w:szCs w:val="22"/>
                <w:lang w:eastAsia="zh-CN"/>
              </w:rPr>
              <w:t>2025</w:t>
            </w:r>
            <w:r>
              <w:rPr>
                <w:rFonts w:hint="eastAsia"/>
                <w:szCs w:val="22"/>
                <w:lang w:eastAsia="zh-CN"/>
              </w:rPr>
              <w:t>年（潜在日期）起平均</w:t>
            </w:r>
            <w:r w:rsidR="00453CBC">
              <w:rPr>
                <w:szCs w:val="22"/>
                <w:lang w:eastAsia="zh-CN"/>
              </w:rPr>
              <w:t>40</w:t>
            </w:r>
            <w:r>
              <w:rPr>
                <w:rFonts w:hint="eastAsia"/>
                <w:szCs w:val="22"/>
                <w:lang w:eastAsia="zh-CN"/>
              </w:rPr>
              <w:t>万瑞郎的利息，</w:t>
            </w:r>
            <w:r>
              <w:rPr>
                <w:rFonts w:hint="eastAsia"/>
                <w:szCs w:val="22"/>
                <w:lang w:eastAsia="zh-CN"/>
              </w:rPr>
              <w:t>30</w:t>
            </w:r>
            <w:r>
              <w:rPr>
                <w:rFonts w:hint="eastAsia"/>
                <w:szCs w:val="22"/>
                <w:lang w:eastAsia="zh-CN"/>
              </w:rPr>
              <w:t>年付清</w:t>
            </w:r>
          </w:p>
        </w:tc>
      </w:tr>
    </w:tbl>
    <w:p w14:paraId="7C330F20" w14:textId="77777777" w:rsidR="00B80DA4" w:rsidRPr="0063347C" w:rsidRDefault="00B80DA4" w:rsidP="00B80DA4">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581"/>
        <w:gridCol w:w="1673"/>
        <w:gridCol w:w="4044"/>
      </w:tblGrid>
      <w:tr w:rsidR="00B80DA4" w:rsidRPr="0063347C" w14:paraId="4A281262" w14:textId="77777777" w:rsidTr="000E7785">
        <w:trPr>
          <w:jc w:val="center"/>
        </w:trPr>
        <w:tc>
          <w:tcPr>
            <w:tcW w:w="2337" w:type="dxa"/>
          </w:tcPr>
          <w:p w14:paraId="4DD84306" w14:textId="77777777" w:rsidR="00B80DA4" w:rsidRPr="0063347C" w:rsidRDefault="00B80DA4" w:rsidP="000E7785">
            <w:pPr>
              <w:pStyle w:val="Tabletext"/>
            </w:pPr>
            <w:r>
              <w:rPr>
                <w:rFonts w:hint="eastAsia"/>
                <w:lang w:eastAsia="zh-CN"/>
              </w:rPr>
              <w:t>所有办公楼</w:t>
            </w:r>
          </w:p>
        </w:tc>
        <w:tc>
          <w:tcPr>
            <w:tcW w:w="1581" w:type="dxa"/>
          </w:tcPr>
          <w:p w14:paraId="7C901584" w14:textId="77777777" w:rsidR="00B80DA4" w:rsidRPr="0063347C" w:rsidRDefault="00B80DA4" w:rsidP="000E7785">
            <w:pPr>
              <w:pStyle w:val="Tabletext"/>
            </w:pPr>
            <w:r>
              <w:rPr>
                <w:rFonts w:hint="eastAsia"/>
                <w:lang w:eastAsia="zh-CN"/>
              </w:rPr>
              <w:t>长期维护</w:t>
            </w:r>
          </w:p>
        </w:tc>
        <w:tc>
          <w:tcPr>
            <w:tcW w:w="1673" w:type="dxa"/>
          </w:tcPr>
          <w:p w14:paraId="3E966F13" w14:textId="77777777" w:rsidR="00B80DA4" w:rsidRPr="0063347C" w:rsidRDefault="00B80DA4" w:rsidP="000E7785">
            <w:pPr>
              <w:pStyle w:val="Tabletext"/>
              <w:jc w:val="center"/>
            </w:pPr>
            <w:r>
              <w:rPr>
                <w:rFonts w:hint="eastAsia"/>
                <w:lang w:eastAsia="zh-CN"/>
              </w:rPr>
              <w:t>每年</w:t>
            </w:r>
            <w:r w:rsidRPr="0063347C">
              <w:t>2.5</w:t>
            </w:r>
          </w:p>
        </w:tc>
        <w:tc>
          <w:tcPr>
            <w:tcW w:w="4044" w:type="dxa"/>
          </w:tcPr>
          <w:p w14:paraId="2C300B23" w14:textId="77777777" w:rsidR="00B80DA4" w:rsidRPr="0063347C" w:rsidRDefault="00B80DA4" w:rsidP="000E7785">
            <w:pPr>
              <w:pStyle w:val="Tabletext"/>
            </w:pPr>
            <w:r>
              <w:rPr>
                <w:rFonts w:hint="eastAsia"/>
                <w:lang w:eastAsia="zh-CN"/>
              </w:rPr>
              <w:t>每年火灾保险额的</w:t>
            </w:r>
            <w:r w:rsidRPr="0063347C">
              <w:t>1%</w:t>
            </w:r>
          </w:p>
        </w:tc>
      </w:tr>
    </w:tbl>
    <w:p w14:paraId="7E561D2E" w14:textId="77777777" w:rsidR="00B80DA4" w:rsidRPr="0063347C" w:rsidRDefault="00B80DA4" w:rsidP="00B34094">
      <w:r>
        <w:t>5.17</w:t>
      </w:r>
      <w:r>
        <w:tab/>
      </w:r>
      <w:r>
        <w:rPr>
          <w:rFonts w:hint="eastAsia"/>
          <w:lang w:eastAsia="zh-CN"/>
        </w:rPr>
        <w:t>方案</w:t>
      </w:r>
      <w:r w:rsidRPr="0063347C">
        <w:t>1</w:t>
      </w:r>
      <w:r>
        <w:rPr>
          <w:rFonts w:hint="eastAsia"/>
          <w:lang w:eastAsia="zh-CN"/>
        </w:rPr>
        <w:t>还意味着：</w:t>
      </w:r>
    </w:p>
    <w:p w14:paraId="48AA56E9" w14:textId="77777777" w:rsidR="00B80DA4" w:rsidRPr="0063347C" w:rsidRDefault="00B80DA4" w:rsidP="00B80DA4">
      <w:pPr>
        <w:pStyle w:val="enumlev1"/>
        <w:tabs>
          <w:tab w:val="clear" w:pos="567"/>
          <w:tab w:val="clear" w:pos="1134"/>
          <w:tab w:val="clear" w:pos="1701"/>
          <w:tab w:val="clear" w:pos="2268"/>
          <w:tab w:val="clear" w:pos="2835"/>
        </w:tabs>
        <w:spacing w:before="120" w:after="60"/>
        <w:ind w:left="709" w:hanging="425"/>
        <w:rPr>
          <w:lang w:eastAsia="zh-CN"/>
        </w:rPr>
      </w:pPr>
      <w:r>
        <w:rPr>
          <w:lang w:eastAsia="zh-CN"/>
        </w:rPr>
        <w:t>–</w:t>
      </w:r>
      <w:r>
        <w:rPr>
          <w:lang w:eastAsia="zh-CN"/>
        </w:rPr>
        <w:tab/>
      </w:r>
      <w:r>
        <w:rPr>
          <w:rFonts w:hint="eastAsia"/>
          <w:lang w:eastAsia="zh-CN"/>
        </w:rPr>
        <w:t>固定资产估值的潜在增加（通过新楼的重新评估）；</w:t>
      </w:r>
    </w:p>
    <w:p w14:paraId="49D50362" w14:textId="77777777"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减少公用设施的使用，从而降低环境足迹（因为新楼和经过翻修的塔楼和</w:t>
      </w:r>
      <w:r w:rsidRPr="0063347C">
        <w:rPr>
          <w:lang w:eastAsia="zh-CN"/>
        </w:rPr>
        <w:t>Montbrillant</w:t>
      </w:r>
      <w:r>
        <w:rPr>
          <w:rFonts w:hint="eastAsia"/>
          <w:lang w:eastAsia="zh-CN"/>
        </w:rPr>
        <w:t>办公楼将更加节能）；</w:t>
      </w:r>
    </w:p>
    <w:p w14:paraId="0BEF9F2C" w14:textId="77777777"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场地容积增加</w:t>
      </w:r>
      <w:r w:rsidRPr="0063347C">
        <w:rPr>
          <w:lang w:eastAsia="zh-CN"/>
        </w:rPr>
        <w:t>8%</w:t>
      </w:r>
      <w:r>
        <w:rPr>
          <w:rFonts w:hint="eastAsia"/>
          <w:lang w:eastAsia="zh-CN"/>
        </w:rPr>
        <w:t>（新的空间为模块式，还包括增加</w:t>
      </w:r>
      <w:r>
        <w:rPr>
          <w:rFonts w:hint="eastAsia"/>
          <w:lang w:eastAsia="zh-CN"/>
        </w:rPr>
        <w:t>400</w:t>
      </w:r>
      <w:r>
        <w:rPr>
          <w:rFonts w:hint="eastAsia"/>
          <w:lang w:eastAsia="zh-CN"/>
        </w:rPr>
        <w:t>个代表坐席的会议厅，从而使整个总部场地容积增加</w:t>
      </w:r>
      <w:r>
        <w:rPr>
          <w:rFonts w:hint="eastAsia"/>
          <w:lang w:eastAsia="zh-CN"/>
        </w:rPr>
        <w:t>30%</w:t>
      </w:r>
      <w:r>
        <w:rPr>
          <w:rFonts w:hint="eastAsia"/>
          <w:lang w:eastAsia="zh-CN"/>
        </w:rPr>
        <w:t>以上）；</w:t>
      </w:r>
    </w:p>
    <w:p w14:paraId="02BA02ED" w14:textId="77777777"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职员和代表的生活质量改善，特别是在</w:t>
      </w:r>
      <w:r w:rsidRPr="0063347C">
        <w:rPr>
          <w:lang w:eastAsia="zh-CN"/>
        </w:rPr>
        <w:t>Varembé II</w:t>
      </w:r>
      <w:r>
        <w:rPr>
          <w:rFonts w:hint="eastAsia"/>
          <w:lang w:eastAsia="zh-CN"/>
        </w:rPr>
        <w:t>楼；</w:t>
      </w:r>
    </w:p>
    <w:p w14:paraId="350EEA75" w14:textId="77777777"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主要入口改为</w:t>
      </w:r>
      <w:r w:rsidRPr="0063347C">
        <w:rPr>
          <w:lang w:eastAsia="zh-CN"/>
        </w:rPr>
        <w:t>Varembé</w:t>
      </w:r>
      <w:r>
        <w:rPr>
          <w:rFonts w:hint="eastAsia"/>
          <w:lang w:eastAsia="zh-CN"/>
        </w:rPr>
        <w:t>街（街道更安静，更易于东道国进行安保工作）；</w:t>
      </w:r>
    </w:p>
    <w:p w14:paraId="1845525D" w14:textId="77777777" w:rsidR="00B80DA4" w:rsidRPr="0063347C" w:rsidRDefault="00B80DA4" w:rsidP="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Pr>
          <w:rFonts w:hint="eastAsia"/>
          <w:lang w:eastAsia="zh-CN"/>
        </w:rPr>
        <w:t>仅重建</w:t>
      </w:r>
      <w:r w:rsidRPr="0063347C">
        <w:rPr>
          <w:lang w:eastAsia="zh-CN"/>
        </w:rPr>
        <w:t>Varembé</w:t>
      </w:r>
      <w:r>
        <w:rPr>
          <w:rFonts w:hint="eastAsia"/>
          <w:lang w:eastAsia="zh-CN"/>
        </w:rPr>
        <w:t>楼一项就需要每年有</w:t>
      </w:r>
      <w:r>
        <w:rPr>
          <w:rFonts w:hint="eastAsia"/>
          <w:lang w:eastAsia="zh-CN"/>
        </w:rPr>
        <w:t>300</w:t>
      </w:r>
      <w:r>
        <w:rPr>
          <w:rFonts w:hint="eastAsia"/>
          <w:lang w:eastAsia="zh-CN"/>
        </w:rPr>
        <w:t>万瑞郎的现金流出量用于无息贷款还款（</w:t>
      </w:r>
      <w:r>
        <w:rPr>
          <w:rFonts w:hint="eastAsia"/>
          <w:lang w:eastAsia="zh-CN"/>
        </w:rPr>
        <w:t>50</w:t>
      </w:r>
      <w:r>
        <w:rPr>
          <w:rFonts w:hint="eastAsia"/>
          <w:lang w:eastAsia="zh-CN"/>
        </w:rPr>
        <w:t>年还清）；</w:t>
      </w:r>
    </w:p>
    <w:p w14:paraId="36758BAF" w14:textId="2FD4A95A" w:rsidR="00B80DA4" w:rsidRDefault="00B80DA4">
      <w:pPr>
        <w:pStyle w:val="enumlev1"/>
        <w:tabs>
          <w:tab w:val="clear" w:pos="567"/>
          <w:tab w:val="clear" w:pos="1134"/>
          <w:tab w:val="clear" w:pos="1701"/>
          <w:tab w:val="clear" w:pos="2268"/>
          <w:tab w:val="clear" w:pos="2835"/>
        </w:tabs>
        <w:spacing w:before="60" w:after="60"/>
        <w:ind w:left="709" w:hanging="425"/>
        <w:rPr>
          <w:lang w:eastAsia="zh-CN"/>
        </w:rPr>
      </w:pPr>
      <w:r>
        <w:rPr>
          <w:lang w:eastAsia="zh-CN"/>
        </w:rPr>
        <w:t>–</w:t>
      </w:r>
      <w:r>
        <w:rPr>
          <w:lang w:eastAsia="zh-CN"/>
        </w:rPr>
        <w:tab/>
      </w:r>
      <w:r w:rsidR="004D5308">
        <w:rPr>
          <w:rFonts w:hint="eastAsia"/>
          <w:lang w:eastAsia="zh-CN"/>
        </w:rPr>
        <w:t>原则上可通过</w:t>
      </w:r>
      <w:r w:rsidR="00005963">
        <w:rPr>
          <w:rFonts w:hint="eastAsia"/>
          <w:lang w:eastAsia="zh-CN"/>
        </w:rPr>
        <w:t>需</w:t>
      </w:r>
      <w:r w:rsidR="00005963">
        <w:rPr>
          <w:rFonts w:hint="eastAsia"/>
          <w:lang w:eastAsia="zh-CN"/>
        </w:rPr>
        <w:t>30</w:t>
      </w:r>
      <w:r w:rsidR="00005963">
        <w:rPr>
          <w:rFonts w:hint="eastAsia"/>
          <w:lang w:eastAsia="zh-CN"/>
        </w:rPr>
        <w:t>年还清的</w:t>
      </w:r>
      <w:r w:rsidR="004D5308">
        <w:rPr>
          <w:rFonts w:hint="eastAsia"/>
          <w:lang w:eastAsia="zh-CN"/>
        </w:rPr>
        <w:t>东道国有息</w:t>
      </w:r>
      <w:r w:rsidR="003B11AC">
        <w:rPr>
          <w:rFonts w:hint="eastAsia"/>
          <w:lang w:eastAsia="zh-CN"/>
        </w:rPr>
        <w:t>翻修</w:t>
      </w:r>
      <w:r w:rsidR="004D5308">
        <w:rPr>
          <w:rFonts w:hint="eastAsia"/>
          <w:lang w:eastAsia="zh-CN"/>
        </w:rPr>
        <w:t>贷款为所有办公楼的翻修工程（</w:t>
      </w:r>
      <w:r w:rsidR="004D5308">
        <w:rPr>
          <w:rFonts w:hint="eastAsia"/>
          <w:lang w:eastAsia="zh-CN"/>
        </w:rPr>
        <w:t>5 000</w:t>
      </w:r>
      <w:r w:rsidR="004D5308">
        <w:rPr>
          <w:rFonts w:hint="eastAsia"/>
          <w:lang w:eastAsia="zh-CN"/>
        </w:rPr>
        <w:t>万瑞郎）提供资金</w:t>
      </w:r>
      <w:r w:rsidR="003B11AC">
        <w:rPr>
          <w:rFonts w:hint="eastAsia"/>
          <w:lang w:eastAsia="zh-CN"/>
        </w:rPr>
        <w:t>。关于此类翻修贷款的条件，见第</w:t>
      </w:r>
      <w:r w:rsidR="003B11AC">
        <w:rPr>
          <w:szCs w:val="24"/>
          <w:lang w:eastAsia="zh-CN"/>
        </w:rPr>
        <w:t>1.5</w:t>
      </w:r>
      <w:r w:rsidR="003B11AC">
        <w:rPr>
          <w:rFonts w:hint="eastAsia"/>
          <w:lang w:eastAsia="zh-CN"/>
        </w:rPr>
        <w:t>段</w:t>
      </w:r>
      <w:r w:rsidR="004D5308">
        <w:rPr>
          <w:rFonts w:hint="eastAsia"/>
          <w:lang w:eastAsia="zh-CN"/>
        </w:rPr>
        <w:t>；</w:t>
      </w:r>
    </w:p>
    <w:p w14:paraId="567C8081" w14:textId="0524887C" w:rsidR="00B80DA4" w:rsidRPr="0063347C" w:rsidRDefault="00B80DA4" w:rsidP="004D5308">
      <w:pPr>
        <w:pStyle w:val="enumlev1"/>
        <w:tabs>
          <w:tab w:val="clear" w:pos="567"/>
          <w:tab w:val="clear" w:pos="1134"/>
          <w:tab w:val="clear" w:pos="1701"/>
          <w:tab w:val="clear" w:pos="2268"/>
          <w:tab w:val="clear" w:pos="2835"/>
        </w:tabs>
        <w:spacing w:before="60" w:after="120"/>
        <w:ind w:left="709" w:hanging="425"/>
        <w:rPr>
          <w:lang w:eastAsia="zh-CN"/>
        </w:rPr>
      </w:pPr>
      <w:r>
        <w:rPr>
          <w:lang w:eastAsia="zh-CN"/>
        </w:rPr>
        <w:t>–</w:t>
      </w:r>
      <w:r>
        <w:rPr>
          <w:lang w:eastAsia="zh-CN"/>
        </w:rPr>
        <w:tab/>
      </w:r>
      <w:r w:rsidR="004D5308">
        <w:rPr>
          <w:rFonts w:hint="eastAsia"/>
          <w:lang w:eastAsia="zh-CN"/>
        </w:rPr>
        <w:t>由于新的</w:t>
      </w:r>
      <w:r w:rsidR="004D5308" w:rsidRPr="0063347C">
        <w:rPr>
          <w:lang w:eastAsia="zh-CN"/>
        </w:rPr>
        <w:t>Varembé II</w:t>
      </w:r>
      <w:r w:rsidR="004D5308">
        <w:rPr>
          <w:rFonts w:hint="eastAsia"/>
          <w:lang w:eastAsia="zh-CN"/>
        </w:rPr>
        <w:t>楼可在翻修期间临时容纳塔楼工作人员，因此无需临时租用办公场所。</w:t>
      </w:r>
    </w:p>
    <w:p w14:paraId="015ABD18" w14:textId="77777777" w:rsidR="00B80DA4" w:rsidRPr="0063347C" w:rsidRDefault="00B80DA4" w:rsidP="009543BE">
      <w:pPr>
        <w:pStyle w:val="Heading1"/>
        <w:pageBreakBefore/>
        <w:tabs>
          <w:tab w:val="clear" w:pos="567"/>
          <w:tab w:val="clear" w:pos="1134"/>
          <w:tab w:val="clear" w:pos="1701"/>
          <w:tab w:val="clear" w:pos="2268"/>
          <w:tab w:val="clear" w:pos="2835"/>
        </w:tabs>
        <w:spacing w:after="120"/>
        <w:ind w:left="709" w:hanging="709"/>
        <w:rPr>
          <w:lang w:eastAsia="zh-CN"/>
        </w:rPr>
      </w:pPr>
      <w:r w:rsidRPr="0063347C">
        <w:rPr>
          <w:lang w:eastAsia="zh-CN"/>
        </w:rPr>
        <w:lastRenderedPageBreak/>
        <w:t>6</w:t>
      </w:r>
      <w:r>
        <w:rPr>
          <w:lang w:eastAsia="zh-CN"/>
        </w:rPr>
        <w:tab/>
      </w:r>
      <w:r>
        <w:rPr>
          <w:rFonts w:hint="eastAsia"/>
          <w:lang w:eastAsia="zh-CN"/>
        </w:rPr>
        <w:t>方案</w:t>
      </w:r>
      <w:r w:rsidRPr="0063347C">
        <w:rPr>
          <w:lang w:eastAsia="zh-CN"/>
        </w:rPr>
        <w:t>2</w:t>
      </w:r>
      <w:r>
        <w:rPr>
          <w:rFonts w:hint="eastAsia"/>
          <w:lang w:eastAsia="zh-CN"/>
        </w:rPr>
        <w:t>：翻修</w:t>
      </w:r>
      <w:r w:rsidRPr="0063347C">
        <w:rPr>
          <w:lang w:eastAsia="zh-CN"/>
        </w:rPr>
        <w:t>Varembé I</w:t>
      </w:r>
      <w:r>
        <w:rPr>
          <w:rFonts w:hint="eastAsia"/>
          <w:lang w:eastAsia="zh-CN"/>
        </w:rPr>
        <w:t>办公楼的同时亦同时翻修总部的其它办公楼</w:t>
      </w:r>
    </w:p>
    <w:p w14:paraId="1114E83C" w14:textId="77777777" w:rsidR="00B80DA4" w:rsidRPr="0063347C" w:rsidRDefault="00B80DA4" w:rsidP="00B34094">
      <w:pPr>
        <w:rPr>
          <w:lang w:eastAsia="zh-CN"/>
        </w:rPr>
      </w:pPr>
      <w:r>
        <w:rPr>
          <w:lang w:eastAsia="zh-CN"/>
        </w:rPr>
        <w:t>6</w:t>
      </w:r>
      <w:r>
        <w:rPr>
          <w:lang w:val="en-US" w:eastAsia="zh-CN"/>
        </w:rPr>
        <w:t>.1</w:t>
      </w:r>
      <w:r>
        <w:rPr>
          <w:lang w:val="en-US" w:eastAsia="zh-CN"/>
        </w:rPr>
        <w:tab/>
      </w:r>
      <w:r>
        <w:rPr>
          <w:rFonts w:hint="eastAsia"/>
          <w:lang w:val="en-US" w:eastAsia="zh-CN"/>
        </w:rPr>
        <w:t>此方案考虑的是</w:t>
      </w:r>
      <w:r>
        <w:rPr>
          <w:rFonts w:hint="eastAsia"/>
          <w:lang w:eastAsia="zh-CN"/>
        </w:rPr>
        <w:t>尽可能翻修</w:t>
      </w:r>
      <w:r w:rsidRPr="0063347C">
        <w:rPr>
          <w:lang w:eastAsia="zh-CN"/>
        </w:rPr>
        <w:t>Varembé</w:t>
      </w:r>
      <w:r>
        <w:rPr>
          <w:rFonts w:hint="eastAsia"/>
          <w:lang w:eastAsia="zh-CN"/>
        </w:rPr>
        <w:t>办公楼，同时再加上无论采用此</w:t>
      </w:r>
      <w:r>
        <w:rPr>
          <w:rFonts w:hint="eastAsia"/>
          <w:lang w:val="en-US" w:eastAsia="zh-CN"/>
        </w:rPr>
        <w:t>方案还是重建方案均需进行的塔楼和</w:t>
      </w:r>
      <w:r w:rsidRPr="0063347C">
        <w:rPr>
          <w:lang w:eastAsia="zh-CN"/>
        </w:rPr>
        <w:t>Montbrillant</w:t>
      </w:r>
      <w:r>
        <w:rPr>
          <w:rFonts w:hint="eastAsia"/>
          <w:lang w:eastAsia="zh-CN"/>
        </w:rPr>
        <w:t>办公楼的翻修。翻修后的</w:t>
      </w:r>
      <w:r w:rsidRPr="0063347C">
        <w:rPr>
          <w:lang w:eastAsia="zh-CN"/>
        </w:rPr>
        <w:t>Varembé</w:t>
      </w:r>
      <w:r>
        <w:rPr>
          <w:rFonts w:hint="eastAsia"/>
          <w:lang w:eastAsia="zh-CN"/>
        </w:rPr>
        <w:t>办公楼的功能性和质量无法与新楼同日而语，因此，不能期待在随后的重新评估中实现相同的潜在价值。为保持一致，在此将长期维护费用估算为火灾保险额的</w:t>
      </w:r>
      <w:r>
        <w:rPr>
          <w:rFonts w:hint="eastAsia"/>
          <w:lang w:eastAsia="zh-CN"/>
        </w:rPr>
        <w:t>1%</w:t>
      </w:r>
      <w:r>
        <w:rPr>
          <w:rFonts w:hint="eastAsia"/>
          <w:lang w:eastAsia="zh-CN"/>
        </w:rPr>
        <w:t>。</w:t>
      </w:r>
    </w:p>
    <w:p w14:paraId="6A1E0735" w14:textId="77777777" w:rsidR="00B80DA4" w:rsidRPr="0063347C" w:rsidRDefault="00B80DA4" w:rsidP="00B34094">
      <w:pPr>
        <w:rPr>
          <w:lang w:eastAsia="zh-CN"/>
        </w:rPr>
      </w:pPr>
      <w:r>
        <w:rPr>
          <w:lang w:eastAsia="zh-CN"/>
        </w:rPr>
        <w:t>6</w:t>
      </w:r>
      <w:r>
        <w:rPr>
          <w:lang w:val="en-US" w:eastAsia="zh-CN"/>
        </w:rPr>
        <w:t>.2</w:t>
      </w:r>
      <w:r>
        <w:rPr>
          <w:lang w:val="en-US" w:eastAsia="zh-CN"/>
        </w:rPr>
        <w:tab/>
      </w:r>
      <w:r>
        <w:rPr>
          <w:rFonts w:hint="eastAsia"/>
          <w:lang w:val="en-US" w:eastAsia="zh-CN"/>
        </w:rPr>
        <w:t>翻修后的</w:t>
      </w:r>
      <w:r w:rsidRPr="0063347C">
        <w:rPr>
          <w:lang w:eastAsia="zh-CN"/>
        </w:rPr>
        <w:t>Varembé</w:t>
      </w:r>
      <w:r>
        <w:rPr>
          <w:rFonts w:hint="eastAsia"/>
          <w:lang w:eastAsia="zh-CN"/>
        </w:rPr>
        <w:t>办公楼将实现安全和无障碍通行现代化，因而其可用空间将小于现有该楼的面积，而且其容积将远远低于计划的</w:t>
      </w:r>
      <w:r w:rsidRPr="0063347C">
        <w:rPr>
          <w:lang w:eastAsia="zh-CN"/>
        </w:rPr>
        <w:t xml:space="preserve">Varembé </w:t>
      </w:r>
      <w:r>
        <w:rPr>
          <w:lang w:eastAsia="zh-CN"/>
        </w:rPr>
        <w:t>II</w:t>
      </w:r>
      <w:r>
        <w:rPr>
          <w:rFonts w:hint="eastAsia"/>
          <w:lang w:eastAsia="zh-CN"/>
        </w:rPr>
        <w:t>楼的容积。特别应当指出，由于需在现有会议厅中修建无障碍通行通道，因此会议厅的总席位将比如今十分拥挤的会议厅更少。这意味着，在需求高峰期，会议厅场所的费用有增加的风险。</w:t>
      </w:r>
    </w:p>
    <w:p w14:paraId="1D07778D" w14:textId="77777777" w:rsidR="00B80DA4" w:rsidRPr="0063347C" w:rsidRDefault="00B80DA4" w:rsidP="00B34094">
      <w:pPr>
        <w:rPr>
          <w:lang w:eastAsia="zh-CN"/>
        </w:rPr>
      </w:pPr>
      <w:r>
        <w:rPr>
          <w:lang w:eastAsia="zh-CN"/>
        </w:rPr>
        <w:t>6</w:t>
      </w:r>
      <w:r>
        <w:rPr>
          <w:lang w:val="en-US" w:eastAsia="zh-CN"/>
        </w:rPr>
        <w:t>.3</w:t>
      </w:r>
      <w:r>
        <w:rPr>
          <w:lang w:val="en-US" w:eastAsia="zh-CN"/>
        </w:rPr>
        <w:tab/>
        <w:t>2009</w:t>
      </w:r>
      <w:r>
        <w:rPr>
          <w:rFonts w:hint="eastAsia"/>
          <w:lang w:val="en-US" w:eastAsia="zh-CN"/>
        </w:rPr>
        <w:t>年，一家独立专业咨询机构</w:t>
      </w:r>
      <w:r>
        <w:rPr>
          <w:lang w:eastAsia="zh-CN"/>
        </w:rPr>
        <w:t>（</w:t>
      </w:r>
      <w:r w:rsidRPr="00D35CBD">
        <w:rPr>
          <w:lang w:eastAsia="zh-CN"/>
        </w:rPr>
        <w:t>Brodbeck-Roulet</w:t>
      </w:r>
      <w:r>
        <w:rPr>
          <w:lang w:eastAsia="zh-CN"/>
        </w:rPr>
        <w:t>）</w:t>
      </w:r>
      <w:r>
        <w:rPr>
          <w:rFonts w:hint="eastAsia"/>
          <w:lang w:eastAsia="zh-CN"/>
        </w:rPr>
        <w:t>开展的研究确认，</w:t>
      </w:r>
      <w:r w:rsidRPr="0063347C">
        <w:rPr>
          <w:lang w:eastAsia="zh-CN"/>
        </w:rPr>
        <w:t>Varembé</w:t>
      </w:r>
      <w:r>
        <w:rPr>
          <w:rFonts w:hint="eastAsia"/>
          <w:lang w:eastAsia="zh-CN"/>
        </w:rPr>
        <w:t>办公楼外墙面保温性能大大低于现有标准，但通过翻修可得到很大改善。此类翻修工程包括更换已过时的供热、制冷和配电系统，在按照</w:t>
      </w:r>
      <w:r>
        <w:rPr>
          <w:rFonts w:hint="eastAsia"/>
          <w:lang w:eastAsia="zh-CN"/>
        </w:rPr>
        <w:t>2014</w:t>
      </w:r>
      <w:r>
        <w:rPr>
          <w:rFonts w:hint="eastAsia"/>
          <w:lang w:eastAsia="zh-CN"/>
        </w:rPr>
        <w:t>年水平对</w:t>
      </w:r>
      <w:r>
        <w:rPr>
          <w:rFonts w:hint="eastAsia"/>
          <w:lang w:eastAsia="zh-CN"/>
        </w:rPr>
        <w:t>2009</w:t>
      </w:r>
      <w:r>
        <w:rPr>
          <w:rFonts w:hint="eastAsia"/>
          <w:lang w:eastAsia="zh-CN"/>
        </w:rPr>
        <w:t>年做出的估算进行指数化（</w:t>
      </w:r>
      <w:r w:rsidRPr="0063347C">
        <w:rPr>
          <w:lang w:eastAsia="zh-CN"/>
        </w:rPr>
        <w:t>indexing</w:t>
      </w:r>
      <w:r>
        <w:rPr>
          <w:rFonts w:hint="eastAsia"/>
          <w:lang w:eastAsia="zh-CN"/>
        </w:rPr>
        <w:t>）后，费用将达到</w:t>
      </w:r>
      <w:r>
        <w:rPr>
          <w:rFonts w:hint="eastAsia"/>
          <w:lang w:eastAsia="zh-CN"/>
        </w:rPr>
        <w:t>3 000</w:t>
      </w:r>
      <w:r>
        <w:rPr>
          <w:rFonts w:hint="eastAsia"/>
          <w:lang w:eastAsia="zh-CN"/>
        </w:rPr>
        <w:t>万瑞郎。</w:t>
      </w:r>
    </w:p>
    <w:p w14:paraId="42821E9C" w14:textId="77777777" w:rsidR="00B80DA4" w:rsidRPr="0063347C" w:rsidRDefault="00B80DA4" w:rsidP="00B34094">
      <w:pPr>
        <w:rPr>
          <w:lang w:eastAsia="zh-CN"/>
        </w:rPr>
      </w:pPr>
      <w:r>
        <w:rPr>
          <w:lang w:eastAsia="zh-CN"/>
        </w:rPr>
        <w:t>6</w:t>
      </w:r>
      <w:r>
        <w:rPr>
          <w:lang w:val="en-US" w:eastAsia="zh-CN"/>
        </w:rPr>
        <w:t>.4</w:t>
      </w:r>
      <w:r>
        <w:rPr>
          <w:lang w:val="en-US" w:eastAsia="zh-CN"/>
        </w:rPr>
        <w:tab/>
      </w:r>
      <w:r>
        <w:rPr>
          <w:rFonts w:hint="eastAsia"/>
          <w:lang w:val="en-US" w:eastAsia="zh-CN"/>
        </w:rPr>
        <w:t>尽管如此，这些费用还不包括提升上世纪五十</w:t>
      </w:r>
      <w:r>
        <w:rPr>
          <w:rFonts w:hint="eastAsia"/>
          <w:lang w:val="en-US" w:eastAsia="zh-CN"/>
        </w:rPr>
        <w:t>/</w:t>
      </w:r>
      <w:r>
        <w:rPr>
          <w:rFonts w:hint="eastAsia"/>
          <w:lang w:val="en-US" w:eastAsia="zh-CN"/>
        </w:rPr>
        <w:t>六十年代建造的该楼其它部分现代化的费用，也不包括为符合现有安全和无障碍通行标准所需的工程费用</w:t>
      </w:r>
      <w:r>
        <w:rPr>
          <w:rStyle w:val="FootnoteReference"/>
        </w:rPr>
        <w:footnoteReference w:id="4"/>
      </w:r>
      <w:r>
        <w:rPr>
          <w:rFonts w:hint="eastAsia"/>
          <w:lang w:eastAsia="zh-CN"/>
        </w:rPr>
        <w:t>。目前估算，这些费用另需</w:t>
      </w:r>
      <w:r>
        <w:rPr>
          <w:rFonts w:hint="eastAsia"/>
          <w:lang w:eastAsia="zh-CN"/>
        </w:rPr>
        <w:t>1 700</w:t>
      </w:r>
      <w:r>
        <w:rPr>
          <w:rFonts w:hint="eastAsia"/>
          <w:lang w:eastAsia="zh-CN"/>
        </w:rPr>
        <w:t>万瑞郎。</w:t>
      </w:r>
    </w:p>
    <w:p w14:paraId="14DD1DF7" w14:textId="18053078" w:rsidR="00B80DA4" w:rsidRPr="0063347C" w:rsidRDefault="00B80DA4">
      <w:pPr>
        <w:rPr>
          <w:lang w:eastAsia="zh-CN"/>
        </w:rPr>
      </w:pPr>
      <w:r>
        <w:rPr>
          <w:lang w:eastAsia="zh-CN"/>
        </w:rPr>
        <w:t>6</w:t>
      </w:r>
      <w:r>
        <w:rPr>
          <w:lang w:val="en-US" w:eastAsia="zh-CN"/>
        </w:rPr>
        <w:t>.5</w:t>
      </w:r>
      <w:r>
        <w:rPr>
          <w:lang w:val="en-US" w:eastAsia="zh-CN"/>
        </w:rPr>
        <w:tab/>
      </w:r>
      <w:r>
        <w:rPr>
          <w:rFonts w:hint="eastAsia"/>
          <w:lang w:val="en-US" w:eastAsia="zh-CN"/>
        </w:rPr>
        <w:t>在此</w:t>
      </w:r>
      <w:r>
        <w:rPr>
          <w:rFonts w:hint="eastAsia"/>
          <w:lang w:val="en-US" w:eastAsia="zh-CN"/>
        </w:rPr>
        <w:t>4 700</w:t>
      </w:r>
      <w:r>
        <w:rPr>
          <w:rFonts w:hint="eastAsia"/>
          <w:lang w:val="en-US" w:eastAsia="zh-CN"/>
        </w:rPr>
        <w:t>万瑞郎总估算费用之上，还须加上在翻修过程中为工作人员临时安排办公场所的费用</w:t>
      </w:r>
      <w:r>
        <w:rPr>
          <w:rFonts w:hint="eastAsia"/>
          <w:lang w:val="en-US" w:eastAsia="zh-CN"/>
        </w:rPr>
        <w:t xml:space="preserve"> </w:t>
      </w:r>
      <w:r w:rsidRPr="007E1E53">
        <w:rPr>
          <w:lang w:val="en-US" w:eastAsia="zh-CN"/>
        </w:rPr>
        <w:t>–</w:t>
      </w:r>
      <w:r>
        <w:rPr>
          <w:lang w:val="en-US" w:eastAsia="zh-CN"/>
        </w:rPr>
        <w:t xml:space="preserve"> </w:t>
      </w:r>
      <w:r>
        <w:rPr>
          <w:rFonts w:hint="eastAsia"/>
          <w:lang w:val="en-US" w:eastAsia="zh-CN"/>
        </w:rPr>
        <w:t>历时</w:t>
      </w:r>
      <w:r>
        <w:rPr>
          <w:rFonts w:hint="eastAsia"/>
          <w:lang w:val="en-US" w:eastAsia="zh-CN"/>
        </w:rPr>
        <w:t>36</w:t>
      </w:r>
      <w:r>
        <w:rPr>
          <w:rFonts w:hint="eastAsia"/>
          <w:lang w:val="en-US" w:eastAsia="zh-CN"/>
        </w:rPr>
        <w:t>个月，估计每年约为</w:t>
      </w:r>
      <w:r>
        <w:rPr>
          <w:rFonts w:hint="eastAsia"/>
          <w:lang w:val="en-US" w:eastAsia="zh-CN"/>
        </w:rPr>
        <w:t>530</w:t>
      </w:r>
      <w:r>
        <w:rPr>
          <w:rFonts w:hint="eastAsia"/>
          <w:lang w:val="en-US" w:eastAsia="zh-CN"/>
        </w:rPr>
        <w:t>万瑞郎。有鉴于此，该项目的总估算费用将达到</w:t>
      </w:r>
      <w:r>
        <w:rPr>
          <w:rFonts w:hint="eastAsia"/>
          <w:lang w:val="en-US" w:eastAsia="zh-CN"/>
        </w:rPr>
        <w:t>6 300</w:t>
      </w:r>
      <w:r>
        <w:rPr>
          <w:rFonts w:hint="eastAsia"/>
          <w:lang w:val="en-US" w:eastAsia="zh-CN"/>
        </w:rPr>
        <w:t>万瑞郎，资金将来自东道国的有息</w:t>
      </w:r>
      <w:r w:rsidR="00EE4F1E">
        <w:rPr>
          <w:rFonts w:hint="eastAsia"/>
          <w:lang w:val="en-US" w:eastAsia="zh-CN"/>
        </w:rPr>
        <w:t>翻修</w:t>
      </w:r>
      <w:r>
        <w:rPr>
          <w:rFonts w:hint="eastAsia"/>
          <w:lang w:val="en-US" w:eastAsia="zh-CN"/>
        </w:rPr>
        <w:t>贷款</w:t>
      </w:r>
      <w:r>
        <w:rPr>
          <w:rFonts w:hint="eastAsia"/>
          <w:lang w:eastAsia="zh-CN"/>
        </w:rPr>
        <w:t>。</w:t>
      </w:r>
    </w:p>
    <w:p w14:paraId="01D357AA" w14:textId="1A21188E" w:rsidR="00B80DA4" w:rsidRPr="0063347C" w:rsidRDefault="00B80DA4">
      <w:pPr>
        <w:rPr>
          <w:lang w:eastAsia="zh-CN"/>
        </w:rPr>
      </w:pPr>
      <w:r>
        <w:rPr>
          <w:lang w:eastAsia="zh-CN"/>
        </w:rPr>
        <w:t>6</w:t>
      </w:r>
      <w:r>
        <w:rPr>
          <w:lang w:val="en-US" w:eastAsia="zh-CN"/>
        </w:rPr>
        <w:t>.6</w:t>
      </w:r>
      <w:r>
        <w:rPr>
          <w:lang w:val="en-US" w:eastAsia="zh-CN"/>
        </w:rPr>
        <w:tab/>
      </w:r>
      <w:r>
        <w:rPr>
          <w:rFonts w:hint="eastAsia"/>
          <w:lang w:val="en-US" w:eastAsia="zh-CN"/>
        </w:rPr>
        <w:t>在</w:t>
      </w:r>
      <w:r>
        <w:rPr>
          <w:rFonts w:hint="eastAsia"/>
          <w:lang w:val="en-US" w:eastAsia="zh-CN"/>
        </w:rPr>
        <w:t>30</w:t>
      </w:r>
      <w:r>
        <w:rPr>
          <w:rFonts w:hint="eastAsia"/>
          <w:lang w:val="en-US" w:eastAsia="zh-CN"/>
        </w:rPr>
        <w:t>年间偿还该贷款意味着平均每年偿还</w:t>
      </w:r>
      <w:r>
        <w:rPr>
          <w:rFonts w:hint="eastAsia"/>
          <w:lang w:val="en-US" w:eastAsia="zh-CN"/>
        </w:rPr>
        <w:t>210</w:t>
      </w:r>
      <w:r>
        <w:rPr>
          <w:rFonts w:hint="eastAsia"/>
          <w:lang w:val="en-US" w:eastAsia="zh-CN"/>
        </w:rPr>
        <w:t>万瑞郎的本金，加上每年</w:t>
      </w:r>
      <w:r w:rsidR="0081793E">
        <w:rPr>
          <w:lang w:val="en-US" w:eastAsia="zh-CN"/>
        </w:rPr>
        <w:t>1.5</w:t>
      </w:r>
      <w:r>
        <w:rPr>
          <w:rFonts w:hint="eastAsia"/>
          <w:lang w:val="en-US" w:eastAsia="zh-CN"/>
        </w:rPr>
        <w:t>%</w:t>
      </w:r>
      <w:r>
        <w:rPr>
          <w:rFonts w:hint="eastAsia"/>
          <w:lang w:val="en-US" w:eastAsia="zh-CN"/>
        </w:rPr>
        <w:t>的优惠利息。</w:t>
      </w:r>
    </w:p>
    <w:p w14:paraId="23D6BA73" w14:textId="77777777" w:rsidR="00B80DA4" w:rsidRPr="0063347C" w:rsidRDefault="00B80DA4" w:rsidP="00B34094">
      <w:pPr>
        <w:rPr>
          <w:lang w:eastAsia="zh-CN"/>
        </w:rPr>
      </w:pPr>
      <w:r>
        <w:rPr>
          <w:lang w:eastAsia="zh-CN"/>
        </w:rPr>
        <w:t>6</w:t>
      </w:r>
      <w:r>
        <w:rPr>
          <w:lang w:val="en-US" w:eastAsia="zh-CN"/>
        </w:rPr>
        <w:t>.7</w:t>
      </w:r>
      <w:r>
        <w:rPr>
          <w:lang w:val="en-US" w:eastAsia="zh-CN"/>
        </w:rPr>
        <w:tab/>
      </w:r>
      <w:r>
        <w:rPr>
          <w:rFonts w:hint="eastAsia"/>
          <w:lang w:val="en-US" w:eastAsia="zh-CN"/>
        </w:rPr>
        <w:t>与此同时，还必须考虑到</w:t>
      </w:r>
      <w:r w:rsidRPr="0063347C">
        <w:rPr>
          <w:lang w:eastAsia="zh-CN"/>
        </w:rPr>
        <w:t>Montbrillant</w:t>
      </w:r>
      <w:r>
        <w:rPr>
          <w:rFonts w:hint="eastAsia"/>
          <w:lang w:eastAsia="zh-CN"/>
        </w:rPr>
        <w:t>楼和塔楼的翻修费用（总额为</w:t>
      </w:r>
      <w:r>
        <w:rPr>
          <w:rFonts w:hint="eastAsia"/>
          <w:lang w:eastAsia="zh-CN"/>
        </w:rPr>
        <w:t>4 900</w:t>
      </w:r>
      <w:r>
        <w:rPr>
          <w:rFonts w:hint="eastAsia"/>
          <w:lang w:eastAsia="zh-CN"/>
        </w:rPr>
        <w:t>万瑞郎）。</w:t>
      </w:r>
    </w:p>
    <w:p w14:paraId="7FBB8F43" w14:textId="77777777" w:rsidR="00B80DA4" w:rsidRPr="0063347C" w:rsidRDefault="00B80DA4" w:rsidP="00B34094">
      <w:pPr>
        <w:rPr>
          <w:lang w:eastAsia="zh-CN"/>
        </w:rPr>
      </w:pPr>
      <w:r>
        <w:rPr>
          <w:lang w:eastAsia="zh-CN"/>
        </w:rPr>
        <w:t>6</w:t>
      </w:r>
      <w:r>
        <w:rPr>
          <w:lang w:val="en-US" w:eastAsia="zh-CN"/>
        </w:rPr>
        <w:t>.8</w:t>
      </w:r>
      <w:r>
        <w:rPr>
          <w:lang w:val="en-US" w:eastAsia="zh-CN"/>
        </w:rPr>
        <w:tab/>
      </w:r>
      <w:r>
        <w:rPr>
          <w:rFonts w:hint="eastAsia"/>
          <w:lang w:val="en-US" w:eastAsia="zh-CN"/>
        </w:rPr>
        <w:t>假设不并行翻修</w:t>
      </w:r>
      <w:r w:rsidRPr="0063347C">
        <w:rPr>
          <w:lang w:eastAsia="zh-CN"/>
        </w:rPr>
        <w:t>Varembé</w:t>
      </w:r>
      <w:r>
        <w:rPr>
          <w:rFonts w:hint="eastAsia"/>
          <w:lang w:eastAsia="zh-CN"/>
        </w:rPr>
        <w:t>办公楼和塔楼，而是先翻修</w:t>
      </w:r>
      <w:r w:rsidRPr="0063347C">
        <w:rPr>
          <w:lang w:eastAsia="zh-CN"/>
        </w:rPr>
        <w:t>Varembé</w:t>
      </w:r>
      <w:r>
        <w:rPr>
          <w:rFonts w:hint="eastAsia"/>
          <w:lang w:eastAsia="zh-CN"/>
        </w:rPr>
        <w:t>楼，那么在翻修塔楼过程中，可以为塔楼的工作人员腾出一些地方。而且塔楼的工作人员少于</w:t>
      </w:r>
      <w:r w:rsidRPr="0063347C">
        <w:rPr>
          <w:lang w:eastAsia="zh-CN"/>
        </w:rPr>
        <w:t>Varembé</w:t>
      </w:r>
      <w:r>
        <w:rPr>
          <w:rFonts w:hint="eastAsia"/>
          <w:lang w:eastAsia="zh-CN"/>
        </w:rPr>
        <w:t>办公楼。塔楼的翻修工程强度与</w:t>
      </w:r>
      <w:r w:rsidRPr="0063347C">
        <w:rPr>
          <w:lang w:eastAsia="zh-CN"/>
        </w:rPr>
        <w:t>Varembé</w:t>
      </w:r>
      <w:r>
        <w:rPr>
          <w:rFonts w:hint="eastAsia"/>
          <w:lang w:eastAsia="zh-CN"/>
        </w:rPr>
        <w:t>办公楼类似，因此，谨慎的估计是，在三年期间租用相当于</w:t>
      </w:r>
      <w:r w:rsidRPr="0063347C">
        <w:rPr>
          <w:lang w:eastAsia="zh-CN"/>
        </w:rPr>
        <w:t>Varembé</w:t>
      </w:r>
      <w:r>
        <w:rPr>
          <w:rFonts w:hint="eastAsia"/>
          <w:lang w:eastAsia="zh-CN"/>
        </w:rPr>
        <w:t>办公楼一半空间的办公场所，临时安置该楼的职员，即，约需</w:t>
      </w:r>
      <w:r>
        <w:rPr>
          <w:rFonts w:hint="eastAsia"/>
          <w:lang w:eastAsia="zh-CN"/>
        </w:rPr>
        <w:t>800</w:t>
      </w:r>
      <w:r>
        <w:rPr>
          <w:rFonts w:hint="eastAsia"/>
          <w:lang w:eastAsia="zh-CN"/>
        </w:rPr>
        <w:t>万瑞郎的估算费用。</w:t>
      </w:r>
    </w:p>
    <w:p w14:paraId="59740B1A" w14:textId="77777777" w:rsidR="00B80DA4" w:rsidRPr="0063347C" w:rsidRDefault="00B80DA4" w:rsidP="00E44CE7">
      <w:pPr>
        <w:pStyle w:val="Headingb"/>
        <w:pageBreakBefore/>
        <w:tabs>
          <w:tab w:val="clear" w:pos="567"/>
          <w:tab w:val="clear" w:pos="1134"/>
          <w:tab w:val="clear" w:pos="1701"/>
          <w:tab w:val="clear" w:pos="2268"/>
          <w:tab w:val="clear" w:pos="2835"/>
        </w:tabs>
        <w:spacing w:before="240" w:after="160"/>
        <w:rPr>
          <w:lang w:eastAsia="zh-CN"/>
        </w:rPr>
      </w:pPr>
      <w:r>
        <w:rPr>
          <w:rFonts w:hint="eastAsia"/>
          <w:lang w:eastAsia="zh-CN"/>
        </w:rPr>
        <w:lastRenderedPageBreak/>
        <w:t>亟待进行的</w:t>
      </w:r>
      <w:r w:rsidRPr="0063347C">
        <w:rPr>
          <w:lang w:eastAsia="zh-CN"/>
        </w:rPr>
        <w:t>Varembé</w:t>
      </w:r>
      <w:r>
        <w:rPr>
          <w:rFonts w:hint="eastAsia"/>
          <w:lang w:eastAsia="zh-CN"/>
        </w:rPr>
        <w:t>办公楼维护工程（</w:t>
      </w:r>
      <w:r>
        <w:rPr>
          <w:rFonts w:hint="eastAsia"/>
          <w:lang w:eastAsia="zh-CN"/>
        </w:rPr>
        <w:t>2015</w:t>
      </w:r>
      <w:r>
        <w:rPr>
          <w:lang w:eastAsia="zh-CN"/>
        </w:rPr>
        <w:t>-2024</w:t>
      </w:r>
      <w:r>
        <w:rPr>
          <w:rFonts w:hint="eastAsia"/>
          <w:lang w:eastAsia="zh-CN"/>
        </w:rPr>
        <w:t>年）：</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B80DA4" w:rsidRPr="0063347C" w14:paraId="2BB710C1" w14:textId="77777777" w:rsidTr="000E7785">
        <w:trPr>
          <w:jc w:val="center"/>
        </w:trPr>
        <w:tc>
          <w:tcPr>
            <w:tcW w:w="5046" w:type="dxa"/>
          </w:tcPr>
          <w:p w14:paraId="53DAD7C2" w14:textId="77777777" w:rsidR="00B80DA4" w:rsidRPr="0063347C" w:rsidRDefault="00B80DA4" w:rsidP="000E7785">
            <w:pPr>
              <w:pStyle w:val="Tablehead"/>
              <w:spacing w:before="60" w:after="60"/>
            </w:pPr>
            <w:r>
              <w:rPr>
                <w:rFonts w:hint="eastAsia"/>
                <w:lang w:eastAsia="zh-CN"/>
              </w:rPr>
              <w:t>项目</w:t>
            </w:r>
          </w:p>
        </w:tc>
        <w:tc>
          <w:tcPr>
            <w:tcW w:w="1701" w:type="dxa"/>
          </w:tcPr>
          <w:p w14:paraId="0D941C39" w14:textId="77777777" w:rsidR="00B80DA4" w:rsidRPr="0063347C" w:rsidRDefault="00B80DA4" w:rsidP="000E7785">
            <w:pPr>
              <w:pStyle w:val="Tablehead"/>
              <w:spacing w:before="60" w:after="60"/>
              <w:rPr>
                <w:lang w:eastAsia="zh-CN"/>
              </w:rPr>
            </w:pPr>
            <w:r>
              <w:rPr>
                <w:rFonts w:hint="eastAsia"/>
                <w:lang w:eastAsia="zh-CN"/>
              </w:rPr>
              <w:t>费用</w:t>
            </w:r>
          </w:p>
          <w:p w14:paraId="060B7C05"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单位：百万瑞郎）</w:t>
            </w:r>
          </w:p>
        </w:tc>
        <w:tc>
          <w:tcPr>
            <w:tcW w:w="3062" w:type="dxa"/>
          </w:tcPr>
          <w:p w14:paraId="01A17FF8" w14:textId="77777777" w:rsidR="00B80DA4" w:rsidRPr="0063347C" w:rsidRDefault="00B80DA4" w:rsidP="000E7785">
            <w:pPr>
              <w:pStyle w:val="Tablehead"/>
              <w:spacing w:before="60" w:after="60"/>
            </w:pPr>
            <w:r>
              <w:rPr>
                <w:rFonts w:hint="eastAsia"/>
                <w:lang w:eastAsia="zh-CN"/>
              </w:rPr>
              <w:t>说明</w:t>
            </w:r>
          </w:p>
        </w:tc>
      </w:tr>
      <w:tr w:rsidR="00B80DA4" w:rsidRPr="0063347C" w14:paraId="3424B9D0" w14:textId="77777777" w:rsidTr="000E7785">
        <w:trPr>
          <w:jc w:val="center"/>
        </w:trPr>
        <w:tc>
          <w:tcPr>
            <w:tcW w:w="5046" w:type="dxa"/>
          </w:tcPr>
          <w:p w14:paraId="290A96C8" w14:textId="77777777" w:rsidR="00B80DA4" w:rsidRPr="0063347C" w:rsidRDefault="00B80DA4" w:rsidP="000E7785">
            <w:pPr>
              <w:pStyle w:val="Tabletext"/>
              <w:keepNext/>
              <w:keepLines/>
              <w:spacing w:before="40" w:after="40"/>
              <w:rPr>
                <w:lang w:eastAsia="zh-CN"/>
              </w:rPr>
            </w:pPr>
            <w:r>
              <w:rPr>
                <w:rFonts w:hint="eastAsia"/>
                <w:szCs w:val="22"/>
                <w:lang w:eastAsia="zh-CN"/>
              </w:rPr>
              <w:t>更换外立面：同时更换供热、制冷和配电设施</w:t>
            </w:r>
          </w:p>
        </w:tc>
        <w:tc>
          <w:tcPr>
            <w:tcW w:w="1701" w:type="dxa"/>
          </w:tcPr>
          <w:p w14:paraId="16472D65" w14:textId="77777777" w:rsidR="00B80DA4" w:rsidRPr="0063347C" w:rsidRDefault="00B80DA4" w:rsidP="000E7785">
            <w:pPr>
              <w:pStyle w:val="Tabletext"/>
              <w:keepNext/>
              <w:keepLines/>
              <w:spacing w:before="40" w:after="40"/>
              <w:jc w:val="center"/>
            </w:pPr>
            <w:r w:rsidRPr="0063347C">
              <w:t>30</w:t>
            </w:r>
          </w:p>
        </w:tc>
        <w:tc>
          <w:tcPr>
            <w:tcW w:w="3062" w:type="dxa"/>
          </w:tcPr>
          <w:p w14:paraId="43A53666" w14:textId="77777777" w:rsidR="00B80DA4" w:rsidRPr="0063347C" w:rsidRDefault="00B80DA4" w:rsidP="000E7785">
            <w:pPr>
              <w:pStyle w:val="Tabletext"/>
              <w:keepNext/>
              <w:keepLines/>
              <w:spacing w:before="40" w:after="40"/>
              <w:rPr>
                <w:lang w:eastAsia="zh-CN"/>
              </w:rPr>
            </w:pPr>
            <w:r>
              <w:rPr>
                <w:rFonts w:hint="eastAsia"/>
                <w:szCs w:val="22"/>
                <w:lang w:eastAsia="zh-CN"/>
              </w:rPr>
              <w:t>以</w:t>
            </w:r>
            <w:r>
              <w:rPr>
                <w:rFonts w:hint="eastAsia"/>
                <w:szCs w:val="22"/>
                <w:lang w:eastAsia="zh-CN"/>
              </w:rPr>
              <w:t>2010</w:t>
            </w:r>
            <w:r>
              <w:rPr>
                <w:rFonts w:hint="eastAsia"/>
                <w:szCs w:val="22"/>
                <w:lang w:eastAsia="zh-CN"/>
              </w:rPr>
              <w:t>年外部专家的研究为基础</w:t>
            </w:r>
          </w:p>
        </w:tc>
      </w:tr>
      <w:tr w:rsidR="00B80DA4" w:rsidRPr="0063347C" w14:paraId="525B7442" w14:textId="77777777" w:rsidTr="000E7785">
        <w:trPr>
          <w:jc w:val="center"/>
        </w:trPr>
        <w:tc>
          <w:tcPr>
            <w:tcW w:w="5046" w:type="dxa"/>
          </w:tcPr>
          <w:p w14:paraId="7FF93F1E" w14:textId="77777777" w:rsidR="00B80DA4" w:rsidRPr="0063347C" w:rsidRDefault="00B80DA4" w:rsidP="000E7785">
            <w:pPr>
              <w:pStyle w:val="Tabletext"/>
              <w:keepNext/>
              <w:keepLines/>
              <w:spacing w:before="40" w:after="40"/>
            </w:pPr>
            <w:r>
              <w:rPr>
                <w:rFonts w:hint="eastAsia"/>
                <w:lang w:eastAsia="zh-CN"/>
              </w:rPr>
              <w:t>为达到</w:t>
            </w:r>
            <w:r w:rsidRPr="0063347C">
              <w:t>Minergie</w:t>
            </w:r>
            <w:r>
              <w:rPr>
                <w:rFonts w:hint="eastAsia"/>
                <w:lang w:eastAsia="zh-CN"/>
              </w:rPr>
              <w:t>标准而进行的其它工程和消防工程</w:t>
            </w:r>
          </w:p>
        </w:tc>
        <w:tc>
          <w:tcPr>
            <w:tcW w:w="1701" w:type="dxa"/>
          </w:tcPr>
          <w:p w14:paraId="17F76AF2" w14:textId="77777777" w:rsidR="00B80DA4" w:rsidRPr="0063347C" w:rsidRDefault="00B80DA4" w:rsidP="000E7785">
            <w:pPr>
              <w:pStyle w:val="Tabletext"/>
              <w:keepNext/>
              <w:keepLines/>
              <w:spacing w:before="40" w:after="40"/>
              <w:jc w:val="center"/>
            </w:pPr>
            <w:r w:rsidRPr="0063347C">
              <w:t>9</w:t>
            </w:r>
          </w:p>
        </w:tc>
        <w:tc>
          <w:tcPr>
            <w:tcW w:w="3062" w:type="dxa"/>
          </w:tcPr>
          <w:p w14:paraId="09CE81EF" w14:textId="77777777" w:rsidR="00B80DA4" w:rsidRPr="0063347C" w:rsidRDefault="00B80DA4" w:rsidP="000E7785">
            <w:pPr>
              <w:pStyle w:val="Tabletext"/>
              <w:keepNext/>
              <w:keepLines/>
              <w:spacing w:before="40" w:after="40"/>
            </w:pPr>
          </w:p>
        </w:tc>
      </w:tr>
      <w:tr w:rsidR="00B80DA4" w:rsidRPr="0063347C" w14:paraId="362991EB" w14:textId="77777777" w:rsidTr="000E7785">
        <w:trPr>
          <w:jc w:val="center"/>
        </w:trPr>
        <w:tc>
          <w:tcPr>
            <w:tcW w:w="5046" w:type="dxa"/>
          </w:tcPr>
          <w:p w14:paraId="1987D7ED" w14:textId="77777777" w:rsidR="00B80DA4" w:rsidRPr="0063347C" w:rsidRDefault="00B80DA4" w:rsidP="000E7785">
            <w:pPr>
              <w:pStyle w:val="Tabletext"/>
              <w:rPr>
                <w:szCs w:val="22"/>
              </w:rPr>
            </w:pPr>
            <w:r>
              <w:rPr>
                <w:rFonts w:hint="eastAsia"/>
                <w:szCs w:val="22"/>
                <w:lang w:eastAsia="zh-CN"/>
              </w:rPr>
              <w:t>更换照明系统</w:t>
            </w:r>
          </w:p>
        </w:tc>
        <w:tc>
          <w:tcPr>
            <w:tcW w:w="1701" w:type="dxa"/>
          </w:tcPr>
          <w:p w14:paraId="0B7371AC" w14:textId="77777777" w:rsidR="00B80DA4" w:rsidRPr="0063347C" w:rsidRDefault="00B80DA4" w:rsidP="000E7785">
            <w:pPr>
              <w:pStyle w:val="Tabletext"/>
              <w:keepNext/>
              <w:keepLines/>
              <w:spacing w:before="40" w:after="40"/>
              <w:jc w:val="center"/>
            </w:pPr>
            <w:r w:rsidRPr="0063347C">
              <w:t>2</w:t>
            </w:r>
          </w:p>
        </w:tc>
        <w:tc>
          <w:tcPr>
            <w:tcW w:w="3062" w:type="dxa"/>
          </w:tcPr>
          <w:p w14:paraId="66DC8D67" w14:textId="77777777" w:rsidR="00B80DA4" w:rsidRPr="0063347C" w:rsidRDefault="00B80DA4" w:rsidP="000E7785">
            <w:pPr>
              <w:pStyle w:val="Tabletext"/>
              <w:keepNext/>
              <w:keepLines/>
              <w:spacing w:before="40" w:after="40"/>
            </w:pPr>
          </w:p>
        </w:tc>
      </w:tr>
      <w:tr w:rsidR="00B80DA4" w:rsidRPr="0063347C" w14:paraId="0E35C873" w14:textId="77777777" w:rsidTr="000E7785">
        <w:trPr>
          <w:jc w:val="center"/>
        </w:trPr>
        <w:tc>
          <w:tcPr>
            <w:tcW w:w="5046" w:type="dxa"/>
          </w:tcPr>
          <w:p w14:paraId="73CFB49E" w14:textId="77777777" w:rsidR="00B80DA4" w:rsidRPr="0063347C" w:rsidRDefault="00B80DA4" w:rsidP="000E7785">
            <w:pPr>
              <w:pStyle w:val="Tabletext"/>
              <w:rPr>
                <w:szCs w:val="22"/>
              </w:rPr>
            </w:pPr>
            <w:r>
              <w:rPr>
                <w:rFonts w:hint="eastAsia"/>
                <w:szCs w:val="22"/>
                <w:lang w:eastAsia="zh-CN"/>
              </w:rPr>
              <w:t>更换会议厅设施</w:t>
            </w:r>
          </w:p>
        </w:tc>
        <w:tc>
          <w:tcPr>
            <w:tcW w:w="1701" w:type="dxa"/>
          </w:tcPr>
          <w:p w14:paraId="0250FFD9" w14:textId="77777777" w:rsidR="00B80DA4" w:rsidRPr="0063347C" w:rsidRDefault="00B80DA4" w:rsidP="000E7785">
            <w:pPr>
              <w:pStyle w:val="Tabletext"/>
              <w:spacing w:before="40" w:after="40"/>
              <w:jc w:val="center"/>
            </w:pPr>
            <w:r w:rsidRPr="0063347C">
              <w:t>1</w:t>
            </w:r>
          </w:p>
        </w:tc>
        <w:tc>
          <w:tcPr>
            <w:tcW w:w="3062" w:type="dxa"/>
          </w:tcPr>
          <w:p w14:paraId="7873D16A" w14:textId="77777777" w:rsidR="00B80DA4" w:rsidRPr="0063347C" w:rsidRDefault="00B80DA4" w:rsidP="000E7785">
            <w:pPr>
              <w:pStyle w:val="Tabletext"/>
              <w:spacing w:before="40" w:after="40"/>
              <w:rPr>
                <w:lang w:eastAsia="zh-CN"/>
              </w:rPr>
            </w:pPr>
            <w:r>
              <w:rPr>
                <w:szCs w:val="22"/>
                <w:lang w:eastAsia="zh-CN"/>
              </w:rPr>
              <w:t>120</w:t>
            </w:r>
            <w:r>
              <w:rPr>
                <w:rFonts w:hint="eastAsia"/>
                <w:szCs w:val="22"/>
                <w:lang w:eastAsia="zh-CN"/>
              </w:rPr>
              <w:t>个坐席，每坐席为</w:t>
            </w:r>
            <w:r>
              <w:rPr>
                <w:szCs w:val="22"/>
                <w:lang w:eastAsia="zh-CN"/>
              </w:rPr>
              <w:t xml:space="preserve">10 </w:t>
            </w:r>
            <w:r w:rsidRPr="0063347C">
              <w:rPr>
                <w:szCs w:val="22"/>
                <w:lang w:eastAsia="zh-CN"/>
              </w:rPr>
              <w:t>000</w:t>
            </w:r>
            <w:r>
              <w:rPr>
                <w:rFonts w:hint="eastAsia"/>
                <w:szCs w:val="22"/>
                <w:lang w:eastAsia="zh-CN"/>
              </w:rPr>
              <w:t>瑞郎，包括音视频设备</w:t>
            </w:r>
          </w:p>
        </w:tc>
      </w:tr>
      <w:tr w:rsidR="00B80DA4" w:rsidRPr="0063347C" w14:paraId="37740005" w14:textId="77777777" w:rsidTr="000E7785">
        <w:trPr>
          <w:jc w:val="center"/>
        </w:trPr>
        <w:tc>
          <w:tcPr>
            <w:tcW w:w="5046" w:type="dxa"/>
          </w:tcPr>
          <w:p w14:paraId="40578E69" w14:textId="77777777" w:rsidR="00B80DA4" w:rsidRPr="0063347C" w:rsidRDefault="00B80DA4" w:rsidP="000E7785">
            <w:pPr>
              <w:pStyle w:val="Tabletext"/>
              <w:rPr>
                <w:szCs w:val="22"/>
              </w:rPr>
            </w:pPr>
            <w:r>
              <w:rPr>
                <w:rFonts w:hint="eastAsia"/>
                <w:szCs w:val="22"/>
                <w:lang w:eastAsia="zh-CN"/>
              </w:rPr>
              <w:t>防爆膜、</w:t>
            </w:r>
            <w:r w:rsidRPr="0063347C">
              <w:rPr>
                <w:szCs w:val="22"/>
              </w:rPr>
              <w:t>MOSS</w:t>
            </w:r>
            <w:r>
              <w:rPr>
                <w:rFonts w:hint="eastAsia"/>
                <w:szCs w:val="22"/>
                <w:lang w:eastAsia="zh-CN"/>
              </w:rPr>
              <w:t>措施</w:t>
            </w:r>
          </w:p>
        </w:tc>
        <w:tc>
          <w:tcPr>
            <w:tcW w:w="1701" w:type="dxa"/>
          </w:tcPr>
          <w:p w14:paraId="79FF398B" w14:textId="77777777" w:rsidR="00B80DA4" w:rsidRPr="0063347C" w:rsidRDefault="00B80DA4" w:rsidP="000E7785">
            <w:pPr>
              <w:pStyle w:val="Tabletext"/>
              <w:spacing w:before="40" w:after="40"/>
              <w:jc w:val="center"/>
            </w:pPr>
            <w:r w:rsidRPr="0063347C">
              <w:t>0.5</w:t>
            </w:r>
          </w:p>
        </w:tc>
        <w:tc>
          <w:tcPr>
            <w:tcW w:w="3062" w:type="dxa"/>
          </w:tcPr>
          <w:p w14:paraId="4F4F7CCF" w14:textId="77777777" w:rsidR="00B80DA4" w:rsidRPr="0063347C" w:rsidRDefault="00B80DA4" w:rsidP="000E7785">
            <w:pPr>
              <w:pStyle w:val="Tabletext"/>
              <w:spacing w:before="40" w:after="40"/>
            </w:pPr>
          </w:p>
        </w:tc>
      </w:tr>
      <w:tr w:rsidR="00B80DA4" w:rsidRPr="0063347C" w14:paraId="1FB6A70E" w14:textId="77777777" w:rsidTr="000E7785">
        <w:trPr>
          <w:jc w:val="center"/>
        </w:trPr>
        <w:tc>
          <w:tcPr>
            <w:tcW w:w="5046" w:type="dxa"/>
          </w:tcPr>
          <w:p w14:paraId="78318C17" w14:textId="77777777" w:rsidR="00B80DA4" w:rsidRPr="0063347C" w:rsidRDefault="00B80DA4" w:rsidP="000E7785">
            <w:pPr>
              <w:pStyle w:val="Tabletext"/>
              <w:rPr>
                <w:szCs w:val="22"/>
                <w:lang w:eastAsia="zh-CN"/>
              </w:rPr>
            </w:pPr>
            <w:r>
              <w:rPr>
                <w:rFonts w:hint="eastAsia"/>
                <w:szCs w:val="22"/>
                <w:lang w:eastAsia="zh-CN"/>
              </w:rPr>
              <w:t>计算机室：更换设施；信息处理连接和网络工程</w:t>
            </w:r>
          </w:p>
        </w:tc>
        <w:tc>
          <w:tcPr>
            <w:tcW w:w="1701" w:type="dxa"/>
          </w:tcPr>
          <w:p w14:paraId="1FD84B1D" w14:textId="77777777" w:rsidR="00B80DA4" w:rsidRPr="0063347C" w:rsidRDefault="00B80DA4" w:rsidP="000E7785">
            <w:pPr>
              <w:pStyle w:val="Tabletext"/>
              <w:keepLines/>
              <w:spacing w:before="40" w:after="40"/>
              <w:jc w:val="center"/>
            </w:pPr>
            <w:r>
              <w:rPr>
                <w:szCs w:val="22"/>
              </w:rPr>
              <w:t>1</w:t>
            </w:r>
          </w:p>
        </w:tc>
        <w:tc>
          <w:tcPr>
            <w:tcW w:w="3062" w:type="dxa"/>
          </w:tcPr>
          <w:p w14:paraId="47C65BA5" w14:textId="77777777" w:rsidR="00B80DA4" w:rsidRPr="0063347C" w:rsidRDefault="00B80DA4" w:rsidP="000E7785">
            <w:pPr>
              <w:pStyle w:val="Tabletext"/>
              <w:keepLines/>
              <w:spacing w:before="40" w:after="40"/>
            </w:pPr>
          </w:p>
        </w:tc>
      </w:tr>
      <w:tr w:rsidR="00B80DA4" w:rsidRPr="0063347C" w14:paraId="76BDA015" w14:textId="77777777" w:rsidTr="000E7785">
        <w:trPr>
          <w:jc w:val="center"/>
        </w:trPr>
        <w:tc>
          <w:tcPr>
            <w:tcW w:w="5046" w:type="dxa"/>
          </w:tcPr>
          <w:p w14:paraId="3D337CF5" w14:textId="77777777" w:rsidR="00B80DA4" w:rsidRPr="0063347C" w:rsidRDefault="00B80DA4" w:rsidP="000E7785">
            <w:pPr>
              <w:pStyle w:val="Tabletext"/>
              <w:spacing w:before="40" w:after="40"/>
              <w:rPr>
                <w:lang w:eastAsia="zh-CN"/>
              </w:rPr>
            </w:pPr>
            <w:r>
              <w:rPr>
                <w:rFonts w:hint="eastAsia"/>
                <w:szCs w:val="22"/>
                <w:lang w:eastAsia="zh-CN"/>
              </w:rPr>
              <w:t>更换集中配电、供热</w:t>
            </w:r>
            <w:r>
              <w:rPr>
                <w:rFonts w:hint="eastAsia"/>
                <w:szCs w:val="22"/>
                <w:lang w:eastAsia="zh-CN"/>
              </w:rPr>
              <w:t>/</w:t>
            </w:r>
            <w:r>
              <w:rPr>
                <w:rFonts w:hint="eastAsia"/>
                <w:szCs w:val="22"/>
                <w:lang w:eastAsia="zh-CN"/>
              </w:rPr>
              <w:t>制冷系统</w:t>
            </w:r>
          </w:p>
        </w:tc>
        <w:tc>
          <w:tcPr>
            <w:tcW w:w="1701" w:type="dxa"/>
          </w:tcPr>
          <w:p w14:paraId="7B4D97AB" w14:textId="77777777" w:rsidR="00B80DA4" w:rsidRPr="0063347C" w:rsidRDefault="00B80DA4" w:rsidP="000E7785">
            <w:pPr>
              <w:pStyle w:val="Tabletext"/>
              <w:spacing w:before="40" w:after="40"/>
              <w:jc w:val="center"/>
            </w:pPr>
            <w:r w:rsidRPr="0063347C">
              <w:t>1</w:t>
            </w:r>
          </w:p>
        </w:tc>
        <w:tc>
          <w:tcPr>
            <w:tcW w:w="3062" w:type="dxa"/>
          </w:tcPr>
          <w:p w14:paraId="6AC08510" w14:textId="77777777" w:rsidR="00B80DA4" w:rsidRPr="0063347C" w:rsidRDefault="00B80DA4" w:rsidP="000E7785">
            <w:pPr>
              <w:pStyle w:val="Tabletext"/>
              <w:spacing w:before="40" w:after="40"/>
            </w:pPr>
          </w:p>
        </w:tc>
      </w:tr>
      <w:tr w:rsidR="00B80DA4" w:rsidRPr="0063347C" w14:paraId="3C17E634" w14:textId="77777777" w:rsidTr="000E7785">
        <w:trPr>
          <w:jc w:val="center"/>
        </w:trPr>
        <w:tc>
          <w:tcPr>
            <w:tcW w:w="5046" w:type="dxa"/>
          </w:tcPr>
          <w:p w14:paraId="63B34DB2" w14:textId="77777777" w:rsidR="00B80DA4" w:rsidRPr="0063347C" w:rsidRDefault="00B80DA4" w:rsidP="000E7785">
            <w:pPr>
              <w:pStyle w:val="Tabletext"/>
              <w:spacing w:before="40" w:after="40"/>
            </w:pPr>
            <w:r>
              <w:rPr>
                <w:rFonts w:hint="eastAsia"/>
                <w:lang w:eastAsia="zh-CN"/>
              </w:rPr>
              <w:t>更换餐厅设施</w:t>
            </w:r>
          </w:p>
        </w:tc>
        <w:tc>
          <w:tcPr>
            <w:tcW w:w="1701" w:type="dxa"/>
          </w:tcPr>
          <w:p w14:paraId="70B8A078" w14:textId="77777777" w:rsidR="00B80DA4" w:rsidRPr="0063347C" w:rsidRDefault="00B80DA4" w:rsidP="000E7785">
            <w:pPr>
              <w:pStyle w:val="Tabletext"/>
              <w:spacing w:before="40" w:after="40"/>
              <w:jc w:val="center"/>
            </w:pPr>
            <w:r w:rsidRPr="0063347C">
              <w:t>1</w:t>
            </w:r>
          </w:p>
        </w:tc>
        <w:tc>
          <w:tcPr>
            <w:tcW w:w="3062" w:type="dxa"/>
          </w:tcPr>
          <w:p w14:paraId="75F110A1" w14:textId="77777777" w:rsidR="00B80DA4" w:rsidRPr="0063347C" w:rsidRDefault="00B80DA4" w:rsidP="000E7785">
            <w:pPr>
              <w:pStyle w:val="Tabletext"/>
              <w:spacing w:before="40" w:after="40"/>
            </w:pPr>
          </w:p>
        </w:tc>
      </w:tr>
      <w:tr w:rsidR="00B80DA4" w:rsidRPr="0063347C" w14:paraId="3BB34E90" w14:textId="77777777" w:rsidTr="000E7785">
        <w:trPr>
          <w:jc w:val="center"/>
        </w:trPr>
        <w:tc>
          <w:tcPr>
            <w:tcW w:w="5046" w:type="dxa"/>
          </w:tcPr>
          <w:p w14:paraId="7BE71A26" w14:textId="77777777" w:rsidR="00B80DA4" w:rsidRPr="0063347C" w:rsidRDefault="00B80DA4" w:rsidP="000E7785">
            <w:pPr>
              <w:pStyle w:val="Tabletext"/>
              <w:rPr>
                <w:szCs w:val="22"/>
              </w:rPr>
            </w:pPr>
            <w:r>
              <w:rPr>
                <w:rFonts w:hint="eastAsia"/>
                <w:szCs w:val="22"/>
                <w:lang w:eastAsia="zh-CN"/>
              </w:rPr>
              <w:t>其它无障碍通行工程</w:t>
            </w:r>
          </w:p>
        </w:tc>
        <w:tc>
          <w:tcPr>
            <w:tcW w:w="1701" w:type="dxa"/>
          </w:tcPr>
          <w:p w14:paraId="6BE32C06" w14:textId="77777777" w:rsidR="00B80DA4" w:rsidRPr="0063347C" w:rsidRDefault="00B80DA4" w:rsidP="000E7785">
            <w:pPr>
              <w:pStyle w:val="Tabletext"/>
              <w:spacing w:before="40" w:after="40"/>
              <w:jc w:val="center"/>
            </w:pPr>
            <w:r w:rsidRPr="0063347C">
              <w:t>2</w:t>
            </w:r>
          </w:p>
        </w:tc>
        <w:tc>
          <w:tcPr>
            <w:tcW w:w="3062" w:type="dxa"/>
          </w:tcPr>
          <w:p w14:paraId="051CC4B7" w14:textId="77777777" w:rsidR="00B80DA4" w:rsidRPr="0063347C" w:rsidRDefault="00B80DA4" w:rsidP="000E7785">
            <w:pPr>
              <w:pStyle w:val="Tabletext"/>
              <w:spacing w:before="40" w:after="40"/>
              <w:rPr>
                <w:lang w:eastAsia="zh-CN"/>
              </w:rPr>
            </w:pPr>
            <w:r>
              <w:rPr>
                <w:rFonts w:hint="eastAsia"/>
                <w:lang w:eastAsia="zh-CN"/>
              </w:rPr>
              <w:t>包括电梯和卫生间设施</w:t>
            </w:r>
          </w:p>
        </w:tc>
      </w:tr>
      <w:tr w:rsidR="00B80DA4" w:rsidRPr="0063347C" w14:paraId="1866DA27" w14:textId="77777777" w:rsidTr="000E7785">
        <w:trPr>
          <w:jc w:val="center"/>
        </w:trPr>
        <w:tc>
          <w:tcPr>
            <w:tcW w:w="5046" w:type="dxa"/>
          </w:tcPr>
          <w:p w14:paraId="68D9B8FC" w14:textId="77777777" w:rsidR="00B80DA4" w:rsidRPr="005B3B37" w:rsidRDefault="00B80DA4" w:rsidP="000E7785">
            <w:pPr>
              <w:pStyle w:val="Tabletext"/>
              <w:rPr>
                <w:b/>
                <w:bCs/>
                <w:szCs w:val="22"/>
              </w:rPr>
            </w:pPr>
            <w:r>
              <w:rPr>
                <w:rFonts w:hint="eastAsia"/>
                <w:b/>
                <w:bCs/>
                <w:szCs w:val="22"/>
                <w:lang w:eastAsia="zh-CN"/>
              </w:rPr>
              <w:t>合计</w:t>
            </w:r>
            <w:r w:rsidRPr="008D1F1C">
              <w:rPr>
                <w:rFonts w:hint="eastAsia"/>
                <w:szCs w:val="22"/>
                <w:lang w:eastAsia="zh-CN"/>
              </w:rPr>
              <w:t>（四舍五入）</w:t>
            </w:r>
          </w:p>
        </w:tc>
        <w:tc>
          <w:tcPr>
            <w:tcW w:w="1701" w:type="dxa"/>
          </w:tcPr>
          <w:p w14:paraId="039A911D" w14:textId="77777777" w:rsidR="00B80DA4" w:rsidRPr="0063347C" w:rsidRDefault="00B80DA4" w:rsidP="000E7785">
            <w:pPr>
              <w:pStyle w:val="Tabletext"/>
              <w:spacing w:before="40" w:after="40"/>
              <w:jc w:val="center"/>
              <w:rPr>
                <w:b/>
              </w:rPr>
            </w:pPr>
            <w:r w:rsidRPr="0063347C">
              <w:rPr>
                <w:b/>
              </w:rPr>
              <w:t>47</w:t>
            </w:r>
          </w:p>
        </w:tc>
        <w:tc>
          <w:tcPr>
            <w:tcW w:w="3062" w:type="dxa"/>
          </w:tcPr>
          <w:p w14:paraId="5BBDB8C9" w14:textId="77777777" w:rsidR="00B80DA4" w:rsidRPr="0063347C" w:rsidRDefault="00B80DA4" w:rsidP="000E7785">
            <w:pPr>
              <w:pStyle w:val="Tabletext"/>
              <w:spacing w:before="40" w:after="40"/>
              <w:rPr>
                <w:b/>
              </w:rPr>
            </w:pPr>
          </w:p>
        </w:tc>
      </w:tr>
    </w:tbl>
    <w:p w14:paraId="3CCBC98F" w14:textId="77777777" w:rsidR="00B80DA4" w:rsidRPr="0063347C" w:rsidRDefault="00B80DA4" w:rsidP="00B34094">
      <w:pPr>
        <w:rPr>
          <w:lang w:eastAsia="zh-CN"/>
        </w:rPr>
      </w:pPr>
      <w:r>
        <w:rPr>
          <w:lang w:eastAsia="zh-CN"/>
        </w:rPr>
        <w:t>6</w:t>
      </w:r>
      <w:r>
        <w:rPr>
          <w:lang w:val="en-US" w:eastAsia="zh-CN"/>
        </w:rPr>
        <w:t>.9</w:t>
      </w:r>
      <w:r>
        <w:rPr>
          <w:lang w:val="en-US" w:eastAsia="zh-CN"/>
        </w:rPr>
        <w:tab/>
      </w:r>
      <w:r>
        <w:rPr>
          <w:rFonts w:hint="eastAsia"/>
          <w:lang w:val="en-US" w:eastAsia="zh-CN"/>
        </w:rPr>
        <w:t>如果</w:t>
      </w:r>
      <w:r w:rsidRPr="0063347C">
        <w:rPr>
          <w:lang w:eastAsia="zh-CN"/>
        </w:rPr>
        <w:t>PP-14</w:t>
      </w:r>
      <w:r>
        <w:rPr>
          <w:rFonts w:hint="eastAsia"/>
          <w:lang w:eastAsia="zh-CN"/>
        </w:rPr>
        <w:t>决定翻修</w:t>
      </w:r>
      <w:r w:rsidRPr="0063347C">
        <w:rPr>
          <w:lang w:eastAsia="zh-CN"/>
        </w:rPr>
        <w:t>Varembé</w:t>
      </w:r>
      <w:r>
        <w:rPr>
          <w:rFonts w:hint="eastAsia"/>
          <w:lang w:eastAsia="zh-CN"/>
        </w:rPr>
        <w:t>办公楼，则可在</w:t>
      </w:r>
      <w:r>
        <w:rPr>
          <w:rFonts w:hint="eastAsia"/>
          <w:lang w:eastAsia="zh-CN"/>
        </w:rPr>
        <w:t>2016-2019</w:t>
      </w:r>
      <w:r>
        <w:rPr>
          <w:rFonts w:hint="eastAsia"/>
          <w:lang w:eastAsia="zh-CN"/>
        </w:rPr>
        <w:t>年财务规划期间进行这一项目，对工期期限的谨慎估计为三年。在提交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年财务规划草案中未包含这些翻修费用。</w:t>
      </w:r>
    </w:p>
    <w:p w14:paraId="7100400C" w14:textId="77777777" w:rsidR="00B80DA4" w:rsidRPr="0063347C" w:rsidRDefault="00B80DA4" w:rsidP="00B80DA4">
      <w:pPr>
        <w:pStyle w:val="Headingb"/>
        <w:tabs>
          <w:tab w:val="clear" w:pos="567"/>
          <w:tab w:val="clear" w:pos="1134"/>
          <w:tab w:val="clear" w:pos="1701"/>
          <w:tab w:val="clear" w:pos="2268"/>
          <w:tab w:val="clear" w:pos="2835"/>
        </w:tabs>
        <w:spacing w:before="240" w:after="160"/>
        <w:rPr>
          <w:lang w:eastAsia="zh-CN"/>
        </w:rPr>
      </w:pPr>
      <w:r>
        <w:rPr>
          <w:rFonts w:hint="eastAsia"/>
          <w:lang w:eastAsia="zh-CN"/>
        </w:rPr>
        <w:t>方案</w:t>
      </w:r>
      <w:r>
        <w:rPr>
          <w:rFonts w:hint="eastAsia"/>
          <w:lang w:eastAsia="zh-CN"/>
        </w:rPr>
        <w:t>2</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14:paraId="14690DB8" w14:textId="77777777" w:rsidTr="000E7785">
        <w:trPr>
          <w:jc w:val="center"/>
        </w:trPr>
        <w:tc>
          <w:tcPr>
            <w:tcW w:w="2381" w:type="dxa"/>
          </w:tcPr>
          <w:p w14:paraId="31A6090B" w14:textId="77777777" w:rsidR="00B80DA4" w:rsidRPr="0063347C" w:rsidRDefault="00B80DA4" w:rsidP="000E7785">
            <w:pPr>
              <w:pStyle w:val="Tablehead"/>
              <w:keepNext/>
              <w:keepLines/>
              <w:spacing w:before="60" w:after="60"/>
            </w:pPr>
            <w:r>
              <w:rPr>
                <w:rFonts w:hint="eastAsia"/>
                <w:lang w:eastAsia="zh-CN"/>
              </w:rPr>
              <w:t>楼宇</w:t>
            </w:r>
          </w:p>
        </w:tc>
        <w:tc>
          <w:tcPr>
            <w:tcW w:w="1588" w:type="dxa"/>
          </w:tcPr>
          <w:p w14:paraId="49B5A810" w14:textId="77777777" w:rsidR="00B80DA4" w:rsidRPr="0063347C" w:rsidRDefault="00B80DA4" w:rsidP="000E7785">
            <w:pPr>
              <w:pStyle w:val="Tablehead"/>
              <w:keepNext/>
              <w:keepLines/>
              <w:spacing w:before="60" w:after="60"/>
            </w:pPr>
          </w:p>
        </w:tc>
        <w:tc>
          <w:tcPr>
            <w:tcW w:w="1701" w:type="dxa"/>
          </w:tcPr>
          <w:p w14:paraId="58FD4913" w14:textId="77777777" w:rsidR="00B80DA4" w:rsidRPr="0063347C" w:rsidRDefault="00B80DA4" w:rsidP="000E7785">
            <w:pPr>
              <w:pStyle w:val="Tablehead"/>
              <w:spacing w:before="60" w:after="60"/>
            </w:pPr>
            <w:r>
              <w:rPr>
                <w:rFonts w:hint="eastAsia"/>
                <w:lang w:eastAsia="zh-CN"/>
              </w:rPr>
              <w:t>费用</w:t>
            </w:r>
          </w:p>
          <w:p w14:paraId="07E940E3" w14:textId="77777777" w:rsidR="00B80DA4" w:rsidRPr="0063347C" w:rsidRDefault="00B80DA4" w:rsidP="000E7785">
            <w:pPr>
              <w:pStyle w:val="Tablehead"/>
              <w:spacing w:before="60" w:after="60"/>
            </w:pPr>
            <w:r>
              <w:t>（</w:t>
            </w:r>
            <w:r>
              <w:rPr>
                <w:rFonts w:hint="eastAsia"/>
                <w:lang w:eastAsia="zh-CN"/>
              </w:rPr>
              <w:t>百万瑞郎）</w:t>
            </w:r>
          </w:p>
        </w:tc>
        <w:tc>
          <w:tcPr>
            <w:tcW w:w="4139" w:type="dxa"/>
          </w:tcPr>
          <w:p w14:paraId="1A6AF5EC" w14:textId="77777777" w:rsidR="00B80DA4" w:rsidRPr="0063347C" w:rsidRDefault="00B80DA4" w:rsidP="000E7785">
            <w:pPr>
              <w:pStyle w:val="Tablehead"/>
              <w:spacing w:before="60" w:after="60"/>
            </w:pPr>
            <w:r>
              <w:rPr>
                <w:rFonts w:hint="eastAsia"/>
                <w:lang w:eastAsia="zh-CN"/>
              </w:rPr>
              <w:t>说明</w:t>
            </w:r>
          </w:p>
        </w:tc>
      </w:tr>
      <w:tr w:rsidR="00B80DA4" w:rsidRPr="0063347C" w14:paraId="0ABDCA9D" w14:textId="77777777" w:rsidTr="000E7785">
        <w:trPr>
          <w:jc w:val="center"/>
        </w:trPr>
        <w:tc>
          <w:tcPr>
            <w:tcW w:w="2381" w:type="dxa"/>
          </w:tcPr>
          <w:p w14:paraId="1D3FFB0D" w14:textId="77777777" w:rsidR="00B80DA4" w:rsidRPr="0063347C" w:rsidRDefault="00B80DA4" w:rsidP="000E7785">
            <w:pPr>
              <w:pStyle w:val="Tabletext"/>
              <w:spacing w:before="40" w:after="40"/>
            </w:pPr>
            <w:r w:rsidRPr="0063347C">
              <w:t>Varembé</w:t>
            </w:r>
            <w:r>
              <w:rPr>
                <w:rFonts w:hint="eastAsia"/>
                <w:lang w:eastAsia="zh-CN"/>
              </w:rPr>
              <w:t>办公楼</w:t>
            </w:r>
          </w:p>
        </w:tc>
        <w:tc>
          <w:tcPr>
            <w:tcW w:w="1588" w:type="dxa"/>
          </w:tcPr>
          <w:p w14:paraId="3A8EE5D5" w14:textId="77777777" w:rsidR="00B80DA4" w:rsidRPr="0063347C" w:rsidRDefault="00B80DA4" w:rsidP="000E7785">
            <w:pPr>
              <w:pStyle w:val="Tabletext"/>
              <w:keepNext/>
              <w:keepLines/>
            </w:pPr>
            <w:r>
              <w:rPr>
                <w:rFonts w:hint="eastAsia"/>
                <w:lang w:eastAsia="zh-CN"/>
              </w:rPr>
              <w:t>紧急工程</w:t>
            </w:r>
          </w:p>
        </w:tc>
        <w:tc>
          <w:tcPr>
            <w:tcW w:w="1701" w:type="dxa"/>
          </w:tcPr>
          <w:p w14:paraId="1713FA7E" w14:textId="77777777" w:rsidR="00B80DA4" w:rsidRPr="0063347C" w:rsidRDefault="00B80DA4" w:rsidP="000E7785">
            <w:pPr>
              <w:pStyle w:val="Tabletext"/>
              <w:spacing w:before="40" w:after="40"/>
              <w:jc w:val="center"/>
            </w:pPr>
            <w:r w:rsidRPr="0063347C">
              <w:t>47</w:t>
            </w:r>
          </w:p>
        </w:tc>
        <w:tc>
          <w:tcPr>
            <w:tcW w:w="4139" w:type="dxa"/>
          </w:tcPr>
          <w:p w14:paraId="747D6CA4" w14:textId="77777777" w:rsidR="00B80DA4" w:rsidRPr="0063347C" w:rsidRDefault="00B80DA4" w:rsidP="000E7785">
            <w:pPr>
              <w:pStyle w:val="Tabletext"/>
              <w:spacing w:before="40" w:after="40"/>
            </w:pPr>
            <w:r>
              <w:rPr>
                <w:rFonts w:hint="eastAsia"/>
                <w:lang w:eastAsia="zh-CN"/>
              </w:rPr>
              <w:t>翻修并继续使用</w:t>
            </w:r>
          </w:p>
        </w:tc>
      </w:tr>
      <w:tr w:rsidR="00B80DA4" w:rsidRPr="0063347C" w14:paraId="3F4DD75B" w14:textId="77777777" w:rsidTr="000E7785">
        <w:trPr>
          <w:jc w:val="center"/>
        </w:trPr>
        <w:tc>
          <w:tcPr>
            <w:tcW w:w="2381" w:type="dxa"/>
          </w:tcPr>
          <w:p w14:paraId="2E12A667" w14:textId="77777777" w:rsidR="00B80DA4" w:rsidRPr="0063347C" w:rsidRDefault="00B80DA4" w:rsidP="000E7785">
            <w:pPr>
              <w:pStyle w:val="Tabletext"/>
              <w:spacing w:before="40" w:after="40"/>
              <w:rPr>
                <w:lang w:eastAsia="zh-CN"/>
              </w:rPr>
            </w:pPr>
            <w:r>
              <w:rPr>
                <w:rFonts w:hint="eastAsia"/>
                <w:lang w:eastAsia="zh-CN"/>
              </w:rPr>
              <w:t>临时安置</w:t>
            </w:r>
            <w:r w:rsidRPr="0063347C">
              <w:rPr>
                <w:lang w:eastAsia="zh-CN"/>
              </w:rPr>
              <w:t>Varembé</w:t>
            </w:r>
            <w:r>
              <w:rPr>
                <w:rFonts w:hint="eastAsia"/>
                <w:lang w:eastAsia="zh-CN"/>
              </w:rPr>
              <w:t>办公楼职员</w:t>
            </w:r>
          </w:p>
        </w:tc>
        <w:tc>
          <w:tcPr>
            <w:tcW w:w="1588" w:type="dxa"/>
          </w:tcPr>
          <w:p w14:paraId="1C868E31" w14:textId="77777777" w:rsidR="00B80DA4" w:rsidRPr="0063347C" w:rsidRDefault="00B80DA4" w:rsidP="000E7785">
            <w:pPr>
              <w:pStyle w:val="Tabletext"/>
              <w:keepNext/>
              <w:keepLines/>
            </w:pPr>
            <w:r>
              <w:rPr>
                <w:rFonts w:hint="eastAsia"/>
                <w:lang w:eastAsia="zh-CN"/>
              </w:rPr>
              <w:t>紧急工程</w:t>
            </w:r>
          </w:p>
        </w:tc>
        <w:tc>
          <w:tcPr>
            <w:tcW w:w="1701" w:type="dxa"/>
          </w:tcPr>
          <w:p w14:paraId="7109C04B" w14:textId="77777777" w:rsidR="00B80DA4" w:rsidRPr="0063347C" w:rsidRDefault="00B80DA4" w:rsidP="000E7785">
            <w:pPr>
              <w:pStyle w:val="Tabletext"/>
              <w:spacing w:before="40" w:after="40"/>
              <w:jc w:val="center"/>
            </w:pPr>
            <w:r w:rsidRPr="0063347C">
              <w:t>16</w:t>
            </w:r>
          </w:p>
        </w:tc>
        <w:tc>
          <w:tcPr>
            <w:tcW w:w="4139" w:type="dxa"/>
          </w:tcPr>
          <w:p w14:paraId="1E22FCED" w14:textId="77777777" w:rsidR="00B80DA4" w:rsidRPr="0063347C" w:rsidRDefault="00B80DA4" w:rsidP="000E7785">
            <w:pPr>
              <w:pStyle w:val="Tabletext"/>
              <w:spacing w:before="40" w:after="40"/>
            </w:pPr>
          </w:p>
        </w:tc>
      </w:tr>
      <w:tr w:rsidR="00B80DA4" w:rsidRPr="0063347C" w14:paraId="7E58F764" w14:textId="77777777" w:rsidTr="000E7785">
        <w:trPr>
          <w:jc w:val="center"/>
        </w:trPr>
        <w:tc>
          <w:tcPr>
            <w:tcW w:w="2381" w:type="dxa"/>
          </w:tcPr>
          <w:p w14:paraId="284B8DEF" w14:textId="77777777" w:rsidR="00B80DA4" w:rsidRPr="0063347C" w:rsidRDefault="00B80DA4" w:rsidP="000E7785">
            <w:pPr>
              <w:pStyle w:val="Tabletext"/>
              <w:spacing w:before="40" w:after="40"/>
            </w:pPr>
            <w:r w:rsidRPr="0063347C">
              <w:t>Montbrillant</w:t>
            </w:r>
            <w:r>
              <w:rPr>
                <w:rFonts w:hint="eastAsia"/>
                <w:lang w:eastAsia="zh-CN"/>
              </w:rPr>
              <w:t>办公楼</w:t>
            </w:r>
          </w:p>
        </w:tc>
        <w:tc>
          <w:tcPr>
            <w:tcW w:w="1588" w:type="dxa"/>
          </w:tcPr>
          <w:p w14:paraId="7590D56D" w14:textId="77777777" w:rsidR="00B80DA4" w:rsidRPr="0063347C" w:rsidRDefault="00B80DA4" w:rsidP="000E7785">
            <w:pPr>
              <w:pStyle w:val="Tabletext"/>
              <w:keepNext/>
              <w:keepLines/>
            </w:pPr>
            <w:r>
              <w:rPr>
                <w:rFonts w:hint="eastAsia"/>
                <w:lang w:eastAsia="zh-CN"/>
              </w:rPr>
              <w:t>紧急工程</w:t>
            </w:r>
          </w:p>
        </w:tc>
        <w:tc>
          <w:tcPr>
            <w:tcW w:w="1701" w:type="dxa"/>
          </w:tcPr>
          <w:p w14:paraId="50589B00" w14:textId="77777777" w:rsidR="00B80DA4" w:rsidRPr="0063347C" w:rsidRDefault="00B80DA4" w:rsidP="000E7785">
            <w:pPr>
              <w:pStyle w:val="Tabletext"/>
              <w:spacing w:before="40" w:after="40"/>
              <w:jc w:val="center"/>
            </w:pPr>
            <w:r w:rsidRPr="0063347C">
              <w:t>4</w:t>
            </w:r>
          </w:p>
        </w:tc>
        <w:tc>
          <w:tcPr>
            <w:tcW w:w="4139" w:type="dxa"/>
          </w:tcPr>
          <w:p w14:paraId="723F381F" w14:textId="77777777" w:rsidR="00B80DA4" w:rsidRPr="0063347C" w:rsidRDefault="00B80DA4" w:rsidP="000E7785">
            <w:pPr>
              <w:pStyle w:val="Tabletext"/>
              <w:spacing w:before="40" w:after="40"/>
            </w:pPr>
            <w:r>
              <w:rPr>
                <w:rFonts w:hint="eastAsia"/>
                <w:lang w:eastAsia="zh-CN"/>
              </w:rPr>
              <w:t>继续使用</w:t>
            </w:r>
          </w:p>
        </w:tc>
      </w:tr>
      <w:tr w:rsidR="00B80DA4" w:rsidRPr="0063347C" w14:paraId="55F6D3B1" w14:textId="77777777" w:rsidTr="000E7785">
        <w:trPr>
          <w:jc w:val="center"/>
        </w:trPr>
        <w:tc>
          <w:tcPr>
            <w:tcW w:w="2381" w:type="dxa"/>
          </w:tcPr>
          <w:p w14:paraId="3617BA87" w14:textId="77777777" w:rsidR="00B80DA4" w:rsidRPr="0063347C" w:rsidRDefault="00B80DA4" w:rsidP="000E7785">
            <w:pPr>
              <w:pStyle w:val="Tabletext"/>
              <w:spacing w:before="40" w:after="40"/>
              <w:rPr>
                <w:lang w:eastAsia="zh-CN"/>
              </w:rPr>
            </w:pPr>
            <w:r>
              <w:rPr>
                <w:rFonts w:hint="eastAsia"/>
                <w:lang w:eastAsia="zh-CN"/>
              </w:rPr>
              <w:t>塔楼</w:t>
            </w:r>
          </w:p>
        </w:tc>
        <w:tc>
          <w:tcPr>
            <w:tcW w:w="1588" w:type="dxa"/>
          </w:tcPr>
          <w:p w14:paraId="475BA8FB" w14:textId="77777777" w:rsidR="00B80DA4" w:rsidRPr="0063347C" w:rsidRDefault="00B80DA4" w:rsidP="000E7785">
            <w:pPr>
              <w:pStyle w:val="Tabletext"/>
              <w:keepNext/>
              <w:keepLines/>
            </w:pPr>
            <w:r>
              <w:rPr>
                <w:rFonts w:hint="eastAsia"/>
                <w:lang w:eastAsia="zh-CN"/>
              </w:rPr>
              <w:t>紧急工程</w:t>
            </w:r>
          </w:p>
        </w:tc>
        <w:tc>
          <w:tcPr>
            <w:tcW w:w="1701" w:type="dxa"/>
          </w:tcPr>
          <w:p w14:paraId="226E7A28" w14:textId="77777777" w:rsidR="00B80DA4" w:rsidRPr="0063347C" w:rsidRDefault="00B80DA4" w:rsidP="000E7785">
            <w:pPr>
              <w:pStyle w:val="Tabletext"/>
              <w:spacing w:before="40" w:after="40"/>
              <w:jc w:val="center"/>
            </w:pPr>
            <w:r w:rsidRPr="0063347C">
              <w:t>45</w:t>
            </w:r>
          </w:p>
        </w:tc>
        <w:tc>
          <w:tcPr>
            <w:tcW w:w="4139" w:type="dxa"/>
          </w:tcPr>
          <w:p w14:paraId="03510343" w14:textId="77777777" w:rsidR="00B80DA4" w:rsidRPr="0063347C" w:rsidRDefault="00B80DA4" w:rsidP="000E7785">
            <w:pPr>
              <w:pStyle w:val="Tabletext"/>
              <w:spacing w:before="40" w:after="40"/>
            </w:pPr>
            <w:r>
              <w:rPr>
                <w:rFonts w:hint="eastAsia"/>
                <w:lang w:eastAsia="zh-CN"/>
              </w:rPr>
              <w:t>继续使用</w:t>
            </w:r>
          </w:p>
        </w:tc>
      </w:tr>
      <w:tr w:rsidR="00B80DA4" w:rsidRPr="0063347C" w14:paraId="130602E9" w14:textId="77777777" w:rsidTr="000E7785">
        <w:trPr>
          <w:jc w:val="center"/>
        </w:trPr>
        <w:tc>
          <w:tcPr>
            <w:tcW w:w="2381" w:type="dxa"/>
          </w:tcPr>
          <w:p w14:paraId="79240989" w14:textId="77777777" w:rsidR="00B80DA4" w:rsidRPr="0063347C" w:rsidRDefault="00B80DA4" w:rsidP="000E7785">
            <w:pPr>
              <w:pStyle w:val="Tabletext"/>
              <w:spacing w:before="40" w:after="40"/>
              <w:rPr>
                <w:lang w:eastAsia="zh-CN"/>
              </w:rPr>
            </w:pPr>
            <w:r>
              <w:rPr>
                <w:rFonts w:hint="eastAsia"/>
                <w:lang w:eastAsia="zh-CN"/>
              </w:rPr>
              <w:t>临时安置塔楼职员</w:t>
            </w:r>
          </w:p>
        </w:tc>
        <w:tc>
          <w:tcPr>
            <w:tcW w:w="1588" w:type="dxa"/>
          </w:tcPr>
          <w:p w14:paraId="768ED49D" w14:textId="77777777" w:rsidR="00B80DA4" w:rsidRPr="0063347C" w:rsidRDefault="00B80DA4" w:rsidP="000E7785">
            <w:pPr>
              <w:pStyle w:val="Tabletext"/>
              <w:keepNext/>
              <w:keepLines/>
            </w:pPr>
            <w:r>
              <w:rPr>
                <w:rFonts w:hint="eastAsia"/>
                <w:lang w:eastAsia="zh-CN"/>
              </w:rPr>
              <w:t>紧急工程</w:t>
            </w:r>
          </w:p>
        </w:tc>
        <w:tc>
          <w:tcPr>
            <w:tcW w:w="1701" w:type="dxa"/>
          </w:tcPr>
          <w:p w14:paraId="607F7103" w14:textId="77777777" w:rsidR="00B80DA4" w:rsidRPr="0063347C" w:rsidRDefault="00B80DA4" w:rsidP="000E7785">
            <w:pPr>
              <w:pStyle w:val="Tabletext"/>
              <w:spacing w:before="40" w:after="40"/>
              <w:jc w:val="center"/>
            </w:pPr>
            <w:r w:rsidRPr="0063347C">
              <w:t>8</w:t>
            </w:r>
          </w:p>
        </w:tc>
        <w:tc>
          <w:tcPr>
            <w:tcW w:w="4139" w:type="dxa"/>
          </w:tcPr>
          <w:p w14:paraId="141F622D" w14:textId="77777777" w:rsidR="00B80DA4" w:rsidRPr="0063347C" w:rsidRDefault="00B80DA4" w:rsidP="000E7785">
            <w:pPr>
              <w:pStyle w:val="Tabletext"/>
              <w:spacing w:before="40" w:after="40"/>
            </w:pPr>
          </w:p>
        </w:tc>
      </w:tr>
      <w:tr w:rsidR="00B80DA4" w:rsidRPr="0063347C" w14:paraId="5F87A159" w14:textId="77777777" w:rsidTr="000E7785">
        <w:trPr>
          <w:jc w:val="center"/>
        </w:trPr>
        <w:tc>
          <w:tcPr>
            <w:tcW w:w="2381" w:type="dxa"/>
          </w:tcPr>
          <w:p w14:paraId="68AA5EB6" w14:textId="77777777" w:rsidR="00B80DA4" w:rsidRPr="0063347C" w:rsidRDefault="00B80DA4" w:rsidP="000E7785">
            <w:pPr>
              <w:pStyle w:val="Tabletext"/>
              <w:keepNext/>
              <w:keepLines/>
              <w:rPr>
                <w:i/>
              </w:rPr>
            </w:pPr>
            <w:r>
              <w:rPr>
                <w:rFonts w:ascii="STKaiti" w:eastAsia="STKaiti" w:hAnsi="STKaiti" w:hint="eastAsia"/>
                <w:iCs/>
                <w:lang w:eastAsia="zh-CN"/>
              </w:rPr>
              <w:t>融资费用</w:t>
            </w:r>
          </w:p>
        </w:tc>
        <w:tc>
          <w:tcPr>
            <w:tcW w:w="1588" w:type="dxa"/>
          </w:tcPr>
          <w:p w14:paraId="6B00638D" w14:textId="77777777" w:rsidR="00B80DA4" w:rsidRPr="0063347C" w:rsidRDefault="00B80DA4" w:rsidP="000E7785">
            <w:pPr>
              <w:pStyle w:val="Tabletext"/>
              <w:spacing w:before="40" w:after="40"/>
              <w:rPr>
                <w:i/>
              </w:rPr>
            </w:pPr>
          </w:p>
        </w:tc>
        <w:tc>
          <w:tcPr>
            <w:tcW w:w="1701" w:type="dxa"/>
          </w:tcPr>
          <w:p w14:paraId="08F80699" w14:textId="02B7B277" w:rsidR="00B80DA4" w:rsidRPr="0063347C" w:rsidRDefault="0081793E" w:rsidP="000E7785">
            <w:pPr>
              <w:pStyle w:val="Tabletext"/>
              <w:spacing w:before="40" w:after="40"/>
              <w:jc w:val="center"/>
              <w:rPr>
                <w:i/>
              </w:rPr>
            </w:pPr>
            <w:r>
              <w:rPr>
                <w:i/>
              </w:rPr>
              <w:t>27</w:t>
            </w:r>
          </w:p>
        </w:tc>
        <w:tc>
          <w:tcPr>
            <w:tcW w:w="4139" w:type="dxa"/>
          </w:tcPr>
          <w:p w14:paraId="2E21BE20" w14:textId="77777777" w:rsidR="00B80DA4" w:rsidRPr="002B5BFA" w:rsidRDefault="00B80DA4" w:rsidP="000E7785">
            <w:pPr>
              <w:pStyle w:val="Tabletext"/>
              <w:spacing w:before="40" w:after="40"/>
              <w:rPr>
                <w:rFonts w:ascii="STKaiti" w:eastAsia="STKaiti" w:hAnsi="STKaiti"/>
                <w:i/>
              </w:rPr>
            </w:pPr>
            <w:r w:rsidRPr="002B5BFA">
              <w:rPr>
                <w:rFonts w:ascii="STKaiti" w:eastAsia="STKaiti" w:hAnsi="STKaiti" w:hint="eastAsia"/>
                <w:lang w:eastAsia="zh-CN"/>
              </w:rPr>
              <w:t>贷款累积利息</w:t>
            </w:r>
          </w:p>
        </w:tc>
      </w:tr>
      <w:tr w:rsidR="00B80DA4" w:rsidRPr="0063347C" w14:paraId="6062A195" w14:textId="77777777" w:rsidTr="000E7785">
        <w:trPr>
          <w:trHeight w:val="287"/>
          <w:jc w:val="center"/>
        </w:trPr>
        <w:tc>
          <w:tcPr>
            <w:tcW w:w="2381" w:type="dxa"/>
          </w:tcPr>
          <w:p w14:paraId="7145B75C" w14:textId="77777777" w:rsidR="00B80DA4" w:rsidRPr="0063347C" w:rsidRDefault="00B80DA4" w:rsidP="000E7785">
            <w:pPr>
              <w:pStyle w:val="Tabletext"/>
              <w:keepNext/>
              <w:keepLines/>
              <w:rPr>
                <w:b/>
              </w:rPr>
            </w:pPr>
            <w:r>
              <w:rPr>
                <w:rFonts w:hint="eastAsia"/>
                <w:b/>
                <w:lang w:eastAsia="zh-CN"/>
              </w:rPr>
              <w:t>合计</w:t>
            </w:r>
          </w:p>
        </w:tc>
        <w:tc>
          <w:tcPr>
            <w:tcW w:w="1588" w:type="dxa"/>
          </w:tcPr>
          <w:p w14:paraId="1A983112" w14:textId="77777777" w:rsidR="00B80DA4" w:rsidRPr="0063347C" w:rsidRDefault="00B80DA4" w:rsidP="000E7785">
            <w:pPr>
              <w:pStyle w:val="Tabletext"/>
              <w:spacing w:before="40" w:after="40"/>
              <w:rPr>
                <w:b/>
              </w:rPr>
            </w:pPr>
          </w:p>
        </w:tc>
        <w:tc>
          <w:tcPr>
            <w:tcW w:w="1701" w:type="dxa"/>
          </w:tcPr>
          <w:p w14:paraId="5B9F41B3" w14:textId="5C463F84" w:rsidR="00B80DA4" w:rsidRPr="0063347C" w:rsidRDefault="0081793E" w:rsidP="000E7785">
            <w:pPr>
              <w:pStyle w:val="Tabletext"/>
              <w:spacing w:before="40" w:after="40"/>
              <w:jc w:val="center"/>
              <w:rPr>
                <w:b/>
              </w:rPr>
            </w:pPr>
            <w:r>
              <w:rPr>
                <w:b/>
              </w:rPr>
              <w:t>147</w:t>
            </w:r>
          </w:p>
        </w:tc>
        <w:tc>
          <w:tcPr>
            <w:tcW w:w="4139" w:type="dxa"/>
          </w:tcPr>
          <w:p w14:paraId="07A858C8" w14:textId="77777777" w:rsidR="00B80DA4" w:rsidRPr="0063347C" w:rsidRDefault="00B80DA4" w:rsidP="000E7785">
            <w:pPr>
              <w:pStyle w:val="Tabletext"/>
              <w:spacing w:before="40" w:after="40"/>
              <w:rPr>
                <w:b/>
              </w:rPr>
            </w:pPr>
          </w:p>
        </w:tc>
      </w:tr>
    </w:tbl>
    <w:p w14:paraId="42DDC26C" w14:textId="77777777" w:rsidR="00B80DA4" w:rsidRDefault="00B80DA4" w:rsidP="00B80DA4">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14:paraId="3FB92A51" w14:textId="77777777" w:rsidTr="000E7785">
        <w:trPr>
          <w:jc w:val="center"/>
        </w:trPr>
        <w:tc>
          <w:tcPr>
            <w:tcW w:w="2381" w:type="dxa"/>
          </w:tcPr>
          <w:p w14:paraId="50787549" w14:textId="77777777" w:rsidR="00B80DA4" w:rsidRPr="0063347C" w:rsidRDefault="00B80DA4" w:rsidP="000E7785">
            <w:pPr>
              <w:pStyle w:val="Tabletext"/>
            </w:pPr>
            <w:r>
              <w:rPr>
                <w:rFonts w:hint="eastAsia"/>
                <w:lang w:eastAsia="zh-CN"/>
              </w:rPr>
              <w:t>所有办公楼</w:t>
            </w:r>
          </w:p>
        </w:tc>
        <w:tc>
          <w:tcPr>
            <w:tcW w:w="1588" w:type="dxa"/>
          </w:tcPr>
          <w:p w14:paraId="3838595F" w14:textId="77777777" w:rsidR="00B80DA4" w:rsidRPr="0063347C" w:rsidRDefault="00B80DA4" w:rsidP="000E7785">
            <w:pPr>
              <w:pStyle w:val="Tabletext"/>
            </w:pPr>
            <w:r>
              <w:rPr>
                <w:rFonts w:hint="eastAsia"/>
                <w:lang w:eastAsia="zh-CN"/>
              </w:rPr>
              <w:t>年度费用合计</w:t>
            </w:r>
          </w:p>
        </w:tc>
        <w:tc>
          <w:tcPr>
            <w:tcW w:w="1701" w:type="dxa"/>
          </w:tcPr>
          <w:p w14:paraId="64C961E8" w14:textId="0DFFA551" w:rsidR="00B80DA4" w:rsidRPr="0063347C" w:rsidRDefault="00B80DA4">
            <w:pPr>
              <w:pStyle w:val="Tabletext"/>
              <w:jc w:val="center"/>
            </w:pPr>
            <w:r>
              <w:rPr>
                <w:rFonts w:hint="eastAsia"/>
                <w:lang w:eastAsia="zh-CN"/>
              </w:rPr>
              <w:t>每年</w:t>
            </w:r>
            <w:r w:rsidR="0081793E">
              <w:t>4.9</w:t>
            </w:r>
          </w:p>
        </w:tc>
        <w:tc>
          <w:tcPr>
            <w:tcW w:w="4139" w:type="dxa"/>
          </w:tcPr>
          <w:p w14:paraId="1CBDFDAA" w14:textId="2375D04C" w:rsidR="00B80DA4" w:rsidRPr="00DD05B6" w:rsidRDefault="00B80DA4">
            <w:pPr>
              <w:pStyle w:val="Tabletext"/>
              <w:tabs>
                <w:tab w:val="left" w:pos="275"/>
              </w:tabs>
              <w:rPr>
                <w:szCs w:val="22"/>
                <w:lang w:eastAsia="zh-CN"/>
              </w:rPr>
            </w:pPr>
            <w:r w:rsidRPr="009A6825">
              <w:rPr>
                <w:szCs w:val="22"/>
                <w:lang w:eastAsia="zh-CN"/>
              </w:rPr>
              <w:t>–</w:t>
            </w:r>
            <w:r>
              <w:rPr>
                <w:szCs w:val="22"/>
                <w:lang w:eastAsia="zh-CN"/>
              </w:rPr>
              <w:tab/>
            </w:r>
            <w:r>
              <w:rPr>
                <w:rFonts w:hint="eastAsia"/>
                <w:szCs w:val="22"/>
                <w:lang w:eastAsia="zh-CN"/>
              </w:rPr>
              <w:t>为期</w:t>
            </w:r>
            <w:r>
              <w:rPr>
                <w:rFonts w:hint="eastAsia"/>
                <w:szCs w:val="22"/>
                <w:lang w:eastAsia="zh-CN"/>
              </w:rPr>
              <w:t>30</w:t>
            </w:r>
            <w:r>
              <w:rPr>
                <w:rFonts w:hint="eastAsia"/>
                <w:szCs w:val="22"/>
                <w:lang w:eastAsia="zh-CN"/>
              </w:rPr>
              <w:t>年，每年</w:t>
            </w:r>
            <w:r>
              <w:rPr>
                <w:rFonts w:hint="eastAsia"/>
                <w:szCs w:val="22"/>
                <w:lang w:eastAsia="zh-CN"/>
              </w:rPr>
              <w:t>400</w:t>
            </w:r>
            <w:r>
              <w:rPr>
                <w:rFonts w:hint="eastAsia"/>
                <w:szCs w:val="22"/>
                <w:lang w:eastAsia="zh-CN"/>
              </w:rPr>
              <w:t>万瑞郎，加上自翻修工程完工日起的平均每年</w:t>
            </w:r>
            <w:r w:rsidR="0081793E">
              <w:rPr>
                <w:szCs w:val="22"/>
                <w:lang w:eastAsia="zh-CN"/>
              </w:rPr>
              <w:t>90</w:t>
            </w:r>
            <w:r>
              <w:rPr>
                <w:rFonts w:hint="eastAsia"/>
                <w:szCs w:val="22"/>
                <w:lang w:eastAsia="zh-CN"/>
              </w:rPr>
              <w:t>万瑞郎的利息</w:t>
            </w:r>
          </w:p>
        </w:tc>
      </w:tr>
    </w:tbl>
    <w:p w14:paraId="3D992ACF" w14:textId="77777777" w:rsidR="00B80DA4" w:rsidRPr="0063347C" w:rsidRDefault="00B80DA4" w:rsidP="00B80DA4">
      <w:pPr>
        <w:spacing w:before="0"/>
        <w:rPr>
          <w:sz w:val="22"/>
          <w:szCs w:val="22"/>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80DA4" w:rsidRPr="0063347C" w14:paraId="7DDC1D7F" w14:textId="77777777" w:rsidTr="000E7785">
        <w:trPr>
          <w:jc w:val="center"/>
        </w:trPr>
        <w:tc>
          <w:tcPr>
            <w:tcW w:w="2381" w:type="dxa"/>
          </w:tcPr>
          <w:p w14:paraId="380C28AF" w14:textId="77777777" w:rsidR="00B80DA4" w:rsidRPr="0063347C" w:rsidRDefault="00B80DA4" w:rsidP="000E7785">
            <w:pPr>
              <w:pStyle w:val="Tabletext"/>
            </w:pPr>
            <w:r>
              <w:rPr>
                <w:rFonts w:hint="eastAsia"/>
                <w:lang w:eastAsia="zh-CN"/>
              </w:rPr>
              <w:t>所有办公楼</w:t>
            </w:r>
          </w:p>
        </w:tc>
        <w:tc>
          <w:tcPr>
            <w:tcW w:w="1588" w:type="dxa"/>
          </w:tcPr>
          <w:p w14:paraId="4581811D" w14:textId="77777777" w:rsidR="00B80DA4" w:rsidRPr="0063347C" w:rsidRDefault="00B80DA4" w:rsidP="000E7785">
            <w:pPr>
              <w:pStyle w:val="Tabletext"/>
            </w:pPr>
            <w:r>
              <w:rPr>
                <w:rFonts w:hint="eastAsia"/>
                <w:lang w:eastAsia="zh-CN"/>
              </w:rPr>
              <w:t>长期维护</w:t>
            </w:r>
          </w:p>
        </w:tc>
        <w:tc>
          <w:tcPr>
            <w:tcW w:w="1701" w:type="dxa"/>
          </w:tcPr>
          <w:p w14:paraId="14431093" w14:textId="77777777" w:rsidR="00B80DA4" w:rsidRPr="0063347C" w:rsidRDefault="00B80DA4" w:rsidP="000E7785">
            <w:pPr>
              <w:pStyle w:val="Tabletext"/>
              <w:jc w:val="center"/>
            </w:pPr>
            <w:r>
              <w:rPr>
                <w:rFonts w:hint="eastAsia"/>
                <w:lang w:eastAsia="zh-CN"/>
              </w:rPr>
              <w:t>每年</w:t>
            </w:r>
            <w:r w:rsidRPr="0063347C">
              <w:t>2.5</w:t>
            </w:r>
          </w:p>
        </w:tc>
        <w:tc>
          <w:tcPr>
            <w:tcW w:w="4139" w:type="dxa"/>
          </w:tcPr>
          <w:p w14:paraId="6BDFA57A" w14:textId="77777777" w:rsidR="00B80DA4" w:rsidRPr="0063347C" w:rsidRDefault="00B80DA4" w:rsidP="000E7785">
            <w:pPr>
              <w:pStyle w:val="Tabletext"/>
            </w:pPr>
            <w:r>
              <w:rPr>
                <w:rFonts w:hint="eastAsia"/>
                <w:lang w:eastAsia="zh-CN"/>
              </w:rPr>
              <w:t>每年火灾保险额的</w:t>
            </w:r>
            <w:r w:rsidRPr="0063347C">
              <w:t>1%</w:t>
            </w:r>
          </w:p>
        </w:tc>
      </w:tr>
    </w:tbl>
    <w:p w14:paraId="00648BCC" w14:textId="77777777" w:rsidR="00B80DA4" w:rsidRPr="0063347C" w:rsidRDefault="00B80DA4" w:rsidP="00B34094">
      <w:r>
        <w:rPr>
          <w:lang w:eastAsia="zh-CN"/>
        </w:rPr>
        <w:lastRenderedPageBreak/>
        <w:t>6</w:t>
      </w:r>
      <w:r>
        <w:rPr>
          <w:lang w:val="en-US" w:eastAsia="zh-CN"/>
        </w:rPr>
        <w:t>.10</w:t>
      </w:r>
      <w:r>
        <w:rPr>
          <w:lang w:val="en-US" w:eastAsia="zh-CN"/>
        </w:rPr>
        <w:tab/>
      </w:r>
      <w:r>
        <w:rPr>
          <w:rFonts w:hint="eastAsia"/>
          <w:lang w:val="en-US" w:eastAsia="zh-CN"/>
        </w:rPr>
        <w:t>方案</w:t>
      </w:r>
      <w:r>
        <w:rPr>
          <w:rFonts w:hint="eastAsia"/>
          <w:lang w:val="en-US" w:eastAsia="zh-CN"/>
        </w:rPr>
        <w:t>2</w:t>
      </w:r>
      <w:r>
        <w:rPr>
          <w:rFonts w:hint="eastAsia"/>
          <w:lang w:val="en-US" w:eastAsia="zh-CN"/>
        </w:rPr>
        <w:t>还意味着：</w:t>
      </w:r>
    </w:p>
    <w:p w14:paraId="2C53D1ED" w14:textId="77777777" w:rsidR="00B80DA4" w:rsidRPr="00284BC5" w:rsidRDefault="00B80DA4" w:rsidP="00B80DA4">
      <w:pPr>
        <w:pStyle w:val="enumlev1"/>
        <w:rPr>
          <w:lang w:eastAsia="zh-CN"/>
        </w:rPr>
      </w:pPr>
      <w:r w:rsidRPr="00284BC5">
        <w:rPr>
          <w:lang w:eastAsia="zh-CN"/>
        </w:rPr>
        <w:t>–</w:t>
      </w:r>
      <w:r w:rsidRPr="00284BC5">
        <w:rPr>
          <w:lang w:eastAsia="zh-CN"/>
        </w:rPr>
        <w:tab/>
      </w:r>
      <w:r w:rsidRPr="00284BC5">
        <w:rPr>
          <w:rFonts w:hint="eastAsia"/>
          <w:lang w:eastAsia="zh-CN"/>
        </w:rPr>
        <w:t>固定资产估值</w:t>
      </w:r>
      <w:r>
        <w:rPr>
          <w:rFonts w:hint="eastAsia"/>
          <w:lang w:eastAsia="zh-CN"/>
        </w:rPr>
        <w:t>有提高的潜力</w:t>
      </w:r>
      <w:r w:rsidRPr="00284BC5">
        <w:rPr>
          <w:rFonts w:hint="eastAsia"/>
          <w:lang w:eastAsia="zh-CN"/>
        </w:rPr>
        <w:t>（但</w:t>
      </w:r>
      <w:r>
        <w:rPr>
          <w:rFonts w:hint="eastAsia"/>
          <w:lang w:eastAsia="zh-CN"/>
        </w:rPr>
        <w:t>低</w:t>
      </w:r>
      <w:r w:rsidRPr="00284BC5">
        <w:rPr>
          <w:rFonts w:hint="eastAsia"/>
          <w:lang w:eastAsia="zh-CN"/>
        </w:rPr>
        <w:t>于方案</w:t>
      </w:r>
      <w:r w:rsidRPr="00284BC5">
        <w:rPr>
          <w:rFonts w:hint="eastAsia"/>
          <w:lang w:eastAsia="zh-CN"/>
        </w:rPr>
        <w:t>1</w:t>
      </w:r>
      <w:r w:rsidRPr="00284BC5">
        <w:rPr>
          <w:rFonts w:hint="eastAsia"/>
          <w:lang w:eastAsia="zh-CN"/>
        </w:rPr>
        <w:t>）；</w:t>
      </w:r>
    </w:p>
    <w:p w14:paraId="26A92926"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减少公用设施的使用，因此减少环境足迹（翻修后的办公楼更加节能）；</w:t>
      </w:r>
    </w:p>
    <w:p w14:paraId="429C5392"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职员和代表的生活质量有所提高（更好的环境控制，但仍存在塔楼和</w:t>
      </w:r>
      <w:r>
        <w:rPr>
          <w:lang w:eastAsia="zh-CN"/>
        </w:rPr>
        <w:t>Varembé</w:t>
      </w:r>
      <w:r>
        <w:rPr>
          <w:rFonts w:hint="eastAsia"/>
          <w:lang w:eastAsia="zh-CN"/>
        </w:rPr>
        <w:t>办公楼的结构效率不高的问题）；</w:t>
      </w:r>
    </w:p>
    <w:p w14:paraId="023EEDCC"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仅翻修</w:t>
      </w:r>
      <w:r>
        <w:rPr>
          <w:lang w:eastAsia="zh-CN"/>
        </w:rPr>
        <w:t>Varembé</w:t>
      </w:r>
      <w:r>
        <w:rPr>
          <w:rFonts w:hint="eastAsia"/>
          <w:lang w:eastAsia="zh-CN"/>
        </w:rPr>
        <w:t>办公楼一项就需要每年有</w:t>
      </w:r>
      <w:r>
        <w:rPr>
          <w:rFonts w:hint="eastAsia"/>
          <w:lang w:eastAsia="zh-CN"/>
        </w:rPr>
        <w:t>310</w:t>
      </w:r>
      <w:r>
        <w:rPr>
          <w:rFonts w:hint="eastAsia"/>
          <w:lang w:eastAsia="zh-CN"/>
        </w:rPr>
        <w:t>万瑞郎的现金流出量用于支付包括利息在内的贷款还款（为期</w:t>
      </w:r>
      <w:r>
        <w:rPr>
          <w:rFonts w:hint="eastAsia"/>
          <w:lang w:eastAsia="zh-CN"/>
        </w:rPr>
        <w:t>30</w:t>
      </w:r>
      <w:r>
        <w:rPr>
          <w:rFonts w:hint="eastAsia"/>
          <w:lang w:eastAsia="zh-CN"/>
        </w:rPr>
        <w:t>年）；</w:t>
      </w:r>
    </w:p>
    <w:p w14:paraId="433551D9" w14:textId="51395945" w:rsidR="00B80DA4" w:rsidRPr="0063347C" w:rsidRDefault="00B80DA4">
      <w:pPr>
        <w:pStyle w:val="enumlev1"/>
        <w:rPr>
          <w:lang w:eastAsia="zh-CN"/>
        </w:rPr>
      </w:pPr>
      <w:r>
        <w:rPr>
          <w:lang w:eastAsia="zh-CN"/>
        </w:rPr>
        <w:t>–</w:t>
      </w:r>
      <w:r>
        <w:rPr>
          <w:lang w:eastAsia="zh-CN"/>
        </w:rPr>
        <w:tab/>
      </w:r>
      <w:r>
        <w:rPr>
          <w:rFonts w:hint="eastAsia"/>
          <w:lang w:eastAsia="zh-CN"/>
        </w:rPr>
        <w:t>原则上</w:t>
      </w:r>
      <w:r>
        <w:rPr>
          <w:rFonts w:hint="eastAsia"/>
          <w:lang w:val="en-US" w:eastAsia="zh-CN"/>
        </w:rPr>
        <w:t>可通过东道国的有息</w:t>
      </w:r>
      <w:r w:rsidR="0081793E">
        <w:rPr>
          <w:rFonts w:hint="eastAsia"/>
          <w:lang w:val="en-US" w:eastAsia="zh-CN"/>
        </w:rPr>
        <w:t>翻修</w:t>
      </w:r>
      <w:r>
        <w:rPr>
          <w:rFonts w:hint="eastAsia"/>
          <w:lang w:val="en-US" w:eastAsia="zh-CN"/>
        </w:rPr>
        <w:t>贷款为</w:t>
      </w:r>
      <w:r>
        <w:rPr>
          <w:rFonts w:hint="eastAsia"/>
          <w:lang w:eastAsia="zh-CN"/>
        </w:rPr>
        <w:t>所有办公楼的翻修工程费用（</w:t>
      </w:r>
      <w:r>
        <w:rPr>
          <w:rFonts w:hint="eastAsia"/>
          <w:lang w:eastAsia="zh-CN"/>
        </w:rPr>
        <w:t>1</w:t>
      </w:r>
      <w:r>
        <w:rPr>
          <w:lang w:val="en-US" w:eastAsia="zh-CN"/>
        </w:rPr>
        <w:t>.2</w:t>
      </w:r>
      <w:r>
        <w:rPr>
          <w:rFonts w:hint="eastAsia"/>
          <w:lang w:val="en-US" w:eastAsia="zh-CN"/>
        </w:rPr>
        <w:t>亿瑞郎，包括所需的职员临时安置）提供资金。</w:t>
      </w:r>
    </w:p>
    <w:p w14:paraId="6F91C826" w14:textId="77777777" w:rsidR="00B80DA4" w:rsidRPr="0063347C" w:rsidRDefault="00B80DA4" w:rsidP="00B80DA4">
      <w:pPr>
        <w:pStyle w:val="Heading1"/>
        <w:tabs>
          <w:tab w:val="clear" w:pos="567"/>
          <w:tab w:val="clear" w:pos="1134"/>
          <w:tab w:val="clear" w:pos="1701"/>
          <w:tab w:val="clear" w:pos="2268"/>
          <w:tab w:val="clear" w:pos="2835"/>
        </w:tabs>
        <w:ind w:left="0" w:firstLine="0"/>
        <w:rPr>
          <w:lang w:eastAsia="zh-CN"/>
        </w:rPr>
      </w:pPr>
      <w:r w:rsidRPr="0063347C">
        <w:rPr>
          <w:lang w:eastAsia="zh-CN"/>
        </w:rPr>
        <w:t>7</w:t>
      </w:r>
      <w:r>
        <w:rPr>
          <w:lang w:eastAsia="zh-CN"/>
        </w:rPr>
        <w:tab/>
      </w:r>
      <w:r>
        <w:rPr>
          <w:rFonts w:hint="eastAsia"/>
          <w:lang w:eastAsia="zh-CN"/>
        </w:rPr>
        <w:t>方案</w:t>
      </w:r>
      <w:r>
        <w:rPr>
          <w:rFonts w:hint="eastAsia"/>
          <w:lang w:eastAsia="zh-CN"/>
        </w:rPr>
        <w:t>3</w:t>
      </w:r>
      <w:r>
        <w:rPr>
          <w:rFonts w:hint="eastAsia"/>
          <w:lang w:eastAsia="zh-CN"/>
        </w:rPr>
        <w:t>：在日内瓦租用</w:t>
      </w:r>
      <w:r w:rsidRPr="007577F1">
        <w:rPr>
          <w:rFonts w:hint="eastAsia"/>
          <w:lang w:eastAsia="zh-CN"/>
        </w:rPr>
        <w:t>办公场所</w:t>
      </w:r>
    </w:p>
    <w:p w14:paraId="46B8543D" w14:textId="77777777" w:rsidR="00B80DA4" w:rsidRPr="0063347C" w:rsidRDefault="00B80DA4" w:rsidP="00B34094">
      <w:pPr>
        <w:rPr>
          <w:lang w:eastAsia="zh-CN"/>
        </w:rPr>
      </w:pPr>
      <w:r>
        <w:rPr>
          <w:lang w:eastAsia="zh-CN"/>
        </w:rPr>
        <w:t>7</w:t>
      </w:r>
      <w:r>
        <w:rPr>
          <w:lang w:val="en-US" w:eastAsia="zh-CN"/>
        </w:rPr>
        <w:t>.1</w:t>
      </w:r>
      <w:r>
        <w:rPr>
          <w:lang w:val="en-US" w:eastAsia="zh-CN"/>
        </w:rPr>
        <w:tab/>
      </w:r>
      <w:r>
        <w:rPr>
          <w:rFonts w:hint="eastAsia"/>
          <w:lang w:val="en-US" w:eastAsia="zh-CN"/>
        </w:rPr>
        <w:t>本节的主要目的是对在日内瓦租用办公楼的费用做出估算。在同一城市租用不与总部其它办公场所有物理连接的办公楼会降低效率，尽管在临时情况下尚可接受，但从长计宜，应尽可能避免如此行事。所述效率降低的情况包括办公场所之间的交通运输、额外扩大了安保范围、来往于不同办公场地之间会造成延误以及重复某些服务设施的必要性。</w:t>
      </w:r>
    </w:p>
    <w:p w14:paraId="28847A82" w14:textId="77777777" w:rsidR="00B80DA4" w:rsidRPr="008D6D05" w:rsidRDefault="00B80DA4" w:rsidP="00B80DA4">
      <w:pPr>
        <w:pStyle w:val="Heading2"/>
        <w:rPr>
          <w:lang w:eastAsia="zh-CN"/>
        </w:rPr>
      </w:pPr>
      <w:r w:rsidRPr="008D6D05">
        <w:rPr>
          <w:lang w:eastAsia="zh-CN"/>
        </w:rPr>
        <w:t>A</w:t>
      </w:r>
      <w:r w:rsidRPr="008D6D05">
        <w:rPr>
          <w:lang w:eastAsia="zh-CN"/>
        </w:rPr>
        <w:tab/>
      </w:r>
      <w:r w:rsidRPr="008D6D05">
        <w:rPr>
          <w:rFonts w:hint="eastAsia"/>
          <w:lang w:eastAsia="zh-CN"/>
        </w:rPr>
        <w:t>项目费用</w:t>
      </w:r>
    </w:p>
    <w:p w14:paraId="7D5C989A" w14:textId="77777777" w:rsidR="00B80DA4" w:rsidRPr="0063347C" w:rsidRDefault="00B80DA4" w:rsidP="00B34094">
      <w:pPr>
        <w:rPr>
          <w:lang w:eastAsia="zh-CN"/>
        </w:rPr>
      </w:pPr>
      <w:r>
        <w:rPr>
          <w:lang w:eastAsia="zh-CN"/>
        </w:rPr>
        <w:t>7</w:t>
      </w:r>
      <w:r>
        <w:rPr>
          <w:lang w:val="en-US" w:eastAsia="zh-CN"/>
        </w:rPr>
        <w:t>.2</w:t>
      </w:r>
      <w:r>
        <w:rPr>
          <w:lang w:val="en-US" w:eastAsia="zh-CN"/>
        </w:rPr>
        <w:tab/>
      </w:r>
      <w:r>
        <w:rPr>
          <w:rFonts w:hint="eastAsia"/>
          <w:lang w:val="en-US" w:eastAsia="zh-CN"/>
        </w:rPr>
        <w:t>正如</w:t>
      </w:r>
      <w:r w:rsidRPr="0063347C">
        <w:rPr>
          <w:lang w:eastAsia="zh-CN"/>
        </w:rPr>
        <w:t>Acanthe</w:t>
      </w:r>
      <w:r>
        <w:rPr>
          <w:rFonts w:hint="eastAsia"/>
          <w:lang w:eastAsia="zh-CN"/>
        </w:rPr>
        <w:t>公司（瑞士房地产评审专家协会成员）在</w:t>
      </w:r>
      <w:r>
        <w:rPr>
          <w:rFonts w:hint="eastAsia"/>
          <w:lang w:eastAsia="zh-CN"/>
        </w:rPr>
        <w:t>2010</w:t>
      </w:r>
      <w:r>
        <w:rPr>
          <w:rFonts w:hint="eastAsia"/>
          <w:lang w:eastAsia="zh-CN"/>
        </w:rPr>
        <w:t>年</w:t>
      </w:r>
      <w:r>
        <w:rPr>
          <w:rFonts w:hint="eastAsia"/>
          <w:lang w:eastAsia="zh-CN"/>
        </w:rPr>
        <w:t>6</w:t>
      </w:r>
      <w:r>
        <w:rPr>
          <w:rFonts w:hint="eastAsia"/>
          <w:lang w:eastAsia="zh-CN"/>
        </w:rPr>
        <w:t>月结合</w:t>
      </w:r>
      <w:r>
        <w:rPr>
          <w:rFonts w:hint="eastAsia"/>
          <w:lang w:eastAsia="zh-CN"/>
        </w:rPr>
        <w:t>IPSAS</w:t>
      </w:r>
      <w:r>
        <w:rPr>
          <w:rFonts w:hint="eastAsia"/>
          <w:lang w:eastAsia="zh-CN"/>
        </w:rPr>
        <w:t>项目所做的国际电联办公楼外部专家报告所示，选择了</w:t>
      </w:r>
      <w:r>
        <w:rPr>
          <w:rFonts w:hint="eastAsia"/>
          <w:lang w:eastAsia="zh-CN"/>
        </w:rPr>
        <w:t>420</w:t>
      </w:r>
      <w:r>
        <w:rPr>
          <w:rFonts w:hint="eastAsia"/>
          <w:lang w:eastAsia="zh-CN"/>
        </w:rPr>
        <w:t>瑞郎</w:t>
      </w:r>
      <w:r>
        <w:rPr>
          <w:rFonts w:hint="eastAsia"/>
          <w:lang w:eastAsia="zh-CN"/>
        </w:rPr>
        <w:t>/</w:t>
      </w:r>
      <w:r>
        <w:rPr>
          <w:rFonts w:hint="eastAsia"/>
          <w:lang w:eastAsia="zh-CN"/>
        </w:rPr>
        <w:t>米</w:t>
      </w:r>
      <w:r w:rsidRPr="00377A6E">
        <w:rPr>
          <w:vertAlign w:val="superscript"/>
          <w:lang w:eastAsia="zh-CN"/>
        </w:rPr>
        <w:t>2</w:t>
      </w:r>
      <w:r w:rsidRPr="00377A6E">
        <w:rPr>
          <w:rFonts w:hint="eastAsia"/>
          <w:lang w:eastAsia="zh-CN"/>
        </w:rPr>
        <w:t>作为</w:t>
      </w:r>
      <w:r>
        <w:rPr>
          <w:rFonts w:hint="eastAsia"/>
          <w:lang w:eastAsia="zh-CN"/>
        </w:rPr>
        <w:t>计算办公场所租金的基础。该数字与高力国际公司瑞士法语区办事处（</w:t>
      </w:r>
      <w:r w:rsidRPr="0063347C">
        <w:rPr>
          <w:lang w:eastAsia="zh-CN"/>
        </w:rPr>
        <w:t>Colliers International Suisse Romande office</w:t>
      </w:r>
      <w:r>
        <w:rPr>
          <w:rFonts w:hint="eastAsia"/>
          <w:lang w:eastAsia="zh-CN"/>
        </w:rPr>
        <w:t>）在</w:t>
      </w:r>
      <w:r>
        <w:rPr>
          <w:rFonts w:hint="eastAsia"/>
          <w:lang w:eastAsia="zh-CN"/>
        </w:rPr>
        <w:t>2014</w:t>
      </w:r>
      <w:r>
        <w:rPr>
          <w:rFonts w:hint="eastAsia"/>
          <w:lang w:eastAsia="zh-CN"/>
        </w:rPr>
        <w:t>年下半年使用的租金指标（</w:t>
      </w:r>
      <w:r>
        <w:rPr>
          <w:rFonts w:hint="eastAsia"/>
          <w:lang w:eastAsia="zh-CN"/>
        </w:rPr>
        <w:t>ILB</w:t>
      </w:r>
      <w:r>
        <w:rPr>
          <w:rFonts w:hint="eastAsia"/>
          <w:lang w:eastAsia="zh-CN"/>
        </w:rPr>
        <w:t>）相当。</w:t>
      </w:r>
    </w:p>
    <w:p w14:paraId="645741CE" w14:textId="77777777" w:rsidR="00B80DA4" w:rsidRDefault="00B80DA4" w:rsidP="00B34094">
      <w:pPr>
        <w:rPr>
          <w:lang w:val="en-US" w:eastAsia="zh-CN"/>
        </w:rPr>
      </w:pPr>
      <w:r>
        <w:rPr>
          <w:lang w:eastAsia="zh-CN"/>
        </w:rPr>
        <w:t>7</w:t>
      </w:r>
      <w:r>
        <w:rPr>
          <w:lang w:val="en-US" w:eastAsia="zh-CN"/>
        </w:rPr>
        <w:t>.3</w:t>
      </w:r>
      <w:r>
        <w:rPr>
          <w:lang w:val="en-US" w:eastAsia="zh-CN"/>
        </w:rPr>
        <w:tab/>
      </w:r>
      <w:r>
        <w:rPr>
          <w:rFonts w:hint="eastAsia"/>
          <w:lang w:val="en-US" w:eastAsia="zh-CN"/>
        </w:rPr>
        <w:t>租用办公场所的年度估算费用为</w:t>
      </w:r>
      <w:r>
        <w:rPr>
          <w:rFonts w:hint="eastAsia"/>
          <w:lang w:val="en-US" w:eastAsia="zh-CN"/>
        </w:rPr>
        <w:t>4</w:t>
      </w:r>
      <w:r>
        <w:rPr>
          <w:lang w:val="en-US" w:eastAsia="zh-CN"/>
        </w:rPr>
        <w:t>40.6</w:t>
      </w:r>
      <w:r>
        <w:rPr>
          <w:rFonts w:hint="eastAsia"/>
          <w:lang w:val="en-US" w:eastAsia="zh-CN"/>
        </w:rPr>
        <w:t>万瑞郎。下表按空间类别列出每平方米租用表面面积的价格。</w:t>
      </w:r>
    </w:p>
    <w:p w14:paraId="02847167" w14:textId="77777777" w:rsidR="00B80DA4" w:rsidRPr="0063347C" w:rsidRDefault="00B80DA4" w:rsidP="00B34094">
      <w:pPr>
        <w:rPr>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B80DA4" w:rsidRPr="0063347C" w14:paraId="6B9E01FB" w14:textId="77777777" w:rsidTr="000E7785">
        <w:trPr>
          <w:jc w:val="center"/>
        </w:trPr>
        <w:tc>
          <w:tcPr>
            <w:tcW w:w="3293" w:type="dxa"/>
          </w:tcPr>
          <w:p w14:paraId="2DFF2FAC" w14:textId="77777777" w:rsidR="00B80DA4" w:rsidRPr="0063347C" w:rsidRDefault="00B80DA4" w:rsidP="000E7785">
            <w:pPr>
              <w:pStyle w:val="Tablehead"/>
              <w:spacing w:before="60" w:after="60"/>
              <w:rPr>
                <w:lang w:eastAsia="zh-CN"/>
              </w:rPr>
            </w:pPr>
          </w:p>
        </w:tc>
        <w:tc>
          <w:tcPr>
            <w:tcW w:w="2220" w:type="dxa"/>
          </w:tcPr>
          <w:p w14:paraId="31D49641" w14:textId="77777777" w:rsidR="00B80DA4" w:rsidRPr="004D7AC0" w:rsidRDefault="00B80DA4" w:rsidP="000E7785">
            <w:pPr>
              <w:pStyle w:val="Tablehead"/>
              <w:spacing w:before="60" w:after="60"/>
              <w:rPr>
                <w:lang w:val="en-US" w:eastAsia="zh-CN"/>
              </w:rPr>
            </w:pPr>
            <w:r>
              <w:rPr>
                <w:rFonts w:hint="eastAsia"/>
                <w:lang w:val="fr-FR" w:eastAsia="zh-CN"/>
              </w:rPr>
              <w:t>按平方米计</w:t>
            </w:r>
            <w:r>
              <w:rPr>
                <w:rFonts w:hint="eastAsia"/>
                <w:lang w:val="en-US" w:eastAsia="zh-CN"/>
              </w:rPr>
              <w:t>算的</w:t>
            </w:r>
            <w:r w:rsidR="00E62118">
              <w:rPr>
                <w:lang w:val="en-US" w:eastAsia="zh-CN"/>
              </w:rPr>
              <w:br/>
            </w:r>
            <w:r>
              <w:rPr>
                <w:rFonts w:hint="eastAsia"/>
                <w:lang w:val="en-US" w:eastAsia="zh-CN"/>
              </w:rPr>
              <w:t>表面面积</w:t>
            </w:r>
          </w:p>
        </w:tc>
        <w:tc>
          <w:tcPr>
            <w:tcW w:w="1790" w:type="dxa"/>
          </w:tcPr>
          <w:p w14:paraId="43951201" w14:textId="77777777" w:rsidR="00B80DA4" w:rsidRPr="0063347C" w:rsidRDefault="00B80DA4" w:rsidP="000E7785">
            <w:pPr>
              <w:pStyle w:val="Tablehead"/>
              <w:spacing w:before="60" w:after="60"/>
              <w:rPr>
                <w:lang w:val="fr-FR" w:eastAsia="zh-CN"/>
              </w:rPr>
            </w:pPr>
            <w:r>
              <w:rPr>
                <w:rFonts w:hint="eastAsia"/>
                <w:lang w:val="fr-FR" w:eastAsia="zh-CN"/>
              </w:rPr>
              <w:t>每平方米价格</w:t>
            </w:r>
          </w:p>
        </w:tc>
        <w:tc>
          <w:tcPr>
            <w:tcW w:w="2506" w:type="dxa"/>
          </w:tcPr>
          <w:p w14:paraId="48E09AC3" w14:textId="77777777" w:rsidR="00B80DA4" w:rsidRPr="0063347C" w:rsidRDefault="00B80DA4" w:rsidP="000E7785">
            <w:pPr>
              <w:pStyle w:val="Tablehead"/>
              <w:spacing w:before="60" w:after="60"/>
              <w:rPr>
                <w:lang w:eastAsia="zh-CN"/>
              </w:rPr>
            </w:pPr>
            <w:r>
              <w:rPr>
                <w:rFonts w:hint="eastAsia"/>
                <w:lang w:val="fr-FR" w:eastAsia="zh-CN"/>
              </w:rPr>
              <w:t>年度费用合计</w:t>
            </w:r>
            <w:r>
              <w:rPr>
                <w:lang w:eastAsia="zh-CN"/>
              </w:rPr>
              <w:br/>
            </w:r>
            <w:r>
              <w:rPr>
                <w:rFonts w:hint="eastAsia"/>
                <w:lang w:eastAsia="zh-CN"/>
              </w:rPr>
              <w:t>（单位：千瑞郎）</w:t>
            </w:r>
          </w:p>
        </w:tc>
      </w:tr>
      <w:tr w:rsidR="00B80DA4" w:rsidRPr="0063347C" w14:paraId="3E9149F1" w14:textId="77777777" w:rsidTr="000E7785">
        <w:trPr>
          <w:jc w:val="center"/>
        </w:trPr>
        <w:tc>
          <w:tcPr>
            <w:tcW w:w="3293" w:type="dxa"/>
          </w:tcPr>
          <w:p w14:paraId="27BEDD8A" w14:textId="77777777" w:rsidR="00B80DA4" w:rsidRPr="00271671" w:rsidRDefault="00B80DA4" w:rsidP="000E7785">
            <w:pPr>
              <w:pStyle w:val="Tabletext"/>
              <w:rPr>
                <w:b/>
                <w:bCs/>
                <w:lang w:val="fr-FR" w:eastAsia="zh-CN"/>
              </w:rPr>
            </w:pPr>
            <w:r>
              <w:rPr>
                <w:rFonts w:hint="eastAsia"/>
                <w:b/>
                <w:bCs/>
                <w:lang w:val="fr-FR" w:eastAsia="zh-CN"/>
              </w:rPr>
              <w:t>办公室和走廊</w:t>
            </w:r>
          </w:p>
        </w:tc>
        <w:tc>
          <w:tcPr>
            <w:tcW w:w="2220" w:type="dxa"/>
          </w:tcPr>
          <w:p w14:paraId="6045CB93" w14:textId="77777777" w:rsidR="00B80DA4" w:rsidRPr="0063347C" w:rsidRDefault="00B80DA4" w:rsidP="000E7785">
            <w:pPr>
              <w:pStyle w:val="Tabletext"/>
              <w:jc w:val="center"/>
              <w:rPr>
                <w:lang w:val="fr-FR" w:eastAsia="zh-CN"/>
              </w:rPr>
            </w:pPr>
            <w:r w:rsidRPr="0063347C">
              <w:rPr>
                <w:lang w:val="fr-FR" w:eastAsia="zh-CN"/>
              </w:rPr>
              <w:t>9’541</w:t>
            </w:r>
          </w:p>
        </w:tc>
        <w:tc>
          <w:tcPr>
            <w:tcW w:w="1790" w:type="dxa"/>
          </w:tcPr>
          <w:p w14:paraId="709FBB70" w14:textId="77777777" w:rsidR="00B80DA4" w:rsidRPr="0063347C" w:rsidRDefault="00B80DA4" w:rsidP="000E7785">
            <w:pPr>
              <w:pStyle w:val="Tabletext"/>
              <w:jc w:val="center"/>
              <w:rPr>
                <w:lang w:val="fr-FR" w:eastAsia="zh-CN"/>
              </w:rPr>
            </w:pPr>
            <w:r w:rsidRPr="0063347C">
              <w:rPr>
                <w:lang w:val="fr-FR" w:eastAsia="zh-CN"/>
              </w:rPr>
              <w:t>420</w:t>
            </w:r>
          </w:p>
        </w:tc>
        <w:tc>
          <w:tcPr>
            <w:tcW w:w="2506" w:type="dxa"/>
          </w:tcPr>
          <w:p w14:paraId="3AE6AD40" w14:textId="77777777" w:rsidR="00B80DA4" w:rsidRPr="0063347C" w:rsidRDefault="00B80DA4" w:rsidP="000E7785">
            <w:pPr>
              <w:pStyle w:val="Tabletext"/>
              <w:jc w:val="center"/>
              <w:rPr>
                <w:lang w:val="fr-FR" w:eastAsia="zh-CN"/>
              </w:rPr>
            </w:pPr>
            <w:r w:rsidRPr="0063347C">
              <w:rPr>
                <w:lang w:val="fr-FR" w:eastAsia="zh-CN"/>
              </w:rPr>
              <w:t>4’007</w:t>
            </w:r>
          </w:p>
        </w:tc>
      </w:tr>
      <w:tr w:rsidR="00B80DA4" w:rsidRPr="0063347C" w14:paraId="1E1BEA7D" w14:textId="77777777" w:rsidTr="000E7785">
        <w:trPr>
          <w:jc w:val="center"/>
        </w:trPr>
        <w:tc>
          <w:tcPr>
            <w:tcW w:w="3293" w:type="dxa"/>
          </w:tcPr>
          <w:p w14:paraId="66CE6649" w14:textId="77777777" w:rsidR="00B80DA4" w:rsidRPr="00271671" w:rsidRDefault="00B80DA4" w:rsidP="000E7785">
            <w:pPr>
              <w:pStyle w:val="Tabletext"/>
              <w:rPr>
                <w:b/>
                <w:bCs/>
                <w:lang w:val="fr-FR" w:eastAsia="zh-CN"/>
              </w:rPr>
            </w:pPr>
            <w:r>
              <w:rPr>
                <w:rFonts w:hint="eastAsia"/>
                <w:b/>
                <w:bCs/>
                <w:lang w:val="fr-FR" w:eastAsia="zh-CN"/>
              </w:rPr>
              <w:t>会议厅</w:t>
            </w:r>
          </w:p>
        </w:tc>
        <w:tc>
          <w:tcPr>
            <w:tcW w:w="2220" w:type="dxa"/>
          </w:tcPr>
          <w:p w14:paraId="1736E027" w14:textId="77777777" w:rsidR="00B80DA4" w:rsidRPr="0063347C" w:rsidRDefault="00B80DA4" w:rsidP="000E7785">
            <w:pPr>
              <w:pStyle w:val="Tabletext"/>
              <w:jc w:val="center"/>
              <w:rPr>
                <w:lang w:val="fr-FR" w:eastAsia="zh-CN"/>
              </w:rPr>
            </w:pPr>
            <w:r w:rsidRPr="0063347C">
              <w:rPr>
                <w:lang w:val="fr-FR" w:eastAsia="zh-CN"/>
              </w:rPr>
              <w:t>198</w:t>
            </w:r>
          </w:p>
        </w:tc>
        <w:tc>
          <w:tcPr>
            <w:tcW w:w="1790" w:type="dxa"/>
          </w:tcPr>
          <w:p w14:paraId="2F4205A5" w14:textId="77777777" w:rsidR="00B80DA4" w:rsidRPr="0063347C" w:rsidRDefault="00B80DA4" w:rsidP="000E7785">
            <w:pPr>
              <w:pStyle w:val="Tabletext"/>
              <w:jc w:val="center"/>
              <w:rPr>
                <w:lang w:val="fr-FR" w:eastAsia="zh-CN"/>
              </w:rPr>
            </w:pPr>
            <w:r w:rsidRPr="0063347C">
              <w:rPr>
                <w:lang w:val="fr-FR" w:eastAsia="zh-CN"/>
              </w:rPr>
              <w:t>420</w:t>
            </w:r>
          </w:p>
        </w:tc>
        <w:tc>
          <w:tcPr>
            <w:tcW w:w="2506" w:type="dxa"/>
          </w:tcPr>
          <w:p w14:paraId="12DF5DBE" w14:textId="77777777" w:rsidR="00B80DA4" w:rsidRPr="0063347C" w:rsidRDefault="00B80DA4" w:rsidP="000E7785">
            <w:pPr>
              <w:pStyle w:val="Tabletext"/>
              <w:jc w:val="center"/>
              <w:rPr>
                <w:lang w:val="fr-FR" w:eastAsia="zh-CN"/>
              </w:rPr>
            </w:pPr>
            <w:r w:rsidRPr="0063347C">
              <w:rPr>
                <w:lang w:val="fr-FR" w:eastAsia="zh-CN"/>
              </w:rPr>
              <w:t>83</w:t>
            </w:r>
          </w:p>
        </w:tc>
      </w:tr>
      <w:tr w:rsidR="00B80DA4" w:rsidRPr="0063347C" w14:paraId="0FD2B122" w14:textId="77777777" w:rsidTr="000E7785">
        <w:trPr>
          <w:jc w:val="center"/>
        </w:trPr>
        <w:tc>
          <w:tcPr>
            <w:tcW w:w="3293" w:type="dxa"/>
          </w:tcPr>
          <w:p w14:paraId="2FFF742F" w14:textId="77777777" w:rsidR="00B80DA4" w:rsidRPr="00271671" w:rsidRDefault="00B80DA4" w:rsidP="000E7785">
            <w:pPr>
              <w:pStyle w:val="Tabletext"/>
              <w:rPr>
                <w:b/>
                <w:bCs/>
                <w:lang w:val="fr-FR" w:eastAsia="zh-CN"/>
              </w:rPr>
            </w:pPr>
            <w:r>
              <w:rPr>
                <w:rFonts w:hint="eastAsia"/>
                <w:b/>
                <w:bCs/>
                <w:lang w:val="fr-FR" w:eastAsia="zh-CN"/>
              </w:rPr>
              <w:t>地下办公室</w:t>
            </w:r>
          </w:p>
        </w:tc>
        <w:tc>
          <w:tcPr>
            <w:tcW w:w="2220" w:type="dxa"/>
          </w:tcPr>
          <w:p w14:paraId="76190072" w14:textId="77777777" w:rsidR="00B80DA4" w:rsidRPr="0063347C" w:rsidRDefault="00B80DA4" w:rsidP="000E7785">
            <w:pPr>
              <w:pStyle w:val="Tabletext"/>
              <w:jc w:val="center"/>
              <w:rPr>
                <w:lang w:val="fr-FR" w:eastAsia="zh-CN"/>
              </w:rPr>
            </w:pPr>
            <w:r w:rsidRPr="0063347C">
              <w:rPr>
                <w:lang w:val="fr-FR" w:eastAsia="zh-CN"/>
              </w:rPr>
              <w:t>220</w:t>
            </w:r>
          </w:p>
        </w:tc>
        <w:tc>
          <w:tcPr>
            <w:tcW w:w="1790" w:type="dxa"/>
          </w:tcPr>
          <w:p w14:paraId="3832F94B" w14:textId="77777777" w:rsidR="00B80DA4" w:rsidRPr="0063347C" w:rsidRDefault="00B80DA4" w:rsidP="000E7785">
            <w:pPr>
              <w:pStyle w:val="Tabletext"/>
              <w:jc w:val="center"/>
              <w:rPr>
                <w:lang w:val="fr-FR" w:eastAsia="zh-CN"/>
              </w:rPr>
            </w:pPr>
            <w:r w:rsidRPr="0063347C">
              <w:rPr>
                <w:lang w:val="fr-FR" w:eastAsia="zh-CN"/>
              </w:rPr>
              <w:t>200</w:t>
            </w:r>
          </w:p>
        </w:tc>
        <w:tc>
          <w:tcPr>
            <w:tcW w:w="2506" w:type="dxa"/>
          </w:tcPr>
          <w:p w14:paraId="16929109" w14:textId="77777777" w:rsidR="00B80DA4" w:rsidRPr="0063347C" w:rsidRDefault="00B80DA4" w:rsidP="000E7785">
            <w:pPr>
              <w:pStyle w:val="Tabletext"/>
              <w:jc w:val="center"/>
              <w:rPr>
                <w:lang w:val="fr-FR" w:eastAsia="zh-CN"/>
              </w:rPr>
            </w:pPr>
            <w:r w:rsidRPr="0063347C">
              <w:rPr>
                <w:lang w:val="fr-FR" w:eastAsia="zh-CN"/>
              </w:rPr>
              <w:t>44</w:t>
            </w:r>
          </w:p>
        </w:tc>
      </w:tr>
      <w:tr w:rsidR="00B80DA4" w:rsidRPr="0063347C" w14:paraId="7CBC2096" w14:textId="77777777" w:rsidTr="000E7785">
        <w:trPr>
          <w:jc w:val="center"/>
        </w:trPr>
        <w:tc>
          <w:tcPr>
            <w:tcW w:w="3293" w:type="dxa"/>
          </w:tcPr>
          <w:p w14:paraId="20E214EF" w14:textId="77777777" w:rsidR="00B80DA4" w:rsidRPr="00271671" w:rsidRDefault="00B80DA4" w:rsidP="000E7785">
            <w:pPr>
              <w:pStyle w:val="Tabletext"/>
              <w:rPr>
                <w:b/>
                <w:bCs/>
                <w:lang w:val="fr-FR" w:eastAsia="zh-CN"/>
              </w:rPr>
            </w:pPr>
            <w:r>
              <w:rPr>
                <w:rFonts w:hint="eastAsia"/>
                <w:b/>
                <w:bCs/>
                <w:lang w:val="fr-FR" w:eastAsia="zh-CN"/>
              </w:rPr>
              <w:t>储藏间</w:t>
            </w:r>
          </w:p>
        </w:tc>
        <w:tc>
          <w:tcPr>
            <w:tcW w:w="2220" w:type="dxa"/>
          </w:tcPr>
          <w:p w14:paraId="1C49D56A" w14:textId="77777777" w:rsidR="00B80DA4" w:rsidRPr="0063347C" w:rsidRDefault="00B80DA4" w:rsidP="000E7785">
            <w:pPr>
              <w:pStyle w:val="Tabletext"/>
              <w:jc w:val="center"/>
              <w:rPr>
                <w:lang w:val="fr-FR" w:eastAsia="zh-CN"/>
              </w:rPr>
            </w:pPr>
            <w:r w:rsidRPr="0063347C">
              <w:rPr>
                <w:lang w:val="fr-FR" w:eastAsia="zh-CN"/>
              </w:rPr>
              <w:t>385</w:t>
            </w:r>
          </w:p>
        </w:tc>
        <w:tc>
          <w:tcPr>
            <w:tcW w:w="1790" w:type="dxa"/>
          </w:tcPr>
          <w:p w14:paraId="578D0D03" w14:textId="77777777" w:rsidR="00B80DA4" w:rsidRPr="0063347C" w:rsidRDefault="00B80DA4" w:rsidP="000E7785">
            <w:pPr>
              <w:pStyle w:val="Tabletext"/>
              <w:jc w:val="center"/>
              <w:rPr>
                <w:lang w:val="fr-FR" w:eastAsia="zh-CN"/>
              </w:rPr>
            </w:pPr>
            <w:r w:rsidRPr="0063347C">
              <w:rPr>
                <w:lang w:val="fr-FR" w:eastAsia="zh-CN"/>
              </w:rPr>
              <w:t>100</w:t>
            </w:r>
          </w:p>
        </w:tc>
        <w:tc>
          <w:tcPr>
            <w:tcW w:w="2506" w:type="dxa"/>
          </w:tcPr>
          <w:p w14:paraId="59390D32" w14:textId="77777777" w:rsidR="00B80DA4" w:rsidRPr="0063347C" w:rsidRDefault="00B80DA4" w:rsidP="000E7785">
            <w:pPr>
              <w:pStyle w:val="Tabletext"/>
              <w:jc w:val="center"/>
              <w:rPr>
                <w:lang w:val="fr-FR" w:eastAsia="zh-CN"/>
              </w:rPr>
            </w:pPr>
            <w:r w:rsidRPr="0063347C">
              <w:rPr>
                <w:lang w:val="fr-FR" w:eastAsia="zh-CN"/>
              </w:rPr>
              <w:t>39</w:t>
            </w:r>
          </w:p>
        </w:tc>
      </w:tr>
      <w:tr w:rsidR="00B80DA4" w:rsidRPr="0063347C" w14:paraId="1D572BB2" w14:textId="77777777" w:rsidTr="000E7785">
        <w:trPr>
          <w:jc w:val="center"/>
        </w:trPr>
        <w:tc>
          <w:tcPr>
            <w:tcW w:w="3293" w:type="dxa"/>
          </w:tcPr>
          <w:p w14:paraId="583B0A22" w14:textId="77777777" w:rsidR="00B80DA4" w:rsidRPr="00271671" w:rsidRDefault="00B80DA4" w:rsidP="000E7785">
            <w:pPr>
              <w:pStyle w:val="Tabletext"/>
              <w:rPr>
                <w:b/>
                <w:bCs/>
                <w:lang w:val="fr-FR" w:eastAsia="zh-CN"/>
              </w:rPr>
            </w:pPr>
            <w:r>
              <w:rPr>
                <w:rFonts w:hint="eastAsia"/>
                <w:b/>
                <w:bCs/>
                <w:lang w:val="fr-FR" w:eastAsia="zh-CN"/>
              </w:rPr>
              <w:t>其它</w:t>
            </w:r>
          </w:p>
        </w:tc>
        <w:tc>
          <w:tcPr>
            <w:tcW w:w="2220" w:type="dxa"/>
          </w:tcPr>
          <w:p w14:paraId="6C00AD10" w14:textId="77777777" w:rsidR="00B80DA4" w:rsidRPr="0063347C" w:rsidRDefault="00B80DA4" w:rsidP="000E7785">
            <w:pPr>
              <w:pStyle w:val="Tabletext"/>
              <w:jc w:val="center"/>
              <w:rPr>
                <w:lang w:val="fr-FR" w:eastAsia="zh-CN"/>
              </w:rPr>
            </w:pPr>
            <w:r w:rsidRPr="0063347C">
              <w:rPr>
                <w:lang w:val="fr-FR" w:eastAsia="zh-CN"/>
              </w:rPr>
              <w:t>2’327</w:t>
            </w:r>
          </w:p>
        </w:tc>
        <w:tc>
          <w:tcPr>
            <w:tcW w:w="1790" w:type="dxa"/>
          </w:tcPr>
          <w:p w14:paraId="70FC4289" w14:textId="77777777" w:rsidR="00B80DA4" w:rsidRPr="0063347C" w:rsidRDefault="00B80DA4" w:rsidP="000E7785">
            <w:pPr>
              <w:pStyle w:val="Tabletext"/>
              <w:jc w:val="center"/>
              <w:rPr>
                <w:lang w:val="fr-FR" w:eastAsia="zh-CN"/>
              </w:rPr>
            </w:pPr>
            <w:r w:rsidRPr="0063347C">
              <w:rPr>
                <w:lang w:val="fr-FR" w:eastAsia="zh-CN"/>
              </w:rPr>
              <w:t>100</w:t>
            </w:r>
          </w:p>
        </w:tc>
        <w:tc>
          <w:tcPr>
            <w:tcW w:w="2506" w:type="dxa"/>
          </w:tcPr>
          <w:p w14:paraId="18916833" w14:textId="77777777" w:rsidR="00B80DA4" w:rsidRPr="0063347C" w:rsidRDefault="00B80DA4" w:rsidP="000E7785">
            <w:pPr>
              <w:pStyle w:val="Tabletext"/>
              <w:jc w:val="center"/>
              <w:rPr>
                <w:lang w:val="fr-FR" w:eastAsia="zh-CN"/>
              </w:rPr>
            </w:pPr>
            <w:r w:rsidRPr="0063347C">
              <w:rPr>
                <w:lang w:val="fr-FR" w:eastAsia="zh-CN"/>
              </w:rPr>
              <w:t>233</w:t>
            </w:r>
          </w:p>
        </w:tc>
      </w:tr>
      <w:tr w:rsidR="00B80DA4" w:rsidRPr="0063347C" w14:paraId="22841756" w14:textId="77777777" w:rsidTr="000E7785">
        <w:trPr>
          <w:jc w:val="center"/>
        </w:trPr>
        <w:tc>
          <w:tcPr>
            <w:tcW w:w="3293" w:type="dxa"/>
          </w:tcPr>
          <w:p w14:paraId="343403DD" w14:textId="77777777" w:rsidR="00B80DA4" w:rsidRPr="00271671" w:rsidRDefault="00B80DA4" w:rsidP="000E7785">
            <w:pPr>
              <w:pStyle w:val="Tabletext"/>
              <w:rPr>
                <w:b/>
                <w:bCs/>
                <w:lang w:val="fr-FR" w:eastAsia="zh-CN"/>
              </w:rPr>
            </w:pPr>
            <w:r>
              <w:rPr>
                <w:rFonts w:hint="eastAsia"/>
                <w:b/>
                <w:bCs/>
                <w:lang w:val="fr-FR" w:eastAsia="zh-CN"/>
              </w:rPr>
              <w:t>合计</w:t>
            </w:r>
          </w:p>
        </w:tc>
        <w:tc>
          <w:tcPr>
            <w:tcW w:w="2220" w:type="dxa"/>
          </w:tcPr>
          <w:p w14:paraId="4A84F19A" w14:textId="77777777" w:rsidR="00B80DA4" w:rsidRPr="009F5036" w:rsidRDefault="00B80DA4" w:rsidP="000E7785">
            <w:pPr>
              <w:pStyle w:val="Tabletext"/>
              <w:jc w:val="center"/>
              <w:rPr>
                <w:b/>
                <w:bCs/>
                <w:lang w:val="fr-FR" w:eastAsia="zh-CN"/>
              </w:rPr>
            </w:pPr>
            <w:r w:rsidRPr="009F5036">
              <w:rPr>
                <w:b/>
                <w:bCs/>
                <w:lang w:val="fr-FR" w:eastAsia="zh-CN"/>
              </w:rPr>
              <w:t>12’671</w:t>
            </w:r>
          </w:p>
        </w:tc>
        <w:tc>
          <w:tcPr>
            <w:tcW w:w="1790" w:type="dxa"/>
          </w:tcPr>
          <w:p w14:paraId="69358340" w14:textId="77777777" w:rsidR="00B80DA4" w:rsidRPr="009F5036" w:rsidRDefault="00B80DA4" w:rsidP="000E7785">
            <w:pPr>
              <w:pStyle w:val="Tabletext"/>
              <w:jc w:val="center"/>
              <w:rPr>
                <w:b/>
                <w:bCs/>
                <w:lang w:val="fr-FR" w:eastAsia="zh-CN"/>
              </w:rPr>
            </w:pPr>
          </w:p>
        </w:tc>
        <w:tc>
          <w:tcPr>
            <w:tcW w:w="2506" w:type="dxa"/>
          </w:tcPr>
          <w:p w14:paraId="44F91414" w14:textId="77777777" w:rsidR="00B80DA4" w:rsidRPr="009F5036" w:rsidRDefault="00B80DA4" w:rsidP="000E7785">
            <w:pPr>
              <w:pStyle w:val="Tabletext"/>
              <w:jc w:val="center"/>
              <w:rPr>
                <w:b/>
                <w:bCs/>
                <w:lang w:val="fr-FR"/>
              </w:rPr>
            </w:pPr>
            <w:r w:rsidRPr="009F5036">
              <w:rPr>
                <w:b/>
                <w:bCs/>
                <w:lang w:val="fr-FR"/>
              </w:rPr>
              <w:t>4’406</w:t>
            </w:r>
          </w:p>
        </w:tc>
      </w:tr>
    </w:tbl>
    <w:p w14:paraId="40801070" w14:textId="77777777" w:rsidR="00B80DA4" w:rsidRPr="0063347C" w:rsidRDefault="00B80DA4" w:rsidP="00B34094">
      <w:pPr>
        <w:rPr>
          <w:lang w:eastAsia="zh-CN"/>
        </w:rPr>
      </w:pPr>
      <w:r>
        <w:rPr>
          <w:lang w:eastAsia="zh-CN"/>
        </w:rPr>
        <w:t>7</w:t>
      </w:r>
      <w:r>
        <w:rPr>
          <w:lang w:val="en-US" w:eastAsia="zh-CN"/>
        </w:rPr>
        <w:t>.4</w:t>
      </w:r>
      <w:r>
        <w:rPr>
          <w:lang w:val="en-US" w:eastAsia="zh-CN"/>
        </w:rPr>
        <w:tab/>
      </w:r>
      <w:r>
        <w:rPr>
          <w:rFonts w:hint="eastAsia"/>
          <w:lang w:val="en-US" w:eastAsia="zh-CN"/>
        </w:rPr>
        <w:t>应当指出，这些费用不包括：</w:t>
      </w:r>
    </w:p>
    <w:p w14:paraId="0C037C7F"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新办公场所相关设施的拆除和安装费用（估算为</w:t>
      </w:r>
      <w:r>
        <w:rPr>
          <w:rFonts w:hint="eastAsia"/>
          <w:lang w:eastAsia="zh-CN"/>
        </w:rPr>
        <w:t>50</w:t>
      </w:r>
      <w:r>
        <w:rPr>
          <w:rFonts w:hint="eastAsia"/>
          <w:lang w:eastAsia="zh-CN"/>
        </w:rPr>
        <w:t>万瑞郎）；</w:t>
      </w:r>
    </w:p>
    <w:p w14:paraId="7CCBC583" w14:textId="77777777" w:rsidR="00B80DA4" w:rsidRDefault="00B80DA4" w:rsidP="00B80DA4">
      <w:pPr>
        <w:pStyle w:val="enumlev1"/>
        <w:rPr>
          <w:lang w:eastAsia="zh-CN"/>
        </w:rPr>
      </w:pPr>
      <w:r>
        <w:rPr>
          <w:lang w:eastAsia="zh-CN"/>
        </w:rPr>
        <w:t>–</w:t>
      </w:r>
      <w:r>
        <w:rPr>
          <w:lang w:eastAsia="zh-CN"/>
        </w:rPr>
        <w:tab/>
      </w:r>
      <w:r>
        <w:rPr>
          <w:rFonts w:hint="eastAsia"/>
          <w:lang w:eastAsia="zh-CN"/>
        </w:rPr>
        <w:t>估算占租金总额</w:t>
      </w:r>
      <w:r>
        <w:rPr>
          <w:rFonts w:hint="eastAsia"/>
          <w:lang w:eastAsia="zh-CN"/>
        </w:rPr>
        <w:t>15%</w:t>
      </w:r>
      <w:r>
        <w:rPr>
          <w:rFonts w:hint="eastAsia"/>
          <w:lang w:eastAsia="zh-CN"/>
        </w:rPr>
        <w:t>至</w:t>
      </w:r>
      <w:r>
        <w:rPr>
          <w:rFonts w:hint="eastAsia"/>
          <w:lang w:eastAsia="zh-CN"/>
        </w:rPr>
        <w:t>20%</w:t>
      </w:r>
      <w:r>
        <w:rPr>
          <w:rFonts w:hint="eastAsia"/>
          <w:lang w:eastAsia="zh-CN"/>
        </w:rPr>
        <w:t>的租用场所费用（在</w:t>
      </w:r>
      <w:r>
        <w:rPr>
          <w:rFonts w:hint="eastAsia"/>
          <w:lang w:eastAsia="zh-CN"/>
        </w:rPr>
        <w:t>70</w:t>
      </w:r>
      <w:r>
        <w:rPr>
          <w:rFonts w:hint="eastAsia"/>
          <w:lang w:eastAsia="zh-CN"/>
        </w:rPr>
        <w:t>万至</w:t>
      </w:r>
      <w:r>
        <w:rPr>
          <w:rFonts w:hint="eastAsia"/>
          <w:lang w:eastAsia="zh-CN"/>
        </w:rPr>
        <w:t>90</w:t>
      </w:r>
      <w:r>
        <w:rPr>
          <w:rFonts w:hint="eastAsia"/>
          <w:lang w:eastAsia="zh-CN"/>
        </w:rPr>
        <w:t>万瑞郎之间）。这些费用将高于目前此方面发生的类似费用，但此方案也会实现总部留存办公场所约</w:t>
      </w:r>
      <w:r>
        <w:rPr>
          <w:rFonts w:hint="eastAsia"/>
          <w:lang w:eastAsia="zh-CN"/>
        </w:rPr>
        <w:t>40</w:t>
      </w:r>
      <w:r>
        <w:rPr>
          <w:rFonts w:hint="eastAsia"/>
          <w:lang w:eastAsia="zh-CN"/>
        </w:rPr>
        <w:t>万瑞郎的节省。这将导致净费用由</w:t>
      </w:r>
      <w:r>
        <w:rPr>
          <w:rFonts w:hint="eastAsia"/>
          <w:lang w:eastAsia="zh-CN"/>
        </w:rPr>
        <w:t>30</w:t>
      </w:r>
      <w:r>
        <w:rPr>
          <w:rFonts w:hint="eastAsia"/>
          <w:lang w:eastAsia="zh-CN"/>
        </w:rPr>
        <w:t>万瑞郎提高到</w:t>
      </w:r>
      <w:r>
        <w:rPr>
          <w:rFonts w:hint="eastAsia"/>
          <w:lang w:eastAsia="zh-CN"/>
        </w:rPr>
        <w:t>50</w:t>
      </w:r>
      <w:r>
        <w:rPr>
          <w:rFonts w:hint="eastAsia"/>
          <w:lang w:eastAsia="zh-CN"/>
        </w:rPr>
        <w:t>万瑞郎。</w:t>
      </w:r>
    </w:p>
    <w:p w14:paraId="30652754" w14:textId="77777777" w:rsidR="00B80DA4" w:rsidRPr="0063347C" w:rsidRDefault="00B80DA4" w:rsidP="00B34094">
      <w:pPr>
        <w:rPr>
          <w:lang w:eastAsia="zh-CN"/>
        </w:rPr>
      </w:pPr>
      <w:r>
        <w:rPr>
          <w:lang w:eastAsia="zh-CN"/>
        </w:rPr>
        <w:lastRenderedPageBreak/>
        <w:t>7</w:t>
      </w:r>
      <w:r>
        <w:rPr>
          <w:lang w:val="en-US" w:eastAsia="zh-CN"/>
        </w:rPr>
        <w:t>.5</w:t>
      </w:r>
      <w:r>
        <w:rPr>
          <w:lang w:val="en-US" w:eastAsia="zh-CN"/>
        </w:rPr>
        <w:tab/>
      </w:r>
      <w:r>
        <w:rPr>
          <w:rFonts w:hint="eastAsia"/>
          <w:lang w:val="en-US" w:eastAsia="zh-CN"/>
        </w:rPr>
        <w:t>此外，为确保新办公场所与总部现有办公楼之间的协调（协调会议、邮件分发、信息服务等），还需增加运行费用。这些费用必须考虑在内。</w:t>
      </w:r>
    </w:p>
    <w:p w14:paraId="33A29B5B" w14:textId="77777777" w:rsidR="00B80DA4" w:rsidRPr="0063347C" w:rsidRDefault="00B80DA4" w:rsidP="00B34094">
      <w:pPr>
        <w:rPr>
          <w:lang w:eastAsia="zh-CN"/>
        </w:rPr>
      </w:pPr>
      <w:r>
        <w:rPr>
          <w:lang w:eastAsia="zh-CN"/>
        </w:rPr>
        <w:t>7</w:t>
      </w:r>
      <w:r>
        <w:rPr>
          <w:lang w:val="en-US" w:eastAsia="zh-CN"/>
        </w:rPr>
        <w:t>.6</w:t>
      </w:r>
      <w:r>
        <w:rPr>
          <w:lang w:val="en-US" w:eastAsia="zh-CN"/>
        </w:rPr>
        <w:tab/>
      </w:r>
      <w:r>
        <w:rPr>
          <w:rFonts w:hint="eastAsia"/>
          <w:lang w:val="en-US" w:eastAsia="zh-CN"/>
        </w:rPr>
        <w:t>如选择该方案，就应考虑拆除</w:t>
      </w:r>
      <w:r w:rsidRPr="0063347C">
        <w:rPr>
          <w:lang w:eastAsia="zh-CN"/>
        </w:rPr>
        <w:t>Varembé I</w:t>
      </w:r>
      <w:r>
        <w:rPr>
          <w:rFonts w:hint="eastAsia"/>
          <w:lang w:eastAsia="zh-CN"/>
        </w:rPr>
        <w:t>办公楼，因为国际电联无法保留并维护一幢空的办公楼。此类拆除费用估算为</w:t>
      </w:r>
      <w:r>
        <w:rPr>
          <w:rFonts w:hint="eastAsia"/>
          <w:lang w:eastAsia="zh-CN"/>
        </w:rPr>
        <w:t>390</w:t>
      </w:r>
      <w:r>
        <w:rPr>
          <w:rFonts w:hint="eastAsia"/>
          <w:lang w:eastAsia="zh-CN"/>
        </w:rPr>
        <w:t>万瑞郎。</w:t>
      </w:r>
    </w:p>
    <w:p w14:paraId="002EC3BC" w14:textId="77777777" w:rsidR="00B80DA4" w:rsidRPr="007917C6" w:rsidRDefault="00B80DA4" w:rsidP="00B80DA4">
      <w:pPr>
        <w:pStyle w:val="Heading2"/>
        <w:rPr>
          <w:sz w:val="26"/>
          <w:szCs w:val="26"/>
          <w:lang w:eastAsia="zh-CN"/>
        </w:rPr>
      </w:pPr>
      <w:r>
        <w:rPr>
          <w:sz w:val="26"/>
          <w:szCs w:val="26"/>
          <w:lang w:eastAsia="zh-CN"/>
        </w:rPr>
        <w:t>B</w:t>
      </w:r>
      <w:r>
        <w:rPr>
          <w:sz w:val="26"/>
          <w:szCs w:val="26"/>
          <w:lang w:eastAsia="zh-CN"/>
        </w:rPr>
        <w:tab/>
      </w:r>
      <w:r>
        <w:rPr>
          <w:rFonts w:hint="eastAsia"/>
          <w:sz w:val="26"/>
          <w:szCs w:val="26"/>
          <w:lang w:eastAsia="zh-CN"/>
        </w:rPr>
        <w:t>项目的时间安排</w:t>
      </w:r>
    </w:p>
    <w:p w14:paraId="1D17B653" w14:textId="77777777" w:rsidR="00B80DA4" w:rsidRPr="0063347C" w:rsidRDefault="00B80DA4" w:rsidP="00B34094">
      <w:pPr>
        <w:rPr>
          <w:lang w:eastAsia="zh-CN"/>
        </w:rPr>
      </w:pPr>
      <w:r>
        <w:rPr>
          <w:lang w:eastAsia="zh-CN"/>
        </w:rPr>
        <w:t>7</w:t>
      </w:r>
      <w:r>
        <w:rPr>
          <w:lang w:val="en-US" w:eastAsia="zh-CN"/>
        </w:rPr>
        <w:t>.7</w:t>
      </w:r>
      <w:r>
        <w:rPr>
          <w:lang w:val="en-US" w:eastAsia="zh-CN"/>
        </w:rPr>
        <w:tab/>
      </w:r>
      <w:r>
        <w:rPr>
          <w:rFonts w:hint="eastAsia"/>
          <w:lang w:val="en-US" w:eastAsia="zh-CN"/>
        </w:rPr>
        <w:t>如果</w:t>
      </w:r>
      <w:r w:rsidRPr="0063347C">
        <w:rPr>
          <w:lang w:eastAsia="zh-CN"/>
        </w:rPr>
        <w:t>PP-14</w:t>
      </w:r>
      <w:r>
        <w:rPr>
          <w:rFonts w:hint="eastAsia"/>
          <w:lang w:eastAsia="zh-CN"/>
        </w:rPr>
        <w:t>决定采用</w:t>
      </w:r>
      <w:r w:rsidRPr="00BF3723">
        <w:rPr>
          <w:rFonts w:hint="eastAsia"/>
          <w:lang w:val="en-US" w:eastAsia="zh-CN"/>
        </w:rPr>
        <w:t>租用</w:t>
      </w:r>
      <w:r>
        <w:rPr>
          <w:rFonts w:hint="eastAsia"/>
          <w:lang w:eastAsia="zh-CN"/>
        </w:rPr>
        <w:t>方案，则此项目可在</w:t>
      </w:r>
      <w:r>
        <w:rPr>
          <w:rFonts w:hint="eastAsia"/>
          <w:lang w:eastAsia="zh-CN"/>
        </w:rPr>
        <w:t>2016-2019</w:t>
      </w:r>
      <w:r>
        <w:rPr>
          <w:rFonts w:hint="eastAsia"/>
          <w:lang w:eastAsia="zh-CN"/>
        </w:rPr>
        <w:t>年财务规划期内进行。目前预计，搬入日内瓦新</w:t>
      </w:r>
      <w:r w:rsidRPr="00377A6E">
        <w:rPr>
          <w:rFonts w:hint="eastAsia"/>
          <w:lang w:eastAsia="zh-CN"/>
        </w:rPr>
        <w:t>办公场所</w:t>
      </w:r>
      <w:r>
        <w:rPr>
          <w:rFonts w:hint="eastAsia"/>
          <w:lang w:eastAsia="zh-CN"/>
        </w:rPr>
        <w:t>并安置妥贴将需要一年时间。在提交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年财务规划草案中既不包含这些搬迁费用，也不包含拆除</w:t>
      </w:r>
      <w:r>
        <w:rPr>
          <w:lang w:eastAsia="zh-CN"/>
        </w:rPr>
        <w:t>Varembé</w:t>
      </w:r>
      <w:r>
        <w:rPr>
          <w:rFonts w:hint="eastAsia"/>
          <w:lang w:eastAsia="zh-CN"/>
        </w:rPr>
        <w:t>办公楼的费用。</w:t>
      </w:r>
    </w:p>
    <w:p w14:paraId="31BA5C61" w14:textId="77777777" w:rsidR="00B80DA4" w:rsidRPr="007917C6" w:rsidRDefault="00B80DA4" w:rsidP="00B80DA4">
      <w:pPr>
        <w:pStyle w:val="Heading2"/>
        <w:rPr>
          <w:sz w:val="26"/>
          <w:szCs w:val="26"/>
          <w:lang w:eastAsia="zh-CN"/>
        </w:rPr>
      </w:pPr>
      <w:r>
        <w:rPr>
          <w:sz w:val="26"/>
          <w:szCs w:val="26"/>
          <w:lang w:eastAsia="zh-CN"/>
        </w:rPr>
        <w:t>C</w:t>
      </w:r>
      <w:r>
        <w:rPr>
          <w:sz w:val="26"/>
          <w:szCs w:val="26"/>
          <w:lang w:eastAsia="zh-CN"/>
        </w:rPr>
        <w:tab/>
      </w:r>
      <w:r>
        <w:rPr>
          <w:rFonts w:hint="eastAsia"/>
          <w:sz w:val="26"/>
          <w:szCs w:val="26"/>
          <w:lang w:eastAsia="zh-CN"/>
        </w:rPr>
        <w:t>长期影响</w:t>
      </w:r>
    </w:p>
    <w:p w14:paraId="5576CF60" w14:textId="77777777" w:rsidR="00B80DA4" w:rsidRPr="0063347C" w:rsidRDefault="00B80DA4" w:rsidP="00B34094">
      <w:pPr>
        <w:rPr>
          <w:lang w:eastAsia="zh-CN"/>
        </w:rPr>
      </w:pPr>
      <w:r>
        <w:rPr>
          <w:lang w:eastAsia="zh-CN"/>
        </w:rPr>
        <w:t>7</w:t>
      </w:r>
      <w:r>
        <w:rPr>
          <w:lang w:val="en-US" w:eastAsia="zh-CN"/>
        </w:rPr>
        <w:t>.8</w:t>
      </w:r>
      <w:r>
        <w:rPr>
          <w:lang w:val="en-US" w:eastAsia="zh-CN"/>
        </w:rPr>
        <w:tab/>
      </w:r>
      <w:r w:rsidRPr="00A8213D">
        <w:rPr>
          <w:rFonts w:hint="eastAsia"/>
          <w:lang w:val="en-US" w:eastAsia="zh-CN"/>
        </w:rPr>
        <w:t>以租用</w:t>
      </w:r>
      <w:r w:rsidRPr="00377A6E">
        <w:rPr>
          <w:rFonts w:hint="eastAsia"/>
          <w:lang w:val="en-US" w:eastAsia="zh-CN"/>
        </w:rPr>
        <w:t>办公场所</w:t>
      </w:r>
      <w:r>
        <w:rPr>
          <w:rFonts w:hint="eastAsia"/>
          <w:lang w:val="en-US" w:eastAsia="zh-CN"/>
        </w:rPr>
        <w:t>来</w:t>
      </w:r>
      <w:r w:rsidRPr="00A8213D">
        <w:rPr>
          <w:rFonts w:hint="eastAsia"/>
          <w:lang w:val="en-US" w:eastAsia="zh-CN"/>
        </w:rPr>
        <w:t>取代</w:t>
      </w:r>
      <w:r>
        <w:rPr>
          <w:lang w:eastAsia="zh-CN"/>
        </w:rPr>
        <w:t>Varembé</w:t>
      </w:r>
      <w:r>
        <w:rPr>
          <w:rFonts w:hint="eastAsia"/>
          <w:lang w:eastAsia="zh-CN"/>
        </w:rPr>
        <w:t>办公楼的方案具有一些运作方面的缺陷（极大影响工作开展并产生搬迁和安置费用）。此外，租金将高于建造新楼的贷款偿还数额（还款完成后，新楼将成为国际电联完全拥有的不动产），因而此方案不具备长期的经济效益。与此同时，此方案还将带来持续不断的费用，如，本地交通和安保范围以及因代表需要奔走于不同会议之间时而造成的更多延误。</w:t>
      </w:r>
    </w:p>
    <w:p w14:paraId="49FE836B" w14:textId="77777777" w:rsidR="00B80DA4" w:rsidRPr="0063347C" w:rsidRDefault="00B80DA4" w:rsidP="00B34094">
      <w:pPr>
        <w:rPr>
          <w:lang w:eastAsia="zh-CN"/>
        </w:rPr>
      </w:pPr>
      <w:r>
        <w:rPr>
          <w:lang w:eastAsia="zh-CN"/>
        </w:rPr>
        <w:t>7</w:t>
      </w:r>
      <w:r>
        <w:rPr>
          <w:lang w:val="en-US" w:eastAsia="zh-CN"/>
        </w:rPr>
        <w:t>.9</w:t>
      </w:r>
      <w:r>
        <w:rPr>
          <w:lang w:val="en-US" w:eastAsia="zh-CN"/>
        </w:rPr>
        <w:tab/>
      </w:r>
      <w:r>
        <w:rPr>
          <w:rFonts w:hint="eastAsia"/>
          <w:lang w:val="en-US" w:eastAsia="zh-CN"/>
        </w:rPr>
        <w:t>租用办公楼的方案还意味着国际电联不再拥有</w:t>
      </w:r>
      <w:r>
        <w:rPr>
          <w:lang w:eastAsia="zh-CN"/>
        </w:rPr>
        <w:t>Varembé</w:t>
      </w:r>
      <w:r>
        <w:rPr>
          <w:rFonts w:hint="eastAsia"/>
          <w:lang w:eastAsia="zh-CN"/>
        </w:rPr>
        <w:t>办公楼，因此其资产将减少。</w:t>
      </w:r>
    </w:p>
    <w:p w14:paraId="44048F24" w14:textId="77777777" w:rsidR="00B80DA4" w:rsidRPr="0063347C" w:rsidRDefault="00B80DA4" w:rsidP="00B80DA4">
      <w:pPr>
        <w:pStyle w:val="Headingb"/>
        <w:tabs>
          <w:tab w:val="clear" w:pos="567"/>
          <w:tab w:val="clear" w:pos="1134"/>
          <w:tab w:val="clear" w:pos="1701"/>
          <w:tab w:val="clear" w:pos="2268"/>
          <w:tab w:val="clear" w:pos="2835"/>
        </w:tabs>
        <w:spacing w:before="360" w:after="240"/>
        <w:ind w:left="0" w:firstLine="0"/>
        <w:rPr>
          <w:lang w:eastAsia="zh-CN"/>
        </w:rPr>
      </w:pPr>
      <w:r>
        <w:rPr>
          <w:rFonts w:hint="eastAsia"/>
          <w:lang w:eastAsia="zh-CN"/>
        </w:rPr>
        <w:t>方案</w:t>
      </w:r>
      <w:r>
        <w:rPr>
          <w:rFonts w:hint="eastAsia"/>
          <w:lang w:eastAsia="zh-CN"/>
        </w:rPr>
        <w:t>3</w:t>
      </w:r>
      <w:r>
        <w:rPr>
          <w:rFonts w:hint="eastAsia"/>
          <w:lang w:eastAsia="zh-CN"/>
        </w:rPr>
        <w:t>所涉场地概要介绍：</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80DA4" w:rsidRPr="0063347C" w14:paraId="3B2FC779" w14:textId="77777777" w:rsidTr="000E7785">
        <w:trPr>
          <w:jc w:val="center"/>
        </w:trPr>
        <w:tc>
          <w:tcPr>
            <w:tcW w:w="2484" w:type="dxa"/>
          </w:tcPr>
          <w:p w14:paraId="7DF427CC" w14:textId="77777777" w:rsidR="00B80DA4" w:rsidRPr="0063347C" w:rsidRDefault="00B80DA4" w:rsidP="000E7785">
            <w:pPr>
              <w:pStyle w:val="Tablehead"/>
              <w:keepNext/>
              <w:keepLines/>
              <w:spacing w:before="60" w:after="60"/>
            </w:pPr>
            <w:r>
              <w:rPr>
                <w:rFonts w:hint="eastAsia"/>
                <w:lang w:eastAsia="zh-CN"/>
              </w:rPr>
              <w:t>楼宇</w:t>
            </w:r>
          </w:p>
        </w:tc>
        <w:tc>
          <w:tcPr>
            <w:tcW w:w="1530" w:type="dxa"/>
          </w:tcPr>
          <w:p w14:paraId="1AA7C781" w14:textId="77777777" w:rsidR="00B80DA4" w:rsidRPr="0063347C" w:rsidRDefault="00B80DA4" w:rsidP="000E7785">
            <w:pPr>
              <w:pStyle w:val="Tablehead"/>
              <w:keepNext/>
              <w:keepLines/>
              <w:spacing w:before="60" w:after="60"/>
            </w:pPr>
          </w:p>
        </w:tc>
        <w:tc>
          <w:tcPr>
            <w:tcW w:w="1665" w:type="dxa"/>
          </w:tcPr>
          <w:p w14:paraId="319D6639" w14:textId="77777777" w:rsidR="00B80DA4" w:rsidRPr="0063347C" w:rsidRDefault="00B80DA4" w:rsidP="000E7785">
            <w:pPr>
              <w:pStyle w:val="Tablehead"/>
              <w:spacing w:before="60" w:after="60"/>
              <w:rPr>
                <w:lang w:eastAsia="zh-CN"/>
              </w:rPr>
            </w:pPr>
            <w:r>
              <w:rPr>
                <w:rFonts w:hint="eastAsia"/>
                <w:lang w:eastAsia="zh-CN"/>
              </w:rPr>
              <w:t>费用</w:t>
            </w:r>
          </w:p>
          <w:p w14:paraId="7E6761AF" w14:textId="77777777" w:rsidR="00B80DA4" w:rsidRPr="0063347C" w:rsidRDefault="00B80DA4" w:rsidP="000E7785">
            <w:pPr>
              <w:pStyle w:val="Tablehead"/>
              <w:spacing w:before="60" w:after="60"/>
              <w:rPr>
                <w:lang w:eastAsia="zh-CN"/>
              </w:rPr>
            </w:pPr>
            <w:r>
              <w:rPr>
                <w:lang w:eastAsia="zh-CN"/>
              </w:rPr>
              <w:t>（</w:t>
            </w:r>
            <w:r>
              <w:rPr>
                <w:rFonts w:hint="eastAsia"/>
                <w:lang w:eastAsia="zh-CN"/>
              </w:rPr>
              <w:t>单位：百万瑞郎）</w:t>
            </w:r>
          </w:p>
        </w:tc>
        <w:tc>
          <w:tcPr>
            <w:tcW w:w="4130" w:type="dxa"/>
          </w:tcPr>
          <w:p w14:paraId="5F1B73A1" w14:textId="77777777" w:rsidR="00B80DA4" w:rsidRPr="0063347C" w:rsidRDefault="00B80DA4" w:rsidP="000E7785">
            <w:pPr>
              <w:pStyle w:val="Tablehead"/>
              <w:spacing w:before="60" w:after="60"/>
            </w:pPr>
            <w:r>
              <w:rPr>
                <w:rFonts w:hint="eastAsia"/>
                <w:lang w:eastAsia="zh-CN"/>
              </w:rPr>
              <w:t>说明</w:t>
            </w:r>
          </w:p>
        </w:tc>
      </w:tr>
      <w:tr w:rsidR="00B80DA4" w:rsidRPr="0063347C" w14:paraId="26650E1A" w14:textId="77777777" w:rsidTr="000E7785">
        <w:trPr>
          <w:jc w:val="center"/>
        </w:trPr>
        <w:tc>
          <w:tcPr>
            <w:tcW w:w="2484" w:type="dxa"/>
          </w:tcPr>
          <w:p w14:paraId="33043A95" w14:textId="77777777" w:rsidR="00B80DA4" w:rsidRPr="0063347C" w:rsidRDefault="00B80DA4" w:rsidP="000E7785">
            <w:pPr>
              <w:pStyle w:val="Tabletext"/>
              <w:rPr>
                <w:lang w:eastAsia="zh-CN"/>
              </w:rPr>
            </w:pPr>
            <w:r>
              <w:rPr>
                <w:rFonts w:hint="eastAsia"/>
                <w:lang w:eastAsia="zh-CN"/>
              </w:rPr>
              <w:t>租金</w:t>
            </w:r>
          </w:p>
        </w:tc>
        <w:tc>
          <w:tcPr>
            <w:tcW w:w="1530" w:type="dxa"/>
          </w:tcPr>
          <w:p w14:paraId="444846DD" w14:textId="77777777" w:rsidR="00B80DA4" w:rsidRPr="0063347C" w:rsidRDefault="00B80DA4" w:rsidP="000E7785">
            <w:pPr>
              <w:pStyle w:val="Tabletext"/>
              <w:jc w:val="center"/>
            </w:pPr>
          </w:p>
        </w:tc>
        <w:tc>
          <w:tcPr>
            <w:tcW w:w="1665" w:type="dxa"/>
          </w:tcPr>
          <w:p w14:paraId="23D352DF" w14:textId="77777777" w:rsidR="00B80DA4" w:rsidRPr="0063347C" w:rsidRDefault="00B80DA4" w:rsidP="000E7785">
            <w:pPr>
              <w:pStyle w:val="Tabletext"/>
              <w:jc w:val="center"/>
            </w:pPr>
            <w:r w:rsidRPr="0063347C">
              <w:t>4.4</w:t>
            </w:r>
          </w:p>
        </w:tc>
        <w:tc>
          <w:tcPr>
            <w:tcW w:w="4130" w:type="dxa"/>
          </w:tcPr>
          <w:p w14:paraId="7D1EEC88" w14:textId="77777777" w:rsidR="00B80DA4" w:rsidRPr="0063347C" w:rsidRDefault="00B80DA4" w:rsidP="000E7785">
            <w:pPr>
              <w:pStyle w:val="Tabletext"/>
            </w:pPr>
            <w:r>
              <w:rPr>
                <w:rFonts w:hint="eastAsia"/>
                <w:lang w:eastAsia="zh-CN"/>
              </w:rPr>
              <w:t>年度费用</w:t>
            </w:r>
          </w:p>
        </w:tc>
      </w:tr>
      <w:tr w:rsidR="00B80DA4" w:rsidRPr="0063347C" w14:paraId="5C0ED4CB" w14:textId="77777777" w:rsidTr="000E7785">
        <w:trPr>
          <w:jc w:val="center"/>
        </w:trPr>
        <w:tc>
          <w:tcPr>
            <w:tcW w:w="2484" w:type="dxa"/>
          </w:tcPr>
          <w:p w14:paraId="0DDAB61E" w14:textId="77777777" w:rsidR="00B80DA4" w:rsidRPr="0063347C" w:rsidRDefault="00B80DA4" w:rsidP="000E7785">
            <w:pPr>
              <w:pStyle w:val="Tabletext"/>
            </w:pPr>
            <w:r>
              <w:rPr>
                <w:rFonts w:hint="eastAsia"/>
                <w:lang w:eastAsia="zh-CN"/>
              </w:rPr>
              <w:t>费用</w:t>
            </w:r>
          </w:p>
        </w:tc>
        <w:tc>
          <w:tcPr>
            <w:tcW w:w="1530" w:type="dxa"/>
          </w:tcPr>
          <w:p w14:paraId="1A8958FE" w14:textId="77777777" w:rsidR="00B80DA4" w:rsidRPr="0063347C" w:rsidRDefault="00B80DA4" w:rsidP="000E7785">
            <w:pPr>
              <w:pStyle w:val="Tabletext"/>
              <w:jc w:val="center"/>
            </w:pPr>
          </w:p>
        </w:tc>
        <w:tc>
          <w:tcPr>
            <w:tcW w:w="1665" w:type="dxa"/>
          </w:tcPr>
          <w:p w14:paraId="2227D5AD" w14:textId="77777777" w:rsidR="00B80DA4" w:rsidRPr="0063347C" w:rsidRDefault="00B80DA4" w:rsidP="000E7785">
            <w:pPr>
              <w:pStyle w:val="Tabletext"/>
              <w:jc w:val="center"/>
            </w:pPr>
            <w:r>
              <w:rPr>
                <w:lang w:val="en-US"/>
              </w:rPr>
              <w:t>30</w:t>
            </w:r>
            <w:r>
              <w:rPr>
                <w:rFonts w:hint="eastAsia"/>
                <w:lang w:val="en-US" w:eastAsia="zh-CN"/>
              </w:rPr>
              <w:t>至</w:t>
            </w:r>
            <w:r>
              <w:rPr>
                <w:rFonts w:hint="eastAsia"/>
                <w:lang w:val="en-US" w:eastAsia="zh-CN"/>
              </w:rPr>
              <w:t>50</w:t>
            </w:r>
            <w:r>
              <w:rPr>
                <w:rFonts w:hint="eastAsia"/>
                <w:lang w:val="en-US" w:eastAsia="zh-CN"/>
              </w:rPr>
              <w:t>万瑞郎</w:t>
            </w:r>
          </w:p>
        </w:tc>
        <w:tc>
          <w:tcPr>
            <w:tcW w:w="4130" w:type="dxa"/>
          </w:tcPr>
          <w:p w14:paraId="6D3D19AC" w14:textId="77777777" w:rsidR="00B80DA4" w:rsidRPr="0063347C" w:rsidRDefault="00B80DA4" w:rsidP="000E7785">
            <w:pPr>
              <w:pStyle w:val="Tabletext"/>
            </w:pPr>
            <w:r>
              <w:rPr>
                <w:rFonts w:hint="eastAsia"/>
                <w:lang w:eastAsia="zh-CN"/>
              </w:rPr>
              <w:t>年度费用</w:t>
            </w:r>
          </w:p>
        </w:tc>
      </w:tr>
      <w:tr w:rsidR="00B80DA4" w:rsidRPr="0063347C" w14:paraId="03F362EC" w14:textId="77777777" w:rsidTr="000E7785">
        <w:trPr>
          <w:jc w:val="center"/>
        </w:trPr>
        <w:tc>
          <w:tcPr>
            <w:tcW w:w="2484" w:type="dxa"/>
          </w:tcPr>
          <w:p w14:paraId="40064C95" w14:textId="77777777" w:rsidR="00B80DA4" w:rsidRPr="0063347C" w:rsidRDefault="00B80DA4" w:rsidP="000E7785">
            <w:pPr>
              <w:pStyle w:val="Tabletext"/>
              <w:rPr>
                <w:b/>
                <w:bCs/>
              </w:rPr>
            </w:pPr>
            <w:r>
              <w:rPr>
                <w:rFonts w:hint="eastAsia"/>
                <w:b/>
                <w:bCs/>
                <w:lang w:eastAsia="zh-CN"/>
              </w:rPr>
              <w:t>合计：年度费用</w:t>
            </w:r>
          </w:p>
        </w:tc>
        <w:tc>
          <w:tcPr>
            <w:tcW w:w="1530" w:type="dxa"/>
          </w:tcPr>
          <w:p w14:paraId="4CB4CBFE" w14:textId="77777777" w:rsidR="00B80DA4" w:rsidRPr="0063347C" w:rsidRDefault="00B80DA4" w:rsidP="000E7785">
            <w:pPr>
              <w:pStyle w:val="Tabletext"/>
              <w:jc w:val="center"/>
            </w:pPr>
          </w:p>
        </w:tc>
        <w:tc>
          <w:tcPr>
            <w:tcW w:w="1665" w:type="dxa"/>
          </w:tcPr>
          <w:p w14:paraId="4F029D46" w14:textId="77777777" w:rsidR="00B80DA4" w:rsidRPr="0063347C" w:rsidRDefault="00B80DA4" w:rsidP="000E7785">
            <w:pPr>
              <w:pStyle w:val="Tabletext"/>
              <w:jc w:val="center"/>
              <w:rPr>
                <w:b/>
                <w:bCs/>
              </w:rPr>
            </w:pPr>
            <w:r>
              <w:rPr>
                <w:b/>
                <w:bCs/>
              </w:rPr>
              <w:t>4.9</w:t>
            </w:r>
          </w:p>
        </w:tc>
        <w:tc>
          <w:tcPr>
            <w:tcW w:w="4130" w:type="dxa"/>
          </w:tcPr>
          <w:p w14:paraId="325863A4" w14:textId="77777777" w:rsidR="00B80DA4" w:rsidRPr="0063347C" w:rsidRDefault="00B80DA4" w:rsidP="000E7785">
            <w:pPr>
              <w:pStyle w:val="Tabletext"/>
            </w:pPr>
          </w:p>
        </w:tc>
      </w:tr>
    </w:tbl>
    <w:p w14:paraId="2B26B122" w14:textId="77777777" w:rsidR="00B80DA4" w:rsidRDefault="00B80DA4" w:rsidP="00B80DA4">
      <w:pPr>
        <w:jc w:val="cente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80DA4" w:rsidRPr="0063347C" w14:paraId="2226C39C" w14:textId="77777777" w:rsidTr="000E7785">
        <w:trPr>
          <w:jc w:val="center"/>
        </w:trPr>
        <w:tc>
          <w:tcPr>
            <w:tcW w:w="2326" w:type="dxa"/>
          </w:tcPr>
          <w:p w14:paraId="06661E13" w14:textId="77777777" w:rsidR="00B80DA4" w:rsidRPr="0063347C" w:rsidRDefault="00B80DA4" w:rsidP="000E7785">
            <w:pPr>
              <w:pStyle w:val="Tabletext"/>
              <w:rPr>
                <w:lang w:eastAsia="zh-CN"/>
              </w:rPr>
            </w:pPr>
            <w:r>
              <w:rPr>
                <w:rFonts w:hint="eastAsia"/>
                <w:lang w:eastAsia="zh-CN"/>
              </w:rPr>
              <w:t>拆除</w:t>
            </w:r>
            <w:r w:rsidRPr="0063347C">
              <w:t>Varemb</w:t>
            </w:r>
            <w:r>
              <w:t>é I</w:t>
            </w:r>
            <w:r>
              <w:rPr>
                <w:rFonts w:hint="eastAsia"/>
                <w:lang w:eastAsia="zh-CN"/>
              </w:rPr>
              <w:t>办公楼</w:t>
            </w:r>
          </w:p>
        </w:tc>
        <w:tc>
          <w:tcPr>
            <w:tcW w:w="1433" w:type="dxa"/>
          </w:tcPr>
          <w:p w14:paraId="169C85A3" w14:textId="77777777" w:rsidR="00B80DA4" w:rsidRPr="0063347C" w:rsidRDefault="00B80DA4" w:rsidP="000E7785">
            <w:pPr>
              <w:pStyle w:val="Tabletext"/>
              <w:jc w:val="center"/>
            </w:pPr>
          </w:p>
        </w:tc>
        <w:tc>
          <w:tcPr>
            <w:tcW w:w="1559" w:type="dxa"/>
          </w:tcPr>
          <w:p w14:paraId="0DBF83AD" w14:textId="77777777" w:rsidR="00B80DA4" w:rsidRPr="0063347C" w:rsidRDefault="00B80DA4" w:rsidP="000E7785">
            <w:pPr>
              <w:pStyle w:val="Tabletext"/>
              <w:jc w:val="center"/>
            </w:pPr>
            <w:r w:rsidRPr="0063347C">
              <w:t>3.9</w:t>
            </w:r>
          </w:p>
        </w:tc>
        <w:tc>
          <w:tcPr>
            <w:tcW w:w="3867" w:type="dxa"/>
          </w:tcPr>
          <w:p w14:paraId="072B45F0" w14:textId="77777777" w:rsidR="00B80DA4" w:rsidRPr="0063347C" w:rsidRDefault="00B80DA4" w:rsidP="000E7785">
            <w:pPr>
              <w:pStyle w:val="Tabletext"/>
            </w:pPr>
          </w:p>
        </w:tc>
      </w:tr>
      <w:tr w:rsidR="00B80DA4" w:rsidRPr="0063347C" w14:paraId="1EEC3D79" w14:textId="77777777" w:rsidTr="000E7785">
        <w:trPr>
          <w:jc w:val="center"/>
        </w:trPr>
        <w:tc>
          <w:tcPr>
            <w:tcW w:w="2326" w:type="dxa"/>
          </w:tcPr>
          <w:p w14:paraId="442AECB9" w14:textId="77777777" w:rsidR="00B80DA4" w:rsidRPr="0063347C" w:rsidRDefault="00B80DA4" w:rsidP="000E7785">
            <w:pPr>
              <w:pStyle w:val="Tabletext"/>
            </w:pPr>
            <w:r>
              <w:rPr>
                <w:rFonts w:hint="eastAsia"/>
                <w:lang w:eastAsia="zh-CN"/>
              </w:rPr>
              <w:t>搬迁</w:t>
            </w:r>
          </w:p>
        </w:tc>
        <w:tc>
          <w:tcPr>
            <w:tcW w:w="1433" w:type="dxa"/>
          </w:tcPr>
          <w:p w14:paraId="3DC83FC3" w14:textId="77777777" w:rsidR="00B80DA4" w:rsidRPr="0063347C" w:rsidRDefault="00B80DA4" w:rsidP="000E7785">
            <w:pPr>
              <w:pStyle w:val="Tabletext"/>
              <w:jc w:val="center"/>
            </w:pPr>
          </w:p>
        </w:tc>
        <w:tc>
          <w:tcPr>
            <w:tcW w:w="1559" w:type="dxa"/>
          </w:tcPr>
          <w:p w14:paraId="4642EB6A" w14:textId="77777777" w:rsidR="00B80DA4" w:rsidRPr="0063347C" w:rsidRDefault="00B80DA4" w:rsidP="000E7785">
            <w:pPr>
              <w:pStyle w:val="Tabletext"/>
              <w:jc w:val="center"/>
            </w:pPr>
            <w:r>
              <w:t>0.5</w:t>
            </w:r>
          </w:p>
        </w:tc>
        <w:tc>
          <w:tcPr>
            <w:tcW w:w="3867" w:type="dxa"/>
          </w:tcPr>
          <w:p w14:paraId="104E179B" w14:textId="77777777" w:rsidR="00B80DA4" w:rsidRPr="0063347C" w:rsidRDefault="00B80DA4" w:rsidP="000E7785">
            <w:pPr>
              <w:pStyle w:val="Tabletext"/>
            </w:pPr>
          </w:p>
        </w:tc>
      </w:tr>
      <w:tr w:rsidR="00B80DA4" w:rsidRPr="0063347C" w14:paraId="50DB7C37" w14:textId="77777777" w:rsidTr="000E7785">
        <w:trPr>
          <w:jc w:val="center"/>
        </w:trPr>
        <w:tc>
          <w:tcPr>
            <w:tcW w:w="2326" w:type="dxa"/>
          </w:tcPr>
          <w:p w14:paraId="67FF0C38" w14:textId="77777777" w:rsidR="00B80DA4" w:rsidRPr="0063347C" w:rsidRDefault="00B80DA4" w:rsidP="000E7785">
            <w:pPr>
              <w:pStyle w:val="Tabletext"/>
              <w:keepNext/>
            </w:pPr>
            <w:r>
              <w:rPr>
                <w:rFonts w:hint="eastAsia"/>
                <w:lang w:eastAsia="zh-CN"/>
              </w:rPr>
              <w:t>重建</w:t>
            </w:r>
            <w:r w:rsidRPr="0063347C">
              <w:t>Montbrillant</w:t>
            </w:r>
            <w:r>
              <w:rPr>
                <w:rFonts w:hint="eastAsia"/>
                <w:lang w:eastAsia="zh-CN"/>
              </w:rPr>
              <w:t>楼与塔楼之间的内部通道</w:t>
            </w:r>
          </w:p>
        </w:tc>
        <w:tc>
          <w:tcPr>
            <w:tcW w:w="1433" w:type="dxa"/>
          </w:tcPr>
          <w:p w14:paraId="3E84A233" w14:textId="77777777" w:rsidR="00B80DA4" w:rsidRPr="0063347C" w:rsidRDefault="00B80DA4" w:rsidP="000E7785">
            <w:pPr>
              <w:pStyle w:val="Tabletext"/>
              <w:jc w:val="center"/>
            </w:pPr>
          </w:p>
        </w:tc>
        <w:tc>
          <w:tcPr>
            <w:tcW w:w="1559" w:type="dxa"/>
          </w:tcPr>
          <w:p w14:paraId="014F60EA" w14:textId="77777777" w:rsidR="00B80DA4" w:rsidRPr="0063347C" w:rsidRDefault="00B80DA4" w:rsidP="000E7785">
            <w:pPr>
              <w:pStyle w:val="Tabletext"/>
              <w:jc w:val="center"/>
            </w:pPr>
            <w:r w:rsidRPr="0063347C">
              <w:t>0.2</w:t>
            </w:r>
          </w:p>
        </w:tc>
        <w:tc>
          <w:tcPr>
            <w:tcW w:w="3867" w:type="dxa"/>
          </w:tcPr>
          <w:p w14:paraId="5D459113" w14:textId="77777777" w:rsidR="00B80DA4" w:rsidRPr="0063347C" w:rsidRDefault="00B80DA4" w:rsidP="000E7785">
            <w:pPr>
              <w:pStyle w:val="Tabletext"/>
            </w:pPr>
          </w:p>
        </w:tc>
      </w:tr>
      <w:tr w:rsidR="00B80DA4" w:rsidRPr="0063347C" w14:paraId="11D327CF" w14:textId="77777777" w:rsidTr="000E7785">
        <w:trPr>
          <w:jc w:val="center"/>
        </w:trPr>
        <w:tc>
          <w:tcPr>
            <w:tcW w:w="2326" w:type="dxa"/>
          </w:tcPr>
          <w:p w14:paraId="0F392805" w14:textId="77777777" w:rsidR="00B80DA4" w:rsidRPr="0063347C" w:rsidRDefault="00B80DA4" w:rsidP="000E7785">
            <w:pPr>
              <w:pStyle w:val="Tabletext"/>
              <w:rPr>
                <w:lang w:eastAsia="zh-CN"/>
              </w:rPr>
            </w:pPr>
            <w:r w:rsidRPr="0063347C">
              <w:t>Montbrillant</w:t>
            </w:r>
            <w:r>
              <w:rPr>
                <w:rFonts w:hint="eastAsia"/>
                <w:lang w:eastAsia="zh-CN"/>
              </w:rPr>
              <w:t>办公楼</w:t>
            </w:r>
          </w:p>
        </w:tc>
        <w:tc>
          <w:tcPr>
            <w:tcW w:w="1433" w:type="dxa"/>
          </w:tcPr>
          <w:p w14:paraId="1EC0F9B9" w14:textId="77777777" w:rsidR="00B80DA4" w:rsidRPr="0063347C" w:rsidRDefault="00B80DA4" w:rsidP="000E7785">
            <w:pPr>
              <w:pStyle w:val="Tabletext"/>
              <w:jc w:val="center"/>
            </w:pPr>
            <w:r>
              <w:rPr>
                <w:rFonts w:hint="eastAsia"/>
                <w:lang w:eastAsia="zh-CN"/>
              </w:rPr>
              <w:t>紧急工程</w:t>
            </w:r>
          </w:p>
        </w:tc>
        <w:tc>
          <w:tcPr>
            <w:tcW w:w="1559" w:type="dxa"/>
          </w:tcPr>
          <w:p w14:paraId="6C38E0A2" w14:textId="77777777" w:rsidR="00B80DA4" w:rsidRPr="0063347C" w:rsidRDefault="00B80DA4" w:rsidP="000E7785">
            <w:pPr>
              <w:pStyle w:val="Tabletext"/>
              <w:jc w:val="center"/>
            </w:pPr>
            <w:r w:rsidRPr="0063347C">
              <w:t>4</w:t>
            </w:r>
          </w:p>
        </w:tc>
        <w:tc>
          <w:tcPr>
            <w:tcW w:w="3867" w:type="dxa"/>
          </w:tcPr>
          <w:p w14:paraId="5D0E8A0E" w14:textId="77777777" w:rsidR="00B80DA4" w:rsidRPr="0063347C" w:rsidRDefault="00B80DA4" w:rsidP="000E7785">
            <w:pPr>
              <w:pStyle w:val="Tabletext"/>
            </w:pPr>
            <w:r>
              <w:rPr>
                <w:rFonts w:hint="eastAsia"/>
                <w:lang w:eastAsia="zh-CN"/>
              </w:rPr>
              <w:t>继续使用</w:t>
            </w:r>
          </w:p>
        </w:tc>
      </w:tr>
      <w:tr w:rsidR="00B80DA4" w:rsidRPr="0063347C" w14:paraId="7A2D8699" w14:textId="77777777" w:rsidTr="000E7785">
        <w:trPr>
          <w:jc w:val="center"/>
        </w:trPr>
        <w:tc>
          <w:tcPr>
            <w:tcW w:w="2326" w:type="dxa"/>
          </w:tcPr>
          <w:p w14:paraId="6CAAF92D" w14:textId="77777777" w:rsidR="00B80DA4" w:rsidRPr="0063347C" w:rsidRDefault="00B80DA4" w:rsidP="000E7785">
            <w:pPr>
              <w:pStyle w:val="Tabletext"/>
              <w:rPr>
                <w:lang w:eastAsia="zh-CN"/>
              </w:rPr>
            </w:pPr>
            <w:r>
              <w:rPr>
                <w:rFonts w:hint="eastAsia"/>
                <w:lang w:eastAsia="zh-CN"/>
              </w:rPr>
              <w:t>塔楼</w:t>
            </w:r>
          </w:p>
        </w:tc>
        <w:tc>
          <w:tcPr>
            <w:tcW w:w="1433" w:type="dxa"/>
          </w:tcPr>
          <w:p w14:paraId="76263066" w14:textId="77777777" w:rsidR="00B80DA4" w:rsidRPr="0063347C" w:rsidRDefault="00B80DA4" w:rsidP="000E7785">
            <w:pPr>
              <w:pStyle w:val="Tabletext"/>
              <w:jc w:val="center"/>
            </w:pPr>
            <w:r>
              <w:rPr>
                <w:rFonts w:hint="eastAsia"/>
                <w:lang w:eastAsia="zh-CN"/>
              </w:rPr>
              <w:t>紧急工程</w:t>
            </w:r>
          </w:p>
        </w:tc>
        <w:tc>
          <w:tcPr>
            <w:tcW w:w="1559" w:type="dxa"/>
          </w:tcPr>
          <w:p w14:paraId="321BBF67" w14:textId="77777777" w:rsidR="00B80DA4" w:rsidRPr="0063347C" w:rsidRDefault="00B80DA4" w:rsidP="000E7785">
            <w:pPr>
              <w:pStyle w:val="Tabletext"/>
              <w:jc w:val="center"/>
            </w:pPr>
            <w:r w:rsidRPr="0063347C">
              <w:t>45</w:t>
            </w:r>
          </w:p>
        </w:tc>
        <w:tc>
          <w:tcPr>
            <w:tcW w:w="3867" w:type="dxa"/>
          </w:tcPr>
          <w:p w14:paraId="6D8AA01E" w14:textId="77777777" w:rsidR="00B80DA4" w:rsidRPr="0063347C" w:rsidRDefault="00B80DA4" w:rsidP="000E7785">
            <w:pPr>
              <w:pStyle w:val="Tabletext"/>
            </w:pPr>
            <w:r>
              <w:rPr>
                <w:rFonts w:hint="eastAsia"/>
                <w:lang w:eastAsia="zh-CN"/>
              </w:rPr>
              <w:t>继续使用</w:t>
            </w:r>
          </w:p>
        </w:tc>
      </w:tr>
      <w:tr w:rsidR="00B80DA4" w:rsidRPr="0063347C" w14:paraId="40C831DF" w14:textId="77777777" w:rsidTr="000E7785">
        <w:trPr>
          <w:trHeight w:val="287"/>
          <w:jc w:val="center"/>
        </w:trPr>
        <w:tc>
          <w:tcPr>
            <w:tcW w:w="2326" w:type="dxa"/>
          </w:tcPr>
          <w:p w14:paraId="3F918468" w14:textId="77777777" w:rsidR="00B80DA4" w:rsidRPr="0063347C" w:rsidRDefault="00B80DA4" w:rsidP="000E7785">
            <w:pPr>
              <w:pStyle w:val="Tabletext"/>
              <w:rPr>
                <w:i/>
              </w:rPr>
            </w:pPr>
            <w:r>
              <w:rPr>
                <w:rFonts w:ascii="STKaiti" w:eastAsia="STKaiti" w:hAnsi="STKaiti" w:hint="eastAsia"/>
                <w:iCs/>
                <w:lang w:eastAsia="zh-CN"/>
              </w:rPr>
              <w:t>融资费用</w:t>
            </w:r>
          </w:p>
        </w:tc>
        <w:tc>
          <w:tcPr>
            <w:tcW w:w="1433" w:type="dxa"/>
          </w:tcPr>
          <w:p w14:paraId="4C91681E" w14:textId="77777777" w:rsidR="00B80DA4" w:rsidRPr="0063347C" w:rsidRDefault="00B80DA4" w:rsidP="000E7785">
            <w:pPr>
              <w:pStyle w:val="Tabletext"/>
              <w:jc w:val="center"/>
              <w:rPr>
                <w:i/>
              </w:rPr>
            </w:pPr>
          </w:p>
        </w:tc>
        <w:tc>
          <w:tcPr>
            <w:tcW w:w="1559" w:type="dxa"/>
          </w:tcPr>
          <w:p w14:paraId="015414AE" w14:textId="20229F62" w:rsidR="00B80DA4" w:rsidRPr="0063347C" w:rsidRDefault="00F16910" w:rsidP="000E7785">
            <w:pPr>
              <w:pStyle w:val="Tabletext"/>
              <w:jc w:val="center"/>
              <w:rPr>
                <w:i/>
              </w:rPr>
            </w:pPr>
            <w:r>
              <w:rPr>
                <w:i/>
              </w:rPr>
              <w:t>12</w:t>
            </w:r>
          </w:p>
        </w:tc>
        <w:tc>
          <w:tcPr>
            <w:tcW w:w="3867" w:type="dxa"/>
          </w:tcPr>
          <w:p w14:paraId="11A9F928" w14:textId="77777777" w:rsidR="00B80DA4" w:rsidRPr="0063347C" w:rsidRDefault="00B80DA4" w:rsidP="000E7785">
            <w:pPr>
              <w:pStyle w:val="Tabletext"/>
              <w:rPr>
                <w:i/>
              </w:rPr>
            </w:pPr>
            <w:r w:rsidRPr="002B5BFA">
              <w:rPr>
                <w:rFonts w:ascii="STKaiti" w:eastAsia="STKaiti" w:hAnsi="STKaiti" w:hint="eastAsia"/>
                <w:lang w:eastAsia="zh-CN"/>
              </w:rPr>
              <w:t>贷款累积利息</w:t>
            </w:r>
          </w:p>
        </w:tc>
      </w:tr>
      <w:tr w:rsidR="00B80DA4" w:rsidRPr="0063347C" w14:paraId="15ACBA89" w14:textId="77777777" w:rsidTr="000E7785">
        <w:trPr>
          <w:trHeight w:val="287"/>
          <w:jc w:val="center"/>
        </w:trPr>
        <w:tc>
          <w:tcPr>
            <w:tcW w:w="2326" w:type="dxa"/>
          </w:tcPr>
          <w:p w14:paraId="5B2E2225" w14:textId="77777777" w:rsidR="00B80DA4" w:rsidRPr="0063347C" w:rsidRDefault="00B80DA4" w:rsidP="000E7785">
            <w:pPr>
              <w:pStyle w:val="Tabletext"/>
              <w:rPr>
                <w:b/>
              </w:rPr>
            </w:pPr>
            <w:r>
              <w:rPr>
                <w:rFonts w:hint="eastAsia"/>
                <w:b/>
                <w:lang w:eastAsia="zh-CN"/>
              </w:rPr>
              <w:t>合计：非经常费用</w:t>
            </w:r>
          </w:p>
        </w:tc>
        <w:tc>
          <w:tcPr>
            <w:tcW w:w="1433" w:type="dxa"/>
          </w:tcPr>
          <w:p w14:paraId="13E0DDC7" w14:textId="77777777" w:rsidR="00B80DA4" w:rsidRPr="0063347C" w:rsidRDefault="00B80DA4" w:rsidP="000E7785">
            <w:pPr>
              <w:pStyle w:val="Tabletext"/>
              <w:jc w:val="center"/>
              <w:rPr>
                <w:b/>
              </w:rPr>
            </w:pPr>
          </w:p>
        </w:tc>
        <w:tc>
          <w:tcPr>
            <w:tcW w:w="1559" w:type="dxa"/>
          </w:tcPr>
          <w:p w14:paraId="34A8EA32" w14:textId="73689ADA" w:rsidR="00B80DA4" w:rsidRPr="00994E12" w:rsidRDefault="00F16910" w:rsidP="000E7785">
            <w:pPr>
              <w:pStyle w:val="Tabletext"/>
              <w:jc w:val="center"/>
              <w:rPr>
                <w:b/>
                <w:lang w:val="en-US" w:eastAsia="zh-CN"/>
              </w:rPr>
            </w:pPr>
            <w:r>
              <w:rPr>
                <w:b/>
              </w:rPr>
              <w:t>65</w:t>
            </w:r>
            <w:r>
              <w:rPr>
                <w:b/>
                <w:lang w:val="en-US" w:eastAsia="zh-CN"/>
              </w:rPr>
              <w:t>.6</w:t>
            </w:r>
          </w:p>
        </w:tc>
        <w:tc>
          <w:tcPr>
            <w:tcW w:w="3867" w:type="dxa"/>
          </w:tcPr>
          <w:p w14:paraId="4F2D3DE8" w14:textId="77777777" w:rsidR="00B80DA4" w:rsidRPr="0063347C" w:rsidRDefault="00B80DA4" w:rsidP="000E7785">
            <w:pPr>
              <w:pStyle w:val="Tabletext"/>
              <w:rPr>
                <w:b/>
              </w:rPr>
            </w:pPr>
          </w:p>
        </w:tc>
      </w:tr>
    </w:tbl>
    <w:p w14:paraId="1E7CD7AA" w14:textId="77777777" w:rsidR="00B80DA4" w:rsidRDefault="00B80DA4" w:rsidP="00B80DA4">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80DA4" w:rsidRPr="0063347C" w14:paraId="36C598DE" w14:textId="77777777" w:rsidTr="000E7785">
        <w:trPr>
          <w:jc w:val="center"/>
        </w:trPr>
        <w:tc>
          <w:tcPr>
            <w:tcW w:w="2482" w:type="dxa"/>
          </w:tcPr>
          <w:p w14:paraId="366A4995" w14:textId="77777777" w:rsidR="00B80DA4" w:rsidRPr="0063347C" w:rsidRDefault="00B80DA4" w:rsidP="0065134F">
            <w:pPr>
              <w:pStyle w:val="Tabletext"/>
              <w:keepNext/>
            </w:pPr>
            <w:r>
              <w:rPr>
                <w:rFonts w:hint="eastAsia"/>
                <w:lang w:eastAsia="zh-CN"/>
              </w:rPr>
              <w:lastRenderedPageBreak/>
              <w:t>所有办公楼</w:t>
            </w:r>
          </w:p>
        </w:tc>
        <w:tc>
          <w:tcPr>
            <w:tcW w:w="1529" w:type="dxa"/>
          </w:tcPr>
          <w:p w14:paraId="2695B525" w14:textId="77777777" w:rsidR="00B80DA4" w:rsidRPr="0063347C" w:rsidRDefault="00B80DA4" w:rsidP="000E7785">
            <w:pPr>
              <w:pStyle w:val="Tabletext"/>
            </w:pPr>
            <w:r>
              <w:rPr>
                <w:rFonts w:hint="eastAsia"/>
                <w:lang w:eastAsia="zh-CN"/>
              </w:rPr>
              <w:t>年费用合计</w:t>
            </w:r>
          </w:p>
        </w:tc>
        <w:tc>
          <w:tcPr>
            <w:tcW w:w="1701" w:type="dxa"/>
          </w:tcPr>
          <w:p w14:paraId="58530204" w14:textId="0F099E26" w:rsidR="00B80DA4" w:rsidRPr="0063347C" w:rsidRDefault="00B80DA4">
            <w:pPr>
              <w:pStyle w:val="Tabletext"/>
              <w:jc w:val="center"/>
            </w:pPr>
            <w:r>
              <w:rPr>
                <w:rFonts w:hint="eastAsia"/>
                <w:lang w:eastAsia="zh-CN"/>
              </w:rPr>
              <w:t>每年</w:t>
            </w:r>
            <w:r w:rsidR="00F16910">
              <w:t>7.1</w:t>
            </w:r>
          </w:p>
        </w:tc>
        <w:tc>
          <w:tcPr>
            <w:tcW w:w="4097" w:type="dxa"/>
          </w:tcPr>
          <w:p w14:paraId="0381286D" w14:textId="77777777" w:rsidR="00B80DA4" w:rsidRPr="00DD05B6" w:rsidRDefault="00B80DA4" w:rsidP="000E7785">
            <w:pPr>
              <w:pStyle w:val="Tabletext"/>
              <w:tabs>
                <w:tab w:val="left" w:pos="275"/>
              </w:tabs>
              <w:rPr>
                <w:szCs w:val="22"/>
                <w:lang w:eastAsia="zh-CN"/>
              </w:rPr>
            </w:pPr>
            <w:r w:rsidRPr="00E44AF0">
              <w:rPr>
                <w:szCs w:val="22"/>
                <w:lang w:eastAsia="zh-CN"/>
              </w:rPr>
              <w:t>–</w:t>
            </w:r>
            <w:r>
              <w:rPr>
                <w:szCs w:val="22"/>
                <w:lang w:eastAsia="zh-CN"/>
              </w:rPr>
              <w:tab/>
            </w:r>
            <w:r>
              <w:rPr>
                <w:rFonts w:hint="eastAsia"/>
                <w:szCs w:val="22"/>
                <w:lang w:eastAsia="zh-CN"/>
              </w:rPr>
              <w:t>每年</w:t>
            </w:r>
            <w:r>
              <w:rPr>
                <w:rFonts w:hint="eastAsia"/>
                <w:szCs w:val="22"/>
                <w:lang w:eastAsia="zh-CN"/>
              </w:rPr>
              <w:t>490</w:t>
            </w:r>
            <w:r>
              <w:rPr>
                <w:rFonts w:hint="eastAsia"/>
                <w:szCs w:val="22"/>
                <w:lang w:eastAsia="zh-CN"/>
              </w:rPr>
              <w:t>万瑞郎，国际电联资产毫无改善，还需加上与租用办公室相关的费用</w:t>
            </w:r>
          </w:p>
          <w:p w14:paraId="0CF89054" w14:textId="7F04E281" w:rsidR="00B80DA4" w:rsidRPr="0063347C" w:rsidRDefault="00B80DA4">
            <w:pPr>
              <w:pStyle w:val="Tabletext"/>
              <w:tabs>
                <w:tab w:val="left" w:pos="275"/>
              </w:tabs>
              <w:rPr>
                <w:lang w:eastAsia="zh-CN"/>
              </w:rPr>
            </w:pPr>
            <w:r w:rsidRPr="00E44AF0">
              <w:rPr>
                <w:szCs w:val="22"/>
                <w:lang w:eastAsia="zh-CN"/>
              </w:rPr>
              <w:t>–</w:t>
            </w:r>
            <w:r>
              <w:rPr>
                <w:szCs w:val="22"/>
                <w:lang w:eastAsia="zh-CN"/>
              </w:rPr>
              <w:tab/>
            </w:r>
            <w:r>
              <w:rPr>
                <w:rFonts w:hint="eastAsia"/>
                <w:szCs w:val="22"/>
                <w:lang w:eastAsia="zh-CN"/>
              </w:rPr>
              <w:t>每年</w:t>
            </w:r>
            <w:r>
              <w:rPr>
                <w:rFonts w:hint="eastAsia"/>
                <w:szCs w:val="22"/>
                <w:lang w:eastAsia="zh-CN"/>
              </w:rPr>
              <w:t>180</w:t>
            </w:r>
            <w:r>
              <w:rPr>
                <w:rFonts w:hint="eastAsia"/>
                <w:szCs w:val="22"/>
                <w:lang w:eastAsia="zh-CN"/>
              </w:rPr>
              <w:t>万瑞郎，</w:t>
            </w:r>
            <w:r>
              <w:rPr>
                <w:rFonts w:hint="eastAsia"/>
                <w:szCs w:val="22"/>
                <w:lang w:eastAsia="zh-CN"/>
              </w:rPr>
              <w:t>30</w:t>
            </w:r>
            <w:r>
              <w:rPr>
                <w:rFonts w:hint="eastAsia"/>
                <w:szCs w:val="22"/>
                <w:lang w:eastAsia="zh-CN"/>
              </w:rPr>
              <w:t>年还清，加上自工程结束之日起的年均</w:t>
            </w:r>
            <w:r w:rsidR="00E712DA">
              <w:rPr>
                <w:szCs w:val="22"/>
                <w:lang w:eastAsia="zh-CN"/>
              </w:rPr>
              <w:t>40</w:t>
            </w:r>
            <w:r>
              <w:rPr>
                <w:rFonts w:hint="eastAsia"/>
                <w:szCs w:val="22"/>
                <w:lang w:eastAsia="zh-CN"/>
              </w:rPr>
              <w:t>万瑞郎的利息</w:t>
            </w:r>
          </w:p>
        </w:tc>
      </w:tr>
    </w:tbl>
    <w:p w14:paraId="558658E2" w14:textId="77777777" w:rsidR="00B80DA4" w:rsidRPr="0063347C" w:rsidRDefault="00B80DA4" w:rsidP="00B80DA4">
      <w:pPr>
        <w:spacing w:before="0"/>
        <w:rPr>
          <w:lang w:eastAsia="zh-CN"/>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80DA4" w:rsidRPr="0063347C" w14:paraId="44FC2FBC" w14:textId="77777777" w:rsidTr="000E7785">
        <w:trPr>
          <w:jc w:val="center"/>
        </w:trPr>
        <w:tc>
          <w:tcPr>
            <w:tcW w:w="2482" w:type="dxa"/>
          </w:tcPr>
          <w:p w14:paraId="1E0CC6F2" w14:textId="77777777" w:rsidR="00B80DA4" w:rsidRPr="0063347C" w:rsidRDefault="00B80DA4" w:rsidP="000E7785">
            <w:pPr>
              <w:pStyle w:val="Tabletext"/>
            </w:pPr>
            <w:r>
              <w:rPr>
                <w:rFonts w:hint="eastAsia"/>
                <w:lang w:eastAsia="zh-CN"/>
              </w:rPr>
              <w:t>所有办公楼</w:t>
            </w:r>
          </w:p>
        </w:tc>
        <w:tc>
          <w:tcPr>
            <w:tcW w:w="1529" w:type="dxa"/>
          </w:tcPr>
          <w:p w14:paraId="6B38FA84" w14:textId="77777777" w:rsidR="00B80DA4" w:rsidRPr="0063347C" w:rsidRDefault="00B80DA4" w:rsidP="000E7785">
            <w:pPr>
              <w:pStyle w:val="Tabletext"/>
            </w:pPr>
            <w:r>
              <w:rPr>
                <w:rFonts w:hint="eastAsia"/>
                <w:lang w:eastAsia="zh-CN"/>
              </w:rPr>
              <w:t>长期维护</w:t>
            </w:r>
          </w:p>
        </w:tc>
        <w:tc>
          <w:tcPr>
            <w:tcW w:w="1701" w:type="dxa"/>
          </w:tcPr>
          <w:p w14:paraId="03EF9A89" w14:textId="77777777" w:rsidR="00B80DA4" w:rsidRPr="0063347C" w:rsidRDefault="00B80DA4" w:rsidP="000E7785">
            <w:pPr>
              <w:pStyle w:val="Tabletext"/>
              <w:jc w:val="center"/>
            </w:pPr>
            <w:r>
              <w:rPr>
                <w:rFonts w:hint="eastAsia"/>
                <w:lang w:eastAsia="zh-CN"/>
              </w:rPr>
              <w:t>每年</w:t>
            </w:r>
            <w:r>
              <w:t>1.3</w:t>
            </w:r>
          </w:p>
        </w:tc>
        <w:tc>
          <w:tcPr>
            <w:tcW w:w="4097" w:type="dxa"/>
          </w:tcPr>
          <w:p w14:paraId="1A08218F" w14:textId="77777777" w:rsidR="00B80DA4" w:rsidRPr="0063347C" w:rsidRDefault="00B80DA4" w:rsidP="000E7785">
            <w:pPr>
              <w:pStyle w:val="Tabletext"/>
            </w:pPr>
            <w:r>
              <w:rPr>
                <w:rFonts w:hint="eastAsia"/>
                <w:lang w:eastAsia="zh-CN"/>
              </w:rPr>
              <w:t>每年火灾保险额的</w:t>
            </w:r>
            <w:r w:rsidRPr="0063347C">
              <w:t>1%</w:t>
            </w:r>
          </w:p>
        </w:tc>
      </w:tr>
    </w:tbl>
    <w:p w14:paraId="19C00F66" w14:textId="77777777" w:rsidR="00B80DA4" w:rsidRPr="004F648F" w:rsidRDefault="00B80DA4" w:rsidP="00B80DA4">
      <w:pPr>
        <w:pStyle w:val="Heading2"/>
        <w:tabs>
          <w:tab w:val="clear" w:pos="567"/>
          <w:tab w:val="clear" w:pos="1134"/>
          <w:tab w:val="clear" w:pos="1701"/>
          <w:tab w:val="clear" w:pos="2268"/>
          <w:tab w:val="clear" w:pos="2835"/>
        </w:tabs>
        <w:spacing w:before="360" w:after="120"/>
        <w:ind w:left="0" w:firstLine="0"/>
        <w:rPr>
          <w:sz w:val="28"/>
          <w:szCs w:val="28"/>
        </w:rPr>
      </w:pPr>
      <w:r w:rsidRPr="004F648F">
        <w:rPr>
          <w:sz w:val="28"/>
          <w:szCs w:val="28"/>
        </w:rPr>
        <w:t>8</w:t>
      </w:r>
      <w:r w:rsidRPr="004F648F">
        <w:rPr>
          <w:sz w:val="28"/>
          <w:szCs w:val="28"/>
        </w:rPr>
        <w:tab/>
      </w:r>
      <w:r>
        <w:rPr>
          <w:rFonts w:hint="eastAsia"/>
          <w:sz w:val="28"/>
          <w:szCs w:val="28"/>
          <w:lang w:eastAsia="zh-CN"/>
        </w:rPr>
        <w:t>方案</w:t>
      </w:r>
      <w:r>
        <w:rPr>
          <w:rFonts w:hint="eastAsia"/>
          <w:sz w:val="28"/>
          <w:szCs w:val="28"/>
          <w:lang w:eastAsia="zh-CN"/>
        </w:rPr>
        <w:t>4</w:t>
      </w:r>
      <w:r>
        <w:rPr>
          <w:rFonts w:hint="eastAsia"/>
          <w:sz w:val="28"/>
          <w:szCs w:val="28"/>
          <w:lang w:eastAsia="zh-CN"/>
        </w:rPr>
        <w:t>：总部迁移</w:t>
      </w:r>
    </w:p>
    <w:p w14:paraId="781B7632" w14:textId="77777777" w:rsidR="00B80DA4" w:rsidRDefault="00B80DA4" w:rsidP="00B34094">
      <w:pPr>
        <w:rPr>
          <w:lang w:eastAsia="zh-CN"/>
        </w:rPr>
      </w:pPr>
      <w:r>
        <w:rPr>
          <w:lang w:eastAsia="zh-CN"/>
        </w:rPr>
        <w:t>8</w:t>
      </w:r>
      <w:r>
        <w:rPr>
          <w:lang w:val="en-US" w:eastAsia="zh-CN"/>
        </w:rPr>
        <w:t>.1</w:t>
      </w:r>
      <w:r>
        <w:rPr>
          <w:lang w:val="en-US" w:eastAsia="zh-CN"/>
        </w:rPr>
        <w:tab/>
      </w:r>
      <w:r>
        <w:rPr>
          <w:rFonts w:hint="eastAsia"/>
          <w:lang w:val="en-US" w:eastAsia="zh-CN"/>
        </w:rPr>
        <w:t>本节的目的是，对将国际电联总部总体迁移至一个未明确目的地的费用做出估算。出于此前所述理由（第</w:t>
      </w:r>
      <w:r>
        <w:rPr>
          <w:rFonts w:hint="eastAsia"/>
          <w:lang w:val="en-US" w:eastAsia="zh-CN"/>
        </w:rPr>
        <w:t>3</w:t>
      </w:r>
      <w:r>
        <w:rPr>
          <w:rFonts w:hint="eastAsia"/>
          <w:lang w:val="en-US" w:eastAsia="zh-CN"/>
        </w:rPr>
        <w:t>段），我们认为国际电联总部设在一个成员国所属的一个城市极为重要，而且特别倾向于一块单独、连通一体的场地。</w:t>
      </w:r>
    </w:p>
    <w:p w14:paraId="50925A91" w14:textId="77777777" w:rsidR="00B80DA4" w:rsidRPr="0063347C" w:rsidRDefault="00B80DA4" w:rsidP="00B34094">
      <w:pPr>
        <w:rPr>
          <w:lang w:eastAsia="zh-CN"/>
        </w:rPr>
      </w:pPr>
      <w:r>
        <w:rPr>
          <w:lang w:eastAsia="zh-CN"/>
        </w:rPr>
        <w:t>8</w:t>
      </w:r>
      <w:r>
        <w:rPr>
          <w:lang w:val="en-US" w:eastAsia="zh-CN"/>
        </w:rPr>
        <w:t>.2</w:t>
      </w:r>
      <w:r>
        <w:rPr>
          <w:lang w:val="en-US" w:eastAsia="zh-CN"/>
        </w:rPr>
        <w:tab/>
      </w:r>
      <w:r>
        <w:rPr>
          <w:rFonts w:hint="eastAsia"/>
          <w:lang w:val="en-US" w:eastAsia="zh-CN"/>
        </w:rPr>
        <w:t>为针对迁移做出知情决定，至少应完成下列阶段的工作：收到内容全面的邀请意向；针对可行性开展评估并进行初步商谈；讨论所提出的总部协议，对当前的和意向中提出的地点进行比较评估；制定并批准必要的《组织法》修正案。</w:t>
      </w:r>
      <w:r>
        <w:rPr>
          <w:rFonts w:hint="eastAsia"/>
          <w:lang w:val="en-US" w:eastAsia="zh-CN"/>
        </w:rPr>
        <w:t>P</w:t>
      </w:r>
      <w:r>
        <w:rPr>
          <w:lang w:val="en-US" w:eastAsia="zh-CN"/>
        </w:rPr>
        <w:t>P-14</w:t>
      </w:r>
      <w:r>
        <w:rPr>
          <w:rFonts w:hint="eastAsia"/>
          <w:lang w:val="en-US" w:eastAsia="zh-CN"/>
        </w:rPr>
        <w:t>之前不可能完成这些工作，且该工作一旦开始，则很可能至少在一个完整的全权代表大会周期内持续。</w:t>
      </w:r>
    </w:p>
    <w:p w14:paraId="19A95700" w14:textId="77777777" w:rsidR="00B80DA4" w:rsidRPr="0063347C" w:rsidRDefault="00B80DA4" w:rsidP="00B34094">
      <w:pPr>
        <w:rPr>
          <w:lang w:eastAsia="zh-CN"/>
        </w:rPr>
      </w:pPr>
      <w:r>
        <w:rPr>
          <w:lang w:eastAsia="zh-CN"/>
        </w:rPr>
        <w:t>8</w:t>
      </w:r>
      <w:r>
        <w:rPr>
          <w:lang w:val="en-US" w:eastAsia="zh-CN"/>
        </w:rPr>
        <w:t>.3</w:t>
      </w:r>
      <w:r>
        <w:rPr>
          <w:lang w:val="en-US" w:eastAsia="zh-CN"/>
        </w:rPr>
        <w:tab/>
      </w:r>
      <w:r>
        <w:rPr>
          <w:rFonts w:hint="eastAsia"/>
          <w:lang w:val="en-US" w:eastAsia="zh-CN"/>
        </w:rPr>
        <w:t>在目前阶段，尚未开展确定总部迁移所需的优势和财务及运营风险的可行性研究。同样，由于尚未得到有关具体地点的正式提案，因此不可能对潜在新地点做出分析。尽管如此，任何未来地点均须符合下列标准：</w:t>
      </w:r>
    </w:p>
    <w:p w14:paraId="107B6B2D" w14:textId="77777777" w:rsidR="00B80DA4" w:rsidRPr="00FB570C" w:rsidRDefault="00B80DA4" w:rsidP="00B80DA4">
      <w:pPr>
        <w:pStyle w:val="enumlev1"/>
        <w:rPr>
          <w:lang w:val="en-US" w:eastAsia="zh-CN"/>
        </w:rPr>
      </w:pPr>
      <w:r w:rsidRPr="00FB570C">
        <w:rPr>
          <w:lang w:val="en-US" w:eastAsia="zh-CN"/>
        </w:rPr>
        <w:t>–</w:t>
      </w:r>
      <w:r w:rsidRPr="00FB570C">
        <w:rPr>
          <w:lang w:val="en-US" w:eastAsia="zh-CN"/>
        </w:rPr>
        <w:tab/>
      </w:r>
      <w:r>
        <w:rPr>
          <w:rFonts w:hint="eastAsia"/>
          <w:lang w:val="en-US" w:eastAsia="zh-CN"/>
        </w:rPr>
        <w:t>政治稳定；</w:t>
      </w:r>
    </w:p>
    <w:p w14:paraId="69CB5E75"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当地劳动力成本以及专业及更高职类职员的（工资）任职地点补贴调整数；</w:t>
      </w:r>
    </w:p>
    <w:p w14:paraId="39F3A8CA"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当地劳动力的培训情况，包括语言能力；</w:t>
      </w:r>
    </w:p>
    <w:p w14:paraId="539F11A4" w14:textId="77777777" w:rsidR="00B80DA4" w:rsidRPr="00FB570C" w:rsidRDefault="00B80DA4" w:rsidP="00B80DA4">
      <w:pPr>
        <w:pStyle w:val="enumlev1"/>
        <w:rPr>
          <w:lang w:val="en-US" w:eastAsia="zh-CN"/>
        </w:rPr>
      </w:pPr>
      <w:r w:rsidRPr="00FB570C">
        <w:rPr>
          <w:lang w:val="en-US" w:eastAsia="zh-CN"/>
        </w:rPr>
        <w:t>–</w:t>
      </w:r>
      <w:r w:rsidRPr="00FB570C">
        <w:rPr>
          <w:lang w:val="en-US" w:eastAsia="zh-CN"/>
        </w:rPr>
        <w:tab/>
      </w:r>
      <w:r>
        <w:rPr>
          <w:rFonts w:hint="eastAsia"/>
          <w:lang w:val="en-US" w:eastAsia="zh-CN"/>
        </w:rPr>
        <w:t>本地</w:t>
      </w:r>
      <w:r w:rsidRPr="00A838F2">
        <w:rPr>
          <w:rFonts w:hint="eastAsia"/>
          <w:lang w:eastAsia="zh-CN"/>
        </w:rPr>
        <w:t>招聘</w:t>
      </w:r>
      <w:r>
        <w:rPr>
          <w:rFonts w:hint="eastAsia"/>
          <w:lang w:val="en-US" w:eastAsia="zh-CN"/>
        </w:rPr>
        <w:t>人员流动率；</w:t>
      </w:r>
    </w:p>
    <w:p w14:paraId="1874ACA1" w14:textId="77777777" w:rsidR="00B80DA4" w:rsidRPr="00FB570C" w:rsidRDefault="00B80DA4" w:rsidP="00B80DA4">
      <w:pPr>
        <w:pStyle w:val="enumlev1"/>
        <w:rPr>
          <w:lang w:val="en-US" w:eastAsia="zh-CN"/>
        </w:rPr>
      </w:pPr>
      <w:r w:rsidRPr="00FB570C">
        <w:rPr>
          <w:lang w:val="en-US" w:eastAsia="zh-CN"/>
        </w:rPr>
        <w:t>–</w:t>
      </w:r>
      <w:r>
        <w:rPr>
          <w:lang w:val="en-US" w:eastAsia="zh-CN"/>
        </w:rPr>
        <w:tab/>
      </w:r>
      <w:r>
        <w:rPr>
          <w:rFonts w:hint="eastAsia"/>
          <w:lang w:val="en-US" w:eastAsia="zh-CN"/>
        </w:rPr>
        <w:t>所选地点在物流方面的可及性；</w:t>
      </w:r>
    </w:p>
    <w:p w14:paraId="4F0F4D1E" w14:textId="77777777" w:rsidR="00B80DA4" w:rsidRPr="0063347C" w:rsidRDefault="00B80DA4" w:rsidP="00B80DA4">
      <w:pPr>
        <w:pStyle w:val="enumlev1"/>
        <w:rPr>
          <w:lang w:eastAsia="zh-CN"/>
        </w:rPr>
      </w:pPr>
      <w:r w:rsidRPr="00FB570C">
        <w:rPr>
          <w:lang w:val="en-US" w:eastAsia="zh-CN"/>
        </w:rPr>
        <w:t>–</w:t>
      </w:r>
      <w:r>
        <w:rPr>
          <w:lang w:val="en-US" w:eastAsia="zh-CN"/>
        </w:rPr>
        <w:tab/>
      </w:r>
      <w:r>
        <w:rPr>
          <w:rFonts w:hint="eastAsia"/>
          <w:lang w:val="en-US" w:eastAsia="zh-CN"/>
        </w:rPr>
        <w:t>通信</w:t>
      </w:r>
      <w:r w:rsidRPr="00A838F2">
        <w:rPr>
          <w:rFonts w:hint="eastAsia"/>
          <w:lang w:eastAsia="zh-CN"/>
        </w:rPr>
        <w:t>基础</w:t>
      </w:r>
      <w:r>
        <w:rPr>
          <w:rFonts w:hint="eastAsia"/>
          <w:lang w:val="en-US" w:eastAsia="zh-CN"/>
        </w:rPr>
        <w:t>设施和技术的质量及成本；</w:t>
      </w:r>
    </w:p>
    <w:p w14:paraId="190E4D52"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提供的基础设施，包括免费使用会议中心（水平类似于目前日内瓦国际会议中心（</w:t>
      </w:r>
      <w:r>
        <w:rPr>
          <w:rFonts w:hint="eastAsia"/>
          <w:lang w:eastAsia="zh-CN"/>
        </w:rPr>
        <w:t>CICG</w:t>
      </w:r>
      <w:r>
        <w:rPr>
          <w:rFonts w:hint="eastAsia"/>
          <w:lang w:eastAsia="zh-CN"/>
        </w:rPr>
        <w:t>））；</w:t>
      </w:r>
    </w:p>
    <w:p w14:paraId="54B8F8F6"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与东道国之间做出的财务和财政安排（特别是国际电联《财务规则和财务细则》第</w:t>
      </w:r>
      <w:r>
        <w:rPr>
          <w:rFonts w:hint="eastAsia"/>
          <w:lang w:eastAsia="zh-CN"/>
        </w:rPr>
        <w:t>17</w:t>
      </w:r>
      <w:r>
        <w:rPr>
          <w:rFonts w:hint="eastAsia"/>
          <w:lang w:eastAsia="zh-CN"/>
        </w:rPr>
        <w:t>条的规定：东道国政府根据待规定的条件提供预付款，以满足临时现金需求；</w:t>
      </w:r>
    </w:p>
    <w:p w14:paraId="5733DBB8"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东道国提供和使用</w:t>
      </w:r>
      <w:r w:rsidRPr="00143D93">
        <w:rPr>
          <w:rFonts w:hint="eastAsia"/>
          <w:lang w:eastAsia="zh-CN"/>
        </w:rPr>
        <w:t>办公场所</w:t>
      </w:r>
      <w:r>
        <w:rPr>
          <w:rFonts w:hint="eastAsia"/>
          <w:lang w:eastAsia="zh-CN"/>
        </w:rPr>
        <w:t>的条件；</w:t>
      </w:r>
    </w:p>
    <w:p w14:paraId="7B810053"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诸如学校和医疗卫生系统等社会性基础设施，便于工作人员配偶进入劳动力市场的安排。</w:t>
      </w:r>
    </w:p>
    <w:p w14:paraId="1EF6723B" w14:textId="77777777" w:rsidR="00B80DA4" w:rsidRPr="0063347C" w:rsidRDefault="00B80DA4" w:rsidP="00B34094">
      <w:pPr>
        <w:rPr>
          <w:lang w:eastAsia="zh-CN"/>
        </w:rPr>
      </w:pPr>
      <w:r>
        <w:rPr>
          <w:lang w:eastAsia="zh-CN"/>
        </w:rPr>
        <w:t>8</w:t>
      </w:r>
      <w:r>
        <w:rPr>
          <w:lang w:val="en-US" w:eastAsia="zh-CN"/>
        </w:rPr>
        <w:t>.4</w:t>
      </w:r>
      <w:r>
        <w:rPr>
          <w:lang w:val="en-US" w:eastAsia="zh-CN"/>
        </w:rPr>
        <w:tab/>
      </w:r>
      <w:r>
        <w:rPr>
          <w:rFonts w:hint="eastAsia"/>
          <w:lang w:val="en-US" w:eastAsia="zh-CN"/>
        </w:rPr>
        <w:t>如采用迁移方案，则必须开展详尽的可行性研究，以充分利用迁移条件，最大程度地减少对国际电联活动的影响。</w:t>
      </w:r>
    </w:p>
    <w:p w14:paraId="6F89017F" w14:textId="77777777" w:rsidR="00B80DA4" w:rsidRPr="0063347C" w:rsidRDefault="00B80DA4" w:rsidP="00B34094">
      <w:pPr>
        <w:rPr>
          <w:lang w:eastAsia="zh-CN"/>
        </w:rPr>
      </w:pPr>
      <w:r>
        <w:rPr>
          <w:lang w:eastAsia="zh-CN"/>
        </w:rPr>
        <w:t>8</w:t>
      </w:r>
      <w:r>
        <w:rPr>
          <w:lang w:val="en-US" w:eastAsia="zh-CN"/>
        </w:rPr>
        <w:t>.5</w:t>
      </w:r>
      <w:r>
        <w:rPr>
          <w:lang w:val="en-US" w:eastAsia="zh-CN"/>
        </w:rPr>
        <w:tab/>
      </w:r>
      <w:r>
        <w:rPr>
          <w:rFonts w:hint="eastAsia"/>
          <w:lang w:val="en-US" w:eastAsia="zh-CN"/>
        </w:rPr>
        <w:t>亦应指出，在提交</w:t>
      </w:r>
      <w:r>
        <w:rPr>
          <w:rFonts w:hint="eastAsia"/>
          <w:lang w:val="en-US" w:eastAsia="zh-CN"/>
        </w:rPr>
        <w:t>PP-14</w:t>
      </w:r>
      <w:r>
        <w:rPr>
          <w:rFonts w:hint="eastAsia"/>
          <w:lang w:val="en-US" w:eastAsia="zh-CN"/>
        </w:rPr>
        <w:t>的财务规划草案中，未包含涉及迁移方案的估算费用。</w:t>
      </w:r>
    </w:p>
    <w:p w14:paraId="760B4A96" w14:textId="77777777" w:rsidR="00B80DA4" w:rsidRDefault="00B80DA4" w:rsidP="00B34094">
      <w:pPr>
        <w:rPr>
          <w:lang w:eastAsia="zh-CN"/>
        </w:rPr>
      </w:pPr>
      <w:r>
        <w:rPr>
          <w:lang w:eastAsia="zh-CN"/>
        </w:rPr>
        <w:lastRenderedPageBreak/>
        <w:t>8</w:t>
      </w:r>
      <w:r>
        <w:rPr>
          <w:lang w:val="en-US" w:eastAsia="zh-CN"/>
        </w:rPr>
        <w:t>.6</w:t>
      </w:r>
      <w:r>
        <w:rPr>
          <w:lang w:val="en-US" w:eastAsia="zh-CN"/>
        </w:rPr>
        <w:tab/>
      </w:r>
      <w:r>
        <w:rPr>
          <w:rFonts w:hint="eastAsia"/>
          <w:lang w:val="en-US" w:eastAsia="zh-CN"/>
        </w:rPr>
        <w:t>可能向国际劳工局（</w:t>
      </w:r>
      <w:r>
        <w:rPr>
          <w:rFonts w:hint="eastAsia"/>
          <w:lang w:val="en-US" w:eastAsia="zh-CN"/>
        </w:rPr>
        <w:t>ILO</w:t>
      </w:r>
      <w:r>
        <w:rPr>
          <w:rFonts w:hint="eastAsia"/>
          <w:lang w:val="en-US" w:eastAsia="zh-CN"/>
        </w:rPr>
        <w:t>）行政法庭（</w:t>
      </w:r>
      <w:r>
        <w:rPr>
          <w:rFonts w:hint="eastAsia"/>
          <w:lang w:val="en-US" w:eastAsia="zh-CN"/>
        </w:rPr>
        <w:t>ILOAT</w:t>
      </w:r>
      <w:r>
        <w:rPr>
          <w:rFonts w:hint="eastAsia"/>
          <w:lang w:val="en-US" w:eastAsia="zh-CN"/>
        </w:rPr>
        <w:t>）</w:t>
      </w:r>
      <w:r>
        <w:rPr>
          <w:rStyle w:val="FootnoteReference"/>
        </w:rPr>
        <w:footnoteReference w:id="5"/>
      </w:r>
      <w:r>
        <w:rPr>
          <w:rFonts w:hint="eastAsia"/>
          <w:lang w:val="en-US" w:eastAsia="zh-CN"/>
        </w:rPr>
        <w:t>提出法律诉讼而产生的诉讼费及做出有利于上诉人的判决的费用均未予考虑。</w:t>
      </w:r>
    </w:p>
    <w:p w14:paraId="2A395A99" w14:textId="77777777" w:rsidR="00B80DA4" w:rsidRPr="0063347C" w:rsidRDefault="00B80DA4" w:rsidP="00B34094">
      <w:pPr>
        <w:rPr>
          <w:lang w:eastAsia="zh-CN"/>
        </w:rPr>
      </w:pPr>
      <w:r>
        <w:rPr>
          <w:lang w:eastAsia="zh-CN"/>
        </w:rPr>
        <w:t>8</w:t>
      </w:r>
      <w:r>
        <w:rPr>
          <w:lang w:val="en-US" w:eastAsia="zh-CN"/>
        </w:rPr>
        <w:t>.7</w:t>
      </w:r>
      <w:r>
        <w:rPr>
          <w:lang w:val="en-US" w:eastAsia="zh-CN"/>
        </w:rPr>
        <w:tab/>
      </w:r>
      <w:r>
        <w:rPr>
          <w:rFonts w:hint="eastAsia"/>
          <w:lang w:val="en-US" w:eastAsia="zh-CN"/>
        </w:rPr>
        <w:t>在牢记这一点的前提下，我们考虑了各种情形和假设，以便对此项目的费用做出初步估算。这些情形和假设完全是参考性的，且为介绍简单起见，进行了概括总结。估算的基础为：</w:t>
      </w:r>
    </w:p>
    <w:p w14:paraId="75556E07"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符合《人事规则和人事细则》的日内瓦国际电联总部离职职员的费用。</w:t>
      </w:r>
    </w:p>
    <w:p w14:paraId="696B0990"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新地点办公场所搬迁和安置费用的估算。此估算汲取了联合国难民署（</w:t>
      </w:r>
      <w:r>
        <w:rPr>
          <w:rFonts w:hint="eastAsia"/>
          <w:lang w:eastAsia="zh-CN"/>
        </w:rPr>
        <w:t>UNHCR</w:t>
      </w:r>
      <w:r>
        <w:rPr>
          <w:rFonts w:hint="eastAsia"/>
          <w:lang w:eastAsia="zh-CN"/>
        </w:rPr>
        <w:t>）在迁移其部分活动时所开展研究的经验。</w:t>
      </w:r>
    </w:p>
    <w:p w14:paraId="4A5ABF71" w14:textId="77777777" w:rsidR="00B80DA4" w:rsidRPr="0063347C" w:rsidRDefault="00B80DA4" w:rsidP="00B34094">
      <w:pPr>
        <w:rPr>
          <w:lang w:eastAsia="zh-CN"/>
        </w:rPr>
      </w:pPr>
      <w:r>
        <w:rPr>
          <w:lang w:eastAsia="zh-CN"/>
        </w:rPr>
        <w:t>8</w:t>
      </w:r>
      <w:r>
        <w:rPr>
          <w:lang w:val="en-US" w:eastAsia="zh-CN"/>
        </w:rPr>
        <w:t>.8</w:t>
      </w:r>
      <w:r>
        <w:rPr>
          <w:lang w:val="en-US" w:eastAsia="zh-CN"/>
        </w:rPr>
        <w:tab/>
      </w:r>
      <w:r>
        <w:rPr>
          <w:rFonts w:hint="eastAsia"/>
          <w:lang w:val="en-US" w:eastAsia="zh-CN"/>
        </w:rPr>
        <w:t>尽管目前没有正式提出的具体新地点，但下列不可压缩费用可以确定：</w:t>
      </w:r>
    </w:p>
    <w:p w14:paraId="166F1BA2" w14:textId="77777777" w:rsidR="00B80DA4" w:rsidRPr="00073FF9" w:rsidRDefault="00B80DA4" w:rsidP="00B80DA4">
      <w:pPr>
        <w:pStyle w:val="Heading2"/>
        <w:rPr>
          <w:lang w:eastAsia="zh-CN"/>
        </w:rPr>
      </w:pPr>
      <w:r w:rsidRPr="00073FF9">
        <w:rPr>
          <w:lang w:eastAsia="zh-CN"/>
        </w:rPr>
        <w:t>A</w:t>
      </w:r>
      <w:r w:rsidRPr="00073FF9">
        <w:rPr>
          <w:lang w:eastAsia="zh-CN"/>
        </w:rPr>
        <w:tab/>
      </w:r>
      <w:r>
        <w:rPr>
          <w:rFonts w:hint="eastAsia"/>
          <w:lang w:eastAsia="zh-CN"/>
        </w:rPr>
        <w:t>项目费用</w:t>
      </w:r>
    </w:p>
    <w:p w14:paraId="3F83D790" w14:textId="77777777" w:rsidR="00B80DA4" w:rsidRPr="004C0EEE" w:rsidRDefault="00B80DA4" w:rsidP="00B34094">
      <w:pPr>
        <w:pStyle w:val="Headingb"/>
        <w:rPr>
          <w:lang w:eastAsia="zh-CN"/>
        </w:rPr>
      </w:pPr>
      <w:r w:rsidRPr="004C0EEE">
        <w:rPr>
          <w:lang w:eastAsia="zh-CN"/>
        </w:rPr>
        <w:t>a</w:t>
      </w:r>
      <w:r w:rsidR="00B34094">
        <w:rPr>
          <w:rFonts w:hint="eastAsia"/>
          <w:lang w:eastAsia="zh-CN"/>
        </w:rPr>
        <w:t>)</w:t>
      </w:r>
      <w:r w:rsidRPr="004C0EEE">
        <w:rPr>
          <w:lang w:eastAsia="zh-CN"/>
        </w:rPr>
        <w:tab/>
      </w:r>
      <w:r>
        <w:rPr>
          <w:rFonts w:hint="eastAsia"/>
          <w:lang w:eastAsia="zh-CN"/>
        </w:rPr>
        <w:t>日内瓦离职职员的费用</w:t>
      </w:r>
    </w:p>
    <w:p w14:paraId="3FF1949E" w14:textId="77777777" w:rsidR="00B80DA4" w:rsidRPr="0063347C" w:rsidRDefault="00B80DA4" w:rsidP="00B34094">
      <w:pPr>
        <w:rPr>
          <w:lang w:eastAsia="zh-CN"/>
        </w:rPr>
      </w:pPr>
      <w:r>
        <w:rPr>
          <w:lang w:eastAsia="zh-CN"/>
        </w:rPr>
        <w:t>8</w:t>
      </w:r>
      <w:r>
        <w:rPr>
          <w:lang w:val="en-US" w:eastAsia="zh-CN"/>
        </w:rPr>
        <w:t>.9</w:t>
      </w:r>
      <w:r>
        <w:rPr>
          <w:lang w:val="en-US" w:eastAsia="zh-CN"/>
        </w:rPr>
        <w:tab/>
      </w:r>
      <w:r>
        <w:rPr>
          <w:rFonts w:hint="eastAsia"/>
          <w:lang w:val="en-US" w:eastAsia="zh-CN"/>
        </w:rPr>
        <w:t>此方案的费用估算按照国际电联《人事规则和人事细则》并参照另一家联合国组织（联合国难民署，</w:t>
      </w:r>
      <w:r>
        <w:rPr>
          <w:rFonts w:hint="eastAsia"/>
          <w:lang w:val="en-US" w:eastAsia="zh-CN"/>
        </w:rPr>
        <w:t>UNHCR</w:t>
      </w:r>
      <w:r>
        <w:rPr>
          <w:rFonts w:hint="eastAsia"/>
          <w:lang w:val="en-US" w:eastAsia="zh-CN"/>
        </w:rPr>
        <w:t>）所发生的类似情况进行。对持有长期（</w:t>
      </w:r>
      <w:r>
        <w:rPr>
          <w:rFonts w:hint="eastAsia"/>
          <w:lang w:val="en-US" w:eastAsia="zh-CN"/>
        </w:rPr>
        <w:t>permanent</w:t>
      </w:r>
      <w:r>
        <w:rPr>
          <w:rFonts w:hint="eastAsia"/>
          <w:lang w:val="en-US" w:eastAsia="zh-CN"/>
        </w:rPr>
        <w:t>）或持续（</w:t>
      </w:r>
      <w:r>
        <w:rPr>
          <w:rFonts w:hint="eastAsia"/>
          <w:lang w:val="en-US" w:eastAsia="zh-CN"/>
        </w:rPr>
        <w:t>continuous</w:t>
      </w:r>
      <w:r>
        <w:rPr>
          <w:rFonts w:hint="eastAsia"/>
          <w:lang w:val="en-US" w:eastAsia="zh-CN"/>
        </w:rPr>
        <w:t>）合同的职员做了如下假设：</w:t>
      </w:r>
    </w:p>
    <w:p w14:paraId="31DF3B0E"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对于一般事务类职员，将提出在迁入国以当地条件合同重新聘用他们的意向；</w:t>
      </w:r>
    </w:p>
    <w:p w14:paraId="5BE950C4"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对于拒绝上述意向的职员，基本终止合同措施为</w:t>
      </w:r>
      <w:r>
        <w:rPr>
          <w:rFonts w:hint="eastAsia"/>
          <w:lang w:eastAsia="zh-CN"/>
        </w:rPr>
        <w:t>12</w:t>
      </w:r>
      <w:r>
        <w:rPr>
          <w:rFonts w:hint="eastAsia"/>
          <w:lang w:eastAsia="zh-CN"/>
        </w:rPr>
        <w:t>个月的工资（平均工资范围为</w:t>
      </w:r>
      <w:r>
        <w:rPr>
          <w:rFonts w:hint="eastAsia"/>
          <w:lang w:eastAsia="zh-CN"/>
        </w:rPr>
        <w:t>15</w:t>
      </w:r>
      <w:r>
        <w:rPr>
          <w:rFonts w:hint="eastAsia"/>
          <w:lang w:eastAsia="zh-CN"/>
        </w:rPr>
        <w:t>万至</w:t>
      </w:r>
      <w:r>
        <w:rPr>
          <w:rFonts w:hint="eastAsia"/>
          <w:lang w:eastAsia="zh-CN"/>
        </w:rPr>
        <w:t>18</w:t>
      </w:r>
      <w:r>
        <w:rPr>
          <w:rFonts w:hint="eastAsia"/>
          <w:lang w:eastAsia="zh-CN"/>
        </w:rPr>
        <w:t>万瑞郎）；</w:t>
      </w:r>
    </w:p>
    <w:p w14:paraId="20CC5063"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离职方面的附加支持措施包括增加六个月的补偿工资（平均补偿范围为</w:t>
      </w:r>
      <w:r>
        <w:rPr>
          <w:rFonts w:hint="eastAsia"/>
          <w:lang w:eastAsia="zh-CN"/>
        </w:rPr>
        <w:t>7</w:t>
      </w:r>
      <w:r>
        <w:rPr>
          <w:lang w:eastAsia="zh-CN"/>
        </w:rPr>
        <w:t>.5</w:t>
      </w:r>
      <w:r>
        <w:rPr>
          <w:rFonts w:hint="eastAsia"/>
          <w:lang w:eastAsia="zh-CN"/>
        </w:rPr>
        <w:t>万至</w:t>
      </w:r>
      <w:r>
        <w:rPr>
          <w:rFonts w:hint="eastAsia"/>
          <w:lang w:eastAsia="zh-CN"/>
        </w:rPr>
        <w:t>9</w:t>
      </w:r>
      <w:r>
        <w:rPr>
          <w:rFonts w:hint="eastAsia"/>
          <w:lang w:eastAsia="zh-CN"/>
        </w:rPr>
        <w:t>万瑞郎）；</w:t>
      </w:r>
    </w:p>
    <w:p w14:paraId="5934AFFE"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对于离开国际电联的职员，需支付三个月的补偿金，用于培训和离职安置（</w:t>
      </w:r>
      <w:r>
        <w:rPr>
          <w:rFonts w:hint="eastAsia"/>
          <w:lang w:eastAsia="zh-CN"/>
        </w:rPr>
        <w:t>outplacement</w:t>
      </w:r>
      <w:r>
        <w:rPr>
          <w:rFonts w:hint="eastAsia"/>
          <w:lang w:eastAsia="zh-CN"/>
        </w:rPr>
        <w:t>），估算按每人</w:t>
      </w:r>
      <w:r>
        <w:rPr>
          <w:rFonts w:hint="eastAsia"/>
          <w:lang w:eastAsia="zh-CN"/>
        </w:rPr>
        <w:t>4</w:t>
      </w:r>
      <w:r>
        <w:rPr>
          <w:rFonts w:hint="eastAsia"/>
          <w:lang w:eastAsia="zh-CN"/>
        </w:rPr>
        <w:t>万瑞郎计；</w:t>
      </w:r>
    </w:p>
    <w:p w14:paraId="55508ECB" w14:textId="77777777" w:rsidR="00B80DA4" w:rsidRPr="0063347C" w:rsidRDefault="00B80DA4" w:rsidP="00B80DA4">
      <w:pPr>
        <w:pStyle w:val="enumlev1"/>
        <w:rPr>
          <w:lang w:eastAsia="zh-CN"/>
        </w:rPr>
      </w:pPr>
      <w:r>
        <w:rPr>
          <w:lang w:eastAsia="zh-CN"/>
        </w:rPr>
        <w:t>–</w:t>
      </w:r>
      <w:r>
        <w:rPr>
          <w:lang w:eastAsia="zh-CN"/>
        </w:rPr>
        <w:tab/>
      </w:r>
      <w:r w:rsidRPr="0063347C">
        <w:rPr>
          <w:lang w:eastAsia="zh-CN"/>
        </w:rPr>
        <w:t>75%</w:t>
      </w:r>
      <w:r>
        <w:rPr>
          <w:rFonts w:hint="eastAsia"/>
          <w:lang w:eastAsia="zh-CN"/>
        </w:rPr>
        <w:t>至</w:t>
      </w:r>
      <w:r w:rsidRPr="0063347C">
        <w:rPr>
          <w:lang w:eastAsia="zh-CN"/>
        </w:rPr>
        <w:t>100%</w:t>
      </w:r>
      <w:r>
        <w:rPr>
          <w:rFonts w:hint="eastAsia"/>
          <w:lang w:eastAsia="zh-CN"/>
        </w:rPr>
        <w:t>的行政人员将不随迁；</w:t>
      </w:r>
    </w:p>
    <w:p w14:paraId="0E82F4B0" w14:textId="77777777" w:rsidR="00B80DA4" w:rsidRPr="0063347C" w:rsidRDefault="00B80DA4" w:rsidP="00B80DA4">
      <w:pPr>
        <w:pStyle w:val="enumlev1"/>
        <w:rPr>
          <w:lang w:eastAsia="zh-CN"/>
        </w:rPr>
      </w:pPr>
      <w:r>
        <w:rPr>
          <w:lang w:eastAsia="zh-CN"/>
        </w:rPr>
        <w:t>–</w:t>
      </w:r>
      <w:r>
        <w:rPr>
          <w:lang w:eastAsia="zh-CN"/>
        </w:rPr>
        <w:tab/>
        <w:t>25%</w:t>
      </w:r>
      <w:r>
        <w:rPr>
          <w:rFonts w:hint="eastAsia"/>
          <w:lang w:eastAsia="zh-CN"/>
        </w:rPr>
        <w:t>至</w:t>
      </w:r>
      <w:r w:rsidRPr="0063347C">
        <w:rPr>
          <w:lang w:eastAsia="zh-CN"/>
        </w:rPr>
        <w:t>50%</w:t>
      </w:r>
      <w:r>
        <w:rPr>
          <w:rFonts w:hint="eastAsia"/>
          <w:lang w:eastAsia="zh-CN"/>
        </w:rPr>
        <w:t>的专业类职员将不随迁；</w:t>
      </w:r>
    </w:p>
    <w:p w14:paraId="50F1CFD7" w14:textId="009F826D" w:rsidR="00B80DA4" w:rsidRPr="0063347C" w:rsidRDefault="00B80DA4" w:rsidP="00B80DA4">
      <w:pPr>
        <w:pStyle w:val="enumlev1"/>
        <w:rPr>
          <w:lang w:eastAsia="zh-CN"/>
        </w:rPr>
      </w:pPr>
      <w:r>
        <w:rPr>
          <w:lang w:eastAsia="zh-CN"/>
        </w:rPr>
        <w:t>–</w:t>
      </w:r>
      <w:r>
        <w:rPr>
          <w:lang w:eastAsia="zh-CN"/>
        </w:rPr>
        <w:tab/>
      </w:r>
      <w:r w:rsidR="00F16910">
        <w:rPr>
          <w:rFonts w:hint="eastAsia"/>
          <w:lang w:eastAsia="zh-CN"/>
        </w:rPr>
        <w:t>从日内瓦迁入的所有</w:t>
      </w:r>
      <w:r w:rsidR="00F16910">
        <w:rPr>
          <w:rFonts w:hint="eastAsia"/>
          <w:lang w:eastAsia="zh-CN"/>
        </w:rPr>
        <w:t>P</w:t>
      </w:r>
      <w:r w:rsidR="00F16910">
        <w:rPr>
          <w:rFonts w:hint="eastAsia"/>
          <w:lang w:eastAsia="zh-CN"/>
        </w:rPr>
        <w:t>级和</w:t>
      </w:r>
      <w:r w:rsidR="00F16910">
        <w:rPr>
          <w:rFonts w:hint="eastAsia"/>
          <w:lang w:eastAsia="zh-CN"/>
        </w:rPr>
        <w:t>G</w:t>
      </w:r>
      <w:r w:rsidR="00F16910">
        <w:rPr>
          <w:rFonts w:hint="eastAsia"/>
          <w:lang w:eastAsia="zh-CN"/>
        </w:rPr>
        <w:t>级人员的</w:t>
      </w:r>
      <w:r>
        <w:rPr>
          <w:rFonts w:hint="eastAsia"/>
          <w:lang w:eastAsia="zh-CN"/>
        </w:rPr>
        <w:t>平均搬迁费用为</w:t>
      </w:r>
      <w:r>
        <w:rPr>
          <w:rFonts w:hint="eastAsia"/>
          <w:lang w:eastAsia="zh-CN"/>
        </w:rPr>
        <w:t>5</w:t>
      </w:r>
      <w:r>
        <w:rPr>
          <w:rFonts w:hint="eastAsia"/>
          <w:lang w:eastAsia="zh-CN"/>
        </w:rPr>
        <w:t>万瑞郎；</w:t>
      </w:r>
    </w:p>
    <w:p w14:paraId="67BF4504"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平均安置费用包括</w:t>
      </w:r>
      <w:r>
        <w:rPr>
          <w:rFonts w:hint="eastAsia"/>
          <w:lang w:eastAsia="zh-CN"/>
        </w:rPr>
        <w:t>30</w:t>
      </w:r>
      <w:r>
        <w:rPr>
          <w:rFonts w:hint="eastAsia"/>
          <w:lang w:eastAsia="zh-CN"/>
        </w:rPr>
        <w:t>天的每日生活津贴（每天</w:t>
      </w:r>
      <w:r>
        <w:rPr>
          <w:rFonts w:hint="eastAsia"/>
          <w:lang w:eastAsia="zh-CN"/>
        </w:rPr>
        <w:t>380</w:t>
      </w:r>
      <w:r>
        <w:rPr>
          <w:rFonts w:hint="eastAsia"/>
          <w:lang w:eastAsia="zh-CN"/>
        </w:rPr>
        <w:t>瑞郎）以及每月不超过</w:t>
      </w:r>
      <w:r>
        <w:rPr>
          <w:rFonts w:hint="eastAsia"/>
          <w:lang w:eastAsia="zh-CN"/>
        </w:rPr>
        <w:t>1 000</w:t>
      </w:r>
      <w:r>
        <w:rPr>
          <w:rFonts w:hint="eastAsia"/>
          <w:lang w:eastAsia="zh-CN"/>
        </w:rPr>
        <w:t>瑞郎的房租补贴（持续五年）。</w:t>
      </w:r>
    </w:p>
    <w:p w14:paraId="2FC7A975" w14:textId="77777777" w:rsidR="00B80DA4" w:rsidRPr="0063347C" w:rsidRDefault="00B80DA4" w:rsidP="00B34094">
      <w:pPr>
        <w:rPr>
          <w:lang w:eastAsia="zh-CN"/>
        </w:rPr>
      </w:pPr>
      <w:r>
        <w:rPr>
          <w:lang w:eastAsia="zh-CN"/>
        </w:rPr>
        <w:t>8</w:t>
      </w:r>
      <w:r>
        <w:rPr>
          <w:lang w:val="en-US" w:eastAsia="zh-CN"/>
        </w:rPr>
        <w:t>.10</w:t>
      </w:r>
      <w:r>
        <w:rPr>
          <w:lang w:val="en-US" w:eastAsia="zh-CN"/>
        </w:rPr>
        <w:tab/>
      </w:r>
      <w:r>
        <w:rPr>
          <w:rFonts w:hint="eastAsia"/>
          <w:lang w:val="en-US" w:eastAsia="zh-CN"/>
        </w:rPr>
        <w:t>对持有非长期或持续合同的职员的假设为：</w:t>
      </w:r>
    </w:p>
    <w:p w14:paraId="19BCC2C6"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不随迁的职员获得三个月的（工资）补偿；</w:t>
      </w:r>
    </w:p>
    <w:p w14:paraId="7988F487" w14:textId="77777777" w:rsidR="00B80DA4" w:rsidRDefault="00B80DA4" w:rsidP="00B80DA4">
      <w:pPr>
        <w:pStyle w:val="enumlev1"/>
        <w:rPr>
          <w:lang w:eastAsia="zh-CN"/>
        </w:rPr>
      </w:pPr>
      <w:r>
        <w:rPr>
          <w:lang w:eastAsia="zh-CN"/>
        </w:rPr>
        <w:t>–</w:t>
      </w:r>
      <w:r>
        <w:rPr>
          <w:lang w:eastAsia="zh-CN"/>
        </w:rPr>
        <w:tab/>
      </w:r>
      <w:r>
        <w:rPr>
          <w:rFonts w:hint="eastAsia"/>
          <w:lang w:eastAsia="zh-CN"/>
        </w:rPr>
        <w:t>在确定随迁的一般事务职类（</w:t>
      </w:r>
      <w:r>
        <w:rPr>
          <w:rFonts w:hint="eastAsia"/>
          <w:lang w:eastAsia="zh-CN"/>
        </w:rPr>
        <w:t>G</w:t>
      </w:r>
      <w:r>
        <w:rPr>
          <w:rFonts w:hint="eastAsia"/>
          <w:lang w:eastAsia="zh-CN"/>
        </w:rPr>
        <w:t>）和专业及更高职类（</w:t>
      </w:r>
      <w:r>
        <w:rPr>
          <w:rFonts w:hint="eastAsia"/>
          <w:lang w:eastAsia="zh-CN"/>
        </w:rPr>
        <w:t>P&amp;D</w:t>
      </w:r>
      <w:r>
        <w:rPr>
          <w:rFonts w:hint="eastAsia"/>
          <w:lang w:eastAsia="zh-CN"/>
        </w:rPr>
        <w:t>）职员数量时，采用了与持有长期或持续合同职员相同的假设。</w:t>
      </w:r>
    </w:p>
    <w:p w14:paraId="1619CDA4" w14:textId="77777777" w:rsidR="00B80DA4" w:rsidRPr="0063347C" w:rsidRDefault="00B80DA4" w:rsidP="00B34094">
      <w:pPr>
        <w:rPr>
          <w:lang w:eastAsia="zh-CN"/>
        </w:rPr>
      </w:pPr>
      <w:r>
        <w:rPr>
          <w:lang w:eastAsia="zh-CN"/>
        </w:rPr>
        <w:t>8</w:t>
      </w:r>
      <w:r>
        <w:rPr>
          <w:lang w:val="en-US" w:eastAsia="zh-CN"/>
        </w:rPr>
        <w:t>.11</w:t>
      </w:r>
      <w:r>
        <w:rPr>
          <w:lang w:val="en-US" w:eastAsia="zh-CN"/>
        </w:rPr>
        <w:tab/>
      </w:r>
      <w:r>
        <w:rPr>
          <w:rFonts w:hint="eastAsia"/>
          <w:lang w:val="en-US" w:eastAsia="zh-CN"/>
        </w:rPr>
        <w:t>在上述假设基础上，职员离职和迁离费用如下：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05"/>
        <w:gridCol w:w="4223"/>
      </w:tblGrid>
      <w:tr w:rsidR="00B80DA4" w:rsidRPr="0063347C" w14:paraId="6E05F628" w14:textId="77777777" w:rsidTr="000E7785">
        <w:tc>
          <w:tcPr>
            <w:tcW w:w="1148" w:type="dxa"/>
          </w:tcPr>
          <w:p w14:paraId="76F2C3F2" w14:textId="77777777" w:rsidR="00B80DA4" w:rsidRPr="0063347C" w:rsidRDefault="00B80DA4" w:rsidP="000E7785">
            <w:pPr>
              <w:pStyle w:val="Tablehead"/>
              <w:keepNext/>
              <w:keepLines/>
              <w:rPr>
                <w:lang w:val="fr-FR"/>
              </w:rPr>
            </w:pPr>
            <w:r>
              <w:rPr>
                <w:rFonts w:hint="eastAsia"/>
                <w:lang w:val="fr-FR" w:eastAsia="zh-CN"/>
              </w:rPr>
              <w:lastRenderedPageBreak/>
              <w:t>情形</w:t>
            </w:r>
          </w:p>
        </w:tc>
        <w:tc>
          <w:tcPr>
            <w:tcW w:w="4205" w:type="dxa"/>
          </w:tcPr>
          <w:p w14:paraId="5A542408" w14:textId="77777777" w:rsidR="00B80DA4" w:rsidRPr="0063347C" w:rsidRDefault="00B80DA4" w:rsidP="000E7785">
            <w:pPr>
              <w:pStyle w:val="Tablehead"/>
              <w:keepNext/>
              <w:keepLines/>
              <w:rPr>
                <w:lang w:val="fr-FR"/>
              </w:rPr>
            </w:pPr>
            <w:r>
              <w:rPr>
                <w:rFonts w:hint="eastAsia"/>
                <w:lang w:val="fr-FR" w:eastAsia="zh-CN"/>
              </w:rPr>
              <w:t>离职比</w:t>
            </w:r>
            <w:r>
              <w:rPr>
                <w:lang w:val="fr-FR"/>
              </w:rPr>
              <w:t>（</w:t>
            </w:r>
            <w:r>
              <w:rPr>
                <w:lang w:val="fr-FR"/>
              </w:rPr>
              <w:t>%</w:t>
            </w:r>
            <w:r>
              <w:rPr>
                <w:lang w:val="fr-FR"/>
              </w:rPr>
              <w:t>）</w:t>
            </w:r>
          </w:p>
        </w:tc>
        <w:tc>
          <w:tcPr>
            <w:tcW w:w="4223" w:type="dxa"/>
          </w:tcPr>
          <w:p w14:paraId="68F73054" w14:textId="77777777" w:rsidR="00B80DA4" w:rsidRPr="0063347C" w:rsidRDefault="00B80DA4" w:rsidP="000E7785">
            <w:pPr>
              <w:pStyle w:val="Tablehead"/>
              <w:keepNext/>
              <w:keepLines/>
              <w:rPr>
                <w:lang w:val="fr-FR"/>
              </w:rPr>
            </w:pPr>
            <w:r>
              <w:rPr>
                <w:rFonts w:hint="eastAsia"/>
                <w:lang w:val="fr-FR" w:eastAsia="zh-CN"/>
              </w:rPr>
              <w:t>单位：千瑞郎</w:t>
            </w:r>
          </w:p>
        </w:tc>
      </w:tr>
      <w:tr w:rsidR="00B80DA4" w:rsidRPr="0063347C" w14:paraId="08633022" w14:textId="77777777" w:rsidTr="000E7785">
        <w:tc>
          <w:tcPr>
            <w:tcW w:w="1148" w:type="dxa"/>
            <w:vMerge w:val="restart"/>
          </w:tcPr>
          <w:p w14:paraId="75C14F18" w14:textId="77777777" w:rsidR="00B80DA4" w:rsidRPr="0063347C" w:rsidRDefault="00B80DA4" w:rsidP="000E7785">
            <w:pPr>
              <w:pStyle w:val="Tabletext"/>
              <w:keepNext/>
              <w:keepLines/>
              <w:rPr>
                <w:lang w:val="fr-FR"/>
              </w:rPr>
            </w:pPr>
            <w:r w:rsidRPr="0063347C">
              <w:rPr>
                <w:lang w:val="fr-FR"/>
              </w:rPr>
              <w:t>1</w:t>
            </w:r>
          </w:p>
        </w:tc>
        <w:tc>
          <w:tcPr>
            <w:tcW w:w="4205" w:type="dxa"/>
            <w:vMerge w:val="restart"/>
          </w:tcPr>
          <w:p w14:paraId="14044195" w14:textId="77777777" w:rsidR="00B80DA4" w:rsidRPr="0063347C" w:rsidRDefault="00B80DA4" w:rsidP="000E7785">
            <w:pPr>
              <w:pStyle w:val="Tabletext"/>
              <w:keepNext/>
              <w:keepLines/>
              <w:rPr>
                <w:lang w:eastAsia="zh-CN"/>
              </w:rPr>
            </w:pPr>
            <w:r w:rsidRPr="0063347C">
              <w:rPr>
                <w:lang w:eastAsia="zh-CN"/>
              </w:rPr>
              <w:t>100%</w:t>
            </w:r>
            <w:r>
              <w:rPr>
                <w:rFonts w:hint="eastAsia"/>
                <w:lang w:eastAsia="zh-CN"/>
              </w:rPr>
              <w:t>的</w:t>
            </w:r>
            <w:r w:rsidRPr="0063347C">
              <w:rPr>
                <w:lang w:eastAsia="zh-CN"/>
              </w:rPr>
              <w:t>G</w:t>
            </w:r>
            <w:r>
              <w:rPr>
                <w:rFonts w:hint="eastAsia"/>
                <w:lang w:eastAsia="zh-CN"/>
              </w:rPr>
              <w:t>级人员</w:t>
            </w:r>
            <w:r>
              <w:rPr>
                <w:lang w:eastAsia="zh-CN"/>
              </w:rPr>
              <w:t>（</w:t>
            </w:r>
            <w:r w:rsidRPr="0063347C">
              <w:rPr>
                <w:lang w:eastAsia="zh-CN"/>
              </w:rPr>
              <w:t>255</w:t>
            </w:r>
            <w:r>
              <w:rPr>
                <w:rFonts w:hint="eastAsia"/>
                <w:lang w:eastAsia="zh-CN"/>
              </w:rPr>
              <w:t>名</w:t>
            </w:r>
            <w:r>
              <w:rPr>
                <w:lang w:eastAsia="zh-CN"/>
              </w:rPr>
              <w:t>）</w:t>
            </w:r>
            <w:r>
              <w:rPr>
                <w:rFonts w:hint="eastAsia"/>
                <w:lang w:eastAsia="zh-CN"/>
              </w:rPr>
              <w:t>和</w:t>
            </w:r>
            <w:r w:rsidR="00E62118">
              <w:rPr>
                <w:lang w:eastAsia="zh-CN"/>
              </w:rPr>
              <w:t>50%</w:t>
            </w:r>
            <w:r>
              <w:rPr>
                <w:rFonts w:hint="eastAsia"/>
                <w:lang w:eastAsia="zh-CN"/>
              </w:rPr>
              <w:t>的</w:t>
            </w:r>
            <w:r w:rsidRPr="0063347C">
              <w:rPr>
                <w:lang w:eastAsia="zh-CN"/>
              </w:rPr>
              <w:t xml:space="preserve">P </w:t>
            </w:r>
            <w:r>
              <w:rPr>
                <w:lang w:eastAsia="zh-CN"/>
              </w:rPr>
              <w:t>&amp;</w:t>
            </w:r>
            <w:r w:rsidRPr="0063347C">
              <w:rPr>
                <w:lang w:eastAsia="zh-CN"/>
              </w:rPr>
              <w:t xml:space="preserve"> D</w:t>
            </w:r>
            <w:r>
              <w:rPr>
                <w:rFonts w:hint="eastAsia"/>
                <w:lang w:eastAsia="zh-CN"/>
              </w:rPr>
              <w:t>级人员</w:t>
            </w:r>
            <w:r>
              <w:rPr>
                <w:lang w:eastAsia="zh-CN"/>
              </w:rPr>
              <w:t>（</w:t>
            </w:r>
            <w:r w:rsidRPr="0063347C">
              <w:rPr>
                <w:lang w:eastAsia="zh-CN"/>
              </w:rPr>
              <w:t>114</w:t>
            </w:r>
            <w:r>
              <w:rPr>
                <w:rFonts w:hint="eastAsia"/>
                <w:lang w:eastAsia="zh-CN"/>
              </w:rPr>
              <w:t>名</w:t>
            </w:r>
            <w:r>
              <w:rPr>
                <w:lang w:eastAsia="zh-CN"/>
              </w:rPr>
              <w:t>）</w:t>
            </w:r>
          </w:p>
        </w:tc>
        <w:tc>
          <w:tcPr>
            <w:tcW w:w="4223" w:type="dxa"/>
          </w:tcPr>
          <w:p w14:paraId="0254C055" w14:textId="77777777" w:rsidR="00B80DA4" w:rsidRPr="00B11379" w:rsidRDefault="00B80DA4" w:rsidP="000E7785">
            <w:pPr>
              <w:pStyle w:val="Tabletext"/>
              <w:keepNext/>
              <w:keepLines/>
              <w:jc w:val="center"/>
              <w:rPr>
                <w:lang w:val="en-US"/>
              </w:rPr>
            </w:pPr>
            <w:r>
              <w:rPr>
                <w:rFonts w:hint="eastAsia"/>
                <w:lang w:val="fr-FR" w:eastAsia="zh-CN"/>
              </w:rPr>
              <w:t>低位估算</w:t>
            </w:r>
            <w:r>
              <w:rPr>
                <w:rFonts w:hint="eastAsia"/>
                <w:lang w:val="en-US" w:eastAsia="zh-CN"/>
              </w:rPr>
              <w:t>：</w:t>
            </w:r>
            <w:r w:rsidRPr="00B11379">
              <w:rPr>
                <w:lang w:val="en-US"/>
              </w:rPr>
              <w:t>110’278</w:t>
            </w:r>
          </w:p>
        </w:tc>
      </w:tr>
      <w:tr w:rsidR="00B80DA4" w:rsidRPr="0063347C" w14:paraId="3F67FB21" w14:textId="77777777" w:rsidTr="000E7785">
        <w:tc>
          <w:tcPr>
            <w:tcW w:w="1148" w:type="dxa"/>
            <w:vMerge/>
          </w:tcPr>
          <w:p w14:paraId="603A451E" w14:textId="77777777" w:rsidR="00B80DA4" w:rsidRPr="00B11379" w:rsidRDefault="00B80DA4" w:rsidP="000E7785">
            <w:pPr>
              <w:pStyle w:val="Tabletext"/>
              <w:keepNext/>
              <w:keepLines/>
              <w:rPr>
                <w:lang w:val="en-US"/>
              </w:rPr>
            </w:pPr>
          </w:p>
        </w:tc>
        <w:tc>
          <w:tcPr>
            <w:tcW w:w="4205" w:type="dxa"/>
            <w:vMerge/>
          </w:tcPr>
          <w:p w14:paraId="367A8CA5" w14:textId="77777777" w:rsidR="00B80DA4" w:rsidRPr="00B11379" w:rsidRDefault="00B80DA4" w:rsidP="000E7785">
            <w:pPr>
              <w:pStyle w:val="Tabletext"/>
              <w:keepNext/>
              <w:keepLines/>
              <w:rPr>
                <w:lang w:val="en-US"/>
              </w:rPr>
            </w:pPr>
          </w:p>
        </w:tc>
        <w:tc>
          <w:tcPr>
            <w:tcW w:w="4223" w:type="dxa"/>
          </w:tcPr>
          <w:p w14:paraId="1672710F" w14:textId="77777777" w:rsidR="00B80DA4" w:rsidRPr="0063347C" w:rsidRDefault="00B80DA4" w:rsidP="000E7785">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126’883</w:t>
            </w:r>
          </w:p>
        </w:tc>
      </w:tr>
      <w:tr w:rsidR="00B80DA4" w:rsidRPr="0063347C" w14:paraId="401EC292" w14:textId="77777777" w:rsidTr="000E7785">
        <w:tc>
          <w:tcPr>
            <w:tcW w:w="1148" w:type="dxa"/>
            <w:vMerge w:val="restart"/>
          </w:tcPr>
          <w:p w14:paraId="131A010D" w14:textId="77777777" w:rsidR="00B80DA4" w:rsidRPr="0063347C" w:rsidRDefault="00B80DA4" w:rsidP="000E7785">
            <w:pPr>
              <w:pStyle w:val="Tabletext"/>
              <w:keepNext/>
              <w:keepLines/>
              <w:rPr>
                <w:lang w:val="fr-FR"/>
              </w:rPr>
            </w:pPr>
            <w:r w:rsidRPr="0063347C">
              <w:rPr>
                <w:lang w:val="fr-FR"/>
              </w:rPr>
              <w:t>2</w:t>
            </w:r>
          </w:p>
        </w:tc>
        <w:tc>
          <w:tcPr>
            <w:tcW w:w="4205" w:type="dxa"/>
            <w:vMerge w:val="restart"/>
          </w:tcPr>
          <w:p w14:paraId="67A6FDF4" w14:textId="77777777" w:rsidR="00B80DA4" w:rsidRPr="0063347C" w:rsidRDefault="00B80DA4" w:rsidP="000E7785">
            <w:pPr>
              <w:pStyle w:val="Tabletext"/>
              <w:keepNext/>
              <w:keepLines/>
              <w:rPr>
                <w:lang w:eastAsia="zh-CN"/>
              </w:rPr>
            </w:pPr>
            <w:r w:rsidRPr="0063347C">
              <w:rPr>
                <w:lang w:eastAsia="zh-CN"/>
              </w:rPr>
              <w:t>100%</w:t>
            </w:r>
            <w:r>
              <w:rPr>
                <w:rFonts w:hint="eastAsia"/>
                <w:lang w:eastAsia="zh-CN"/>
              </w:rPr>
              <w:t>的</w:t>
            </w:r>
            <w:r w:rsidRPr="0063347C">
              <w:rPr>
                <w:lang w:eastAsia="zh-CN"/>
              </w:rPr>
              <w:t>G</w:t>
            </w:r>
            <w:r>
              <w:rPr>
                <w:rFonts w:hint="eastAsia"/>
                <w:lang w:eastAsia="zh-CN"/>
              </w:rPr>
              <w:t>级人员</w:t>
            </w:r>
            <w:r>
              <w:rPr>
                <w:lang w:eastAsia="zh-CN"/>
              </w:rPr>
              <w:t>（</w:t>
            </w:r>
            <w:r w:rsidRPr="0063347C">
              <w:rPr>
                <w:lang w:eastAsia="zh-CN"/>
              </w:rPr>
              <w:t>255</w:t>
            </w:r>
            <w:r>
              <w:rPr>
                <w:rFonts w:hint="eastAsia"/>
                <w:lang w:eastAsia="zh-CN"/>
              </w:rPr>
              <w:t>名</w:t>
            </w:r>
            <w:r>
              <w:rPr>
                <w:lang w:eastAsia="zh-CN"/>
              </w:rPr>
              <w:t>）</w:t>
            </w:r>
            <w:r>
              <w:rPr>
                <w:rFonts w:hint="eastAsia"/>
                <w:lang w:eastAsia="zh-CN"/>
              </w:rPr>
              <w:t>和</w:t>
            </w:r>
            <w:r>
              <w:rPr>
                <w:rFonts w:hint="eastAsia"/>
                <w:lang w:eastAsia="zh-CN"/>
              </w:rPr>
              <w:t>2</w:t>
            </w:r>
            <w:r w:rsidR="00E62118">
              <w:rPr>
                <w:lang w:eastAsia="zh-CN"/>
              </w:rPr>
              <w:t>5%</w:t>
            </w:r>
            <w:r>
              <w:rPr>
                <w:rFonts w:hint="eastAsia"/>
                <w:lang w:eastAsia="zh-CN"/>
              </w:rPr>
              <w:t>的</w:t>
            </w:r>
            <w:r w:rsidRPr="0063347C">
              <w:rPr>
                <w:lang w:eastAsia="zh-CN"/>
              </w:rPr>
              <w:t xml:space="preserve">P </w:t>
            </w:r>
            <w:r>
              <w:rPr>
                <w:lang w:eastAsia="zh-CN"/>
              </w:rPr>
              <w:t>&amp;</w:t>
            </w:r>
            <w:r w:rsidRPr="0063347C">
              <w:rPr>
                <w:lang w:eastAsia="zh-CN"/>
              </w:rPr>
              <w:t xml:space="preserve"> D</w:t>
            </w:r>
            <w:r>
              <w:rPr>
                <w:rFonts w:hint="eastAsia"/>
                <w:lang w:eastAsia="zh-CN"/>
              </w:rPr>
              <w:t>级人员</w:t>
            </w:r>
            <w:r>
              <w:rPr>
                <w:lang w:eastAsia="zh-CN"/>
              </w:rPr>
              <w:t>（</w:t>
            </w:r>
            <w:r w:rsidRPr="0063347C">
              <w:rPr>
                <w:lang w:eastAsia="zh-CN"/>
              </w:rPr>
              <w:t>57</w:t>
            </w:r>
            <w:r>
              <w:rPr>
                <w:rFonts w:hint="eastAsia"/>
                <w:lang w:eastAsia="zh-CN"/>
              </w:rPr>
              <w:t>名</w:t>
            </w:r>
            <w:r>
              <w:rPr>
                <w:lang w:eastAsia="zh-CN"/>
              </w:rPr>
              <w:t>）</w:t>
            </w:r>
          </w:p>
        </w:tc>
        <w:tc>
          <w:tcPr>
            <w:tcW w:w="4223" w:type="dxa"/>
          </w:tcPr>
          <w:p w14:paraId="0C695641" w14:textId="77777777" w:rsidR="00B80DA4" w:rsidRPr="0063347C" w:rsidRDefault="00B80DA4" w:rsidP="000E7785">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105’325</w:t>
            </w:r>
          </w:p>
        </w:tc>
      </w:tr>
      <w:tr w:rsidR="00B80DA4" w:rsidRPr="0063347C" w14:paraId="23911D49" w14:textId="77777777" w:rsidTr="000E7785">
        <w:tc>
          <w:tcPr>
            <w:tcW w:w="1148" w:type="dxa"/>
            <w:vMerge/>
          </w:tcPr>
          <w:p w14:paraId="771B3566" w14:textId="77777777" w:rsidR="00B80DA4" w:rsidRPr="0063347C" w:rsidRDefault="00B80DA4" w:rsidP="000E7785">
            <w:pPr>
              <w:pStyle w:val="Tabletext"/>
              <w:keepNext/>
              <w:keepLines/>
              <w:rPr>
                <w:lang w:val="fr-FR"/>
              </w:rPr>
            </w:pPr>
          </w:p>
        </w:tc>
        <w:tc>
          <w:tcPr>
            <w:tcW w:w="4205" w:type="dxa"/>
            <w:vMerge/>
          </w:tcPr>
          <w:p w14:paraId="69DC8C81" w14:textId="77777777" w:rsidR="00B80DA4" w:rsidRPr="0063347C" w:rsidRDefault="00B80DA4" w:rsidP="000E7785">
            <w:pPr>
              <w:pStyle w:val="Tabletext"/>
              <w:keepNext/>
              <w:keepLines/>
              <w:rPr>
                <w:lang w:val="fr-FR"/>
              </w:rPr>
            </w:pPr>
          </w:p>
        </w:tc>
        <w:tc>
          <w:tcPr>
            <w:tcW w:w="4223" w:type="dxa"/>
          </w:tcPr>
          <w:p w14:paraId="4D0713D8" w14:textId="77777777" w:rsidR="00B80DA4" w:rsidRPr="0063347C" w:rsidRDefault="00B80DA4" w:rsidP="000E7785">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119’365</w:t>
            </w:r>
          </w:p>
        </w:tc>
      </w:tr>
      <w:tr w:rsidR="00B80DA4" w:rsidRPr="0063347C" w14:paraId="53D0F03B" w14:textId="77777777" w:rsidTr="000E7785">
        <w:tc>
          <w:tcPr>
            <w:tcW w:w="1148" w:type="dxa"/>
            <w:vMerge w:val="restart"/>
          </w:tcPr>
          <w:p w14:paraId="111D4EDE" w14:textId="77777777" w:rsidR="00B80DA4" w:rsidRPr="0063347C" w:rsidRDefault="00B80DA4" w:rsidP="000E7785">
            <w:pPr>
              <w:pStyle w:val="Tabletext"/>
              <w:keepNext/>
              <w:keepLines/>
              <w:rPr>
                <w:lang w:val="fr-FR"/>
              </w:rPr>
            </w:pPr>
            <w:r w:rsidRPr="0063347C">
              <w:rPr>
                <w:lang w:val="fr-FR"/>
              </w:rPr>
              <w:t>3</w:t>
            </w:r>
          </w:p>
        </w:tc>
        <w:tc>
          <w:tcPr>
            <w:tcW w:w="4205" w:type="dxa"/>
            <w:vMerge w:val="restart"/>
          </w:tcPr>
          <w:p w14:paraId="2C6749DB" w14:textId="77777777" w:rsidR="00B80DA4" w:rsidRPr="00900434" w:rsidRDefault="00B80DA4" w:rsidP="000E7785">
            <w:pPr>
              <w:pStyle w:val="Tabletext"/>
              <w:keepNext/>
              <w:keepLines/>
              <w:rPr>
                <w:lang w:val="fr-FR" w:eastAsia="zh-CN"/>
              </w:rPr>
            </w:pPr>
            <w:r>
              <w:rPr>
                <w:lang w:val="fr-FR" w:eastAsia="zh-CN"/>
              </w:rPr>
              <w:t>75</w:t>
            </w:r>
            <w:r w:rsidR="00E62118">
              <w:rPr>
                <w:lang w:val="fr-FR" w:eastAsia="zh-CN"/>
              </w:rPr>
              <w:t>%</w:t>
            </w:r>
            <w:r>
              <w:rPr>
                <w:rFonts w:hint="eastAsia"/>
                <w:lang w:val="fr-FR" w:eastAsia="zh-CN"/>
              </w:rPr>
              <w:t>的</w:t>
            </w:r>
            <w:r w:rsidRPr="00900434">
              <w:rPr>
                <w:lang w:val="fr-FR" w:eastAsia="zh-CN"/>
              </w:rPr>
              <w:t>G</w:t>
            </w:r>
            <w:r>
              <w:rPr>
                <w:rFonts w:hint="eastAsia"/>
                <w:lang w:eastAsia="zh-CN"/>
              </w:rPr>
              <w:t>级人员</w:t>
            </w:r>
            <w:r w:rsidRPr="00900434">
              <w:rPr>
                <w:lang w:val="fr-FR" w:eastAsia="zh-CN"/>
              </w:rPr>
              <w:t>（</w:t>
            </w:r>
            <w:r>
              <w:rPr>
                <w:lang w:val="fr-FR" w:eastAsia="zh-CN"/>
              </w:rPr>
              <w:t>191</w:t>
            </w:r>
            <w:r>
              <w:rPr>
                <w:rFonts w:hint="eastAsia"/>
                <w:lang w:val="fr-FR" w:eastAsia="zh-CN"/>
              </w:rPr>
              <w:t>名</w:t>
            </w:r>
            <w:r w:rsidRPr="00900434">
              <w:rPr>
                <w:lang w:val="fr-FR" w:eastAsia="zh-CN"/>
              </w:rPr>
              <w:t>）</w:t>
            </w:r>
            <w:r>
              <w:rPr>
                <w:rFonts w:hint="eastAsia"/>
                <w:lang w:eastAsia="zh-CN"/>
              </w:rPr>
              <w:t>和</w:t>
            </w:r>
            <w:r w:rsidR="00E62118">
              <w:rPr>
                <w:lang w:val="fr-FR" w:eastAsia="zh-CN"/>
              </w:rPr>
              <w:t>50%</w:t>
            </w:r>
            <w:r>
              <w:rPr>
                <w:rFonts w:hint="eastAsia"/>
                <w:lang w:val="fr-FR" w:eastAsia="zh-CN"/>
              </w:rPr>
              <w:t>的</w:t>
            </w:r>
            <w:r w:rsidRPr="00900434">
              <w:rPr>
                <w:lang w:val="fr-FR" w:eastAsia="zh-CN"/>
              </w:rPr>
              <w:t>P &amp; D</w:t>
            </w:r>
            <w:r>
              <w:rPr>
                <w:rFonts w:hint="eastAsia"/>
                <w:lang w:eastAsia="zh-CN"/>
              </w:rPr>
              <w:t>级人员</w:t>
            </w:r>
            <w:r w:rsidRPr="00900434">
              <w:rPr>
                <w:lang w:val="fr-FR" w:eastAsia="zh-CN"/>
              </w:rPr>
              <w:t>（</w:t>
            </w:r>
            <w:r w:rsidRPr="00900434">
              <w:rPr>
                <w:lang w:val="fr-FR" w:eastAsia="zh-CN"/>
              </w:rPr>
              <w:t>114</w:t>
            </w:r>
            <w:r>
              <w:rPr>
                <w:rFonts w:hint="eastAsia"/>
                <w:lang w:val="fr-FR" w:eastAsia="zh-CN"/>
              </w:rPr>
              <w:t>名</w:t>
            </w:r>
            <w:r w:rsidRPr="00900434">
              <w:rPr>
                <w:lang w:val="fr-FR" w:eastAsia="zh-CN"/>
              </w:rPr>
              <w:t>）</w:t>
            </w:r>
          </w:p>
        </w:tc>
        <w:tc>
          <w:tcPr>
            <w:tcW w:w="4223" w:type="dxa"/>
          </w:tcPr>
          <w:p w14:paraId="11891AAC" w14:textId="77777777" w:rsidR="00B80DA4" w:rsidRPr="0063347C" w:rsidRDefault="00B80DA4" w:rsidP="000E7785">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96’744</w:t>
            </w:r>
          </w:p>
        </w:tc>
      </w:tr>
      <w:tr w:rsidR="00B80DA4" w:rsidRPr="0063347C" w14:paraId="2064E092" w14:textId="77777777" w:rsidTr="000E7785">
        <w:tc>
          <w:tcPr>
            <w:tcW w:w="1148" w:type="dxa"/>
            <w:vMerge/>
          </w:tcPr>
          <w:p w14:paraId="119CE6AC" w14:textId="77777777" w:rsidR="00B80DA4" w:rsidRPr="0063347C" w:rsidRDefault="00B80DA4" w:rsidP="000E7785">
            <w:pPr>
              <w:pStyle w:val="Tabletext"/>
              <w:keepNext/>
              <w:keepLines/>
              <w:rPr>
                <w:lang w:val="fr-FR"/>
              </w:rPr>
            </w:pPr>
          </w:p>
        </w:tc>
        <w:tc>
          <w:tcPr>
            <w:tcW w:w="4205" w:type="dxa"/>
            <w:vMerge/>
          </w:tcPr>
          <w:p w14:paraId="4B4A02CA" w14:textId="77777777" w:rsidR="00B80DA4" w:rsidRPr="0063347C" w:rsidRDefault="00B80DA4" w:rsidP="000E7785">
            <w:pPr>
              <w:pStyle w:val="Tabletext"/>
              <w:keepNext/>
              <w:keepLines/>
              <w:rPr>
                <w:lang w:val="fr-FR"/>
              </w:rPr>
            </w:pPr>
          </w:p>
        </w:tc>
        <w:tc>
          <w:tcPr>
            <w:tcW w:w="4223" w:type="dxa"/>
          </w:tcPr>
          <w:p w14:paraId="7159E2F6" w14:textId="77777777" w:rsidR="00B80DA4" w:rsidRPr="0063347C" w:rsidRDefault="00B80DA4" w:rsidP="000E7785">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110’469</w:t>
            </w:r>
          </w:p>
        </w:tc>
      </w:tr>
      <w:tr w:rsidR="00B80DA4" w:rsidRPr="0063347C" w14:paraId="2ABBE49D" w14:textId="77777777" w:rsidTr="000E7785">
        <w:tc>
          <w:tcPr>
            <w:tcW w:w="1148" w:type="dxa"/>
            <w:vMerge w:val="restart"/>
          </w:tcPr>
          <w:p w14:paraId="5907F56A" w14:textId="77777777" w:rsidR="00B80DA4" w:rsidRPr="0063347C" w:rsidRDefault="00B80DA4" w:rsidP="000E7785">
            <w:pPr>
              <w:pStyle w:val="Tabletext"/>
              <w:keepNext/>
              <w:keepLines/>
              <w:rPr>
                <w:lang w:val="fr-FR"/>
              </w:rPr>
            </w:pPr>
            <w:r w:rsidRPr="0063347C">
              <w:rPr>
                <w:lang w:val="fr-FR"/>
              </w:rPr>
              <w:t>4</w:t>
            </w:r>
          </w:p>
        </w:tc>
        <w:tc>
          <w:tcPr>
            <w:tcW w:w="4205" w:type="dxa"/>
            <w:vMerge w:val="restart"/>
          </w:tcPr>
          <w:p w14:paraId="215EBC13" w14:textId="77777777" w:rsidR="00B80DA4" w:rsidRPr="0063347C" w:rsidRDefault="00B80DA4" w:rsidP="000E7785">
            <w:pPr>
              <w:pStyle w:val="Tabletext"/>
              <w:keepNext/>
              <w:keepLines/>
              <w:rPr>
                <w:lang w:eastAsia="zh-CN"/>
              </w:rPr>
            </w:pPr>
            <w:r>
              <w:rPr>
                <w:lang w:val="fr-FR" w:eastAsia="zh-CN"/>
              </w:rPr>
              <w:t>75</w:t>
            </w:r>
            <w:r w:rsidR="00E62118">
              <w:rPr>
                <w:lang w:val="fr-FR" w:eastAsia="zh-CN"/>
              </w:rPr>
              <w:t>%</w:t>
            </w:r>
            <w:r>
              <w:rPr>
                <w:rFonts w:hint="eastAsia"/>
                <w:lang w:val="fr-FR" w:eastAsia="zh-CN"/>
              </w:rPr>
              <w:t>的</w:t>
            </w:r>
            <w:r w:rsidRPr="00900434">
              <w:rPr>
                <w:lang w:val="fr-FR" w:eastAsia="zh-CN"/>
              </w:rPr>
              <w:t>G</w:t>
            </w:r>
            <w:r>
              <w:rPr>
                <w:rFonts w:hint="eastAsia"/>
                <w:lang w:eastAsia="zh-CN"/>
              </w:rPr>
              <w:t>级人员</w:t>
            </w:r>
            <w:r w:rsidRPr="00900434">
              <w:rPr>
                <w:lang w:val="fr-FR" w:eastAsia="zh-CN"/>
              </w:rPr>
              <w:t>（</w:t>
            </w:r>
            <w:r>
              <w:rPr>
                <w:lang w:val="fr-FR" w:eastAsia="zh-CN"/>
              </w:rPr>
              <w:t>191</w:t>
            </w:r>
            <w:r>
              <w:rPr>
                <w:rFonts w:hint="eastAsia"/>
                <w:lang w:val="fr-FR" w:eastAsia="zh-CN"/>
              </w:rPr>
              <w:t>名</w:t>
            </w:r>
            <w:r w:rsidRPr="00900434">
              <w:rPr>
                <w:lang w:val="fr-FR" w:eastAsia="zh-CN"/>
              </w:rPr>
              <w:t>）</w:t>
            </w:r>
            <w:r>
              <w:rPr>
                <w:rFonts w:hint="eastAsia"/>
                <w:lang w:eastAsia="zh-CN"/>
              </w:rPr>
              <w:t>和</w:t>
            </w:r>
            <w:r>
              <w:rPr>
                <w:rFonts w:hint="eastAsia"/>
                <w:lang w:eastAsia="zh-CN"/>
              </w:rPr>
              <w:t>2</w:t>
            </w:r>
            <w:r>
              <w:rPr>
                <w:lang w:val="fr-FR" w:eastAsia="zh-CN"/>
              </w:rPr>
              <w:t>5</w:t>
            </w:r>
            <w:r w:rsidR="00E62118">
              <w:rPr>
                <w:lang w:val="fr-FR" w:eastAsia="zh-CN"/>
              </w:rPr>
              <w:t>%</w:t>
            </w:r>
            <w:r>
              <w:rPr>
                <w:rFonts w:hint="eastAsia"/>
                <w:lang w:val="fr-FR" w:eastAsia="zh-CN"/>
              </w:rPr>
              <w:t>的</w:t>
            </w:r>
            <w:r w:rsidRPr="00900434">
              <w:rPr>
                <w:lang w:val="fr-FR" w:eastAsia="zh-CN"/>
              </w:rPr>
              <w:t>P &amp; D</w:t>
            </w:r>
            <w:r>
              <w:rPr>
                <w:rFonts w:hint="eastAsia"/>
                <w:lang w:eastAsia="zh-CN"/>
              </w:rPr>
              <w:t>级人员</w:t>
            </w:r>
            <w:r>
              <w:rPr>
                <w:lang w:eastAsia="zh-CN"/>
              </w:rPr>
              <w:t>（</w:t>
            </w:r>
            <w:r w:rsidRPr="0063347C">
              <w:rPr>
                <w:lang w:eastAsia="zh-CN"/>
              </w:rPr>
              <w:t>57</w:t>
            </w:r>
            <w:r>
              <w:rPr>
                <w:rFonts w:hint="eastAsia"/>
                <w:lang w:eastAsia="zh-CN"/>
              </w:rPr>
              <w:t>名</w:t>
            </w:r>
            <w:r>
              <w:rPr>
                <w:lang w:eastAsia="zh-CN"/>
              </w:rPr>
              <w:t>）</w:t>
            </w:r>
          </w:p>
        </w:tc>
        <w:tc>
          <w:tcPr>
            <w:tcW w:w="4223" w:type="dxa"/>
          </w:tcPr>
          <w:p w14:paraId="4A61F334" w14:textId="77777777" w:rsidR="00B80DA4" w:rsidRPr="0063347C" w:rsidRDefault="00B80DA4" w:rsidP="000E7785">
            <w:pPr>
              <w:pStyle w:val="Tabletext"/>
              <w:keepNext/>
              <w:keepLines/>
              <w:jc w:val="center"/>
              <w:rPr>
                <w:lang w:val="fr-FR"/>
              </w:rPr>
            </w:pPr>
            <w:r>
              <w:rPr>
                <w:rFonts w:hint="eastAsia"/>
                <w:lang w:val="fr-FR" w:eastAsia="zh-CN"/>
              </w:rPr>
              <w:t>低位估算</w:t>
            </w:r>
            <w:r>
              <w:rPr>
                <w:rFonts w:hint="eastAsia"/>
                <w:lang w:val="en-US" w:eastAsia="zh-CN"/>
              </w:rPr>
              <w:t>：</w:t>
            </w:r>
            <w:r w:rsidRPr="0063347C">
              <w:rPr>
                <w:lang w:val="fr-FR"/>
              </w:rPr>
              <w:t>91’792</w:t>
            </w:r>
          </w:p>
        </w:tc>
      </w:tr>
      <w:tr w:rsidR="00B80DA4" w:rsidRPr="0063347C" w14:paraId="06C81351" w14:textId="77777777" w:rsidTr="000E7785">
        <w:tc>
          <w:tcPr>
            <w:tcW w:w="1148" w:type="dxa"/>
            <w:vMerge/>
          </w:tcPr>
          <w:p w14:paraId="053E22E5" w14:textId="77777777" w:rsidR="00B80DA4" w:rsidRPr="0063347C" w:rsidRDefault="00B80DA4" w:rsidP="000E7785">
            <w:pPr>
              <w:pStyle w:val="Tabletext"/>
              <w:keepNext/>
              <w:keepLines/>
              <w:rPr>
                <w:lang w:val="fr-FR"/>
              </w:rPr>
            </w:pPr>
          </w:p>
        </w:tc>
        <w:tc>
          <w:tcPr>
            <w:tcW w:w="4205" w:type="dxa"/>
            <w:vMerge/>
          </w:tcPr>
          <w:p w14:paraId="3BCD6616" w14:textId="77777777" w:rsidR="00B80DA4" w:rsidRPr="0063347C" w:rsidRDefault="00B80DA4" w:rsidP="000E7785">
            <w:pPr>
              <w:pStyle w:val="Tabletext"/>
              <w:keepNext/>
              <w:keepLines/>
              <w:rPr>
                <w:lang w:val="fr-FR"/>
              </w:rPr>
            </w:pPr>
          </w:p>
        </w:tc>
        <w:tc>
          <w:tcPr>
            <w:tcW w:w="4223" w:type="dxa"/>
          </w:tcPr>
          <w:p w14:paraId="51D22AFD" w14:textId="77777777" w:rsidR="00B80DA4" w:rsidRPr="0063347C" w:rsidRDefault="00B80DA4" w:rsidP="000E7785">
            <w:pPr>
              <w:pStyle w:val="Tabletext"/>
              <w:keepNext/>
              <w:keepLines/>
              <w:jc w:val="center"/>
              <w:rPr>
                <w:lang w:val="fr-FR"/>
              </w:rPr>
            </w:pPr>
            <w:r>
              <w:rPr>
                <w:rFonts w:hint="eastAsia"/>
                <w:lang w:val="fr-FR" w:eastAsia="zh-CN"/>
              </w:rPr>
              <w:t>高位估算</w:t>
            </w:r>
            <w:r>
              <w:rPr>
                <w:rFonts w:hint="eastAsia"/>
                <w:lang w:val="en-US" w:eastAsia="zh-CN"/>
              </w:rPr>
              <w:t>：</w:t>
            </w:r>
            <w:r w:rsidRPr="0063347C">
              <w:rPr>
                <w:lang w:val="fr-FR"/>
              </w:rPr>
              <w:t>102’952</w:t>
            </w:r>
          </w:p>
        </w:tc>
      </w:tr>
    </w:tbl>
    <w:p w14:paraId="4499B104" w14:textId="77777777" w:rsidR="00B80DA4" w:rsidRPr="0063347C" w:rsidRDefault="00B80DA4" w:rsidP="00B34094">
      <w:pPr>
        <w:rPr>
          <w:lang w:eastAsia="zh-CN"/>
        </w:rPr>
      </w:pPr>
      <w:r>
        <w:rPr>
          <w:lang w:eastAsia="zh-CN"/>
        </w:rPr>
        <w:t>8</w:t>
      </w:r>
      <w:r>
        <w:rPr>
          <w:lang w:val="en-US" w:eastAsia="zh-CN"/>
        </w:rPr>
        <w:t>.12</w:t>
      </w:r>
      <w:r>
        <w:rPr>
          <w:lang w:val="en-US" w:eastAsia="zh-CN"/>
        </w:rPr>
        <w:tab/>
      </w:r>
      <w:r>
        <w:rPr>
          <w:rFonts w:hint="eastAsia"/>
          <w:lang w:val="en-US" w:eastAsia="zh-CN"/>
        </w:rPr>
        <w:t>据此，职员离职和迁离费用将介于</w:t>
      </w:r>
      <w:r>
        <w:rPr>
          <w:rFonts w:hint="eastAsia"/>
          <w:lang w:val="en-US" w:eastAsia="zh-CN"/>
        </w:rPr>
        <w:t>9</w:t>
      </w:r>
      <w:r>
        <w:rPr>
          <w:lang w:val="en-US" w:eastAsia="zh-CN"/>
        </w:rPr>
        <w:t xml:space="preserve"> </w:t>
      </w:r>
      <w:r>
        <w:rPr>
          <w:rFonts w:hint="eastAsia"/>
          <w:lang w:val="en-US" w:eastAsia="zh-CN"/>
        </w:rPr>
        <w:t>2</w:t>
      </w:r>
      <w:r>
        <w:rPr>
          <w:lang w:val="en-US" w:eastAsia="zh-CN"/>
        </w:rPr>
        <w:t>00</w:t>
      </w:r>
      <w:r>
        <w:rPr>
          <w:rFonts w:hint="eastAsia"/>
          <w:lang w:val="en-US" w:eastAsia="zh-CN"/>
        </w:rPr>
        <w:t>万至</w:t>
      </w:r>
      <w:r>
        <w:rPr>
          <w:rFonts w:hint="eastAsia"/>
          <w:lang w:val="en-US" w:eastAsia="zh-CN"/>
        </w:rPr>
        <w:t>1</w:t>
      </w:r>
      <w:r>
        <w:rPr>
          <w:lang w:val="en-US" w:eastAsia="zh-CN"/>
        </w:rPr>
        <w:t>.27</w:t>
      </w:r>
      <w:r>
        <w:rPr>
          <w:rFonts w:hint="eastAsia"/>
          <w:lang w:val="en-US" w:eastAsia="zh-CN"/>
        </w:rPr>
        <w:t>亿瑞郎之间。所选择的情形被认为是最恰当的情形。然而，新地点的特性会对此估算产生重大影响。</w:t>
      </w:r>
    </w:p>
    <w:p w14:paraId="5728AED5" w14:textId="77777777" w:rsidR="00B80DA4" w:rsidRPr="0082383B" w:rsidRDefault="00B80DA4" w:rsidP="00B34094">
      <w:pPr>
        <w:pStyle w:val="Headingb"/>
        <w:rPr>
          <w:lang w:eastAsia="zh-CN"/>
        </w:rPr>
      </w:pPr>
      <w:r w:rsidRPr="0082383B">
        <w:rPr>
          <w:lang w:eastAsia="zh-CN"/>
        </w:rPr>
        <w:t>b</w:t>
      </w:r>
      <w:r w:rsidR="00B34094">
        <w:rPr>
          <w:rFonts w:hint="eastAsia"/>
          <w:lang w:eastAsia="zh-CN"/>
        </w:rPr>
        <w:t>)</w:t>
      </w:r>
      <w:r w:rsidRPr="0082383B">
        <w:rPr>
          <w:lang w:eastAsia="zh-CN"/>
        </w:rPr>
        <w:tab/>
      </w:r>
      <w:r>
        <w:rPr>
          <w:rFonts w:hint="eastAsia"/>
          <w:lang w:eastAsia="zh-CN"/>
        </w:rPr>
        <w:t>迁离工作费用以及新地点的人员费用</w:t>
      </w:r>
    </w:p>
    <w:p w14:paraId="4EC80D0D" w14:textId="77777777" w:rsidR="00B80DA4" w:rsidRPr="0063347C" w:rsidRDefault="00B80DA4" w:rsidP="00B34094">
      <w:pPr>
        <w:rPr>
          <w:lang w:eastAsia="zh-CN"/>
        </w:rPr>
      </w:pPr>
      <w:r>
        <w:rPr>
          <w:lang w:eastAsia="zh-CN"/>
        </w:rPr>
        <w:t>8</w:t>
      </w:r>
      <w:r>
        <w:rPr>
          <w:lang w:val="en-US" w:eastAsia="zh-CN"/>
        </w:rPr>
        <w:t>.13</w:t>
      </w:r>
      <w:r>
        <w:rPr>
          <w:lang w:val="en-US" w:eastAsia="zh-CN"/>
        </w:rPr>
        <w:tab/>
      </w:r>
      <w:r>
        <w:rPr>
          <w:rFonts w:hint="eastAsia"/>
          <w:lang w:val="en-US" w:eastAsia="zh-CN"/>
        </w:rPr>
        <w:t>由于尚未明确新地点，因此，国际电联迁离费用（人员离职费用除外）只能是极为大概的估算。</w:t>
      </w:r>
    </w:p>
    <w:p w14:paraId="6BA9863C" w14:textId="77777777" w:rsidR="00B80DA4" w:rsidRPr="0063347C" w:rsidRDefault="00B80DA4" w:rsidP="00B34094">
      <w:pPr>
        <w:rPr>
          <w:lang w:eastAsia="zh-CN"/>
        </w:rPr>
      </w:pPr>
      <w:r>
        <w:rPr>
          <w:lang w:eastAsia="zh-CN"/>
        </w:rPr>
        <w:t>8</w:t>
      </w:r>
      <w:r>
        <w:rPr>
          <w:lang w:val="en-US" w:eastAsia="zh-CN"/>
        </w:rPr>
        <w:t>.14</w:t>
      </w:r>
      <w:r>
        <w:rPr>
          <w:lang w:val="en-US" w:eastAsia="zh-CN"/>
        </w:rPr>
        <w:tab/>
      </w:r>
      <w:r>
        <w:rPr>
          <w:rFonts w:hint="eastAsia"/>
          <w:lang w:val="en-US" w:eastAsia="zh-CN"/>
        </w:rPr>
        <w:t>评估迁离整体财务影响时须予以考虑的费用如下：</w:t>
      </w:r>
    </w:p>
    <w:p w14:paraId="618F95D2"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过渡时期的额外人员费用（这段时间日内瓦国际电联总部仍在运行，而新地点的设施也在建设中）；这些费用包括不愿迁离职员的人员费用、过渡期内派人员出差到新总部的费用（估算基础是，</w:t>
      </w:r>
      <w:r>
        <w:rPr>
          <w:rFonts w:hint="eastAsia"/>
          <w:lang w:eastAsia="zh-CN"/>
        </w:rPr>
        <w:t>G</w:t>
      </w:r>
      <w:r>
        <w:rPr>
          <w:rFonts w:hint="eastAsia"/>
          <w:lang w:eastAsia="zh-CN"/>
        </w:rPr>
        <w:t>级人员的</w:t>
      </w:r>
      <w:r>
        <w:rPr>
          <w:rFonts w:hint="eastAsia"/>
          <w:lang w:eastAsia="zh-CN"/>
        </w:rPr>
        <w:t>30%</w:t>
      </w:r>
      <w:r>
        <w:rPr>
          <w:rFonts w:hint="eastAsia"/>
          <w:lang w:eastAsia="zh-CN"/>
        </w:rPr>
        <w:t>和</w:t>
      </w:r>
      <w:r>
        <w:rPr>
          <w:rFonts w:hint="eastAsia"/>
          <w:lang w:eastAsia="zh-CN"/>
        </w:rPr>
        <w:t>100%</w:t>
      </w:r>
      <w:r>
        <w:rPr>
          <w:rFonts w:hint="eastAsia"/>
          <w:lang w:eastAsia="zh-CN"/>
        </w:rPr>
        <w:t>的不愿迁离</w:t>
      </w:r>
      <w:r w:rsidRPr="0063347C">
        <w:rPr>
          <w:lang w:eastAsia="zh-CN"/>
        </w:rPr>
        <w:t>P</w:t>
      </w:r>
      <w:r>
        <w:rPr>
          <w:rFonts w:hint="eastAsia"/>
          <w:lang w:eastAsia="zh-CN"/>
        </w:rPr>
        <w:t>和</w:t>
      </w:r>
      <w:r w:rsidRPr="0063347C">
        <w:rPr>
          <w:lang w:eastAsia="zh-CN"/>
        </w:rPr>
        <w:t>D</w:t>
      </w:r>
      <w:r>
        <w:rPr>
          <w:rFonts w:hint="eastAsia"/>
          <w:lang w:eastAsia="zh-CN"/>
        </w:rPr>
        <w:t>级人员将在过渡期结束时离职）</w:t>
      </w:r>
    </w:p>
    <w:p w14:paraId="5C737407"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招聘新职员的费用（估算基础为：每名</w:t>
      </w:r>
      <w:r>
        <w:rPr>
          <w:rFonts w:hint="eastAsia"/>
          <w:lang w:eastAsia="zh-CN"/>
        </w:rPr>
        <w:t>P</w:t>
      </w:r>
      <w:r>
        <w:rPr>
          <w:rFonts w:hint="eastAsia"/>
          <w:lang w:eastAsia="zh-CN"/>
        </w:rPr>
        <w:t>和</w:t>
      </w:r>
      <w:r>
        <w:rPr>
          <w:rFonts w:hint="eastAsia"/>
          <w:lang w:eastAsia="zh-CN"/>
        </w:rPr>
        <w:t>D</w:t>
      </w:r>
      <w:r>
        <w:rPr>
          <w:rFonts w:hint="eastAsia"/>
          <w:lang w:eastAsia="zh-CN"/>
        </w:rPr>
        <w:t>级职员为</w:t>
      </w:r>
      <w:r>
        <w:rPr>
          <w:rFonts w:hint="eastAsia"/>
          <w:lang w:eastAsia="zh-CN"/>
        </w:rPr>
        <w:t>5</w:t>
      </w:r>
      <w:r>
        <w:rPr>
          <w:lang w:eastAsia="zh-CN"/>
        </w:rPr>
        <w:t>.5</w:t>
      </w:r>
      <w:r>
        <w:rPr>
          <w:rFonts w:hint="eastAsia"/>
          <w:lang w:eastAsia="zh-CN"/>
        </w:rPr>
        <w:t>万瑞郎</w:t>
      </w:r>
      <w:r>
        <w:rPr>
          <w:rFonts w:hint="eastAsia"/>
          <w:lang w:eastAsia="zh-CN"/>
        </w:rPr>
        <w:t xml:space="preserve"> </w:t>
      </w:r>
      <w:r>
        <w:rPr>
          <w:lang w:eastAsia="zh-CN"/>
        </w:rPr>
        <w:t xml:space="preserve">– </w:t>
      </w:r>
      <w:r>
        <w:rPr>
          <w:rFonts w:hint="eastAsia"/>
          <w:lang w:eastAsia="zh-CN"/>
        </w:rPr>
        <w:t>入职、机票和搬家费用；每名当地</w:t>
      </w:r>
      <w:r>
        <w:rPr>
          <w:rFonts w:hint="eastAsia"/>
          <w:lang w:eastAsia="zh-CN"/>
        </w:rPr>
        <w:t>G</w:t>
      </w:r>
      <w:r>
        <w:rPr>
          <w:rFonts w:hint="eastAsia"/>
          <w:lang w:eastAsia="zh-CN"/>
        </w:rPr>
        <w:t>级人员为</w:t>
      </w:r>
      <w:r>
        <w:rPr>
          <w:rFonts w:hint="eastAsia"/>
          <w:lang w:eastAsia="zh-CN"/>
        </w:rPr>
        <w:t>1 000</w:t>
      </w:r>
      <w:r>
        <w:rPr>
          <w:rFonts w:hint="eastAsia"/>
          <w:lang w:eastAsia="zh-CN"/>
        </w:rPr>
        <w:t>瑞郎）</w:t>
      </w:r>
    </w:p>
    <w:p w14:paraId="5437091B"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新地点设施安装和启用的基础设施费用：这些是设备和信息技术硬件费用，为办公楼和办公室安装设施与设备的总体费用，以使新</w:t>
      </w:r>
      <w:r w:rsidRPr="004200B1">
        <w:rPr>
          <w:rFonts w:hint="eastAsia"/>
          <w:lang w:eastAsia="zh-CN"/>
        </w:rPr>
        <w:t>办公场所</w:t>
      </w:r>
      <w:r>
        <w:rPr>
          <w:rFonts w:hint="eastAsia"/>
          <w:lang w:eastAsia="zh-CN"/>
        </w:rPr>
        <w:t>开始运行</w:t>
      </w:r>
    </w:p>
    <w:p w14:paraId="5E654578" w14:textId="77777777" w:rsidR="00B80DA4" w:rsidRPr="0063347C" w:rsidRDefault="00B80DA4" w:rsidP="00B80DA4">
      <w:pPr>
        <w:pStyle w:val="enumlev1"/>
        <w:rPr>
          <w:lang w:eastAsia="zh-CN"/>
        </w:rPr>
      </w:pPr>
      <w:r>
        <w:rPr>
          <w:lang w:eastAsia="zh-CN"/>
        </w:rPr>
        <w:t>–</w:t>
      </w:r>
      <w:r>
        <w:rPr>
          <w:lang w:eastAsia="zh-CN"/>
        </w:rPr>
        <w:tab/>
      </w:r>
      <w:r>
        <w:rPr>
          <w:rFonts w:hint="eastAsia"/>
          <w:lang w:eastAsia="zh-CN"/>
        </w:rPr>
        <w:t>安装启用新地点的运行费用：差旅和住宿费用，招聘新职员的费用和管理迁址项目的费用。</w:t>
      </w:r>
    </w:p>
    <w:p w14:paraId="6E2705AD" w14:textId="77777777" w:rsidR="00B80DA4" w:rsidRPr="0063347C" w:rsidRDefault="00B80DA4" w:rsidP="00B34094">
      <w:pPr>
        <w:rPr>
          <w:lang w:eastAsia="zh-CN"/>
        </w:rPr>
      </w:pPr>
      <w:r>
        <w:rPr>
          <w:lang w:eastAsia="zh-CN"/>
        </w:rPr>
        <w:t>8</w:t>
      </w:r>
      <w:r>
        <w:rPr>
          <w:lang w:val="en-US" w:eastAsia="zh-CN"/>
        </w:rPr>
        <w:t>.15</w:t>
      </w:r>
      <w:r>
        <w:rPr>
          <w:lang w:val="en-US" w:eastAsia="zh-CN"/>
        </w:rPr>
        <w:tab/>
      </w:r>
      <w:r>
        <w:rPr>
          <w:rFonts w:hint="eastAsia"/>
          <w:lang w:val="en-US" w:eastAsia="zh-CN"/>
        </w:rPr>
        <w:t>为获得估算数字，参考了</w:t>
      </w:r>
      <w:r>
        <w:rPr>
          <w:rFonts w:hint="eastAsia"/>
          <w:lang w:val="en-US" w:eastAsia="zh-CN"/>
        </w:rPr>
        <w:t>2007</w:t>
      </w:r>
      <w:r>
        <w:rPr>
          <w:rFonts w:hint="eastAsia"/>
          <w:lang w:val="en-US" w:eastAsia="zh-CN"/>
        </w:rPr>
        <w:t>年</w:t>
      </w:r>
      <w:r>
        <w:rPr>
          <w:rFonts w:hint="eastAsia"/>
          <w:lang w:val="en-US" w:eastAsia="zh-CN"/>
        </w:rPr>
        <w:t>UNHCR</w:t>
      </w:r>
      <w:r>
        <w:rPr>
          <w:rFonts w:hint="eastAsia"/>
          <w:lang w:val="en-US" w:eastAsia="zh-CN"/>
        </w:rPr>
        <w:t>部分职员迁离时发生的费用，并根据规模差异（国际电联总部整体迁离）和</w:t>
      </w:r>
      <w:r>
        <w:rPr>
          <w:rFonts w:hint="eastAsia"/>
          <w:lang w:val="en-US" w:eastAsia="zh-CN"/>
        </w:rPr>
        <w:t>2007</w:t>
      </w:r>
      <w:r>
        <w:rPr>
          <w:rFonts w:hint="eastAsia"/>
          <w:lang w:val="en-US" w:eastAsia="zh-CN"/>
        </w:rPr>
        <w:t>年以来的费用演变做了调整。</w:t>
      </w:r>
    </w:p>
    <w:p w14:paraId="6A11AC11" w14:textId="77777777" w:rsidR="00B80DA4" w:rsidRPr="0063347C" w:rsidRDefault="00B80DA4" w:rsidP="00B34094">
      <w:r>
        <w:rPr>
          <w:lang w:eastAsia="zh-CN"/>
        </w:rPr>
        <w:t>8</w:t>
      </w:r>
      <w:r>
        <w:rPr>
          <w:lang w:val="en-US" w:eastAsia="zh-CN"/>
        </w:rPr>
        <w:t>.16</w:t>
      </w:r>
      <w:r>
        <w:rPr>
          <w:lang w:val="en-US" w:eastAsia="zh-CN"/>
        </w:rPr>
        <w:tab/>
      </w:r>
      <w:r>
        <w:rPr>
          <w:rFonts w:hint="eastAsia"/>
          <w:lang w:val="en-US" w:eastAsia="zh-CN"/>
        </w:rPr>
        <w:t>现已明确下列费用：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39"/>
        <w:gridCol w:w="1985"/>
        <w:gridCol w:w="1701"/>
        <w:gridCol w:w="1813"/>
      </w:tblGrid>
      <w:tr w:rsidR="00B80DA4" w:rsidRPr="0063347C" w14:paraId="5C725314" w14:textId="77777777" w:rsidTr="000E7785">
        <w:tc>
          <w:tcPr>
            <w:tcW w:w="1838" w:type="dxa"/>
          </w:tcPr>
          <w:p w14:paraId="4302E982" w14:textId="77777777" w:rsidR="00B80DA4" w:rsidRPr="0063347C" w:rsidRDefault="00B80DA4" w:rsidP="000E7785">
            <w:pPr>
              <w:pStyle w:val="Tablehead"/>
              <w:keepNext/>
              <w:keepLines/>
              <w:rPr>
                <w:lang w:val="fr-FR"/>
              </w:rPr>
            </w:pPr>
            <w:r w:rsidRPr="0063347C">
              <w:lastRenderedPageBreak/>
              <w:br w:type="page"/>
            </w:r>
            <w:r>
              <w:rPr>
                <w:rFonts w:hint="eastAsia"/>
                <w:lang w:eastAsia="zh-CN"/>
              </w:rPr>
              <w:t>费用类别</w:t>
            </w:r>
          </w:p>
        </w:tc>
        <w:tc>
          <w:tcPr>
            <w:tcW w:w="7738" w:type="dxa"/>
            <w:gridSpan w:val="4"/>
          </w:tcPr>
          <w:p w14:paraId="61C4F831" w14:textId="77777777" w:rsidR="00B80DA4" w:rsidRPr="0063347C" w:rsidRDefault="00B80DA4" w:rsidP="000E7785">
            <w:pPr>
              <w:pStyle w:val="Tablehead"/>
              <w:keepNext/>
              <w:keepLines/>
              <w:rPr>
                <w:lang w:eastAsia="zh-CN"/>
              </w:rPr>
            </w:pPr>
            <w:r>
              <w:rPr>
                <w:rFonts w:hint="eastAsia"/>
                <w:lang w:eastAsia="zh-CN"/>
              </w:rPr>
              <w:t>估算数额（单位：千瑞郎）</w:t>
            </w:r>
          </w:p>
        </w:tc>
      </w:tr>
      <w:tr w:rsidR="00B80DA4" w:rsidRPr="0063347C" w14:paraId="153EEC99" w14:textId="77777777" w:rsidTr="000E7785">
        <w:tc>
          <w:tcPr>
            <w:tcW w:w="1838" w:type="dxa"/>
          </w:tcPr>
          <w:p w14:paraId="28EA19F5" w14:textId="77777777" w:rsidR="00B80DA4" w:rsidRPr="0063347C" w:rsidRDefault="00B80DA4" w:rsidP="000E7785">
            <w:pPr>
              <w:pStyle w:val="Tablehead"/>
              <w:keepNext/>
              <w:keepLines/>
              <w:rPr>
                <w:lang w:eastAsia="zh-CN"/>
              </w:rPr>
            </w:pPr>
          </w:p>
        </w:tc>
        <w:tc>
          <w:tcPr>
            <w:tcW w:w="2239" w:type="dxa"/>
          </w:tcPr>
          <w:p w14:paraId="37F290DD" w14:textId="77777777" w:rsidR="00B80DA4" w:rsidRPr="0063347C" w:rsidRDefault="00B80DA4" w:rsidP="000E7785">
            <w:pPr>
              <w:pStyle w:val="Tablehead"/>
              <w:keepNext/>
              <w:keepLines/>
              <w:rPr>
                <w:lang w:val="fr-FR"/>
              </w:rPr>
            </w:pPr>
            <w:r>
              <w:rPr>
                <w:rFonts w:hint="eastAsia"/>
                <w:lang w:val="fr-FR" w:eastAsia="zh-CN"/>
              </w:rPr>
              <w:t>情形</w:t>
            </w:r>
            <w:r w:rsidRPr="0063347C">
              <w:rPr>
                <w:lang w:val="fr-FR"/>
              </w:rPr>
              <w:t>1</w:t>
            </w:r>
          </w:p>
        </w:tc>
        <w:tc>
          <w:tcPr>
            <w:tcW w:w="1985" w:type="dxa"/>
          </w:tcPr>
          <w:p w14:paraId="6FAC4559" w14:textId="77777777" w:rsidR="00B80DA4" w:rsidRPr="0063347C" w:rsidRDefault="00B80DA4" w:rsidP="000E7785">
            <w:pPr>
              <w:pStyle w:val="Tablehead"/>
              <w:keepNext/>
              <w:keepLines/>
              <w:rPr>
                <w:lang w:val="fr-FR"/>
              </w:rPr>
            </w:pPr>
            <w:r>
              <w:rPr>
                <w:rFonts w:hint="eastAsia"/>
                <w:lang w:val="fr-FR" w:eastAsia="zh-CN"/>
              </w:rPr>
              <w:t>情形</w:t>
            </w:r>
            <w:r w:rsidRPr="0063347C">
              <w:rPr>
                <w:lang w:val="fr-FR"/>
              </w:rPr>
              <w:t>2</w:t>
            </w:r>
          </w:p>
        </w:tc>
        <w:tc>
          <w:tcPr>
            <w:tcW w:w="1701" w:type="dxa"/>
          </w:tcPr>
          <w:p w14:paraId="3EED6A15" w14:textId="77777777" w:rsidR="00B80DA4" w:rsidRPr="0063347C" w:rsidRDefault="00B80DA4" w:rsidP="000E7785">
            <w:pPr>
              <w:pStyle w:val="Tablehead"/>
              <w:keepNext/>
              <w:keepLines/>
              <w:rPr>
                <w:lang w:val="fr-FR"/>
              </w:rPr>
            </w:pPr>
            <w:r>
              <w:rPr>
                <w:rFonts w:hint="eastAsia"/>
                <w:lang w:val="fr-FR" w:eastAsia="zh-CN"/>
              </w:rPr>
              <w:t>情形</w:t>
            </w:r>
            <w:r w:rsidRPr="0063347C">
              <w:rPr>
                <w:lang w:val="fr-FR"/>
              </w:rPr>
              <w:t>3</w:t>
            </w:r>
          </w:p>
        </w:tc>
        <w:tc>
          <w:tcPr>
            <w:tcW w:w="1813" w:type="dxa"/>
          </w:tcPr>
          <w:p w14:paraId="350B801F" w14:textId="77777777" w:rsidR="00B80DA4" w:rsidRPr="0063347C" w:rsidRDefault="00B80DA4" w:rsidP="000E7785">
            <w:pPr>
              <w:pStyle w:val="Tablehead"/>
              <w:keepNext/>
              <w:keepLines/>
              <w:rPr>
                <w:lang w:val="fr-FR"/>
              </w:rPr>
            </w:pPr>
            <w:r>
              <w:rPr>
                <w:rFonts w:hint="eastAsia"/>
                <w:lang w:val="fr-FR" w:eastAsia="zh-CN"/>
              </w:rPr>
              <w:t>情形</w:t>
            </w:r>
            <w:r w:rsidRPr="0063347C">
              <w:rPr>
                <w:lang w:val="fr-FR"/>
              </w:rPr>
              <w:t>4</w:t>
            </w:r>
          </w:p>
        </w:tc>
      </w:tr>
      <w:tr w:rsidR="00B80DA4" w:rsidRPr="0063347C" w14:paraId="5C021586" w14:textId="77777777" w:rsidTr="000E7785">
        <w:tc>
          <w:tcPr>
            <w:tcW w:w="1838" w:type="dxa"/>
          </w:tcPr>
          <w:p w14:paraId="2A075A10" w14:textId="77777777" w:rsidR="00B80DA4" w:rsidRPr="0063347C" w:rsidRDefault="00B80DA4" w:rsidP="000E7785">
            <w:pPr>
              <w:pStyle w:val="Tabletext"/>
              <w:keepNext/>
              <w:keepLines/>
            </w:pPr>
            <w:r>
              <w:rPr>
                <w:rFonts w:hint="eastAsia"/>
                <w:lang w:eastAsia="zh-CN"/>
              </w:rPr>
              <w:t>过渡时期的人员费用</w:t>
            </w:r>
          </w:p>
        </w:tc>
        <w:tc>
          <w:tcPr>
            <w:tcW w:w="2239" w:type="dxa"/>
          </w:tcPr>
          <w:p w14:paraId="7716DF4B" w14:textId="77777777" w:rsidR="00B80DA4" w:rsidRPr="0063347C" w:rsidRDefault="00B80DA4" w:rsidP="000E7785">
            <w:pPr>
              <w:pStyle w:val="Tabletext"/>
              <w:keepNext/>
              <w:keepLines/>
              <w:jc w:val="center"/>
              <w:rPr>
                <w:lang w:val="fr-FR"/>
              </w:rPr>
            </w:pPr>
            <w:r w:rsidRPr="0063347C">
              <w:rPr>
                <w:lang w:val="fr-FR"/>
              </w:rPr>
              <w:t>22’860</w:t>
            </w:r>
          </w:p>
        </w:tc>
        <w:tc>
          <w:tcPr>
            <w:tcW w:w="1985" w:type="dxa"/>
          </w:tcPr>
          <w:p w14:paraId="43812506" w14:textId="77777777" w:rsidR="00B80DA4" w:rsidRPr="0063347C" w:rsidRDefault="00B80DA4" w:rsidP="000E7785">
            <w:pPr>
              <w:pStyle w:val="Tabletext"/>
              <w:keepNext/>
              <w:keepLines/>
              <w:jc w:val="center"/>
              <w:rPr>
                <w:lang w:val="fr-FR"/>
              </w:rPr>
            </w:pPr>
            <w:r w:rsidRPr="0063347C">
              <w:rPr>
                <w:lang w:val="fr-FR"/>
              </w:rPr>
              <w:t>16’020</w:t>
            </w:r>
          </w:p>
        </w:tc>
        <w:tc>
          <w:tcPr>
            <w:tcW w:w="1701" w:type="dxa"/>
          </w:tcPr>
          <w:p w14:paraId="4C763CDB" w14:textId="77777777" w:rsidR="00B80DA4" w:rsidRPr="0063347C" w:rsidRDefault="00B80DA4" w:rsidP="000E7785">
            <w:pPr>
              <w:pStyle w:val="Tabletext"/>
              <w:keepNext/>
              <w:keepLines/>
              <w:jc w:val="center"/>
              <w:rPr>
                <w:lang w:val="fr-FR"/>
              </w:rPr>
            </w:pPr>
            <w:r w:rsidRPr="0063347C">
              <w:rPr>
                <w:lang w:val="fr-FR"/>
              </w:rPr>
              <w:t>20’556</w:t>
            </w:r>
          </w:p>
        </w:tc>
        <w:tc>
          <w:tcPr>
            <w:tcW w:w="1813" w:type="dxa"/>
          </w:tcPr>
          <w:p w14:paraId="6F098A0D" w14:textId="77777777" w:rsidR="00B80DA4" w:rsidRPr="0063347C" w:rsidRDefault="00B80DA4" w:rsidP="000E7785">
            <w:pPr>
              <w:pStyle w:val="Tabletext"/>
              <w:keepNext/>
              <w:keepLines/>
              <w:jc w:val="center"/>
              <w:rPr>
                <w:lang w:val="fr-FR"/>
              </w:rPr>
            </w:pPr>
            <w:r w:rsidRPr="0063347C">
              <w:rPr>
                <w:lang w:val="fr-FR"/>
              </w:rPr>
              <w:t>18’300</w:t>
            </w:r>
          </w:p>
        </w:tc>
      </w:tr>
      <w:tr w:rsidR="00B80DA4" w:rsidRPr="0063347C" w14:paraId="3534E788" w14:textId="77777777" w:rsidTr="000E7785">
        <w:tc>
          <w:tcPr>
            <w:tcW w:w="1838" w:type="dxa"/>
          </w:tcPr>
          <w:p w14:paraId="570098CF" w14:textId="77777777" w:rsidR="00B80DA4" w:rsidRPr="0063347C" w:rsidRDefault="00B80DA4" w:rsidP="000E7785">
            <w:pPr>
              <w:pStyle w:val="Tabletext"/>
              <w:keepNext/>
              <w:keepLines/>
              <w:rPr>
                <w:lang w:val="fr-FR"/>
              </w:rPr>
            </w:pPr>
            <w:r>
              <w:rPr>
                <w:rFonts w:hint="eastAsia"/>
                <w:lang w:val="fr-FR" w:eastAsia="zh-CN"/>
              </w:rPr>
              <w:t>招聘和培训费用</w:t>
            </w:r>
          </w:p>
        </w:tc>
        <w:tc>
          <w:tcPr>
            <w:tcW w:w="2239" w:type="dxa"/>
          </w:tcPr>
          <w:p w14:paraId="4CF322F4" w14:textId="77777777" w:rsidR="00B80DA4" w:rsidRPr="0063347C" w:rsidRDefault="00B80DA4" w:rsidP="000E7785">
            <w:pPr>
              <w:pStyle w:val="Tabletext"/>
              <w:keepNext/>
              <w:keepLines/>
              <w:jc w:val="center"/>
              <w:rPr>
                <w:lang w:val="fr-FR"/>
              </w:rPr>
            </w:pPr>
            <w:r w:rsidRPr="0063347C">
              <w:rPr>
                <w:lang w:val="fr-FR"/>
              </w:rPr>
              <w:t>5’750</w:t>
            </w:r>
          </w:p>
        </w:tc>
        <w:tc>
          <w:tcPr>
            <w:tcW w:w="1985" w:type="dxa"/>
          </w:tcPr>
          <w:p w14:paraId="2690B7BE" w14:textId="77777777" w:rsidR="00B80DA4" w:rsidRPr="0063347C" w:rsidRDefault="00B80DA4" w:rsidP="000E7785">
            <w:pPr>
              <w:pStyle w:val="Tabletext"/>
              <w:keepNext/>
              <w:keepLines/>
              <w:jc w:val="center"/>
              <w:rPr>
                <w:lang w:val="fr-FR"/>
              </w:rPr>
            </w:pPr>
            <w:r w:rsidRPr="0063347C">
              <w:rPr>
                <w:lang w:val="fr-FR"/>
              </w:rPr>
              <w:t>3’550</w:t>
            </w:r>
          </w:p>
        </w:tc>
        <w:tc>
          <w:tcPr>
            <w:tcW w:w="1701" w:type="dxa"/>
          </w:tcPr>
          <w:p w14:paraId="18E5CA58" w14:textId="77777777" w:rsidR="00B80DA4" w:rsidRPr="0063347C" w:rsidRDefault="00B80DA4" w:rsidP="000E7785">
            <w:pPr>
              <w:pStyle w:val="Tabletext"/>
              <w:keepNext/>
              <w:keepLines/>
              <w:jc w:val="center"/>
              <w:rPr>
                <w:lang w:val="fr-FR"/>
              </w:rPr>
            </w:pPr>
            <w:r w:rsidRPr="0063347C">
              <w:rPr>
                <w:lang w:val="fr-FR"/>
              </w:rPr>
              <w:t>5’690</w:t>
            </w:r>
          </w:p>
        </w:tc>
        <w:tc>
          <w:tcPr>
            <w:tcW w:w="1813" w:type="dxa"/>
          </w:tcPr>
          <w:p w14:paraId="42904F09" w14:textId="77777777" w:rsidR="00B80DA4" w:rsidRPr="0063347C" w:rsidRDefault="00B80DA4" w:rsidP="000E7785">
            <w:pPr>
              <w:pStyle w:val="Tabletext"/>
              <w:keepNext/>
              <w:keepLines/>
              <w:jc w:val="center"/>
              <w:rPr>
                <w:lang w:val="fr-FR"/>
              </w:rPr>
            </w:pPr>
            <w:r w:rsidRPr="0063347C">
              <w:rPr>
                <w:lang w:val="fr-FR"/>
              </w:rPr>
              <w:t>3’490</w:t>
            </w:r>
          </w:p>
        </w:tc>
      </w:tr>
      <w:tr w:rsidR="00B80DA4" w:rsidRPr="0063347C" w14:paraId="581043A8" w14:textId="77777777" w:rsidTr="000E7785">
        <w:tc>
          <w:tcPr>
            <w:tcW w:w="1838" w:type="dxa"/>
          </w:tcPr>
          <w:p w14:paraId="49A32F63" w14:textId="77777777" w:rsidR="00B80DA4" w:rsidRPr="0063347C" w:rsidRDefault="00B80DA4" w:rsidP="000E7785">
            <w:pPr>
              <w:pStyle w:val="Tabletext"/>
              <w:keepNext/>
              <w:keepLines/>
              <w:rPr>
                <w:lang w:eastAsia="zh-CN"/>
              </w:rPr>
            </w:pPr>
            <w:r>
              <w:rPr>
                <w:rFonts w:hint="eastAsia"/>
                <w:lang w:eastAsia="zh-CN"/>
              </w:rPr>
              <w:t>新地点的基础设施安装和启用费用</w:t>
            </w:r>
          </w:p>
        </w:tc>
        <w:tc>
          <w:tcPr>
            <w:tcW w:w="2239" w:type="dxa"/>
          </w:tcPr>
          <w:p w14:paraId="145DC0C9" w14:textId="77777777" w:rsidR="00B80DA4" w:rsidRPr="0063347C" w:rsidRDefault="00B80DA4" w:rsidP="000E7785">
            <w:pPr>
              <w:pStyle w:val="Tabletext"/>
              <w:keepNext/>
              <w:keepLines/>
              <w:jc w:val="center"/>
              <w:rPr>
                <w:lang w:val="fr-FR"/>
              </w:rPr>
            </w:pPr>
            <w:r w:rsidRPr="0063347C">
              <w:rPr>
                <w:lang w:val="fr-FR"/>
              </w:rPr>
              <w:t>4’950</w:t>
            </w:r>
          </w:p>
        </w:tc>
        <w:tc>
          <w:tcPr>
            <w:tcW w:w="1985" w:type="dxa"/>
          </w:tcPr>
          <w:p w14:paraId="6BB98DFF" w14:textId="77777777" w:rsidR="00B80DA4" w:rsidRPr="0063347C" w:rsidRDefault="00B80DA4" w:rsidP="000E7785">
            <w:pPr>
              <w:pStyle w:val="Tabletext"/>
              <w:keepNext/>
              <w:keepLines/>
              <w:jc w:val="center"/>
              <w:rPr>
                <w:lang w:val="fr-FR"/>
              </w:rPr>
            </w:pPr>
            <w:r w:rsidRPr="0063347C">
              <w:rPr>
                <w:lang w:val="fr-FR"/>
              </w:rPr>
              <w:t>4’950</w:t>
            </w:r>
          </w:p>
        </w:tc>
        <w:tc>
          <w:tcPr>
            <w:tcW w:w="1701" w:type="dxa"/>
          </w:tcPr>
          <w:p w14:paraId="48896B91" w14:textId="77777777" w:rsidR="00B80DA4" w:rsidRPr="0063347C" w:rsidRDefault="00B80DA4" w:rsidP="000E7785">
            <w:pPr>
              <w:pStyle w:val="Tabletext"/>
              <w:keepNext/>
              <w:keepLines/>
              <w:jc w:val="center"/>
              <w:rPr>
                <w:lang w:val="fr-FR"/>
              </w:rPr>
            </w:pPr>
            <w:r w:rsidRPr="0063347C">
              <w:rPr>
                <w:lang w:val="fr-FR"/>
              </w:rPr>
              <w:t>4’950</w:t>
            </w:r>
          </w:p>
        </w:tc>
        <w:tc>
          <w:tcPr>
            <w:tcW w:w="1813" w:type="dxa"/>
          </w:tcPr>
          <w:p w14:paraId="5AF0844C" w14:textId="77777777" w:rsidR="00B80DA4" w:rsidRPr="0063347C" w:rsidRDefault="00B80DA4" w:rsidP="000E7785">
            <w:pPr>
              <w:pStyle w:val="Tabletext"/>
              <w:keepNext/>
              <w:keepLines/>
              <w:jc w:val="center"/>
              <w:rPr>
                <w:lang w:val="fr-FR"/>
              </w:rPr>
            </w:pPr>
            <w:r w:rsidRPr="0063347C">
              <w:rPr>
                <w:lang w:val="fr-FR"/>
              </w:rPr>
              <w:t>4’950</w:t>
            </w:r>
          </w:p>
        </w:tc>
      </w:tr>
      <w:tr w:rsidR="00B80DA4" w:rsidRPr="0063347C" w14:paraId="557A8E50" w14:textId="77777777" w:rsidTr="000E7785">
        <w:tc>
          <w:tcPr>
            <w:tcW w:w="1838" w:type="dxa"/>
          </w:tcPr>
          <w:p w14:paraId="03005B07" w14:textId="77777777" w:rsidR="00B80DA4" w:rsidRPr="0063347C" w:rsidRDefault="00B80DA4" w:rsidP="000E7785">
            <w:pPr>
              <w:pStyle w:val="Tabletext"/>
              <w:keepNext/>
              <w:keepLines/>
              <w:rPr>
                <w:lang w:eastAsia="zh-CN"/>
              </w:rPr>
            </w:pPr>
            <w:r>
              <w:rPr>
                <w:rFonts w:hint="eastAsia"/>
                <w:lang w:eastAsia="zh-CN"/>
              </w:rPr>
              <w:t>新地点的安装、启用、运行费用</w:t>
            </w:r>
          </w:p>
        </w:tc>
        <w:tc>
          <w:tcPr>
            <w:tcW w:w="2239" w:type="dxa"/>
          </w:tcPr>
          <w:p w14:paraId="3FB0CA99" w14:textId="77777777" w:rsidR="00B80DA4" w:rsidRPr="0063347C" w:rsidRDefault="00B80DA4" w:rsidP="000E7785">
            <w:pPr>
              <w:pStyle w:val="Tabletext"/>
              <w:keepNext/>
              <w:keepLines/>
              <w:jc w:val="center"/>
              <w:rPr>
                <w:lang w:val="fr-FR"/>
              </w:rPr>
            </w:pPr>
            <w:r w:rsidRPr="0063347C">
              <w:rPr>
                <w:lang w:val="fr-FR"/>
              </w:rPr>
              <w:t>14’001</w:t>
            </w:r>
          </w:p>
        </w:tc>
        <w:tc>
          <w:tcPr>
            <w:tcW w:w="1985" w:type="dxa"/>
          </w:tcPr>
          <w:p w14:paraId="7C592C1E" w14:textId="77777777" w:rsidR="00B80DA4" w:rsidRPr="0063347C" w:rsidRDefault="00B80DA4" w:rsidP="000E7785">
            <w:pPr>
              <w:pStyle w:val="Tabletext"/>
              <w:keepNext/>
              <w:keepLines/>
              <w:jc w:val="center"/>
              <w:rPr>
                <w:lang w:val="fr-FR"/>
              </w:rPr>
            </w:pPr>
            <w:r w:rsidRPr="0063347C">
              <w:rPr>
                <w:lang w:val="fr-FR"/>
              </w:rPr>
              <w:t>14’001</w:t>
            </w:r>
          </w:p>
        </w:tc>
        <w:tc>
          <w:tcPr>
            <w:tcW w:w="1701" w:type="dxa"/>
          </w:tcPr>
          <w:p w14:paraId="03FE7842" w14:textId="77777777" w:rsidR="00B80DA4" w:rsidRPr="0063347C" w:rsidRDefault="00B80DA4" w:rsidP="000E7785">
            <w:pPr>
              <w:pStyle w:val="Tabletext"/>
              <w:keepNext/>
              <w:keepLines/>
              <w:jc w:val="center"/>
              <w:rPr>
                <w:lang w:val="fr-FR"/>
              </w:rPr>
            </w:pPr>
            <w:r w:rsidRPr="0063347C">
              <w:rPr>
                <w:lang w:val="fr-FR"/>
              </w:rPr>
              <w:t>14’001</w:t>
            </w:r>
          </w:p>
        </w:tc>
        <w:tc>
          <w:tcPr>
            <w:tcW w:w="1813" w:type="dxa"/>
          </w:tcPr>
          <w:p w14:paraId="54582B1B" w14:textId="77777777" w:rsidR="00B80DA4" w:rsidRPr="0063347C" w:rsidRDefault="00B80DA4" w:rsidP="000E7785">
            <w:pPr>
              <w:pStyle w:val="Tabletext"/>
              <w:keepNext/>
              <w:keepLines/>
              <w:jc w:val="center"/>
              <w:rPr>
                <w:lang w:val="fr-FR"/>
              </w:rPr>
            </w:pPr>
            <w:r w:rsidRPr="0063347C">
              <w:rPr>
                <w:lang w:val="fr-FR"/>
              </w:rPr>
              <w:t>14’001</w:t>
            </w:r>
          </w:p>
        </w:tc>
      </w:tr>
      <w:tr w:rsidR="00B80DA4" w:rsidRPr="0063347C" w14:paraId="4843B062" w14:textId="77777777" w:rsidTr="000E7785">
        <w:tc>
          <w:tcPr>
            <w:tcW w:w="1838" w:type="dxa"/>
          </w:tcPr>
          <w:p w14:paraId="59B2754B" w14:textId="77777777" w:rsidR="00B80DA4" w:rsidRPr="0063347C" w:rsidRDefault="00B80DA4" w:rsidP="000E7785">
            <w:pPr>
              <w:pStyle w:val="Tabletext"/>
              <w:keepNext/>
              <w:keepLines/>
              <w:spacing w:before="120" w:after="120"/>
              <w:rPr>
                <w:b/>
                <w:bCs/>
                <w:lang w:val="fr-FR"/>
              </w:rPr>
            </w:pPr>
            <w:r>
              <w:rPr>
                <w:rFonts w:hint="eastAsia"/>
                <w:b/>
                <w:bCs/>
                <w:lang w:val="fr-FR" w:eastAsia="zh-CN"/>
              </w:rPr>
              <w:t>合计</w:t>
            </w:r>
          </w:p>
        </w:tc>
        <w:tc>
          <w:tcPr>
            <w:tcW w:w="2239" w:type="dxa"/>
          </w:tcPr>
          <w:p w14:paraId="2E4A9D1B" w14:textId="77777777" w:rsidR="00B80DA4" w:rsidRPr="0063347C" w:rsidRDefault="00B80DA4" w:rsidP="000E7785">
            <w:pPr>
              <w:pStyle w:val="Tabletext"/>
              <w:keepNext/>
              <w:keepLines/>
              <w:spacing w:before="120" w:after="120"/>
              <w:jc w:val="center"/>
              <w:rPr>
                <w:b/>
                <w:bCs/>
                <w:lang w:val="fr-FR"/>
              </w:rPr>
            </w:pPr>
            <w:r w:rsidRPr="0063347C">
              <w:rPr>
                <w:b/>
                <w:bCs/>
                <w:lang w:val="fr-FR"/>
              </w:rPr>
              <w:t>47’561</w:t>
            </w:r>
          </w:p>
        </w:tc>
        <w:tc>
          <w:tcPr>
            <w:tcW w:w="1985" w:type="dxa"/>
          </w:tcPr>
          <w:p w14:paraId="7F79ECFF" w14:textId="77777777" w:rsidR="00B80DA4" w:rsidRPr="0063347C" w:rsidRDefault="00B80DA4" w:rsidP="000E7785">
            <w:pPr>
              <w:pStyle w:val="Tabletext"/>
              <w:keepNext/>
              <w:keepLines/>
              <w:spacing w:before="120" w:after="120"/>
              <w:jc w:val="center"/>
              <w:rPr>
                <w:b/>
                <w:bCs/>
                <w:lang w:val="fr-FR"/>
              </w:rPr>
            </w:pPr>
            <w:r w:rsidRPr="0063347C">
              <w:rPr>
                <w:b/>
                <w:bCs/>
                <w:lang w:val="fr-FR"/>
              </w:rPr>
              <w:t>38’521</w:t>
            </w:r>
          </w:p>
        </w:tc>
        <w:tc>
          <w:tcPr>
            <w:tcW w:w="1701" w:type="dxa"/>
          </w:tcPr>
          <w:p w14:paraId="0385EAD3" w14:textId="77777777" w:rsidR="00B80DA4" w:rsidRPr="0063347C" w:rsidRDefault="00B80DA4" w:rsidP="000E7785">
            <w:pPr>
              <w:pStyle w:val="Tabletext"/>
              <w:keepNext/>
              <w:keepLines/>
              <w:spacing w:before="120" w:after="120"/>
              <w:jc w:val="center"/>
              <w:rPr>
                <w:b/>
                <w:bCs/>
                <w:lang w:val="fr-FR"/>
              </w:rPr>
            </w:pPr>
            <w:r w:rsidRPr="0063347C">
              <w:rPr>
                <w:b/>
                <w:bCs/>
                <w:lang w:val="fr-FR"/>
              </w:rPr>
              <w:t>45’197</w:t>
            </w:r>
          </w:p>
        </w:tc>
        <w:tc>
          <w:tcPr>
            <w:tcW w:w="1813" w:type="dxa"/>
          </w:tcPr>
          <w:p w14:paraId="438E619E" w14:textId="77777777" w:rsidR="00B80DA4" w:rsidRPr="0063347C" w:rsidRDefault="00B80DA4" w:rsidP="000E7785">
            <w:pPr>
              <w:pStyle w:val="Tabletext"/>
              <w:keepNext/>
              <w:keepLines/>
              <w:spacing w:before="120" w:after="120"/>
              <w:jc w:val="center"/>
              <w:rPr>
                <w:b/>
                <w:bCs/>
                <w:lang w:val="fr-FR"/>
              </w:rPr>
            </w:pPr>
            <w:r w:rsidRPr="0063347C">
              <w:rPr>
                <w:b/>
                <w:bCs/>
                <w:lang w:val="fr-FR"/>
              </w:rPr>
              <w:t>37’630</w:t>
            </w:r>
          </w:p>
        </w:tc>
      </w:tr>
    </w:tbl>
    <w:p w14:paraId="67D26C1A" w14:textId="77777777" w:rsidR="00B80DA4" w:rsidRPr="0063347C" w:rsidRDefault="00B80DA4" w:rsidP="00B34094">
      <w:pPr>
        <w:rPr>
          <w:lang w:eastAsia="zh-CN"/>
        </w:rPr>
      </w:pPr>
      <w:r>
        <w:rPr>
          <w:lang w:eastAsia="zh-CN"/>
        </w:rPr>
        <w:t>8</w:t>
      </w:r>
      <w:r>
        <w:rPr>
          <w:lang w:val="en-US" w:eastAsia="zh-CN"/>
        </w:rPr>
        <w:t>.17</w:t>
      </w:r>
      <w:r>
        <w:rPr>
          <w:lang w:val="en-US" w:eastAsia="zh-CN"/>
        </w:rPr>
        <w:tab/>
      </w:r>
      <w:r>
        <w:rPr>
          <w:rFonts w:hint="eastAsia"/>
          <w:lang w:val="en-US" w:eastAsia="zh-CN"/>
        </w:rPr>
        <w:t>必须采用客观比较标准，在对若干选定迁入地开展比较研究的基础上，进行更为详尽的费用估算。</w:t>
      </w:r>
    </w:p>
    <w:p w14:paraId="0E8A0CBF" w14:textId="77777777" w:rsidR="00B80DA4" w:rsidRDefault="00B80DA4" w:rsidP="00B34094">
      <w:pPr>
        <w:rPr>
          <w:lang w:eastAsia="zh-CN"/>
        </w:rPr>
      </w:pPr>
      <w:r>
        <w:rPr>
          <w:lang w:eastAsia="zh-CN"/>
        </w:rPr>
        <w:t>8</w:t>
      </w:r>
      <w:r>
        <w:rPr>
          <w:lang w:val="en-US" w:eastAsia="zh-CN"/>
        </w:rPr>
        <w:t>.18</w:t>
      </w:r>
      <w:r>
        <w:rPr>
          <w:lang w:val="en-US" w:eastAsia="zh-CN"/>
        </w:rPr>
        <w:tab/>
      </w:r>
      <w:r>
        <w:rPr>
          <w:rFonts w:hint="eastAsia"/>
          <w:lang w:val="en-US" w:eastAsia="zh-CN"/>
        </w:rPr>
        <w:t>据此，取决于最终确定的情形，离职、重组和安置费用总数将介于</w:t>
      </w:r>
      <w:r>
        <w:rPr>
          <w:rFonts w:hint="eastAsia"/>
          <w:lang w:val="en-US" w:eastAsia="zh-CN"/>
        </w:rPr>
        <w:t>1</w:t>
      </w:r>
      <w:r>
        <w:rPr>
          <w:lang w:val="en-US" w:eastAsia="zh-CN"/>
        </w:rPr>
        <w:t>.3</w:t>
      </w:r>
      <w:r>
        <w:rPr>
          <w:rFonts w:hint="eastAsia"/>
          <w:lang w:val="en-US" w:eastAsia="zh-CN"/>
        </w:rPr>
        <w:t>亿至</w:t>
      </w:r>
      <w:r>
        <w:rPr>
          <w:rFonts w:hint="eastAsia"/>
          <w:lang w:val="en-US" w:eastAsia="zh-CN"/>
        </w:rPr>
        <w:t>1</w:t>
      </w:r>
      <w:r>
        <w:rPr>
          <w:lang w:val="en-US" w:eastAsia="zh-CN"/>
        </w:rPr>
        <w:t>.75</w:t>
      </w:r>
      <w:r>
        <w:rPr>
          <w:rFonts w:hint="eastAsia"/>
          <w:lang w:val="en-US" w:eastAsia="zh-CN"/>
        </w:rPr>
        <w:t>亿瑞郎之间。</w:t>
      </w:r>
    </w:p>
    <w:p w14:paraId="6117B30F" w14:textId="77777777" w:rsidR="00B80DA4" w:rsidRPr="0088688C" w:rsidRDefault="00B80DA4" w:rsidP="00B34094">
      <w:pPr>
        <w:rPr>
          <w:lang w:eastAsia="zh-CN"/>
        </w:rPr>
      </w:pPr>
      <w:r>
        <w:rPr>
          <w:lang w:eastAsia="zh-CN"/>
        </w:rPr>
        <w:t>8</w:t>
      </w:r>
      <w:r>
        <w:rPr>
          <w:lang w:val="en-US" w:eastAsia="zh-CN"/>
        </w:rPr>
        <w:t>.19</w:t>
      </w:r>
      <w:r>
        <w:rPr>
          <w:lang w:val="en-US" w:eastAsia="zh-CN"/>
        </w:rPr>
        <w:tab/>
      </w:r>
      <w:r>
        <w:rPr>
          <w:rFonts w:hint="eastAsia"/>
          <w:lang w:val="en-US" w:eastAsia="zh-CN"/>
        </w:rPr>
        <w:t>因职员离开而造成的机构记忆和运作经验流失引发的费用以及工作流程中断导致的费用难以估算，因此未包含在本文件中。然而，这些费用具有极大的潜在影响，因为培训新职员是一项十分耗时的工作。</w:t>
      </w:r>
    </w:p>
    <w:p w14:paraId="653D1EB6" w14:textId="77777777" w:rsidR="00B80DA4" w:rsidRPr="0082383B" w:rsidRDefault="00B80DA4" w:rsidP="00B34094">
      <w:pPr>
        <w:pStyle w:val="Headingb"/>
        <w:rPr>
          <w:lang w:eastAsia="zh-CN"/>
        </w:rPr>
      </w:pPr>
      <w:r w:rsidRPr="0082383B">
        <w:rPr>
          <w:lang w:eastAsia="zh-CN"/>
        </w:rPr>
        <w:t>c</w:t>
      </w:r>
      <w:r w:rsidR="00B34094">
        <w:rPr>
          <w:lang w:eastAsia="zh-CN"/>
        </w:rPr>
        <w:t>)</w:t>
      </w:r>
      <w:r w:rsidRPr="0082383B">
        <w:rPr>
          <w:lang w:eastAsia="zh-CN"/>
        </w:rPr>
        <w:tab/>
      </w:r>
      <w:r>
        <w:rPr>
          <w:rFonts w:hint="eastAsia"/>
          <w:lang w:eastAsia="zh-CN"/>
        </w:rPr>
        <w:t>安置之后的运行费用</w:t>
      </w:r>
    </w:p>
    <w:p w14:paraId="74D02B45" w14:textId="77777777" w:rsidR="00B80DA4" w:rsidRPr="0063347C" w:rsidRDefault="00B80DA4" w:rsidP="00B34094">
      <w:pPr>
        <w:rPr>
          <w:lang w:eastAsia="zh-CN"/>
        </w:rPr>
      </w:pPr>
      <w:r>
        <w:rPr>
          <w:lang w:eastAsia="zh-CN"/>
        </w:rPr>
        <w:t>8</w:t>
      </w:r>
      <w:r>
        <w:rPr>
          <w:lang w:val="en-US" w:eastAsia="zh-CN"/>
        </w:rPr>
        <w:t>.20</w:t>
      </w:r>
      <w:r>
        <w:rPr>
          <w:lang w:val="en-US" w:eastAsia="zh-CN"/>
        </w:rPr>
        <w:tab/>
      </w:r>
      <w:r>
        <w:rPr>
          <w:rFonts w:hint="eastAsia"/>
          <w:lang w:val="en-US" w:eastAsia="zh-CN"/>
        </w:rPr>
        <w:t>安置之后的运行费用会因选定迁入地的不同而有异。以下费用将取决于国际电联总部所在的国家：</w:t>
      </w:r>
    </w:p>
    <w:p w14:paraId="7118D945" w14:textId="77777777" w:rsidR="00B80DA4" w:rsidRPr="0063347C" w:rsidRDefault="00B80DA4" w:rsidP="00B80DA4">
      <w:pPr>
        <w:pStyle w:val="enumlev1"/>
        <w:tabs>
          <w:tab w:val="clear" w:pos="567"/>
          <w:tab w:val="clear" w:pos="1134"/>
          <w:tab w:val="clear" w:pos="1701"/>
          <w:tab w:val="clear" w:pos="2268"/>
          <w:tab w:val="clear" w:pos="2835"/>
        </w:tabs>
        <w:spacing w:before="120" w:after="60"/>
        <w:ind w:left="709" w:hanging="425"/>
        <w:rPr>
          <w:lang w:eastAsia="zh-CN"/>
        </w:rPr>
      </w:pPr>
      <w:r>
        <w:rPr>
          <w:lang w:eastAsia="zh-CN"/>
        </w:rPr>
        <w:t>–</w:t>
      </w:r>
      <w:r>
        <w:rPr>
          <w:lang w:eastAsia="zh-CN"/>
        </w:rPr>
        <w:tab/>
      </w:r>
      <w:r>
        <w:rPr>
          <w:rFonts w:hint="eastAsia"/>
          <w:lang w:eastAsia="zh-CN"/>
        </w:rPr>
        <w:t>人员费用，其计算与下列方面相关：</w:t>
      </w:r>
    </w:p>
    <w:p w14:paraId="615418C9" w14:textId="77777777"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级人员的任职地点补贴调整数；</w:t>
      </w:r>
      <w:r>
        <w:rPr>
          <w:lang w:eastAsia="zh-CN"/>
        </w:rPr>
        <w:t xml:space="preserve"> </w:t>
      </w:r>
    </w:p>
    <w:p w14:paraId="7247C66F" w14:textId="77777777"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r>
      <w:r>
        <w:rPr>
          <w:rFonts w:hint="eastAsia"/>
          <w:lang w:eastAsia="zh-CN"/>
        </w:rPr>
        <w:t>当地招聘的</w:t>
      </w:r>
      <w:r>
        <w:rPr>
          <w:rFonts w:hint="eastAsia"/>
          <w:lang w:eastAsia="zh-CN"/>
        </w:rPr>
        <w:t>G</w:t>
      </w:r>
      <w:r>
        <w:rPr>
          <w:rFonts w:hint="eastAsia"/>
          <w:lang w:eastAsia="zh-CN"/>
        </w:rPr>
        <w:t>级人员费用；</w:t>
      </w:r>
    </w:p>
    <w:p w14:paraId="46949459" w14:textId="77777777"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级人员回籍假费用的变化；</w:t>
      </w:r>
    </w:p>
    <w:p w14:paraId="4D0BF645" w14:textId="77777777" w:rsidR="00B80DA4" w:rsidRPr="0063347C" w:rsidRDefault="00B80DA4" w:rsidP="00B80DA4">
      <w:pPr>
        <w:pStyle w:val="enumlev2"/>
        <w:tabs>
          <w:tab w:val="clear" w:pos="567"/>
          <w:tab w:val="clear" w:pos="1134"/>
          <w:tab w:val="clear" w:pos="1701"/>
          <w:tab w:val="clear" w:pos="2268"/>
          <w:tab w:val="clear" w:pos="2835"/>
        </w:tabs>
        <w:spacing w:before="60" w:after="60"/>
        <w:ind w:hanging="425"/>
        <w:rPr>
          <w:lang w:eastAsia="zh-CN"/>
        </w:rPr>
      </w:pPr>
      <w:r>
        <w:rPr>
          <w:lang w:eastAsia="zh-CN"/>
        </w:rPr>
        <w:t>•</w:t>
      </w:r>
      <w:r>
        <w:rPr>
          <w:lang w:eastAsia="zh-CN"/>
        </w:rPr>
        <w:tab/>
        <w:t>P</w:t>
      </w:r>
      <w:r>
        <w:rPr>
          <w:rFonts w:hint="eastAsia"/>
          <w:lang w:eastAsia="zh-CN"/>
        </w:rPr>
        <w:t>级和</w:t>
      </w:r>
      <w:r>
        <w:rPr>
          <w:rFonts w:hint="eastAsia"/>
          <w:lang w:eastAsia="zh-CN"/>
        </w:rPr>
        <w:t>D</w:t>
      </w:r>
      <w:r>
        <w:rPr>
          <w:rFonts w:hint="eastAsia"/>
          <w:lang w:eastAsia="zh-CN"/>
        </w:rPr>
        <w:t>级人员教育补助金费用的变化；</w:t>
      </w:r>
    </w:p>
    <w:p w14:paraId="5EF38A09" w14:textId="77777777" w:rsidR="00B80DA4" w:rsidRPr="0063347C" w:rsidRDefault="00B80DA4" w:rsidP="00B80DA4">
      <w:pPr>
        <w:pStyle w:val="enumlev1"/>
        <w:tabs>
          <w:tab w:val="clear" w:pos="567"/>
          <w:tab w:val="clear" w:pos="1134"/>
          <w:tab w:val="clear" w:pos="1701"/>
          <w:tab w:val="clear" w:pos="2268"/>
          <w:tab w:val="clear" w:pos="2835"/>
        </w:tabs>
        <w:spacing w:before="60" w:after="120"/>
        <w:ind w:left="709" w:hanging="425"/>
        <w:rPr>
          <w:lang w:eastAsia="zh-CN"/>
        </w:rPr>
      </w:pPr>
      <w:r>
        <w:rPr>
          <w:lang w:eastAsia="zh-CN"/>
        </w:rPr>
        <w:t>–</w:t>
      </w:r>
      <w:r>
        <w:rPr>
          <w:lang w:eastAsia="zh-CN"/>
        </w:rPr>
        <w:tab/>
      </w:r>
      <w:r>
        <w:rPr>
          <w:rFonts w:hint="eastAsia"/>
          <w:lang w:eastAsia="zh-CN"/>
        </w:rPr>
        <w:t>国际电联所用</w:t>
      </w:r>
      <w:r w:rsidRPr="004200B1">
        <w:rPr>
          <w:rFonts w:hint="eastAsia"/>
          <w:lang w:eastAsia="zh-CN"/>
        </w:rPr>
        <w:t>办公场所</w:t>
      </w:r>
      <w:r>
        <w:rPr>
          <w:rFonts w:hint="eastAsia"/>
          <w:lang w:eastAsia="zh-CN"/>
        </w:rPr>
        <w:t>的租用和维护费（取决于与东道国谈判达成的条件）。</w:t>
      </w:r>
    </w:p>
    <w:p w14:paraId="4003545C" w14:textId="77777777" w:rsidR="00B80DA4" w:rsidRPr="007825EB" w:rsidRDefault="00B80DA4" w:rsidP="00B34094">
      <w:pPr>
        <w:pStyle w:val="Headingb"/>
        <w:rPr>
          <w:lang w:eastAsia="zh-CN"/>
        </w:rPr>
      </w:pPr>
      <w:r w:rsidRPr="007825EB">
        <w:rPr>
          <w:lang w:eastAsia="zh-CN"/>
        </w:rPr>
        <w:t>d</w:t>
      </w:r>
      <w:r w:rsidR="00B34094">
        <w:rPr>
          <w:rFonts w:hint="eastAsia"/>
          <w:lang w:eastAsia="zh-CN"/>
        </w:rPr>
        <w:t>)</w:t>
      </w:r>
      <w:r w:rsidRPr="007825EB">
        <w:rPr>
          <w:lang w:eastAsia="zh-CN"/>
        </w:rPr>
        <w:tab/>
      </w:r>
      <w:r>
        <w:rPr>
          <w:rFonts w:hint="eastAsia"/>
          <w:lang w:eastAsia="zh-CN"/>
        </w:rPr>
        <w:t>迁离情况下国际电联（现有）</w:t>
      </w:r>
      <w:r w:rsidRPr="0032609B">
        <w:rPr>
          <w:rFonts w:hint="eastAsia"/>
          <w:lang w:eastAsia="zh-CN"/>
        </w:rPr>
        <w:t>办公场所</w:t>
      </w:r>
      <w:r>
        <w:rPr>
          <w:rFonts w:hint="eastAsia"/>
          <w:lang w:eastAsia="zh-CN"/>
        </w:rPr>
        <w:t>的未来</w:t>
      </w:r>
    </w:p>
    <w:p w14:paraId="5AC82623" w14:textId="77777777" w:rsidR="00B80DA4" w:rsidRPr="00066639" w:rsidRDefault="00B80DA4" w:rsidP="00B34094">
      <w:pPr>
        <w:rPr>
          <w:lang w:eastAsia="zh-CN"/>
        </w:rPr>
      </w:pPr>
      <w:r>
        <w:rPr>
          <w:lang w:eastAsia="zh-CN"/>
        </w:rPr>
        <w:t>8</w:t>
      </w:r>
      <w:r>
        <w:rPr>
          <w:lang w:val="en-US" w:eastAsia="zh-CN"/>
        </w:rPr>
        <w:t>.21</w:t>
      </w:r>
      <w:r>
        <w:rPr>
          <w:lang w:val="en-US" w:eastAsia="zh-CN"/>
        </w:rPr>
        <w:tab/>
      </w:r>
      <w:r>
        <w:rPr>
          <w:rFonts w:hint="eastAsia"/>
          <w:lang w:val="en-US" w:eastAsia="zh-CN"/>
        </w:rPr>
        <w:t>截至</w:t>
      </w:r>
      <w:r>
        <w:rPr>
          <w:rFonts w:hint="eastAsia"/>
          <w:lang w:val="en-US" w:eastAsia="zh-CN"/>
        </w:rPr>
        <w:t>2013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日，国际电联所有办公楼的净账面值为</w:t>
      </w:r>
      <w:r>
        <w:rPr>
          <w:rFonts w:hint="eastAsia"/>
          <w:lang w:val="en-US" w:eastAsia="zh-CN"/>
        </w:rPr>
        <w:t>1</w:t>
      </w:r>
      <w:r>
        <w:rPr>
          <w:lang w:val="en-US" w:eastAsia="zh-CN"/>
        </w:rPr>
        <w:t>.08</w:t>
      </w:r>
      <w:r>
        <w:rPr>
          <w:rFonts w:hint="eastAsia"/>
          <w:lang w:val="en-US" w:eastAsia="zh-CN"/>
        </w:rPr>
        <w:t>亿瑞郎，其中一部分仍为东道国贷款。具体细分如下：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B80DA4" w:rsidRPr="001C4ECA" w14:paraId="7EC5C739" w14:textId="77777777" w:rsidTr="000E7785">
        <w:tc>
          <w:tcPr>
            <w:tcW w:w="1526" w:type="dxa"/>
          </w:tcPr>
          <w:p w14:paraId="4B6BE8F4" w14:textId="77777777" w:rsidR="00B80DA4" w:rsidRPr="0063347C" w:rsidRDefault="00B80DA4" w:rsidP="000E7785">
            <w:pPr>
              <w:pStyle w:val="Tablehead"/>
              <w:keepNext/>
              <w:keepLines/>
              <w:rPr>
                <w:lang w:val="fr-FR"/>
              </w:rPr>
            </w:pPr>
            <w:r>
              <w:rPr>
                <w:rFonts w:hint="eastAsia"/>
                <w:lang w:val="fr-FR" w:eastAsia="zh-CN"/>
              </w:rPr>
              <w:lastRenderedPageBreak/>
              <w:t>办公楼</w:t>
            </w:r>
          </w:p>
        </w:tc>
        <w:tc>
          <w:tcPr>
            <w:tcW w:w="2126" w:type="dxa"/>
          </w:tcPr>
          <w:p w14:paraId="05D4A320" w14:textId="77777777" w:rsidR="001C4ECA" w:rsidRDefault="00B80DA4" w:rsidP="001C4ECA">
            <w:pPr>
              <w:pStyle w:val="Tablehead"/>
              <w:keepNext/>
              <w:keepLines/>
              <w:rPr>
                <w:lang w:eastAsia="zh-CN"/>
              </w:rPr>
            </w:pPr>
            <w:r>
              <w:rPr>
                <w:rFonts w:hint="eastAsia"/>
                <w:lang w:eastAsia="zh-CN"/>
              </w:rPr>
              <w:t>截至</w:t>
            </w:r>
            <w:r w:rsidRPr="00AF37C4">
              <w:rPr>
                <w:rFonts w:hint="eastAsia"/>
                <w:lang w:val="fr-FR" w:eastAsia="zh-CN"/>
              </w:rPr>
              <w:t>2013</w:t>
            </w:r>
            <w:r>
              <w:rPr>
                <w:rFonts w:hint="eastAsia"/>
                <w:lang w:eastAsia="zh-CN"/>
              </w:rPr>
              <w:t>年</w:t>
            </w:r>
            <w:r w:rsidRPr="00AF37C4">
              <w:rPr>
                <w:rFonts w:hint="eastAsia"/>
                <w:lang w:val="fr-FR" w:eastAsia="zh-CN"/>
              </w:rPr>
              <w:t>12</w:t>
            </w:r>
            <w:r>
              <w:rPr>
                <w:rFonts w:hint="eastAsia"/>
                <w:lang w:eastAsia="zh-CN"/>
              </w:rPr>
              <w:t>月</w:t>
            </w:r>
            <w:r w:rsidRPr="00AF37C4">
              <w:rPr>
                <w:rFonts w:hint="eastAsia"/>
                <w:lang w:val="fr-FR" w:eastAsia="zh-CN"/>
              </w:rPr>
              <w:t>31</w:t>
            </w:r>
            <w:r>
              <w:rPr>
                <w:rFonts w:hint="eastAsia"/>
                <w:lang w:eastAsia="zh-CN"/>
              </w:rPr>
              <w:t>日的净账面值</w:t>
            </w:r>
          </w:p>
          <w:p w14:paraId="4982A4DE" w14:textId="77777777" w:rsidR="00B80DA4" w:rsidRPr="00AF37C4" w:rsidRDefault="001C4ECA" w:rsidP="001C4ECA">
            <w:pPr>
              <w:pStyle w:val="Tablehead"/>
              <w:keepNext/>
              <w:keepLines/>
              <w:rPr>
                <w:lang w:val="fr-FR" w:eastAsia="zh-CN"/>
              </w:rPr>
            </w:pPr>
            <w:r>
              <w:rPr>
                <w:lang w:eastAsia="zh-CN"/>
              </w:rPr>
              <w:br/>
            </w:r>
            <w:r w:rsidR="00B80DA4" w:rsidRPr="00AF37C4">
              <w:rPr>
                <w:rFonts w:hint="eastAsia"/>
                <w:lang w:val="fr-FR" w:eastAsia="zh-CN"/>
              </w:rPr>
              <w:t>（</w:t>
            </w:r>
            <w:r w:rsidR="00B80DA4">
              <w:rPr>
                <w:rFonts w:hint="eastAsia"/>
                <w:lang w:val="fr-FR" w:eastAsia="zh-CN"/>
              </w:rPr>
              <w:t>单位：</w:t>
            </w:r>
            <w:r>
              <w:rPr>
                <w:lang w:val="fr-FR" w:eastAsia="zh-CN"/>
              </w:rPr>
              <w:br/>
            </w:r>
            <w:r w:rsidR="00B80DA4">
              <w:rPr>
                <w:rFonts w:hint="eastAsia"/>
                <w:lang w:eastAsia="zh-CN"/>
              </w:rPr>
              <w:t>千瑞郎</w:t>
            </w:r>
            <w:r w:rsidR="00B80DA4" w:rsidRPr="00AF37C4">
              <w:rPr>
                <w:rFonts w:hint="eastAsia"/>
                <w:lang w:val="fr-FR" w:eastAsia="zh-CN"/>
              </w:rPr>
              <w:t>）</w:t>
            </w:r>
          </w:p>
        </w:tc>
        <w:tc>
          <w:tcPr>
            <w:tcW w:w="1985" w:type="dxa"/>
          </w:tcPr>
          <w:p w14:paraId="33FBB2DD" w14:textId="77777777" w:rsidR="00B80DA4" w:rsidRDefault="00B80DA4" w:rsidP="000E7785">
            <w:pPr>
              <w:pStyle w:val="Tablehead"/>
              <w:keepNext/>
              <w:keepLines/>
              <w:rPr>
                <w:lang w:val="fr-FR" w:eastAsia="zh-CN"/>
              </w:rPr>
            </w:pPr>
            <w:r>
              <w:rPr>
                <w:rFonts w:hint="eastAsia"/>
                <w:lang w:val="fr-FR" w:eastAsia="zh-CN"/>
              </w:rPr>
              <w:t>截至</w:t>
            </w:r>
            <w:r>
              <w:rPr>
                <w:rFonts w:hint="eastAsia"/>
                <w:lang w:val="fr-FR" w:eastAsia="zh-CN"/>
              </w:rPr>
              <w:t>2013</w:t>
            </w:r>
            <w:r>
              <w:rPr>
                <w:rFonts w:hint="eastAsia"/>
                <w:lang w:val="fr-FR" w:eastAsia="zh-CN"/>
              </w:rPr>
              <w:t>年</w:t>
            </w:r>
            <w:r>
              <w:rPr>
                <w:rFonts w:hint="eastAsia"/>
                <w:lang w:val="fr-FR" w:eastAsia="zh-CN"/>
              </w:rPr>
              <w:t>12</w:t>
            </w:r>
            <w:r>
              <w:rPr>
                <w:rFonts w:hint="eastAsia"/>
                <w:lang w:val="fr-FR" w:eastAsia="zh-CN"/>
              </w:rPr>
              <w:t>月</w:t>
            </w:r>
            <w:r>
              <w:rPr>
                <w:rFonts w:hint="eastAsia"/>
                <w:lang w:val="fr-FR" w:eastAsia="zh-CN"/>
              </w:rPr>
              <w:t>31</w:t>
            </w:r>
            <w:r>
              <w:rPr>
                <w:rFonts w:hint="eastAsia"/>
                <w:lang w:val="fr-FR" w:eastAsia="zh-CN"/>
              </w:rPr>
              <w:t>日尚未偿还的东道国贷款</w:t>
            </w:r>
          </w:p>
          <w:p w14:paraId="5A09966F" w14:textId="77777777" w:rsidR="00B80DA4" w:rsidRPr="00AF37C4" w:rsidRDefault="00B80DA4" w:rsidP="001C4ECA">
            <w:pPr>
              <w:pStyle w:val="Tablehead"/>
              <w:keepNext/>
              <w:keepLines/>
              <w:rPr>
                <w:lang w:val="fr-FR"/>
              </w:rPr>
            </w:pPr>
            <w:r w:rsidRPr="00AF37C4">
              <w:rPr>
                <w:rFonts w:hint="eastAsia"/>
                <w:lang w:val="fr-FR" w:eastAsia="zh-CN"/>
              </w:rPr>
              <w:t>（</w:t>
            </w:r>
            <w:r>
              <w:rPr>
                <w:rFonts w:hint="eastAsia"/>
                <w:lang w:val="fr-FR" w:eastAsia="zh-CN"/>
              </w:rPr>
              <w:t>单位：</w:t>
            </w:r>
            <w:r w:rsidR="001C4ECA">
              <w:rPr>
                <w:lang w:val="fr-FR" w:eastAsia="zh-CN"/>
              </w:rPr>
              <w:br/>
            </w:r>
            <w:r>
              <w:rPr>
                <w:rFonts w:hint="eastAsia"/>
                <w:lang w:eastAsia="zh-CN"/>
              </w:rPr>
              <w:t>千瑞郎</w:t>
            </w:r>
            <w:r w:rsidRPr="00AF37C4">
              <w:rPr>
                <w:rFonts w:hint="eastAsia"/>
                <w:lang w:val="fr-FR" w:eastAsia="zh-CN"/>
              </w:rPr>
              <w:t>）</w:t>
            </w:r>
          </w:p>
        </w:tc>
        <w:tc>
          <w:tcPr>
            <w:tcW w:w="1984" w:type="dxa"/>
          </w:tcPr>
          <w:p w14:paraId="3CDD0B79" w14:textId="77777777" w:rsidR="00B80DA4" w:rsidRPr="0063347C" w:rsidRDefault="00B80DA4" w:rsidP="000E7785">
            <w:pPr>
              <w:pStyle w:val="Tablehead"/>
              <w:keepNext/>
              <w:keepLines/>
              <w:rPr>
                <w:lang w:val="fr-FR"/>
              </w:rPr>
            </w:pPr>
            <w:r>
              <w:rPr>
                <w:rFonts w:hint="eastAsia"/>
                <w:lang w:val="fr-FR" w:eastAsia="zh-CN"/>
              </w:rPr>
              <w:t>还款到期年份</w:t>
            </w:r>
          </w:p>
        </w:tc>
        <w:tc>
          <w:tcPr>
            <w:tcW w:w="1955" w:type="dxa"/>
          </w:tcPr>
          <w:p w14:paraId="070DF10F" w14:textId="77777777" w:rsidR="00B80DA4" w:rsidRDefault="00B80DA4" w:rsidP="000E7785">
            <w:pPr>
              <w:pStyle w:val="Tablehead"/>
              <w:keepNext/>
              <w:keepLines/>
              <w:rPr>
                <w:lang w:val="fr-FR" w:eastAsia="zh-CN"/>
              </w:rPr>
            </w:pPr>
            <w:r>
              <w:rPr>
                <w:lang w:val="fr-FR" w:eastAsia="zh-CN"/>
              </w:rPr>
              <w:t>2010</w:t>
            </w:r>
            <w:r>
              <w:rPr>
                <w:rFonts w:hint="eastAsia"/>
                <w:lang w:val="fr-FR" w:eastAsia="zh-CN"/>
              </w:rPr>
              <w:t>年时的</w:t>
            </w:r>
          </w:p>
          <w:p w14:paraId="3CE58698" w14:textId="77777777" w:rsidR="00B80DA4" w:rsidRDefault="00B80DA4" w:rsidP="000E7785">
            <w:pPr>
              <w:pStyle w:val="Tablehead"/>
              <w:keepNext/>
              <w:keepLines/>
              <w:rPr>
                <w:lang w:val="fr-FR" w:eastAsia="zh-CN"/>
              </w:rPr>
            </w:pPr>
            <w:r>
              <w:rPr>
                <w:rFonts w:hint="eastAsia"/>
                <w:lang w:val="fr-FR" w:eastAsia="zh-CN"/>
              </w:rPr>
              <w:t>年度估算租金</w:t>
            </w:r>
          </w:p>
          <w:p w14:paraId="4C694D42" w14:textId="77777777" w:rsidR="00B80DA4" w:rsidRPr="0063347C" w:rsidRDefault="00B80DA4" w:rsidP="001C4ECA">
            <w:pPr>
              <w:pStyle w:val="Tablehead"/>
              <w:keepNext/>
              <w:keepLines/>
              <w:rPr>
                <w:lang w:val="fr-FR" w:eastAsia="zh-CN"/>
              </w:rPr>
            </w:pPr>
            <w:r w:rsidRPr="00AF37C4">
              <w:rPr>
                <w:rFonts w:hint="eastAsia"/>
                <w:lang w:val="fr-FR" w:eastAsia="zh-CN"/>
              </w:rPr>
              <w:t>（</w:t>
            </w:r>
            <w:r>
              <w:rPr>
                <w:rFonts w:hint="eastAsia"/>
                <w:lang w:val="fr-FR" w:eastAsia="zh-CN"/>
              </w:rPr>
              <w:t>单位：</w:t>
            </w:r>
            <w:r w:rsidR="001C4ECA">
              <w:rPr>
                <w:lang w:val="fr-FR" w:eastAsia="zh-CN"/>
              </w:rPr>
              <w:br/>
            </w:r>
            <w:r>
              <w:rPr>
                <w:rFonts w:hint="eastAsia"/>
                <w:lang w:eastAsia="zh-CN"/>
              </w:rPr>
              <w:t>千瑞郎</w:t>
            </w:r>
            <w:r w:rsidRPr="00AF37C4">
              <w:rPr>
                <w:rFonts w:hint="eastAsia"/>
                <w:lang w:val="fr-FR" w:eastAsia="zh-CN"/>
              </w:rPr>
              <w:t>）</w:t>
            </w:r>
          </w:p>
        </w:tc>
      </w:tr>
      <w:tr w:rsidR="00B80DA4" w:rsidRPr="001C4ECA" w14:paraId="09A1EBDB" w14:textId="77777777" w:rsidTr="000E7785">
        <w:tc>
          <w:tcPr>
            <w:tcW w:w="1526" w:type="dxa"/>
          </w:tcPr>
          <w:p w14:paraId="0478C547" w14:textId="77777777" w:rsidR="00B80DA4" w:rsidRPr="0063347C" w:rsidRDefault="00B80DA4" w:rsidP="000E7785">
            <w:pPr>
              <w:pStyle w:val="Tabletext"/>
              <w:keepNext/>
              <w:keepLines/>
              <w:rPr>
                <w:lang w:val="fr-FR" w:eastAsia="zh-CN"/>
              </w:rPr>
            </w:pPr>
            <w:r w:rsidRPr="0063347C">
              <w:rPr>
                <w:lang w:val="fr-FR"/>
              </w:rPr>
              <w:t>Varembé</w:t>
            </w:r>
            <w:r>
              <w:rPr>
                <w:rFonts w:hint="eastAsia"/>
                <w:lang w:val="fr-FR" w:eastAsia="zh-CN"/>
              </w:rPr>
              <w:t>办公楼</w:t>
            </w:r>
          </w:p>
        </w:tc>
        <w:tc>
          <w:tcPr>
            <w:tcW w:w="2126" w:type="dxa"/>
          </w:tcPr>
          <w:p w14:paraId="2834FA1A" w14:textId="77777777" w:rsidR="00B80DA4" w:rsidRPr="0063347C" w:rsidRDefault="00B80DA4" w:rsidP="000E7785">
            <w:pPr>
              <w:pStyle w:val="Tabletext"/>
              <w:keepNext/>
              <w:keepLines/>
              <w:jc w:val="center"/>
              <w:rPr>
                <w:lang w:val="fr-FR"/>
              </w:rPr>
            </w:pPr>
            <w:r w:rsidRPr="0063347C">
              <w:rPr>
                <w:lang w:val="fr-FR"/>
              </w:rPr>
              <w:t>12’996</w:t>
            </w:r>
          </w:p>
        </w:tc>
        <w:tc>
          <w:tcPr>
            <w:tcW w:w="1985" w:type="dxa"/>
          </w:tcPr>
          <w:p w14:paraId="136B91F6" w14:textId="77777777" w:rsidR="00B80DA4" w:rsidRPr="0063347C" w:rsidRDefault="00B80DA4" w:rsidP="000E7785">
            <w:pPr>
              <w:pStyle w:val="Tabletext"/>
              <w:keepNext/>
              <w:keepLines/>
              <w:jc w:val="center"/>
              <w:rPr>
                <w:lang w:val="fr-FR"/>
              </w:rPr>
            </w:pPr>
            <w:r w:rsidRPr="0063347C">
              <w:rPr>
                <w:lang w:val="fr-FR"/>
              </w:rPr>
              <w:t>-</w:t>
            </w:r>
          </w:p>
        </w:tc>
        <w:tc>
          <w:tcPr>
            <w:tcW w:w="1984" w:type="dxa"/>
          </w:tcPr>
          <w:p w14:paraId="20CB4E08" w14:textId="77777777" w:rsidR="00B80DA4" w:rsidRPr="0063347C" w:rsidRDefault="00B80DA4" w:rsidP="000E7785">
            <w:pPr>
              <w:pStyle w:val="Tabletext"/>
              <w:keepNext/>
              <w:keepLines/>
              <w:jc w:val="center"/>
              <w:rPr>
                <w:lang w:val="fr-FR"/>
              </w:rPr>
            </w:pPr>
            <w:r w:rsidRPr="0063347C">
              <w:rPr>
                <w:lang w:val="fr-FR"/>
              </w:rPr>
              <w:t>-</w:t>
            </w:r>
          </w:p>
        </w:tc>
        <w:tc>
          <w:tcPr>
            <w:tcW w:w="1955" w:type="dxa"/>
          </w:tcPr>
          <w:p w14:paraId="327D3D35" w14:textId="77777777" w:rsidR="00B80DA4" w:rsidRPr="0063347C" w:rsidRDefault="00B80DA4" w:rsidP="000E7785">
            <w:pPr>
              <w:pStyle w:val="Tabletext"/>
              <w:keepNext/>
              <w:keepLines/>
              <w:jc w:val="center"/>
              <w:rPr>
                <w:lang w:val="fr-FR"/>
              </w:rPr>
            </w:pPr>
            <w:r w:rsidRPr="0063347C">
              <w:rPr>
                <w:lang w:val="fr-FR"/>
              </w:rPr>
              <w:t>5’470</w:t>
            </w:r>
          </w:p>
        </w:tc>
      </w:tr>
      <w:tr w:rsidR="00B80DA4" w:rsidRPr="001C4ECA" w14:paraId="4087AD78" w14:textId="77777777" w:rsidTr="000E7785">
        <w:tc>
          <w:tcPr>
            <w:tcW w:w="1526" w:type="dxa"/>
          </w:tcPr>
          <w:p w14:paraId="23E1DC9E" w14:textId="77777777" w:rsidR="00B80DA4" w:rsidRPr="0063347C" w:rsidRDefault="00B80DA4" w:rsidP="000E7785">
            <w:pPr>
              <w:pStyle w:val="Tabletext"/>
              <w:keepNext/>
              <w:keepLines/>
              <w:rPr>
                <w:lang w:val="fr-FR" w:eastAsia="zh-CN"/>
              </w:rPr>
            </w:pPr>
            <w:r>
              <w:rPr>
                <w:rFonts w:hint="eastAsia"/>
                <w:lang w:val="fr-FR" w:eastAsia="zh-CN"/>
              </w:rPr>
              <w:t>塔楼及地下室</w:t>
            </w:r>
          </w:p>
        </w:tc>
        <w:tc>
          <w:tcPr>
            <w:tcW w:w="2126" w:type="dxa"/>
          </w:tcPr>
          <w:p w14:paraId="2AD96BBF" w14:textId="77777777" w:rsidR="00B80DA4" w:rsidRPr="0063347C" w:rsidRDefault="00B80DA4" w:rsidP="000E7785">
            <w:pPr>
              <w:pStyle w:val="Tabletext"/>
              <w:keepNext/>
              <w:keepLines/>
              <w:jc w:val="center"/>
              <w:rPr>
                <w:lang w:val="fr-FR"/>
              </w:rPr>
            </w:pPr>
            <w:r w:rsidRPr="0063347C">
              <w:rPr>
                <w:lang w:val="fr-FR"/>
              </w:rPr>
              <w:t>41’494</w:t>
            </w:r>
          </w:p>
        </w:tc>
        <w:tc>
          <w:tcPr>
            <w:tcW w:w="1985" w:type="dxa"/>
          </w:tcPr>
          <w:p w14:paraId="720749C3" w14:textId="77777777" w:rsidR="00B80DA4" w:rsidRPr="0063347C" w:rsidRDefault="00B80DA4" w:rsidP="000E7785">
            <w:pPr>
              <w:pStyle w:val="Tabletext"/>
              <w:keepNext/>
              <w:keepLines/>
              <w:jc w:val="center"/>
              <w:rPr>
                <w:lang w:val="fr-FR"/>
              </w:rPr>
            </w:pPr>
            <w:r w:rsidRPr="0063347C">
              <w:rPr>
                <w:lang w:val="fr-FR"/>
              </w:rPr>
              <w:t>12’227</w:t>
            </w:r>
          </w:p>
        </w:tc>
        <w:tc>
          <w:tcPr>
            <w:tcW w:w="1984" w:type="dxa"/>
          </w:tcPr>
          <w:p w14:paraId="1CA5B3B4" w14:textId="77777777" w:rsidR="00B80DA4" w:rsidRPr="0063347C" w:rsidRDefault="00B80DA4" w:rsidP="000E7785">
            <w:pPr>
              <w:pStyle w:val="Tabletext"/>
              <w:keepNext/>
              <w:keepLines/>
              <w:jc w:val="center"/>
              <w:rPr>
                <w:lang w:val="fr-FR"/>
              </w:rPr>
            </w:pPr>
            <w:r w:rsidRPr="0063347C">
              <w:rPr>
                <w:lang w:val="fr-FR"/>
              </w:rPr>
              <w:t>2039</w:t>
            </w:r>
          </w:p>
        </w:tc>
        <w:tc>
          <w:tcPr>
            <w:tcW w:w="1955" w:type="dxa"/>
          </w:tcPr>
          <w:p w14:paraId="1BEBCF98" w14:textId="77777777" w:rsidR="00B80DA4" w:rsidRPr="0063347C" w:rsidRDefault="00B80DA4" w:rsidP="000E7785">
            <w:pPr>
              <w:pStyle w:val="Tabletext"/>
              <w:keepNext/>
              <w:keepLines/>
              <w:jc w:val="center"/>
              <w:rPr>
                <w:lang w:val="fr-FR"/>
              </w:rPr>
            </w:pPr>
            <w:r w:rsidRPr="0063347C">
              <w:rPr>
                <w:lang w:val="fr-FR"/>
              </w:rPr>
              <w:t>3’677</w:t>
            </w:r>
          </w:p>
        </w:tc>
      </w:tr>
      <w:tr w:rsidR="00B80DA4" w:rsidRPr="0063347C" w14:paraId="48B5C80E" w14:textId="77777777" w:rsidTr="000E7785">
        <w:tc>
          <w:tcPr>
            <w:tcW w:w="1526" w:type="dxa"/>
          </w:tcPr>
          <w:p w14:paraId="3016B7BA" w14:textId="77777777" w:rsidR="00B80DA4" w:rsidRPr="0063347C" w:rsidRDefault="00B80DA4" w:rsidP="000E7785">
            <w:pPr>
              <w:pStyle w:val="Tabletext"/>
              <w:keepNext/>
              <w:keepLines/>
              <w:rPr>
                <w:lang w:val="fr-FR" w:eastAsia="zh-CN"/>
              </w:rPr>
            </w:pPr>
            <w:r w:rsidRPr="0063347C">
              <w:rPr>
                <w:lang w:val="fr-FR"/>
              </w:rPr>
              <w:t>Montbrillant</w:t>
            </w:r>
            <w:r>
              <w:rPr>
                <w:rFonts w:hint="eastAsia"/>
                <w:lang w:val="fr-FR" w:eastAsia="zh-CN"/>
              </w:rPr>
              <w:t>办公楼</w:t>
            </w:r>
          </w:p>
        </w:tc>
        <w:tc>
          <w:tcPr>
            <w:tcW w:w="2126" w:type="dxa"/>
          </w:tcPr>
          <w:p w14:paraId="729319F5" w14:textId="77777777" w:rsidR="00B80DA4" w:rsidRPr="0063347C" w:rsidRDefault="00B80DA4" w:rsidP="000E7785">
            <w:pPr>
              <w:pStyle w:val="Tabletext"/>
              <w:keepNext/>
              <w:keepLines/>
              <w:jc w:val="center"/>
              <w:rPr>
                <w:lang w:val="fr-FR"/>
              </w:rPr>
            </w:pPr>
            <w:r w:rsidRPr="0063347C">
              <w:rPr>
                <w:lang w:val="fr-FR"/>
              </w:rPr>
              <w:t>45’221</w:t>
            </w:r>
          </w:p>
        </w:tc>
        <w:tc>
          <w:tcPr>
            <w:tcW w:w="1985" w:type="dxa"/>
          </w:tcPr>
          <w:p w14:paraId="1057BF79" w14:textId="77777777" w:rsidR="00B80DA4" w:rsidRPr="0063347C" w:rsidRDefault="00B80DA4" w:rsidP="000E7785">
            <w:pPr>
              <w:pStyle w:val="Tabletext"/>
              <w:keepNext/>
              <w:keepLines/>
              <w:jc w:val="center"/>
              <w:rPr>
                <w:lang w:val="fr-FR"/>
              </w:rPr>
            </w:pPr>
            <w:r w:rsidRPr="0063347C">
              <w:rPr>
                <w:lang w:val="fr-FR"/>
              </w:rPr>
              <w:t>34’525</w:t>
            </w:r>
          </w:p>
        </w:tc>
        <w:tc>
          <w:tcPr>
            <w:tcW w:w="1984" w:type="dxa"/>
          </w:tcPr>
          <w:p w14:paraId="115934FD" w14:textId="77777777" w:rsidR="00B80DA4" w:rsidRPr="0063347C" w:rsidRDefault="00B80DA4" w:rsidP="000E7785">
            <w:pPr>
              <w:pStyle w:val="Tabletext"/>
              <w:keepNext/>
              <w:keepLines/>
              <w:jc w:val="center"/>
              <w:rPr>
                <w:lang w:val="fr-FR"/>
              </w:rPr>
            </w:pPr>
            <w:r w:rsidRPr="0063347C">
              <w:rPr>
                <w:lang w:val="fr-FR"/>
              </w:rPr>
              <w:t>2051</w:t>
            </w:r>
          </w:p>
        </w:tc>
        <w:tc>
          <w:tcPr>
            <w:tcW w:w="1955" w:type="dxa"/>
          </w:tcPr>
          <w:p w14:paraId="265291F2" w14:textId="77777777" w:rsidR="00B80DA4" w:rsidRPr="0063347C" w:rsidRDefault="00B80DA4" w:rsidP="000E7785">
            <w:pPr>
              <w:pStyle w:val="Tabletext"/>
              <w:keepNext/>
              <w:keepLines/>
              <w:jc w:val="center"/>
              <w:rPr>
                <w:lang w:val="fr-FR"/>
              </w:rPr>
            </w:pPr>
            <w:r w:rsidRPr="0063347C">
              <w:rPr>
                <w:lang w:val="fr-FR"/>
              </w:rPr>
              <w:t>4’527</w:t>
            </w:r>
          </w:p>
        </w:tc>
      </w:tr>
      <w:tr w:rsidR="00B80DA4" w:rsidRPr="0063347C" w14:paraId="6CE76D8E" w14:textId="77777777" w:rsidTr="000E7785">
        <w:tc>
          <w:tcPr>
            <w:tcW w:w="1526" w:type="dxa"/>
          </w:tcPr>
          <w:p w14:paraId="00C8A472" w14:textId="77777777" w:rsidR="00B80DA4" w:rsidRPr="0063347C" w:rsidRDefault="00B80DA4" w:rsidP="000E7785">
            <w:pPr>
              <w:pStyle w:val="Tabletext"/>
              <w:keepNext/>
              <w:keepLines/>
              <w:rPr>
                <w:lang w:val="fr-FR"/>
              </w:rPr>
            </w:pPr>
            <w:r>
              <w:rPr>
                <w:rFonts w:hint="eastAsia"/>
                <w:lang w:val="fr-FR" w:eastAsia="zh-CN"/>
              </w:rPr>
              <w:t>咖啡厅及</w:t>
            </w:r>
            <w:r>
              <w:rPr>
                <w:rFonts w:hint="eastAsia"/>
                <w:lang w:val="fr-FR" w:eastAsia="zh-CN"/>
              </w:rPr>
              <w:t>C</w:t>
            </w:r>
            <w:r>
              <w:rPr>
                <w:rFonts w:hint="eastAsia"/>
                <w:lang w:val="fr-FR" w:eastAsia="zh-CN"/>
              </w:rPr>
              <w:t>翼</w:t>
            </w:r>
          </w:p>
        </w:tc>
        <w:tc>
          <w:tcPr>
            <w:tcW w:w="2126" w:type="dxa"/>
          </w:tcPr>
          <w:p w14:paraId="2C595759" w14:textId="77777777" w:rsidR="00B80DA4" w:rsidRPr="0063347C" w:rsidRDefault="00B80DA4" w:rsidP="000E7785">
            <w:pPr>
              <w:pStyle w:val="Tabletext"/>
              <w:keepNext/>
              <w:keepLines/>
              <w:jc w:val="center"/>
              <w:rPr>
                <w:lang w:val="fr-FR"/>
              </w:rPr>
            </w:pPr>
            <w:r w:rsidRPr="0063347C">
              <w:rPr>
                <w:lang w:val="fr-FR"/>
              </w:rPr>
              <w:t>8’935</w:t>
            </w:r>
          </w:p>
        </w:tc>
        <w:tc>
          <w:tcPr>
            <w:tcW w:w="1985" w:type="dxa"/>
          </w:tcPr>
          <w:p w14:paraId="7A78B211" w14:textId="77777777" w:rsidR="00B80DA4" w:rsidRPr="0063347C" w:rsidRDefault="00B80DA4" w:rsidP="000E7785">
            <w:pPr>
              <w:pStyle w:val="Tabletext"/>
              <w:keepNext/>
              <w:keepLines/>
              <w:jc w:val="center"/>
              <w:rPr>
                <w:lang w:val="fr-FR"/>
              </w:rPr>
            </w:pPr>
            <w:r w:rsidRPr="0063347C">
              <w:rPr>
                <w:lang w:val="fr-FR"/>
              </w:rPr>
              <w:t>1’520</w:t>
            </w:r>
          </w:p>
        </w:tc>
        <w:tc>
          <w:tcPr>
            <w:tcW w:w="1984" w:type="dxa"/>
          </w:tcPr>
          <w:p w14:paraId="03543F7C" w14:textId="77777777" w:rsidR="00B80DA4" w:rsidRPr="0063347C" w:rsidRDefault="00B80DA4" w:rsidP="000E7785">
            <w:pPr>
              <w:pStyle w:val="Tabletext"/>
              <w:keepNext/>
              <w:keepLines/>
              <w:jc w:val="center"/>
              <w:rPr>
                <w:lang w:val="fr-FR"/>
              </w:rPr>
            </w:pPr>
            <w:r w:rsidRPr="0063347C">
              <w:rPr>
                <w:lang w:val="fr-FR"/>
              </w:rPr>
              <w:t>2051</w:t>
            </w:r>
          </w:p>
        </w:tc>
        <w:tc>
          <w:tcPr>
            <w:tcW w:w="1955" w:type="dxa"/>
          </w:tcPr>
          <w:p w14:paraId="5214394F" w14:textId="77777777" w:rsidR="00B80DA4" w:rsidRPr="0063347C" w:rsidRDefault="00B80DA4" w:rsidP="000E7785">
            <w:pPr>
              <w:pStyle w:val="Tabletext"/>
              <w:keepNext/>
              <w:keepLines/>
              <w:jc w:val="center"/>
              <w:rPr>
                <w:lang w:val="fr-FR"/>
              </w:rPr>
            </w:pPr>
            <w:r w:rsidRPr="0063347C">
              <w:rPr>
                <w:lang w:val="fr-FR"/>
              </w:rPr>
              <w:t>445</w:t>
            </w:r>
          </w:p>
        </w:tc>
      </w:tr>
      <w:tr w:rsidR="00B80DA4" w:rsidRPr="007825EB" w14:paraId="4DEC9F87" w14:textId="77777777" w:rsidTr="000E7785">
        <w:tc>
          <w:tcPr>
            <w:tcW w:w="1526" w:type="dxa"/>
          </w:tcPr>
          <w:p w14:paraId="0562D9F9" w14:textId="77777777" w:rsidR="00B80DA4" w:rsidRPr="007825EB" w:rsidRDefault="00B80DA4" w:rsidP="000E7785">
            <w:pPr>
              <w:pStyle w:val="Tabletext"/>
              <w:spacing w:before="120" w:after="120"/>
              <w:rPr>
                <w:b/>
                <w:bCs/>
                <w:lang w:val="fr-FR"/>
              </w:rPr>
            </w:pPr>
            <w:r>
              <w:rPr>
                <w:rFonts w:hint="eastAsia"/>
                <w:b/>
                <w:bCs/>
                <w:lang w:val="fr-FR" w:eastAsia="zh-CN"/>
              </w:rPr>
              <w:t>合计</w:t>
            </w:r>
          </w:p>
        </w:tc>
        <w:tc>
          <w:tcPr>
            <w:tcW w:w="2126" w:type="dxa"/>
          </w:tcPr>
          <w:p w14:paraId="3C50E2D3" w14:textId="77777777" w:rsidR="00B80DA4" w:rsidRPr="007825EB" w:rsidRDefault="00B80DA4" w:rsidP="000E7785">
            <w:pPr>
              <w:pStyle w:val="Tabletext"/>
              <w:spacing w:before="120" w:after="120"/>
              <w:jc w:val="center"/>
              <w:rPr>
                <w:b/>
                <w:bCs/>
                <w:lang w:val="fr-FR"/>
              </w:rPr>
            </w:pPr>
            <w:r w:rsidRPr="007825EB">
              <w:rPr>
                <w:b/>
                <w:bCs/>
                <w:lang w:val="fr-FR"/>
              </w:rPr>
              <w:t>108’646</w:t>
            </w:r>
          </w:p>
        </w:tc>
        <w:tc>
          <w:tcPr>
            <w:tcW w:w="1985" w:type="dxa"/>
          </w:tcPr>
          <w:p w14:paraId="061A896E" w14:textId="77777777" w:rsidR="00B80DA4" w:rsidRPr="007825EB" w:rsidRDefault="00B80DA4" w:rsidP="000E7785">
            <w:pPr>
              <w:pStyle w:val="Tabletext"/>
              <w:spacing w:before="120" w:after="120"/>
              <w:jc w:val="center"/>
              <w:rPr>
                <w:b/>
                <w:bCs/>
                <w:lang w:val="fr-FR"/>
              </w:rPr>
            </w:pPr>
            <w:r w:rsidRPr="007825EB">
              <w:rPr>
                <w:b/>
                <w:bCs/>
                <w:lang w:val="fr-FR"/>
              </w:rPr>
              <w:t>48’273</w:t>
            </w:r>
          </w:p>
        </w:tc>
        <w:tc>
          <w:tcPr>
            <w:tcW w:w="1984" w:type="dxa"/>
          </w:tcPr>
          <w:p w14:paraId="4316ED18" w14:textId="77777777" w:rsidR="00B80DA4" w:rsidRPr="007825EB" w:rsidRDefault="00B80DA4" w:rsidP="000E7785">
            <w:pPr>
              <w:pStyle w:val="Tabletext"/>
              <w:spacing w:before="120" w:after="120"/>
              <w:jc w:val="center"/>
              <w:rPr>
                <w:b/>
                <w:bCs/>
                <w:lang w:val="fr-FR"/>
              </w:rPr>
            </w:pPr>
          </w:p>
        </w:tc>
        <w:tc>
          <w:tcPr>
            <w:tcW w:w="1955" w:type="dxa"/>
          </w:tcPr>
          <w:p w14:paraId="61928B08" w14:textId="77777777" w:rsidR="00B80DA4" w:rsidRPr="007825EB" w:rsidRDefault="00B80DA4" w:rsidP="000E7785">
            <w:pPr>
              <w:pStyle w:val="Tabletext"/>
              <w:spacing w:before="120" w:after="120"/>
              <w:jc w:val="center"/>
              <w:rPr>
                <w:b/>
                <w:bCs/>
                <w:lang w:val="fr-FR"/>
              </w:rPr>
            </w:pPr>
            <w:r w:rsidRPr="007825EB">
              <w:rPr>
                <w:b/>
                <w:bCs/>
                <w:lang w:val="fr-FR"/>
              </w:rPr>
              <w:t>14’120</w:t>
            </w:r>
          </w:p>
        </w:tc>
      </w:tr>
    </w:tbl>
    <w:p w14:paraId="09B0CDEC" w14:textId="77777777" w:rsidR="00B80DA4" w:rsidRPr="00857502" w:rsidRDefault="00B80DA4" w:rsidP="00B80DA4">
      <w:pPr>
        <w:spacing w:before="240" w:after="120"/>
        <w:rPr>
          <w:rFonts w:asciiTheme="minorHAnsi" w:eastAsia="STKaiti" w:hAnsiTheme="minorHAnsi"/>
          <w:iCs/>
          <w:lang w:val="en-US"/>
        </w:rPr>
      </w:pPr>
      <w:r w:rsidRPr="00857502">
        <w:rPr>
          <w:rFonts w:asciiTheme="minorHAnsi" w:eastAsia="STKaiti" w:hAnsiTheme="minorHAnsi"/>
          <w:iCs/>
          <w:lang w:val="en-US"/>
        </w:rPr>
        <w:t>C</w:t>
      </w:r>
      <w:r w:rsidRPr="00857502">
        <w:rPr>
          <w:rFonts w:asciiTheme="minorHAnsi" w:eastAsia="STKaiti" w:hAnsiTheme="minorHAnsi"/>
          <w:iCs/>
          <w:lang w:val="en-US" w:eastAsia="zh-CN"/>
        </w:rPr>
        <w:t>翼包含连接</w:t>
      </w:r>
      <w:r w:rsidRPr="00857502">
        <w:rPr>
          <w:rFonts w:asciiTheme="minorHAnsi" w:eastAsia="STKaiti" w:hAnsiTheme="minorHAnsi"/>
          <w:iCs/>
          <w:lang w:val="en-US"/>
        </w:rPr>
        <w:t>Varembé</w:t>
      </w:r>
      <w:r w:rsidRPr="00857502">
        <w:rPr>
          <w:rFonts w:asciiTheme="minorHAnsi" w:eastAsia="STKaiti" w:hAnsiTheme="minorHAnsi"/>
          <w:iCs/>
          <w:lang w:val="en-US" w:eastAsia="zh-CN"/>
        </w:rPr>
        <w:t>与</w:t>
      </w:r>
      <w:r w:rsidRPr="00857502">
        <w:rPr>
          <w:rFonts w:asciiTheme="minorHAnsi" w:eastAsia="STKaiti" w:hAnsiTheme="minorHAnsi"/>
          <w:iCs/>
          <w:lang w:val="en-US"/>
        </w:rPr>
        <w:t>Montbrillant</w:t>
      </w:r>
      <w:r w:rsidRPr="00857502">
        <w:rPr>
          <w:rFonts w:asciiTheme="minorHAnsi" w:eastAsia="STKaiti" w:hAnsiTheme="minorHAnsi"/>
          <w:iCs/>
          <w:lang w:val="en-US" w:eastAsia="zh-CN"/>
        </w:rPr>
        <w:t>办公楼的区域。</w:t>
      </w:r>
    </w:p>
    <w:p w14:paraId="5ED87BF9" w14:textId="77777777" w:rsidR="00B80DA4" w:rsidRPr="0063347C" w:rsidRDefault="00B80DA4" w:rsidP="008E2C7A">
      <w:pPr>
        <w:rPr>
          <w:lang w:eastAsia="zh-CN"/>
        </w:rPr>
      </w:pPr>
      <w:r>
        <w:rPr>
          <w:lang w:eastAsia="zh-CN"/>
        </w:rPr>
        <w:t>8</w:t>
      </w:r>
      <w:r>
        <w:rPr>
          <w:lang w:val="en-US" w:eastAsia="zh-CN"/>
        </w:rPr>
        <w:t>.22</w:t>
      </w:r>
      <w:r>
        <w:rPr>
          <w:lang w:val="en-US" w:eastAsia="zh-CN"/>
        </w:rPr>
        <w:tab/>
      </w:r>
      <w:r>
        <w:rPr>
          <w:rFonts w:hint="eastAsia"/>
          <w:lang w:val="en-US" w:eastAsia="zh-CN"/>
        </w:rPr>
        <w:t>如果国际电联迁离日内瓦，最为可能的情形则是向第三方转让“地上权”并出售办公楼，但前提是尊重法律规定的、日内瓦州拥有的优先购买权（</w:t>
      </w:r>
      <w:r>
        <w:rPr>
          <w:lang w:eastAsia="zh-CN"/>
        </w:rPr>
        <w:t>right of first refusal</w:t>
      </w:r>
      <w:r>
        <w:rPr>
          <w:rFonts w:hint="eastAsia"/>
          <w:lang w:eastAsia="zh-CN"/>
        </w:rPr>
        <w:t>），但拥有与国际电联相同或类似法律地位的买家除外（见第</w:t>
      </w:r>
      <w:r>
        <w:rPr>
          <w:lang w:val="en-US" w:eastAsia="zh-CN"/>
        </w:rPr>
        <w:t>8.4.4</w:t>
      </w:r>
      <w:r>
        <w:rPr>
          <w:rFonts w:hint="eastAsia"/>
          <w:lang w:val="en-US" w:eastAsia="zh-CN"/>
        </w:rPr>
        <w:t>段所述的法律方面问题）。</w:t>
      </w:r>
    </w:p>
    <w:p w14:paraId="3218E3DD" w14:textId="77777777" w:rsidR="00B80DA4" w:rsidRPr="0063347C" w:rsidRDefault="00B80DA4" w:rsidP="008E2C7A">
      <w:pPr>
        <w:rPr>
          <w:lang w:eastAsia="zh-CN"/>
        </w:rPr>
      </w:pPr>
      <w:r>
        <w:rPr>
          <w:lang w:eastAsia="zh-CN"/>
        </w:rPr>
        <w:t>8</w:t>
      </w:r>
      <w:r>
        <w:rPr>
          <w:lang w:val="en-US" w:eastAsia="zh-CN"/>
        </w:rPr>
        <w:t>.23</w:t>
      </w:r>
      <w:r>
        <w:rPr>
          <w:lang w:val="en-US" w:eastAsia="zh-CN"/>
        </w:rPr>
        <w:tab/>
      </w:r>
      <w:r>
        <w:rPr>
          <w:rFonts w:hint="eastAsia"/>
          <w:lang w:val="en-US" w:eastAsia="zh-CN"/>
        </w:rPr>
        <w:t>如欲进行这笔交易，应考虑到国际电联已为建造和翻修其办公场所接受东道国提供的若干笔贷款，在</w:t>
      </w:r>
      <w:r>
        <w:rPr>
          <w:rFonts w:hint="eastAsia"/>
          <w:lang w:val="en-US" w:eastAsia="zh-CN"/>
        </w:rPr>
        <w:t>2039</w:t>
      </w:r>
      <w:r>
        <w:rPr>
          <w:rFonts w:hint="eastAsia"/>
          <w:lang w:val="en-US" w:eastAsia="zh-CN"/>
        </w:rPr>
        <w:t>年和</w:t>
      </w:r>
      <w:r>
        <w:rPr>
          <w:rFonts w:hint="eastAsia"/>
          <w:lang w:val="en-US" w:eastAsia="zh-CN"/>
        </w:rPr>
        <w:t>20</w:t>
      </w:r>
      <w:r>
        <w:rPr>
          <w:lang w:val="en-US" w:eastAsia="zh-CN"/>
        </w:rPr>
        <w:t>51</w:t>
      </w:r>
      <w:r>
        <w:rPr>
          <w:rFonts w:hint="eastAsia"/>
          <w:lang w:val="en-US" w:eastAsia="zh-CN"/>
        </w:rPr>
        <w:t>年底之前，每年均须按计划偿还。截至</w:t>
      </w:r>
      <w:r>
        <w:rPr>
          <w:rFonts w:hint="eastAsia"/>
          <w:lang w:val="en-US" w:eastAsia="zh-CN"/>
        </w:rPr>
        <w:t>2013</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日，尚有总计为</w:t>
      </w:r>
      <w:r>
        <w:rPr>
          <w:rFonts w:hint="eastAsia"/>
          <w:lang w:val="en-US" w:eastAsia="zh-CN"/>
        </w:rPr>
        <w:t>4 830</w:t>
      </w:r>
      <w:r>
        <w:rPr>
          <w:rFonts w:hint="eastAsia"/>
          <w:lang w:val="en-US" w:eastAsia="zh-CN"/>
        </w:rPr>
        <w:t>万瑞郎的东道国贷款尚未偿还。该贷款为无息贷款，国际电联每年偿还本金约</w:t>
      </w:r>
      <w:r>
        <w:rPr>
          <w:rFonts w:hint="eastAsia"/>
          <w:lang w:val="en-US" w:eastAsia="zh-CN"/>
        </w:rPr>
        <w:t>150</w:t>
      </w:r>
      <w:r>
        <w:rPr>
          <w:rFonts w:hint="eastAsia"/>
          <w:lang w:val="en-US" w:eastAsia="zh-CN"/>
        </w:rPr>
        <w:t>万瑞郎。出售国际电联总部办公楼将为国际电联生成净收入，因此，可采用售楼所得资金减去东道国剩余贷款数额的方式偿付贷款。</w:t>
      </w:r>
    </w:p>
    <w:p w14:paraId="7FEA580B" w14:textId="77777777" w:rsidR="00B80DA4" w:rsidRDefault="00B80DA4" w:rsidP="008E2C7A">
      <w:pPr>
        <w:rPr>
          <w:lang w:eastAsia="zh-CN"/>
        </w:rPr>
      </w:pPr>
      <w:r>
        <w:rPr>
          <w:lang w:eastAsia="zh-CN"/>
        </w:rPr>
        <w:t>8</w:t>
      </w:r>
      <w:r>
        <w:rPr>
          <w:lang w:val="en-US" w:eastAsia="zh-CN"/>
        </w:rPr>
        <w:t>.24</w:t>
      </w:r>
      <w:r>
        <w:rPr>
          <w:lang w:val="en-US" w:eastAsia="zh-CN"/>
        </w:rPr>
        <w:tab/>
      </w:r>
      <w:r>
        <w:rPr>
          <w:rFonts w:hint="eastAsia"/>
          <w:lang w:val="en-US" w:eastAsia="zh-CN"/>
        </w:rPr>
        <w:t>如将办公楼出租，则应参考</w:t>
      </w:r>
      <w:r w:rsidRPr="0063347C">
        <w:rPr>
          <w:lang w:eastAsia="zh-CN"/>
        </w:rPr>
        <w:t>Acanthe</w:t>
      </w:r>
      <w:r>
        <w:rPr>
          <w:rFonts w:hint="eastAsia"/>
          <w:lang w:eastAsia="zh-CN"/>
        </w:rPr>
        <w:t>公司</w:t>
      </w:r>
      <w:r>
        <w:rPr>
          <w:rFonts w:hint="eastAsia"/>
          <w:lang w:eastAsia="zh-CN"/>
        </w:rPr>
        <w:t>2010</w:t>
      </w:r>
      <w:r>
        <w:rPr>
          <w:rFonts w:hint="eastAsia"/>
          <w:lang w:eastAsia="zh-CN"/>
        </w:rPr>
        <w:t>年国际电联办公楼评审报告。该报告对现有条件下的所有办公楼的总租金估算是</w:t>
      </w:r>
      <w:r>
        <w:rPr>
          <w:rFonts w:hint="eastAsia"/>
          <w:lang w:eastAsia="zh-CN"/>
        </w:rPr>
        <w:t>1 410</w:t>
      </w:r>
      <w:r>
        <w:rPr>
          <w:rFonts w:hint="eastAsia"/>
          <w:lang w:eastAsia="zh-CN"/>
        </w:rPr>
        <w:t>万瑞郎。如按市场价出租国际电联办公楼，则必须对其进行修缮。这些修缮导致的更多费用须予以考虑。</w:t>
      </w:r>
    </w:p>
    <w:p w14:paraId="5C409821" w14:textId="77777777" w:rsidR="00B80DA4" w:rsidRPr="00236327" w:rsidRDefault="00B80DA4" w:rsidP="00EC1B7F">
      <w:pPr>
        <w:pStyle w:val="Heading2"/>
        <w:rPr>
          <w:lang w:eastAsia="zh-CN"/>
        </w:rPr>
      </w:pPr>
      <w:r>
        <w:rPr>
          <w:rFonts w:hint="eastAsia"/>
          <w:lang w:eastAsia="zh-CN"/>
        </w:rPr>
        <w:t>B</w:t>
      </w:r>
      <w:r>
        <w:rPr>
          <w:rFonts w:hint="eastAsia"/>
          <w:lang w:eastAsia="zh-CN"/>
        </w:rPr>
        <w:tab/>
      </w:r>
      <w:r>
        <w:rPr>
          <w:rFonts w:hint="eastAsia"/>
          <w:lang w:eastAsia="zh-CN"/>
        </w:rPr>
        <w:t>项目的时间安排</w:t>
      </w:r>
    </w:p>
    <w:p w14:paraId="351906D3" w14:textId="77777777" w:rsidR="00B80DA4" w:rsidRDefault="00B80DA4" w:rsidP="00EC1B7F">
      <w:pPr>
        <w:rPr>
          <w:lang w:eastAsia="zh-CN"/>
        </w:rPr>
      </w:pPr>
      <w:r>
        <w:rPr>
          <w:lang w:eastAsia="zh-CN"/>
        </w:rPr>
        <w:t>8</w:t>
      </w:r>
      <w:r>
        <w:rPr>
          <w:lang w:val="en-US" w:eastAsia="zh-CN"/>
        </w:rPr>
        <w:t>.25</w:t>
      </w:r>
      <w:r>
        <w:rPr>
          <w:lang w:val="en-US" w:eastAsia="zh-CN"/>
        </w:rPr>
        <w:tab/>
      </w:r>
      <w:r>
        <w:rPr>
          <w:rFonts w:hint="eastAsia"/>
          <w:lang w:val="en-US" w:eastAsia="zh-CN"/>
        </w:rPr>
        <w:t>如果</w:t>
      </w:r>
      <w:r w:rsidRPr="0063347C">
        <w:rPr>
          <w:lang w:eastAsia="zh-CN"/>
        </w:rPr>
        <w:t>PP-14</w:t>
      </w:r>
      <w:r>
        <w:rPr>
          <w:rFonts w:hint="eastAsia"/>
          <w:lang w:eastAsia="zh-CN"/>
        </w:rPr>
        <w:t>决定国际电联迁离日内瓦，则项目可在</w:t>
      </w:r>
      <w:r>
        <w:rPr>
          <w:rFonts w:hint="eastAsia"/>
          <w:lang w:eastAsia="zh-CN"/>
        </w:rPr>
        <w:t>2016-2019</w:t>
      </w:r>
      <w:r>
        <w:rPr>
          <w:rFonts w:hint="eastAsia"/>
          <w:lang w:eastAsia="zh-CN"/>
        </w:rPr>
        <w:t>年财务规划期内实施。预计搬迁和安置工作可持续两年，外加为新总部办公楼采购设备的时间。在提交</w:t>
      </w:r>
      <w:r>
        <w:rPr>
          <w:rFonts w:hint="eastAsia"/>
          <w:lang w:eastAsia="zh-CN"/>
        </w:rPr>
        <w:t>PP-14</w:t>
      </w:r>
      <w:r>
        <w:rPr>
          <w:rFonts w:hint="eastAsia"/>
          <w:lang w:eastAsia="zh-CN"/>
        </w:rPr>
        <w:t>的</w:t>
      </w:r>
      <w:r>
        <w:rPr>
          <w:rFonts w:hint="eastAsia"/>
          <w:lang w:eastAsia="zh-CN"/>
        </w:rPr>
        <w:t>2016-2019</w:t>
      </w:r>
      <w:r>
        <w:rPr>
          <w:rFonts w:hint="eastAsia"/>
          <w:lang w:eastAsia="zh-CN"/>
        </w:rPr>
        <w:t>年财务规划草案中未包含这些费用。</w:t>
      </w:r>
    </w:p>
    <w:p w14:paraId="1C27A884" w14:textId="77777777" w:rsidR="00B80DA4" w:rsidRPr="00236327" w:rsidRDefault="00B80DA4" w:rsidP="00EC1B7F">
      <w:pPr>
        <w:pStyle w:val="Heading2"/>
        <w:rPr>
          <w:lang w:eastAsia="zh-CN"/>
        </w:rPr>
      </w:pPr>
      <w:r>
        <w:rPr>
          <w:lang w:eastAsia="zh-CN"/>
        </w:rPr>
        <w:t>C</w:t>
      </w:r>
      <w:r>
        <w:rPr>
          <w:lang w:eastAsia="zh-CN"/>
        </w:rPr>
        <w:tab/>
      </w:r>
      <w:r>
        <w:rPr>
          <w:rFonts w:hint="eastAsia"/>
          <w:lang w:eastAsia="zh-CN"/>
        </w:rPr>
        <w:t>长期影响</w:t>
      </w:r>
    </w:p>
    <w:p w14:paraId="38789DF4" w14:textId="77777777" w:rsidR="00B80DA4" w:rsidRPr="0063347C" w:rsidRDefault="00B80DA4" w:rsidP="00EC1B7F">
      <w:pPr>
        <w:rPr>
          <w:lang w:eastAsia="zh-CN"/>
        </w:rPr>
      </w:pPr>
      <w:r>
        <w:rPr>
          <w:lang w:eastAsia="zh-CN"/>
        </w:rPr>
        <w:t>8</w:t>
      </w:r>
      <w:r>
        <w:rPr>
          <w:lang w:val="en-US" w:eastAsia="zh-CN"/>
        </w:rPr>
        <w:t>.26</w:t>
      </w:r>
      <w:r>
        <w:rPr>
          <w:lang w:val="en-US" w:eastAsia="zh-CN"/>
        </w:rPr>
        <w:tab/>
      </w:r>
      <w:r>
        <w:rPr>
          <w:rFonts w:hint="eastAsia"/>
          <w:lang w:val="en-US" w:eastAsia="zh-CN"/>
        </w:rPr>
        <w:t>此方案在极短期内会产生重大的财务和人力资源费用。较长期的财务益处取决于东道国给予的条件以及新地点的情况。</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B80DA4" w:rsidRPr="0063347C" w14:paraId="57EC6189" w14:textId="77777777" w:rsidTr="009B0229">
        <w:trPr>
          <w:jc w:val="center"/>
        </w:trPr>
        <w:tc>
          <w:tcPr>
            <w:tcW w:w="7308" w:type="dxa"/>
            <w:gridSpan w:val="3"/>
          </w:tcPr>
          <w:p w14:paraId="065076DB" w14:textId="77777777" w:rsidR="00B80DA4" w:rsidRPr="0063347C" w:rsidRDefault="00B80DA4" w:rsidP="000E7785">
            <w:pPr>
              <w:pStyle w:val="Tablehead"/>
              <w:keepNext/>
              <w:keepLines/>
              <w:rPr>
                <w:lang w:eastAsia="zh-CN"/>
              </w:rPr>
            </w:pPr>
            <w:r>
              <w:rPr>
                <w:rFonts w:hint="eastAsia"/>
                <w:lang w:eastAsia="zh-CN"/>
              </w:rPr>
              <w:lastRenderedPageBreak/>
              <w:t>国际电联总部迁离日内瓦的费用概览</w:t>
            </w:r>
          </w:p>
        </w:tc>
      </w:tr>
      <w:tr w:rsidR="00B80DA4" w:rsidRPr="003A21D4" w14:paraId="3D38F4AB" w14:textId="77777777" w:rsidTr="009B0229">
        <w:trPr>
          <w:jc w:val="center"/>
        </w:trPr>
        <w:tc>
          <w:tcPr>
            <w:tcW w:w="2344" w:type="dxa"/>
          </w:tcPr>
          <w:p w14:paraId="2266A488" w14:textId="77777777" w:rsidR="00B80DA4" w:rsidRPr="0063347C" w:rsidRDefault="00B80DA4" w:rsidP="000E7785">
            <w:pPr>
              <w:pStyle w:val="Tablehead"/>
              <w:keepNext/>
              <w:keepLines/>
              <w:rPr>
                <w:lang w:val="fr-FR"/>
              </w:rPr>
            </w:pPr>
            <w:r>
              <w:rPr>
                <w:rFonts w:hint="eastAsia"/>
                <w:lang w:val="fr-FR" w:eastAsia="zh-CN"/>
              </w:rPr>
              <w:t>费用类别</w:t>
            </w:r>
          </w:p>
        </w:tc>
        <w:tc>
          <w:tcPr>
            <w:tcW w:w="2584" w:type="dxa"/>
          </w:tcPr>
          <w:p w14:paraId="56C2AE20" w14:textId="77777777" w:rsidR="00B80DA4" w:rsidRPr="0063347C" w:rsidRDefault="00B80DA4" w:rsidP="000E7785">
            <w:pPr>
              <w:pStyle w:val="Tablehead"/>
              <w:keepNext/>
              <w:keepLines/>
              <w:rPr>
                <w:lang w:val="fr-FR" w:eastAsia="zh-CN"/>
              </w:rPr>
            </w:pPr>
            <w:r>
              <w:rPr>
                <w:rFonts w:hint="eastAsia"/>
                <w:lang w:val="fr-FR" w:eastAsia="zh-CN"/>
              </w:rPr>
              <w:t>年度费用</w:t>
            </w:r>
            <w:r>
              <w:rPr>
                <w:lang w:val="fr-FR" w:eastAsia="zh-CN"/>
              </w:rPr>
              <w:br/>
            </w:r>
            <w:r>
              <w:rPr>
                <w:rFonts w:hint="eastAsia"/>
                <w:lang w:val="fr-FR" w:eastAsia="zh-CN"/>
              </w:rPr>
              <w:t>（单位：千瑞郎）</w:t>
            </w:r>
          </w:p>
        </w:tc>
        <w:tc>
          <w:tcPr>
            <w:tcW w:w="2380" w:type="dxa"/>
          </w:tcPr>
          <w:p w14:paraId="059EEEB9" w14:textId="77777777" w:rsidR="00B80DA4" w:rsidRPr="0063347C" w:rsidRDefault="00B80DA4" w:rsidP="000E7785">
            <w:pPr>
              <w:pStyle w:val="Tablehead"/>
              <w:keepNext/>
              <w:keepLines/>
              <w:rPr>
                <w:lang w:val="fr-FR"/>
              </w:rPr>
            </w:pPr>
            <w:r>
              <w:rPr>
                <w:rFonts w:hint="eastAsia"/>
                <w:lang w:val="fr-FR" w:eastAsia="zh-CN"/>
              </w:rPr>
              <w:t>涉及的时间段</w:t>
            </w:r>
          </w:p>
        </w:tc>
      </w:tr>
      <w:tr w:rsidR="00B80DA4" w:rsidRPr="003A21D4" w14:paraId="4B23B121" w14:textId="77777777" w:rsidTr="009B0229">
        <w:trPr>
          <w:jc w:val="center"/>
        </w:trPr>
        <w:tc>
          <w:tcPr>
            <w:tcW w:w="2344" w:type="dxa"/>
          </w:tcPr>
          <w:p w14:paraId="4D0F0635" w14:textId="77777777" w:rsidR="00B80DA4" w:rsidRPr="0063347C" w:rsidRDefault="00B80DA4" w:rsidP="000E7785">
            <w:pPr>
              <w:pStyle w:val="Tabletext"/>
              <w:keepNext/>
              <w:keepLines/>
              <w:rPr>
                <w:lang w:val="fr-FR"/>
              </w:rPr>
            </w:pPr>
            <w:r>
              <w:rPr>
                <w:rFonts w:hint="eastAsia"/>
                <w:lang w:val="fr-FR" w:eastAsia="zh-CN"/>
              </w:rPr>
              <w:t>离职赔偿金</w:t>
            </w:r>
          </w:p>
        </w:tc>
        <w:tc>
          <w:tcPr>
            <w:tcW w:w="2584" w:type="dxa"/>
          </w:tcPr>
          <w:p w14:paraId="546E0109" w14:textId="77777777" w:rsidR="00B80DA4" w:rsidRPr="0063347C" w:rsidRDefault="00B80DA4" w:rsidP="000E7785">
            <w:pPr>
              <w:pStyle w:val="Tabletext"/>
              <w:keepNext/>
              <w:keepLines/>
              <w:rPr>
                <w:lang w:val="fr-FR"/>
              </w:rPr>
            </w:pPr>
            <w:r>
              <w:rPr>
                <w:lang w:val="fr-FR"/>
              </w:rPr>
              <w:t>9 200</w:t>
            </w:r>
            <w:r>
              <w:rPr>
                <w:rFonts w:hint="eastAsia"/>
                <w:lang w:val="fr-FR" w:eastAsia="zh-CN"/>
              </w:rPr>
              <w:t>万至</w:t>
            </w:r>
            <w:r>
              <w:rPr>
                <w:rFonts w:hint="eastAsia"/>
                <w:lang w:val="fr-FR" w:eastAsia="zh-CN"/>
              </w:rPr>
              <w:t>1</w:t>
            </w:r>
            <w:r>
              <w:rPr>
                <w:lang w:val="en-US" w:eastAsia="zh-CN"/>
              </w:rPr>
              <w:t>.27</w:t>
            </w:r>
            <w:r>
              <w:rPr>
                <w:rFonts w:hint="eastAsia"/>
                <w:lang w:val="en-US" w:eastAsia="zh-CN"/>
              </w:rPr>
              <w:t>亿瑞郎</w:t>
            </w:r>
          </w:p>
        </w:tc>
        <w:tc>
          <w:tcPr>
            <w:tcW w:w="2380" w:type="dxa"/>
          </w:tcPr>
          <w:p w14:paraId="1B2A91AF" w14:textId="77777777" w:rsidR="00B80DA4" w:rsidRPr="003A21D4" w:rsidRDefault="00B80DA4" w:rsidP="000E7785">
            <w:pPr>
              <w:pStyle w:val="Tabletext"/>
              <w:keepNext/>
              <w:keepLines/>
              <w:rPr>
                <w:lang w:val="fr-FR" w:eastAsia="zh-CN"/>
              </w:rPr>
            </w:pPr>
            <w:r>
              <w:rPr>
                <w:rFonts w:hint="eastAsia"/>
                <w:lang w:val="fr-FR" w:eastAsia="zh-CN"/>
              </w:rPr>
              <w:t>一次性费用。取决于选择的时间安排</w:t>
            </w:r>
          </w:p>
        </w:tc>
      </w:tr>
      <w:tr w:rsidR="00B80DA4" w:rsidRPr="0063347C" w14:paraId="45036BF6" w14:textId="77777777" w:rsidTr="009B0229">
        <w:trPr>
          <w:jc w:val="center"/>
        </w:trPr>
        <w:tc>
          <w:tcPr>
            <w:tcW w:w="2344" w:type="dxa"/>
          </w:tcPr>
          <w:p w14:paraId="334F0E90" w14:textId="77777777" w:rsidR="00B80DA4" w:rsidRPr="0063347C" w:rsidRDefault="00B80DA4" w:rsidP="000E7785">
            <w:pPr>
              <w:pStyle w:val="Tabletext"/>
              <w:keepNext/>
              <w:keepLines/>
              <w:rPr>
                <w:lang w:val="fr-FR"/>
              </w:rPr>
            </w:pPr>
            <w:r>
              <w:rPr>
                <w:rFonts w:hint="eastAsia"/>
                <w:lang w:val="fr-FR" w:eastAsia="zh-CN"/>
              </w:rPr>
              <w:t>安置费用</w:t>
            </w:r>
          </w:p>
        </w:tc>
        <w:tc>
          <w:tcPr>
            <w:tcW w:w="2584" w:type="dxa"/>
          </w:tcPr>
          <w:p w14:paraId="7AEE8067" w14:textId="77777777" w:rsidR="00B80DA4" w:rsidRPr="00BA4A54" w:rsidRDefault="00B80DA4" w:rsidP="000E7785">
            <w:pPr>
              <w:pStyle w:val="Tabletext"/>
              <w:keepNext/>
              <w:keepLines/>
              <w:rPr>
                <w:lang w:val="en-US"/>
              </w:rPr>
            </w:pPr>
            <w:r w:rsidRPr="00BA4A54">
              <w:rPr>
                <w:lang w:val="en-US"/>
              </w:rPr>
              <w:t>3 800</w:t>
            </w:r>
            <w:r>
              <w:rPr>
                <w:rFonts w:hint="eastAsia"/>
                <w:lang w:val="fr-FR" w:eastAsia="zh-CN"/>
              </w:rPr>
              <w:t>万至</w:t>
            </w:r>
            <w:r w:rsidRPr="00BA4A54">
              <w:rPr>
                <w:rFonts w:hint="eastAsia"/>
                <w:lang w:val="en-US" w:eastAsia="zh-CN"/>
              </w:rPr>
              <w:t>4 800</w:t>
            </w:r>
            <w:r>
              <w:rPr>
                <w:rFonts w:hint="eastAsia"/>
                <w:lang w:val="fr-FR" w:eastAsia="zh-CN"/>
              </w:rPr>
              <w:t>万瑞郎</w:t>
            </w:r>
          </w:p>
        </w:tc>
        <w:tc>
          <w:tcPr>
            <w:tcW w:w="2380" w:type="dxa"/>
          </w:tcPr>
          <w:p w14:paraId="2AC0E44F" w14:textId="77777777" w:rsidR="00B80DA4" w:rsidRPr="00CB4337" w:rsidRDefault="00B80DA4" w:rsidP="000E7785">
            <w:pPr>
              <w:pStyle w:val="Tabletext"/>
              <w:keepNext/>
              <w:keepLines/>
              <w:rPr>
                <w:lang w:val="en-US" w:eastAsia="zh-CN"/>
              </w:rPr>
            </w:pPr>
            <w:r>
              <w:rPr>
                <w:rFonts w:hint="eastAsia"/>
                <w:lang w:val="en-US" w:eastAsia="zh-CN"/>
              </w:rPr>
              <w:t>在两至三年内均有费用，</w:t>
            </w:r>
            <w:r>
              <w:rPr>
                <w:rFonts w:hint="eastAsia"/>
                <w:lang w:val="fr-FR" w:eastAsia="zh-CN"/>
              </w:rPr>
              <w:t>取决于选择的时间安排</w:t>
            </w:r>
          </w:p>
        </w:tc>
      </w:tr>
      <w:tr w:rsidR="00B80DA4" w:rsidRPr="007825EB" w14:paraId="2AB31855" w14:textId="77777777" w:rsidTr="009B0229">
        <w:trPr>
          <w:jc w:val="center"/>
        </w:trPr>
        <w:tc>
          <w:tcPr>
            <w:tcW w:w="2344" w:type="dxa"/>
          </w:tcPr>
          <w:p w14:paraId="2F519E3A" w14:textId="77777777" w:rsidR="00B80DA4" w:rsidRPr="007825EB" w:rsidRDefault="00B80DA4" w:rsidP="000E7785">
            <w:pPr>
              <w:pStyle w:val="Tabletext"/>
              <w:keepNext/>
              <w:keepLines/>
              <w:spacing w:before="120" w:after="120"/>
              <w:rPr>
                <w:b/>
                <w:bCs/>
                <w:lang w:val="fr-FR"/>
              </w:rPr>
            </w:pPr>
            <w:r>
              <w:rPr>
                <w:rFonts w:hint="eastAsia"/>
                <w:b/>
                <w:bCs/>
                <w:lang w:val="fr-FR" w:eastAsia="zh-CN"/>
              </w:rPr>
              <w:t>合计</w:t>
            </w:r>
          </w:p>
        </w:tc>
        <w:tc>
          <w:tcPr>
            <w:tcW w:w="2584" w:type="dxa"/>
          </w:tcPr>
          <w:p w14:paraId="692FD316" w14:textId="77777777" w:rsidR="00B80DA4" w:rsidRPr="007825EB" w:rsidRDefault="00B80DA4" w:rsidP="000E7785">
            <w:pPr>
              <w:pStyle w:val="Tabletext"/>
              <w:keepNext/>
              <w:keepLines/>
              <w:spacing w:before="120" w:after="120"/>
              <w:rPr>
                <w:b/>
                <w:bCs/>
                <w:lang w:val="fr-FR"/>
              </w:rPr>
            </w:pPr>
            <w:r>
              <w:rPr>
                <w:b/>
                <w:bCs/>
                <w:lang w:val="fr-FR"/>
              </w:rPr>
              <w:t>1</w:t>
            </w:r>
            <w:r>
              <w:rPr>
                <w:b/>
                <w:bCs/>
                <w:lang w:val="en-US"/>
              </w:rPr>
              <w:t>.3</w:t>
            </w:r>
            <w:r>
              <w:rPr>
                <w:rFonts w:hint="eastAsia"/>
                <w:b/>
                <w:bCs/>
                <w:lang w:val="en-US" w:eastAsia="zh-CN"/>
              </w:rPr>
              <w:t>至</w:t>
            </w:r>
            <w:r>
              <w:rPr>
                <w:rFonts w:hint="eastAsia"/>
                <w:b/>
                <w:bCs/>
                <w:lang w:val="en-US" w:eastAsia="zh-CN"/>
              </w:rPr>
              <w:t>1</w:t>
            </w:r>
            <w:r>
              <w:rPr>
                <w:b/>
                <w:bCs/>
                <w:lang w:val="en-US" w:eastAsia="zh-CN"/>
              </w:rPr>
              <w:t>.75</w:t>
            </w:r>
            <w:r>
              <w:rPr>
                <w:rFonts w:hint="eastAsia"/>
                <w:b/>
                <w:bCs/>
                <w:lang w:val="en-US" w:eastAsia="zh-CN"/>
              </w:rPr>
              <w:t>亿瑞郎</w:t>
            </w:r>
          </w:p>
        </w:tc>
        <w:tc>
          <w:tcPr>
            <w:tcW w:w="2380" w:type="dxa"/>
          </w:tcPr>
          <w:p w14:paraId="6AC1DFC9" w14:textId="77777777" w:rsidR="00B80DA4" w:rsidRPr="007825EB" w:rsidRDefault="00B80DA4" w:rsidP="000E7785">
            <w:pPr>
              <w:pStyle w:val="Tabletext"/>
              <w:keepNext/>
              <w:keepLines/>
              <w:spacing w:before="120" w:after="120"/>
              <w:rPr>
                <w:b/>
                <w:bCs/>
                <w:lang w:val="fr-FR"/>
              </w:rPr>
            </w:pPr>
          </w:p>
        </w:tc>
      </w:tr>
    </w:tbl>
    <w:p w14:paraId="33B94773" w14:textId="77777777" w:rsidR="00B80DA4" w:rsidRDefault="00B80DA4" w:rsidP="009B0229">
      <w:pPr>
        <w:pStyle w:val="ListParagraph"/>
        <w:spacing w:before="240" w:after="120"/>
        <w:ind w:left="0" w:firstLineChars="200" w:firstLine="480"/>
        <w:contextualSpacing w:val="0"/>
        <w:rPr>
          <w:rFonts w:eastAsia="STKaiti"/>
          <w:iCs/>
          <w:lang w:eastAsia="zh-CN"/>
        </w:rPr>
      </w:pPr>
      <w:bookmarkStart w:id="13" w:name="_InMacro_"/>
      <w:bookmarkEnd w:id="13"/>
      <w:r w:rsidRPr="000F6506">
        <w:rPr>
          <w:rFonts w:eastAsia="STKaiti"/>
          <w:iCs/>
          <w:lang w:eastAsia="zh-CN"/>
        </w:rPr>
        <w:t>这些费用不包括设在新东道国的总部</w:t>
      </w:r>
      <w:r w:rsidRPr="0047321F">
        <w:rPr>
          <w:rFonts w:eastAsia="STKaiti"/>
          <w:iCs/>
          <w:lang w:eastAsia="zh-CN"/>
        </w:rPr>
        <w:t>办公场</w:t>
      </w:r>
      <w:r w:rsidRPr="0047321F">
        <w:rPr>
          <w:rFonts w:eastAsia="STKaiti" w:hint="eastAsia"/>
          <w:iCs/>
          <w:lang w:eastAsia="zh-CN"/>
        </w:rPr>
        <w:t>所</w:t>
      </w:r>
      <w:r w:rsidRPr="000F6506">
        <w:rPr>
          <w:rFonts w:eastAsia="STKaiti"/>
          <w:iCs/>
          <w:lang w:eastAsia="zh-CN"/>
        </w:rPr>
        <w:t>所</w:t>
      </w:r>
      <w:r>
        <w:rPr>
          <w:rFonts w:eastAsia="STKaiti" w:hint="eastAsia"/>
          <w:iCs/>
          <w:lang w:eastAsia="zh-CN"/>
        </w:rPr>
        <w:t>需</w:t>
      </w:r>
      <w:r w:rsidRPr="000F6506">
        <w:rPr>
          <w:rFonts w:eastAsia="STKaiti"/>
          <w:iCs/>
          <w:lang w:eastAsia="zh-CN"/>
        </w:rPr>
        <w:t>的设施采购、租用和</w:t>
      </w:r>
      <w:r w:rsidRPr="000F6506">
        <w:rPr>
          <w:rFonts w:eastAsia="STKaiti"/>
          <w:iCs/>
          <w:lang w:eastAsia="zh-CN"/>
        </w:rPr>
        <w:t>/</w:t>
      </w:r>
      <w:r w:rsidRPr="000F6506">
        <w:rPr>
          <w:rFonts w:eastAsia="STKaiti"/>
          <w:iCs/>
          <w:lang w:eastAsia="zh-CN"/>
        </w:rPr>
        <w:t>或维护费用。然而，在收到</w:t>
      </w:r>
      <w:r>
        <w:rPr>
          <w:rFonts w:eastAsia="STKaiti" w:hint="eastAsia"/>
          <w:iCs/>
          <w:lang w:eastAsia="zh-CN"/>
        </w:rPr>
        <w:t>国际电联</w:t>
      </w:r>
      <w:r w:rsidRPr="000F6506">
        <w:rPr>
          <w:rFonts w:eastAsia="STKaiti"/>
          <w:iCs/>
          <w:lang w:eastAsia="zh-CN"/>
        </w:rPr>
        <w:t>可接受的</w:t>
      </w:r>
      <w:r>
        <w:rPr>
          <w:rFonts w:eastAsia="STKaiti" w:hint="eastAsia"/>
          <w:iCs/>
          <w:lang w:eastAsia="zh-CN"/>
        </w:rPr>
        <w:t>意向之</w:t>
      </w:r>
      <w:r w:rsidRPr="000F6506">
        <w:rPr>
          <w:rFonts w:eastAsia="STKaiti"/>
          <w:iCs/>
          <w:lang w:eastAsia="zh-CN"/>
        </w:rPr>
        <w:t>前，无法确认</w:t>
      </w:r>
      <w:r>
        <w:rPr>
          <w:rFonts w:eastAsia="STKaiti" w:hint="eastAsia"/>
          <w:iCs/>
          <w:lang w:eastAsia="zh-CN"/>
        </w:rPr>
        <w:t>是否</w:t>
      </w:r>
      <w:r w:rsidRPr="000F6506">
        <w:rPr>
          <w:rFonts w:eastAsia="STKaiti"/>
          <w:iCs/>
          <w:lang w:eastAsia="zh-CN"/>
        </w:rPr>
        <w:t>可在免除这些费用的条件下</w:t>
      </w:r>
      <w:r>
        <w:rPr>
          <w:rFonts w:eastAsia="STKaiti" w:hint="eastAsia"/>
          <w:iCs/>
          <w:lang w:eastAsia="zh-CN"/>
        </w:rPr>
        <w:t>向</w:t>
      </w:r>
      <w:r w:rsidRPr="000F6506">
        <w:rPr>
          <w:rFonts w:eastAsia="STKaiti"/>
          <w:iCs/>
          <w:lang w:eastAsia="zh-CN"/>
        </w:rPr>
        <w:t>国际电联提供</w:t>
      </w:r>
      <w:r>
        <w:rPr>
          <w:rFonts w:eastAsia="STKaiti" w:hint="eastAsia"/>
          <w:iCs/>
          <w:lang w:eastAsia="zh-CN"/>
        </w:rPr>
        <w:t>相关</w:t>
      </w:r>
      <w:r w:rsidRPr="000F6506">
        <w:rPr>
          <w:rFonts w:eastAsia="STKaiti"/>
          <w:iCs/>
          <w:lang w:eastAsia="zh-CN"/>
        </w:rPr>
        <w:t>办公楼。在</w:t>
      </w:r>
      <w:r>
        <w:rPr>
          <w:rFonts w:eastAsia="STKaiti" w:hint="eastAsia"/>
          <w:iCs/>
          <w:lang w:eastAsia="zh-CN"/>
        </w:rPr>
        <w:t>没有有关未来潜在地点信息的</w:t>
      </w:r>
      <w:r w:rsidRPr="000F6506">
        <w:rPr>
          <w:rFonts w:eastAsia="STKaiti"/>
          <w:iCs/>
          <w:lang w:eastAsia="zh-CN"/>
        </w:rPr>
        <w:t>情况下，无法对这些费用做出切合实际的估算。</w:t>
      </w:r>
    </w:p>
    <w:p w14:paraId="65F6E70F" w14:textId="77777777" w:rsidR="00B80DA4" w:rsidRPr="0047321F" w:rsidRDefault="00B80DA4" w:rsidP="002021DD">
      <w:pPr>
        <w:pStyle w:val="Heading2"/>
        <w:rPr>
          <w:rFonts w:eastAsia="STKaiti"/>
          <w:iCs/>
          <w:lang w:eastAsia="zh-CN"/>
        </w:rPr>
      </w:pPr>
      <w:r>
        <w:rPr>
          <w:lang w:val="en-US" w:eastAsia="zh-CN"/>
        </w:rPr>
        <w:t>D</w:t>
      </w:r>
      <w:r>
        <w:rPr>
          <w:lang w:val="en-US" w:eastAsia="zh-CN"/>
        </w:rPr>
        <w:tab/>
      </w:r>
      <w:r>
        <w:rPr>
          <w:rFonts w:hint="eastAsia"/>
          <w:lang w:val="en-US" w:eastAsia="zh-CN"/>
        </w:rPr>
        <w:t>法律方面</w:t>
      </w:r>
    </w:p>
    <w:p w14:paraId="4C0B13F3" w14:textId="77777777" w:rsidR="00B80DA4" w:rsidRPr="0063347C" w:rsidRDefault="00B80DA4" w:rsidP="002021DD">
      <w:pPr>
        <w:rPr>
          <w:lang w:eastAsia="zh-CN"/>
        </w:rPr>
      </w:pPr>
      <w:r>
        <w:rPr>
          <w:lang w:eastAsia="zh-CN"/>
        </w:rPr>
        <w:t>8</w:t>
      </w:r>
      <w:r>
        <w:rPr>
          <w:lang w:val="en-US" w:eastAsia="zh-CN"/>
        </w:rPr>
        <w:t>.27</w:t>
      </w:r>
      <w:r>
        <w:rPr>
          <w:lang w:val="en-US" w:eastAsia="zh-CN"/>
        </w:rPr>
        <w:tab/>
      </w:r>
      <w:r>
        <w:rPr>
          <w:rFonts w:hint="eastAsia"/>
          <w:lang w:val="en-US" w:eastAsia="zh-CN"/>
        </w:rPr>
        <w:t>在考虑将国际电联总部迁离日内瓦时需考虑的法律问题主要分四类。</w:t>
      </w:r>
    </w:p>
    <w:p w14:paraId="60092186" w14:textId="77777777" w:rsidR="00B80DA4" w:rsidRPr="0063347C" w:rsidRDefault="00B80DA4" w:rsidP="002021DD">
      <w:pPr>
        <w:rPr>
          <w:lang w:eastAsia="zh-CN"/>
        </w:rPr>
      </w:pPr>
      <w:r>
        <w:rPr>
          <w:lang w:eastAsia="zh-CN"/>
        </w:rPr>
        <w:t>8</w:t>
      </w:r>
      <w:r>
        <w:rPr>
          <w:lang w:val="en-US" w:eastAsia="zh-CN"/>
        </w:rPr>
        <w:t>.28</w:t>
      </w:r>
      <w:r>
        <w:rPr>
          <w:lang w:val="en-US" w:eastAsia="zh-CN"/>
        </w:rPr>
        <w:tab/>
      </w:r>
      <w:r>
        <w:rPr>
          <w:rFonts w:hint="eastAsia"/>
          <w:lang w:val="en-US" w:eastAsia="zh-CN"/>
        </w:rPr>
        <w:t>首先，需要修正《组织法》。</w:t>
      </w:r>
    </w:p>
    <w:p w14:paraId="5958001F" w14:textId="77777777" w:rsidR="00B80DA4" w:rsidRPr="0063347C" w:rsidRDefault="00B80DA4" w:rsidP="002021DD">
      <w:pPr>
        <w:rPr>
          <w:lang w:eastAsia="zh-CN"/>
        </w:rPr>
      </w:pPr>
      <w:r>
        <w:rPr>
          <w:lang w:eastAsia="zh-CN"/>
        </w:rPr>
        <w:t>8</w:t>
      </w:r>
      <w:r>
        <w:rPr>
          <w:lang w:val="en-US" w:eastAsia="zh-CN"/>
        </w:rPr>
        <w:t>.29</w:t>
      </w:r>
      <w:r>
        <w:rPr>
          <w:lang w:val="en-US" w:eastAsia="zh-CN"/>
        </w:rPr>
        <w:tab/>
      </w:r>
      <w:r>
        <w:rPr>
          <w:rFonts w:hint="eastAsia"/>
          <w:lang w:val="en-US" w:eastAsia="zh-CN"/>
        </w:rPr>
        <w:t>第二，必须与东道国谈判新的总部协议，并确保通过该协议获得的便利条件和特权。</w:t>
      </w:r>
    </w:p>
    <w:p w14:paraId="20099B6D" w14:textId="77777777" w:rsidR="00B80DA4" w:rsidRPr="0063347C" w:rsidRDefault="00B80DA4" w:rsidP="002021DD">
      <w:pPr>
        <w:rPr>
          <w:lang w:eastAsia="zh-CN"/>
        </w:rPr>
      </w:pPr>
      <w:r>
        <w:rPr>
          <w:lang w:eastAsia="zh-CN"/>
        </w:rPr>
        <w:t>8</w:t>
      </w:r>
      <w:r>
        <w:rPr>
          <w:lang w:val="en-US" w:eastAsia="zh-CN"/>
        </w:rPr>
        <w:t>.30</w:t>
      </w:r>
      <w:r>
        <w:rPr>
          <w:lang w:val="en-US" w:eastAsia="zh-CN"/>
        </w:rPr>
        <w:tab/>
      </w:r>
      <w:r>
        <w:rPr>
          <w:rFonts w:hint="eastAsia"/>
          <w:lang w:val="en-US" w:eastAsia="zh-CN"/>
        </w:rPr>
        <w:t>需要重新开展多数总部相关服务合同的谈判。</w:t>
      </w:r>
    </w:p>
    <w:p w14:paraId="2B9C693C" w14:textId="77777777" w:rsidR="00B80DA4" w:rsidRPr="0063347C" w:rsidRDefault="00B80DA4" w:rsidP="002021DD">
      <w:pPr>
        <w:rPr>
          <w:lang w:eastAsia="zh-CN"/>
        </w:rPr>
      </w:pPr>
      <w:r>
        <w:rPr>
          <w:lang w:eastAsia="zh-CN"/>
        </w:rPr>
        <w:t>8</w:t>
      </w:r>
      <w:r>
        <w:rPr>
          <w:lang w:val="en-US" w:eastAsia="zh-CN"/>
        </w:rPr>
        <w:t>.31</w:t>
      </w:r>
      <w:r>
        <w:rPr>
          <w:lang w:val="en-US" w:eastAsia="zh-CN"/>
        </w:rPr>
        <w:tab/>
      </w:r>
      <w:r>
        <w:rPr>
          <w:rFonts w:hint="eastAsia"/>
          <w:lang w:val="en-US" w:eastAsia="zh-CN"/>
        </w:rPr>
        <w:t>最后，转让国际电联的“地上权”。</w:t>
      </w:r>
    </w:p>
    <w:p w14:paraId="2A7DE4F6" w14:textId="77777777" w:rsidR="00B80DA4" w:rsidRPr="0063347C" w:rsidRDefault="00B80DA4" w:rsidP="002021DD">
      <w:pPr>
        <w:rPr>
          <w:lang w:eastAsia="zh-CN"/>
        </w:rPr>
      </w:pPr>
      <w:r>
        <w:rPr>
          <w:lang w:eastAsia="zh-CN"/>
        </w:rPr>
        <w:t>8</w:t>
      </w:r>
      <w:r>
        <w:rPr>
          <w:lang w:val="en-US" w:eastAsia="zh-CN"/>
        </w:rPr>
        <w:t>.32</w:t>
      </w:r>
      <w:r>
        <w:rPr>
          <w:lang w:val="en-US" w:eastAsia="zh-CN"/>
        </w:rPr>
        <w:tab/>
      </w:r>
      <w:r>
        <w:rPr>
          <w:rFonts w:hint="eastAsia"/>
          <w:lang w:val="en-US" w:eastAsia="zh-CN"/>
        </w:rPr>
        <w:t>国际电联总部迁离日内瓦给其职员带来的法律影响问题未在本节中探讨，而是在人力资源影响一节中有所阐述。</w:t>
      </w:r>
    </w:p>
    <w:p w14:paraId="3AC573C1" w14:textId="77777777" w:rsidR="00B80DA4" w:rsidRPr="0063347C" w:rsidRDefault="00B80DA4" w:rsidP="002021DD">
      <w:pPr>
        <w:pStyle w:val="Headingb"/>
        <w:rPr>
          <w:lang w:eastAsia="zh-CN"/>
        </w:rPr>
      </w:pPr>
      <w:r>
        <w:rPr>
          <w:lang w:val="en-US" w:eastAsia="zh-CN"/>
        </w:rPr>
        <w:t>a)</w:t>
      </w:r>
      <w:r>
        <w:rPr>
          <w:lang w:val="en-US" w:eastAsia="zh-CN"/>
        </w:rPr>
        <w:tab/>
      </w:r>
      <w:r>
        <w:rPr>
          <w:rFonts w:hint="eastAsia"/>
          <w:lang w:val="en-US" w:eastAsia="zh-CN"/>
        </w:rPr>
        <w:t>《组织法》的修正</w:t>
      </w:r>
    </w:p>
    <w:p w14:paraId="43F68A68" w14:textId="77777777" w:rsidR="00B80DA4" w:rsidRPr="0063347C" w:rsidRDefault="00B80DA4" w:rsidP="002021DD">
      <w:pPr>
        <w:rPr>
          <w:lang w:eastAsia="zh-CN"/>
        </w:rPr>
      </w:pPr>
      <w:r>
        <w:rPr>
          <w:lang w:eastAsia="zh-CN"/>
        </w:rPr>
        <w:t>8</w:t>
      </w:r>
      <w:r>
        <w:rPr>
          <w:lang w:val="en-US" w:eastAsia="zh-CN"/>
        </w:rPr>
        <w:t>.33</w:t>
      </w:r>
      <w:r>
        <w:rPr>
          <w:lang w:val="en-US" w:eastAsia="zh-CN"/>
        </w:rPr>
        <w:tab/>
      </w:r>
      <w:r>
        <w:rPr>
          <w:rFonts w:hint="eastAsia"/>
          <w:lang w:val="en-US" w:eastAsia="zh-CN"/>
        </w:rPr>
        <w:t>《组织法》第</w:t>
      </w:r>
      <w:r>
        <w:rPr>
          <w:rFonts w:hint="eastAsia"/>
          <w:lang w:val="en-US" w:eastAsia="zh-CN"/>
        </w:rPr>
        <w:t>30</w:t>
      </w:r>
      <w:r>
        <w:rPr>
          <w:rFonts w:hint="eastAsia"/>
          <w:lang w:val="en-US" w:eastAsia="zh-CN"/>
        </w:rPr>
        <w:t>条规定，“国际电联所在地为日内瓦”（第</w:t>
      </w:r>
      <w:r>
        <w:rPr>
          <w:rFonts w:hint="eastAsia"/>
          <w:lang w:val="en-US" w:eastAsia="zh-CN"/>
        </w:rPr>
        <w:t>175</w:t>
      </w:r>
      <w:r>
        <w:rPr>
          <w:rFonts w:hint="eastAsia"/>
          <w:lang w:val="en-US" w:eastAsia="zh-CN"/>
        </w:rPr>
        <w:t>款）。</w:t>
      </w:r>
    </w:p>
    <w:p w14:paraId="642882B5" w14:textId="77777777" w:rsidR="00B80DA4" w:rsidRPr="0063347C" w:rsidRDefault="00B80DA4" w:rsidP="002021DD">
      <w:pPr>
        <w:rPr>
          <w:lang w:eastAsia="zh-CN"/>
        </w:rPr>
      </w:pPr>
      <w:r>
        <w:rPr>
          <w:lang w:eastAsia="zh-CN"/>
        </w:rPr>
        <w:t>8</w:t>
      </w:r>
      <w:r>
        <w:rPr>
          <w:lang w:val="en-US" w:eastAsia="zh-CN"/>
        </w:rPr>
        <w:t>.34</w:t>
      </w:r>
      <w:r>
        <w:rPr>
          <w:lang w:val="en-US" w:eastAsia="zh-CN"/>
        </w:rPr>
        <w:tab/>
      </w:r>
      <w:r>
        <w:rPr>
          <w:rFonts w:hint="eastAsia"/>
          <w:lang w:val="en-US" w:eastAsia="zh-CN"/>
        </w:rPr>
        <w:t>此情况为国际电联独有，因为联合国系统中没有哪家主要组织在其组织法案中做出了此类规定。</w:t>
      </w:r>
    </w:p>
    <w:p w14:paraId="012B4C2C" w14:textId="77777777" w:rsidR="00B80DA4" w:rsidRPr="0063347C" w:rsidRDefault="00B80DA4" w:rsidP="002021DD">
      <w:pPr>
        <w:rPr>
          <w:lang w:eastAsia="zh-CN"/>
        </w:rPr>
      </w:pPr>
      <w:r>
        <w:rPr>
          <w:lang w:eastAsia="zh-CN"/>
        </w:rPr>
        <w:t>8</w:t>
      </w:r>
      <w:r>
        <w:rPr>
          <w:lang w:val="en-US" w:eastAsia="zh-CN"/>
        </w:rPr>
        <w:t>.35</w:t>
      </w:r>
      <w:r w:rsidR="002021DD">
        <w:rPr>
          <w:lang w:val="en-US" w:eastAsia="zh-CN"/>
        </w:rPr>
        <w:tab/>
      </w:r>
      <w:r>
        <w:rPr>
          <w:rFonts w:hint="eastAsia"/>
          <w:lang w:val="en-US" w:eastAsia="zh-CN"/>
        </w:rPr>
        <w:t>这是</w:t>
      </w:r>
      <w:r>
        <w:rPr>
          <w:rFonts w:hint="eastAsia"/>
          <w:lang w:val="en-US" w:eastAsia="zh-CN"/>
        </w:rPr>
        <w:t>1947</w:t>
      </w:r>
      <w:r>
        <w:rPr>
          <w:rFonts w:hint="eastAsia"/>
          <w:lang w:val="en-US" w:eastAsia="zh-CN"/>
        </w:rPr>
        <w:t>年增加的条款，似乎意在表明当时的条款起草者希望将国际电联总部设在日内瓦。</w:t>
      </w:r>
    </w:p>
    <w:p w14:paraId="7515F578" w14:textId="77777777" w:rsidR="00B80DA4" w:rsidRPr="0063347C" w:rsidRDefault="00B80DA4" w:rsidP="002021DD">
      <w:pPr>
        <w:rPr>
          <w:lang w:eastAsia="zh-CN"/>
        </w:rPr>
      </w:pPr>
      <w:r>
        <w:rPr>
          <w:lang w:eastAsia="zh-CN"/>
        </w:rPr>
        <w:t>8</w:t>
      </w:r>
      <w:r>
        <w:rPr>
          <w:lang w:val="en-US" w:eastAsia="zh-CN"/>
        </w:rPr>
        <w:t>.36</w:t>
      </w:r>
      <w:r>
        <w:rPr>
          <w:lang w:val="en-US" w:eastAsia="zh-CN"/>
        </w:rPr>
        <w:tab/>
      </w:r>
      <w:r>
        <w:rPr>
          <w:rFonts w:hint="eastAsia"/>
          <w:lang w:val="en-US" w:eastAsia="zh-CN"/>
        </w:rPr>
        <w:t>如果决定将国际电联总部移至其它地方，则必须先修正《组织法》第</w:t>
      </w:r>
      <w:r>
        <w:rPr>
          <w:rFonts w:hint="eastAsia"/>
          <w:lang w:val="en-US" w:eastAsia="zh-CN"/>
        </w:rPr>
        <w:t>30</w:t>
      </w:r>
      <w:r>
        <w:rPr>
          <w:rFonts w:hint="eastAsia"/>
          <w:lang w:val="en-US" w:eastAsia="zh-CN"/>
        </w:rPr>
        <w:t>条。为此，根据《组织法》第</w:t>
      </w:r>
      <w:r>
        <w:rPr>
          <w:rFonts w:hint="eastAsia"/>
          <w:lang w:val="en-US" w:eastAsia="zh-CN"/>
        </w:rPr>
        <w:t>227</w:t>
      </w:r>
      <w:r>
        <w:rPr>
          <w:rFonts w:hint="eastAsia"/>
          <w:lang w:val="en-US" w:eastAsia="zh-CN"/>
        </w:rPr>
        <w:t>款的规定，需要至少得到受命参加全权代表大会并享有表决权的三分之二多数代表团的通过。</w:t>
      </w:r>
    </w:p>
    <w:p w14:paraId="6676F35B" w14:textId="77777777" w:rsidR="00B80DA4" w:rsidRPr="0063347C" w:rsidRDefault="00B80DA4" w:rsidP="006A328B">
      <w:pPr>
        <w:pStyle w:val="Headingb"/>
        <w:rPr>
          <w:lang w:eastAsia="zh-CN"/>
        </w:rPr>
      </w:pPr>
      <w:r>
        <w:rPr>
          <w:lang w:eastAsia="zh-CN"/>
        </w:rPr>
        <w:t>b)</w:t>
      </w:r>
      <w:r>
        <w:rPr>
          <w:lang w:eastAsia="zh-CN"/>
        </w:rPr>
        <w:tab/>
      </w:r>
      <w:r>
        <w:rPr>
          <w:rFonts w:hint="eastAsia"/>
          <w:lang w:eastAsia="zh-CN"/>
        </w:rPr>
        <w:t>有关新总部协议的谈判</w:t>
      </w:r>
    </w:p>
    <w:p w14:paraId="7C62CBB0" w14:textId="77777777" w:rsidR="00B80DA4" w:rsidRPr="0063347C" w:rsidRDefault="00B80DA4" w:rsidP="006A328B">
      <w:pPr>
        <w:rPr>
          <w:lang w:eastAsia="zh-CN"/>
        </w:rPr>
      </w:pPr>
      <w:r>
        <w:rPr>
          <w:lang w:eastAsia="zh-CN"/>
        </w:rPr>
        <w:t>8</w:t>
      </w:r>
      <w:r>
        <w:rPr>
          <w:lang w:val="en-US" w:eastAsia="zh-CN"/>
        </w:rPr>
        <w:t>.37</w:t>
      </w:r>
      <w:r>
        <w:rPr>
          <w:lang w:val="en-US" w:eastAsia="zh-CN"/>
        </w:rPr>
        <w:tab/>
      </w:r>
      <w:r>
        <w:rPr>
          <w:rFonts w:hint="eastAsia"/>
          <w:lang w:val="en-US" w:eastAsia="zh-CN"/>
        </w:rPr>
        <w:t>为了规范国际电联在任何东道国的法律地位，必须谈判和签署一项新的总部协议并酌情做出补充性行政安排。</w:t>
      </w:r>
    </w:p>
    <w:p w14:paraId="752D12C6" w14:textId="77777777" w:rsidR="00B80DA4" w:rsidRPr="0063347C" w:rsidRDefault="00B80DA4" w:rsidP="006A328B">
      <w:pPr>
        <w:rPr>
          <w:lang w:eastAsia="zh-CN"/>
        </w:rPr>
      </w:pPr>
      <w:r>
        <w:rPr>
          <w:lang w:eastAsia="zh-CN"/>
        </w:rPr>
        <w:lastRenderedPageBreak/>
        <w:t>8</w:t>
      </w:r>
      <w:r>
        <w:rPr>
          <w:lang w:val="en-US" w:eastAsia="zh-CN"/>
        </w:rPr>
        <w:t>.38</w:t>
      </w:r>
      <w:r>
        <w:rPr>
          <w:lang w:val="en-US" w:eastAsia="zh-CN"/>
        </w:rPr>
        <w:tab/>
      </w:r>
      <w:r>
        <w:rPr>
          <w:rFonts w:hint="eastAsia"/>
          <w:lang w:val="en-US" w:eastAsia="zh-CN"/>
        </w:rPr>
        <w:t>虽然在目前阶段尚不需要探讨这种协议必须包含的条款的所有细节，但确定主要特性非常重要，这将是所述协议的必备基础。</w:t>
      </w:r>
    </w:p>
    <w:p w14:paraId="5D362F3D" w14:textId="77777777" w:rsidR="00B80DA4" w:rsidRPr="0063347C" w:rsidRDefault="00B80DA4" w:rsidP="006A328B">
      <w:pPr>
        <w:rPr>
          <w:lang w:eastAsia="zh-CN"/>
        </w:rPr>
      </w:pPr>
      <w:r>
        <w:rPr>
          <w:lang w:eastAsia="zh-CN"/>
        </w:rPr>
        <w:t>8</w:t>
      </w:r>
      <w:r>
        <w:rPr>
          <w:lang w:val="en-US" w:eastAsia="zh-CN"/>
        </w:rPr>
        <w:t>.39</w:t>
      </w:r>
      <w:r>
        <w:rPr>
          <w:lang w:val="en-US" w:eastAsia="zh-CN"/>
        </w:rPr>
        <w:tab/>
      </w:r>
      <w:r>
        <w:rPr>
          <w:rFonts w:hint="eastAsia"/>
          <w:lang w:val="en-US" w:eastAsia="zh-CN"/>
        </w:rPr>
        <w:t>首先，须确认国际电联相对于东道国的独立性。具体而言，明确国际电联的机构（</w:t>
      </w:r>
      <w:r>
        <w:rPr>
          <w:rFonts w:hint="eastAsia"/>
          <w:lang w:val="en-US" w:eastAsia="zh-CN"/>
        </w:rPr>
        <w:t>institutional</w:t>
      </w:r>
      <w:r>
        <w:rPr>
          <w:rFonts w:hint="eastAsia"/>
          <w:lang w:val="en-US" w:eastAsia="zh-CN"/>
        </w:rPr>
        <w:t>）独立性和管辖权独立性。</w:t>
      </w:r>
    </w:p>
    <w:p w14:paraId="02BF1400" w14:textId="77777777" w:rsidR="00B80DA4" w:rsidRPr="00674E98" w:rsidRDefault="00B80DA4" w:rsidP="00674E98">
      <w:pPr>
        <w:pStyle w:val="Headingb"/>
        <w:rPr>
          <w:lang w:eastAsia="zh-CN"/>
        </w:rPr>
      </w:pPr>
      <w:r w:rsidRPr="00674E98">
        <w:rPr>
          <w:rFonts w:hint="eastAsia"/>
          <w:lang w:eastAsia="zh-CN"/>
        </w:rPr>
        <w:t>机构独立性</w:t>
      </w:r>
    </w:p>
    <w:p w14:paraId="776EF97F" w14:textId="77777777" w:rsidR="00B80DA4" w:rsidRPr="0063347C" w:rsidRDefault="00B80DA4" w:rsidP="007B65C8">
      <w:pPr>
        <w:rPr>
          <w:lang w:eastAsia="zh-CN"/>
        </w:rPr>
      </w:pPr>
      <w:r>
        <w:rPr>
          <w:lang w:eastAsia="zh-CN"/>
        </w:rPr>
        <w:t>8</w:t>
      </w:r>
      <w:r>
        <w:rPr>
          <w:lang w:val="en-US" w:eastAsia="zh-CN"/>
        </w:rPr>
        <w:t>.40</w:t>
      </w:r>
      <w:r>
        <w:rPr>
          <w:lang w:val="en-US" w:eastAsia="zh-CN"/>
        </w:rPr>
        <w:tab/>
      </w:r>
      <w:r>
        <w:rPr>
          <w:rFonts w:hint="eastAsia"/>
          <w:lang w:val="en-US" w:eastAsia="zh-CN"/>
        </w:rPr>
        <w:t>国际电联行动的独立性和自由必须得到完全认可，其绝对自由亦必须得到完全认可，而且国际电联成员国在举办会议、开展讨论和做出决定方面的绝对自由也必须得到认可。</w:t>
      </w:r>
    </w:p>
    <w:p w14:paraId="77667180" w14:textId="77777777" w:rsidR="00B80DA4" w:rsidRPr="0063347C" w:rsidRDefault="00B80DA4" w:rsidP="007B65C8">
      <w:pPr>
        <w:rPr>
          <w:lang w:eastAsia="zh-CN"/>
        </w:rPr>
      </w:pPr>
      <w:r>
        <w:rPr>
          <w:lang w:eastAsia="zh-CN"/>
        </w:rPr>
        <w:t>8</w:t>
      </w:r>
      <w:r>
        <w:rPr>
          <w:lang w:val="en-US" w:eastAsia="zh-CN"/>
        </w:rPr>
        <w:t>.41</w:t>
      </w:r>
      <w:r>
        <w:rPr>
          <w:lang w:val="en-US" w:eastAsia="zh-CN"/>
        </w:rPr>
        <w:tab/>
      </w:r>
      <w:r>
        <w:rPr>
          <w:rFonts w:hint="eastAsia"/>
          <w:lang w:val="en-US" w:eastAsia="zh-CN"/>
        </w:rPr>
        <w:t>这种独立性还要求东道国承认国际电联的法人资格和法定行为能力（签定合同、进行法律诉讼的能力、购置和使用动产和不动产的能力，通过其自身规则、程序和法律流程等的能力）。</w:t>
      </w:r>
    </w:p>
    <w:p w14:paraId="301D2FB7" w14:textId="77777777" w:rsidR="00B80DA4" w:rsidRPr="0063347C" w:rsidRDefault="00B80DA4" w:rsidP="007B65C8">
      <w:pPr>
        <w:rPr>
          <w:lang w:eastAsia="zh-CN"/>
        </w:rPr>
      </w:pPr>
      <w:r>
        <w:rPr>
          <w:lang w:eastAsia="zh-CN"/>
        </w:rPr>
        <w:t>8</w:t>
      </w:r>
      <w:r>
        <w:rPr>
          <w:lang w:val="en-US" w:eastAsia="zh-CN"/>
        </w:rPr>
        <w:t>.42</w:t>
      </w:r>
      <w:r>
        <w:rPr>
          <w:lang w:val="en-US" w:eastAsia="zh-CN"/>
        </w:rPr>
        <w:tab/>
      </w:r>
      <w:r>
        <w:rPr>
          <w:rFonts w:hint="eastAsia"/>
          <w:lang w:val="en-US" w:eastAsia="zh-CN"/>
        </w:rPr>
        <w:t>此机构独立性还意味着，总部协议须承认国际电联所用办公场所的不可侵犯性，而且不可或缺的必然结果是，国际电联享有在其办公场所范围内维持治安、进行安保的自由，而且其官方使用的档案和任何文件（任何媒介上的内容）具有不可侵犯性。</w:t>
      </w:r>
    </w:p>
    <w:p w14:paraId="6ABC4ED4" w14:textId="77777777" w:rsidR="00B80DA4" w:rsidRPr="007B65C8" w:rsidRDefault="00B80DA4" w:rsidP="007B65C8">
      <w:pPr>
        <w:pStyle w:val="Headingb"/>
        <w:rPr>
          <w:lang w:eastAsia="zh-CN"/>
        </w:rPr>
      </w:pPr>
      <w:r w:rsidRPr="007B65C8">
        <w:rPr>
          <w:rFonts w:hint="eastAsia"/>
          <w:lang w:eastAsia="zh-CN"/>
        </w:rPr>
        <w:t>管辖权独立性</w:t>
      </w:r>
    </w:p>
    <w:p w14:paraId="55290291" w14:textId="77777777" w:rsidR="00B80DA4" w:rsidRPr="0063347C" w:rsidRDefault="00B80DA4" w:rsidP="007B65C8">
      <w:pPr>
        <w:rPr>
          <w:lang w:eastAsia="zh-CN"/>
        </w:rPr>
      </w:pPr>
      <w:r>
        <w:rPr>
          <w:lang w:eastAsia="zh-CN"/>
        </w:rPr>
        <w:t>8</w:t>
      </w:r>
      <w:r>
        <w:rPr>
          <w:lang w:val="en-US" w:eastAsia="zh-CN"/>
        </w:rPr>
        <w:t>.43</w:t>
      </w:r>
      <w:r>
        <w:rPr>
          <w:lang w:val="en-US" w:eastAsia="zh-CN"/>
        </w:rPr>
        <w:tab/>
      </w:r>
      <w:r>
        <w:rPr>
          <w:rFonts w:hint="eastAsia"/>
          <w:lang w:val="en-US" w:eastAsia="zh-CN"/>
        </w:rPr>
        <w:t>国际组织相关规则的最终目标都是促成国际组织完全独立地履行其职能并实现其目标。为此，国际电联作为一个国际性组织，享有刑事、民事和行政司法豁免权，这些均须在总部协议中得到正式承认，而且与此同时，国际电联所用的办公楼和空间以及国际电联拥有或使用的财产均不得被征用、搜查、扣压或被施以任何其它执法行动。所有这些特性必须包含在总部协议中。</w:t>
      </w:r>
    </w:p>
    <w:p w14:paraId="21544F91" w14:textId="77777777" w:rsidR="00B80DA4" w:rsidRPr="007B65C8" w:rsidRDefault="00B80DA4" w:rsidP="007B65C8">
      <w:pPr>
        <w:pStyle w:val="Headingb"/>
        <w:rPr>
          <w:lang w:eastAsia="zh-CN"/>
        </w:rPr>
      </w:pPr>
      <w:r w:rsidRPr="007B65C8">
        <w:rPr>
          <w:rFonts w:hint="eastAsia"/>
          <w:lang w:eastAsia="zh-CN"/>
        </w:rPr>
        <w:t>通信和出版自由</w:t>
      </w:r>
    </w:p>
    <w:p w14:paraId="3A7D2DD1" w14:textId="77777777" w:rsidR="00B80DA4" w:rsidRPr="0063347C" w:rsidRDefault="00B80DA4" w:rsidP="007B65C8">
      <w:pPr>
        <w:rPr>
          <w:lang w:eastAsia="zh-CN"/>
        </w:rPr>
      </w:pPr>
      <w:r>
        <w:rPr>
          <w:lang w:eastAsia="zh-CN"/>
        </w:rPr>
        <w:t>8</w:t>
      </w:r>
      <w:r>
        <w:rPr>
          <w:lang w:val="en-US" w:eastAsia="zh-CN"/>
        </w:rPr>
        <w:t>.44</w:t>
      </w:r>
      <w:r>
        <w:rPr>
          <w:lang w:val="en-US" w:eastAsia="zh-CN"/>
        </w:rPr>
        <w:tab/>
      </w:r>
      <w:r>
        <w:rPr>
          <w:rFonts w:hint="eastAsia"/>
          <w:lang w:val="en-US" w:eastAsia="zh-CN"/>
        </w:rPr>
        <w:t>国际电联出版物是其主要表达手段之一。因此，在东道国协议中，必须体现这样的原则，即，国际电联的出版物不得受到东道国任何性质的限制。</w:t>
      </w:r>
    </w:p>
    <w:p w14:paraId="6F5370FB" w14:textId="77777777" w:rsidR="00B80DA4" w:rsidRPr="0063347C" w:rsidRDefault="00B80DA4" w:rsidP="007B65C8">
      <w:pPr>
        <w:rPr>
          <w:lang w:eastAsia="zh-CN"/>
        </w:rPr>
      </w:pPr>
      <w:r>
        <w:rPr>
          <w:lang w:eastAsia="zh-CN"/>
        </w:rPr>
        <w:t>8</w:t>
      </w:r>
      <w:r>
        <w:rPr>
          <w:lang w:val="en-US" w:eastAsia="zh-CN"/>
        </w:rPr>
        <w:t>.45</w:t>
      </w:r>
      <w:r>
        <w:rPr>
          <w:lang w:val="en-US" w:eastAsia="zh-CN"/>
        </w:rPr>
        <w:tab/>
      </w:r>
      <w:r>
        <w:rPr>
          <w:rFonts w:hint="eastAsia"/>
          <w:lang w:val="en-US" w:eastAsia="zh-CN"/>
        </w:rPr>
        <w:t>同样，由于国际组织，特别是国际电联的职能具有固有的跨国界性质，因此其通信必须自由、有效。目前，包括国际电联在内的国际组织的通信地位是参引给予联合国（及相关外交代表团）的权利、特权和便利条件确定的，国际电联现有通信的不可侵犯性正是建立在此机制之上。因此，必须在总部协议中制定一相关条款，以达到保留此机制的目的。</w:t>
      </w:r>
    </w:p>
    <w:p w14:paraId="6F224704" w14:textId="77777777" w:rsidR="00B80DA4" w:rsidRPr="007B65C8" w:rsidRDefault="00B80DA4" w:rsidP="007B65C8">
      <w:pPr>
        <w:pStyle w:val="Headingb"/>
        <w:tabs>
          <w:tab w:val="clear" w:pos="567"/>
          <w:tab w:val="left" w:pos="0"/>
        </w:tabs>
        <w:ind w:left="0" w:firstLine="0"/>
        <w:rPr>
          <w:lang w:eastAsia="zh-CN"/>
        </w:rPr>
      </w:pPr>
      <w:r w:rsidRPr="007B65C8">
        <w:rPr>
          <w:rFonts w:hint="eastAsia"/>
          <w:lang w:eastAsia="zh-CN"/>
        </w:rPr>
        <w:t>在金融、财务和海关事宜方面的特权和豁免权以及在更广泛意义上享有货物和资本流通不受限制的自由</w:t>
      </w:r>
    </w:p>
    <w:p w14:paraId="110B4BC8" w14:textId="77777777" w:rsidR="00B80DA4" w:rsidRPr="0063347C" w:rsidRDefault="00B80DA4" w:rsidP="00E82735">
      <w:pPr>
        <w:rPr>
          <w:lang w:eastAsia="zh-CN"/>
        </w:rPr>
      </w:pPr>
      <w:r>
        <w:rPr>
          <w:lang w:eastAsia="zh-CN"/>
        </w:rPr>
        <w:t>8</w:t>
      </w:r>
      <w:r>
        <w:rPr>
          <w:lang w:val="en-US" w:eastAsia="zh-CN"/>
        </w:rPr>
        <w:t>.46</w:t>
      </w:r>
      <w:r>
        <w:rPr>
          <w:lang w:val="en-US" w:eastAsia="zh-CN"/>
        </w:rPr>
        <w:tab/>
      </w:r>
      <w:r>
        <w:rPr>
          <w:rFonts w:hint="eastAsia"/>
          <w:lang w:val="en-US" w:eastAsia="zh-CN"/>
        </w:rPr>
        <w:t>在总部协议中，必须制定条款，说明免予对国际电联、其资产、收入和其它财产直接征收国家、地区或地方税，同时必须免收任何间接税，如增值税和注册或印花税，特别是通常适用于不动产交易的相关税种。</w:t>
      </w:r>
    </w:p>
    <w:p w14:paraId="7966FDB6"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金融特权和豁免权</w:t>
      </w:r>
    </w:p>
    <w:p w14:paraId="7F2028F2" w14:textId="77777777" w:rsidR="00B80DA4" w:rsidRPr="0063347C" w:rsidRDefault="00B80DA4" w:rsidP="00E82735">
      <w:pPr>
        <w:rPr>
          <w:lang w:eastAsia="zh-CN"/>
        </w:rPr>
      </w:pPr>
      <w:r>
        <w:rPr>
          <w:lang w:eastAsia="zh-CN"/>
        </w:rPr>
        <w:t>8</w:t>
      </w:r>
      <w:r>
        <w:rPr>
          <w:lang w:val="en-US" w:eastAsia="zh-CN"/>
        </w:rPr>
        <w:t>.47</w:t>
      </w:r>
      <w:r>
        <w:rPr>
          <w:lang w:val="en-US" w:eastAsia="zh-CN"/>
        </w:rPr>
        <w:tab/>
      </w:r>
      <w:r>
        <w:rPr>
          <w:rFonts w:hint="eastAsia"/>
          <w:lang w:val="en-US" w:eastAsia="zh-CN"/>
        </w:rPr>
        <w:t>国际电联必须享有广泛的兑换自由，而且，在此方面，国际电联必须能够自由接收、持有、转账或转换货币。这同样须适用于黄金、现金及其它有价证券。所有这些要素必须反映在总部协议中。</w:t>
      </w:r>
    </w:p>
    <w:p w14:paraId="0FCFD99B"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lastRenderedPageBreak/>
        <w:t>海关特权和豁免权以及进出口不予禁止或不受限制</w:t>
      </w:r>
    </w:p>
    <w:p w14:paraId="33DBD55E" w14:textId="77777777" w:rsidR="00B80DA4" w:rsidRPr="0063347C" w:rsidRDefault="00B80DA4" w:rsidP="00E82735">
      <w:pPr>
        <w:rPr>
          <w:lang w:eastAsia="zh-CN"/>
        </w:rPr>
      </w:pPr>
      <w:r>
        <w:rPr>
          <w:lang w:eastAsia="zh-CN"/>
        </w:rPr>
        <w:t>8</w:t>
      </w:r>
      <w:r>
        <w:rPr>
          <w:lang w:val="en-US" w:eastAsia="zh-CN"/>
        </w:rPr>
        <w:t>.48</w:t>
      </w:r>
      <w:r>
        <w:rPr>
          <w:lang w:val="en-US" w:eastAsia="zh-CN"/>
        </w:rPr>
        <w:tab/>
      </w:r>
      <w:r>
        <w:rPr>
          <w:rFonts w:hint="eastAsia"/>
          <w:lang w:val="en-US" w:eastAsia="zh-CN"/>
        </w:rPr>
        <w:t>不得通过强加的进出口关税提高购买价格来妨碍国际电联物品的自由流通。如若不然，国际电联的自由将受到影响，因为征收关税将使国际电联面临只能在东道国国内进行采购的局面。</w:t>
      </w:r>
    </w:p>
    <w:p w14:paraId="13954A9F" w14:textId="77777777" w:rsidR="00B80DA4" w:rsidRPr="0063347C" w:rsidRDefault="00B80DA4" w:rsidP="00E82735">
      <w:pPr>
        <w:rPr>
          <w:lang w:eastAsia="zh-CN"/>
        </w:rPr>
      </w:pPr>
      <w:r>
        <w:rPr>
          <w:lang w:eastAsia="zh-CN"/>
        </w:rPr>
        <w:t>8</w:t>
      </w:r>
      <w:r>
        <w:rPr>
          <w:lang w:val="en-US" w:eastAsia="zh-CN"/>
        </w:rPr>
        <w:t>.49</w:t>
      </w:r>
      <w:r>
        <w:rPr>
          <w:lang w:val="en-US" w:eastAsia="zh-CN"/>
        </w:rPr>
        <w:tab/>
      </w:r>
      <w:r>
        <w:rPr>
          <w:rFonts w:hint="eastAsia"/>
          <w:lang w:val="en-US" w:eastAsia="zh-CN"/>
        </w:rPr>
        <w:t>亦不得通过行政管理障碍危害这一自由。不得通过可能迫使国际电联在东道国本地市场进行采购的行政规定禁止或限制国际电联物品的流通。</w:t>
      </w:r>
    </w:p>
    <w:p w14:paraId="615C7693" w14:textId="77777777" w:rsidR="00B80DA4" w:rsidRPr="0063347C" w:rsidRDefault="00B80DA4" w:rsidP="00E82735">
      <w:pPr>
        <w:rPr>
          <w:lang w:eastAsia="zh-CN"/>
        </w:rPr>
      </w:pPr>
      <w:r>
        <w:rPr>
          <w:lang w:eastAsia="zh-CN"/>
        </w:rPr>
        <w:t>8</w:t>
      </w:r>
      <w:r>
        <w:rPr>
          <w:lang w:val="en-US" w:eastAsia="zh-CN"/>
        </w:rPr>
        <w:t>.50</w:t>
      </w:r>
      <w:r>
        <w:rPr>
          <w:lang w:val="en-US" w:eastAsia="zh-CN"/>
        </w:rPr>
        <w:tab/>
      </w:r>
      <w:r>
        <w:rPr>
          <w:rFonts w:hint="eastAsia"/>
          <w:lang w:val="en-US" w:eastAsia="zh-CN"/>
        </w:rPr>
        <w:t>有鉴于此，总部协议必须明确无误地规定，免予对国际电联物品征收关税且不得对其进出口予以禁止或限制，这一点十分重要。</w:t>
      </w:r>
    </w:p>
    <w:p w14:paraId="333DC3D0" w14:textId="77777777" w:rsidR="00B80DA4" w:rsidRPr="0063347C" w:rsidRDefault="00B80DA4" w:rsidP="00E82735">
      <w:pPr>
        <w:rPr>
          <w:lang w:eastAsia="zh-CN"/>
        </w:rPr>
      </w:pPr>
      <w:r>
        <w:rPr>
          <w:lang w:eastAsia="zh-CN"/>
        </w:rPr>
        <w:t>8</w:t>
      </w:r>
      <w:r>
        <w:rPr>
          <w:lang w:val="en-US" w:eastAsia="zh-CN"/>
        </w:rPr>
        <w:t>.51</w:t>
      </w:r>
      <w:r>
        <w:rPr>
          <w:lang w:val="en-US" w:eastAsia="zh-CN"/>
        </w:rPr>
        <w:tab/>
      </w:r>
      <w:r>
        <w:rPr>
          <w:rFonts w:hint="eastAsia"/>
          <w:lang w:val="en-US" w:eastAsia="zh-CN"/>
        </w:rPr>
        <w:t>除给予作为法人实体的国际电联特权、豁免权和便利条件外，总部协议还必须含有针对参与国际电联工作的自然人和国际电联职员的详细且明确的条款，给予他们特权、豁免权和便利条件。</w:t>
      </w:r>
    </w:p>
    <w:p w14:paraId="638DD74E"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给予国际电联活动参与人员的特权、豁免权和便利条件</w:t>
      </w:r>
    </w:p>
    <w:p w14:paraId="5389B5E2" w14:textId="77777777" w:rsidR="00B80DA4" w:rsidRPr="0063347C" w:rsidRDefault="00B80DA4" w:rsidP="006B0483">
      <w:pPr>
        <w:rPr>
          <w:lang w:eastAsia="zh-CN"/>
        </w:rPr>
      </w:pPr>
      <w:r>
        <w:rPr>
          <w:lang w:eastAsia="zh-CN"/>
        </w:rPr>
        <w:t>8</w:t>
      </w:r>
      <w:r>
        <w:rPr>
          <w:lang w:val="en-US" w:eastAsia="zh-CN"/>
        </w:rPr>
        <w:t>.52</w:t>
      </w:r>
      <w:r>
        <w:rPr>
          <w:lang w:val="en-US" w:eastAsia="zh-CN"/>
        </w:rPr>
        <w:tab/>
      </w:r>
      <w:r>
        <w:rPr>
          <w:rFonts w:hint="eastAsia"/>
          <w:lang w:val="en-US" w:eastAsia="zh-CN"/>
        </w:rPr>
        <w:t>在此方面，总部协议须明确给予国际电联成员国的代表（长驻或其他代表）、无线电规则委员会（</w:t>
      </w:r>
      <w:r>
        <w:rPr>
          <w:rFonts w:hint="eastAsia"/>
          <w:lang w:val="en-US" w:eastAsia="zh-CN"/>
        </w:rPr>
        <w:t>RRB</w:t>
      </w:r>
      <w:r>
        <w:rPr>
          <w:rFonts w:hint="eastAsia"/>
          <w:lang w:val="en-US" w:eastAsia="zh-CN"/>
        </w:rPr>
        <w:t>）委员和因公为国际电联出差的专家的特权、豁免权和便利条件。</w:t>
      </w:r>
    </w:p>
    <w:p w14:paraId="6513842E" w14:textId="77777777" w:rsidR="00B80DA4" w:rsidRPr="0063347C" w:rsidRDefault="00B80DA4" w:rsidP="006B0483">
      <w:pPr>
        <w:rPr>
          <w:lang w:eastAsia="zh-CN"/>
        </w:rPr>
      </w:pPr>
      <w:r>
        <w:rPr>
          <w:lang w:eastAsia="zh-CN"/>
        </w:rPr>
        <w:t>8</w:t>
      </w:r>
      <w:r>
        <w:rPr>
          <w:lang w:val="en-US" w:eastAsia="zh-CN"/>
        </w:rPr>
        <w:t>.53</w:t>
      </w:r>
      <w:r>
        <w:rPr>
          <w:lang w:val="en-US" w:eastAsia="zh-CN"/>
        </w:rPr>
        <w:tab/>
      </w:r>
      <w:r>
        <w:rPr>
          <w:rFonts w:hint="eastAsia"/>
          <w:lang w:val="en-US" w:eastAsia="zh-CN"/>
        </w:rPr>
        <w:t>虽然现阶段无需进入细节或草拟详尽清单，但不应忘记的是，就实质而言，常驻代表拥有外交豁免权和特权，而其他代表则拥有职能性特权和豁免权（免予因履行其职责而采取的行动、进行的口头表达或拟定的书面材料而被逮捕或羁押，免予对其采取司法行动，其人身和住宅具有不可侵犯性，免予对其进入所涉国领土并逗留采取限制性措施，给予海关便利和货币或兑换规则方面的便利等）。</w:t>
      </w:r>
    </w:p>
    <w:p w14:paraId="38C2B3D3" w14:textId="77777777" w:rsidR="00B80DA4" w:rsidRPr="0063347C" w:rsidRDefault="00B80DA4" w:rsidP="006B0483">
      <w:pPr>
        <w:rPr>
          <w:lang w:eastAsia="zh-CN"/>
        </w:rPr>
      </w:pPr>
      <w:r>
        <w:rPr>
          <w:lang w:eastAsia="zh-CN"/>
        </w:rPr>
        <w:t>8</w:t>
      </w:r>
      <w:r>
        <w:rPr>
          <w:lang w:val="en-US" w:eastAsia="zh-CN"/>
        </w:rPr>
        <w:t>.54</w:t>
      </w:r>
      <w:r>
        <w:rPr>
          <w:lang w:val="en-US" w:eastAsia="zh-CN"/>
        </w:rPr>
        <w:tab/>
      </w:r>
      <w:r>
        <w:rPr>
          <w:rFonts w:hint="eastAsia"/>
          <w:lang w:val="en-US" w:eastAsia="zh-CN"/>
        </w:rPr>
        <w:t>在</w:t>
      </w:r>
      <w:r>
        <w:rPr>
          <w:rFonts w:hint="eastAsia"/>
          <w:lang w:val="en-US" w:eastAsia="zh-CN"/>
        </w:rPr>
        <w:t>RRB</w:t>
      </w:r>
      <w:r>
        <w:rPr>
          <w:rFonts w:hint="eastAsia"/>
          <w:lang w:val="en-US" w:eastAsia="zh-CN"/>
        </w:rPr>
        <w:t>委员方面，总部协议应包含符合《公约》第</w:t>
      </w:r>
      <w:r>
        <w:rPr>
          <w:rFonts w:hint="eastAsia"/>
          <w:lang w:val="en-US" w:eastAsia="zh-CN"/>
        </w:rPr>
        <w:t>142A</w:t>
      </w:r>
      <w:r>
        <w:rPr>
          <w:rFonts w:hint="eastAsia"/>
          <w:lang w:val="en-US" w:eastAsia="zh-CN"/>
        </w:rPr>
        <w:t>款的规定。</w:t>
      </w:r>
    </w:p>
    <w:p w14:paraId="20797AB3" w14:textId="77777777" w:rsidR="00B80DA4" w:rsidRPr="0063347C" w:rsidRDefault="00B80DA4" w:rsidP="006B0483">
      <w:pPr>
        <w:rPr>
          <w:lang w:eastAsia="zh-CN"/>
        </w:rPr>
      </w:pPr>
      <w:r>
        <w:rPr>
          <w:lang w:eastAsia="zh-CN"/>
        </w:rPr>
        <w:t>8</w:t>
      </w:r>
      <w:r>
        <w:rPr>
          <w:lang w:val="en-US" w:eastAsia="zh-CN"/>
        </w:rPr>
        <w:t>.55</w:t>
      </w:r>
      <w:r>
        <w:rPr>
          <w:lang w:val="en-US" w:eastAsia="zh-CN"/>
        </w:rPr>
        <w:tab/>
      </w:r>
      <w:r>
        <w:rPr>
          <w:rFonts w:hint="eastAsia"/>
          <w:lang w:val="en-US" w:eastAsia="zh-CN"/>
        </w:rPr>
        <w:t>国际电联总部因公出差的专家亦须在整个出差期间享受此类因独立履行职能所需的特权和豁免权。得到总部协议认可的此类特权和豁免权</w:t>
      </w:r>
      <w:r w:rsidRPr="00E6322D">
        <w:rPr>
          <w:rFonts w:ascii="STKaiti" w:eastAsia="STKaiti" w:hAnsi="STKaiti" w:hint="eastAsia"/>
          <w:lang w:val="en-US" w:eastAsia="zh-CN"/>
        </w:rPr>
        <w:t>特别</w:t>
      </w:r>
      <w:r>
        <w:rPr>
          <w:rFonts w:hint="eastAsia"/>
          <w:lang w:val="en-US" w:eastAsia="zh-CN"/>
        </w:rPr>
        <w:t>包括，免予在东道国领土上受到移民限制，其人身免受逮捕或羁押、个人行李免予扣压的豁免权，在其出差期间，免予因采取的行动、进行的口头表达和书面材料而受司法处理的豁免权、所有文件的不可侵犯性以及给予货币或兑换规则方面的便利等。</w:t>
      </w:r>
    </w:p>
    <w:p w14:paraId="6F64DEB8"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给予国际电联职员的特权、豁免权和便利条件</w:t>
      </w:r>
    </w:p>
    <w:p w14:paraId="0BC133CE" w14:textId="77777777" w:rsidR="00B80DA4" w:rsidRPr="0063347C" w:rsidRDefault="00B80DA4" w:rsidP="006B0483">
      <w:pPr>
        <w:rPr>
          <w:lang w:eastAsia="zh-CN"/>
        </w:rPr>
      </w:pPr>
      <w:r>
        <w:rPr>
          <w:lang w:eastAsia="zh-CN"/>
        </w:rPr>
        <w:t>8</w:t>
      </w:r>
      <w:r>
        <w:rPr>
          <w:lang w:val="en-US" w:eastAsia="zh-CN"/>
        </w:rPr>
        <w:t>.56</w:t>
      </w:r>
      <w:r>
        <w:rPr>
          <w:lang w:val="en-US" w:eastAsia="zh-CN"/>
        </w:rPr>
        <w:tab/>
      </w:r>
      <w:r>
        <w:rPr>
          <w:rFonts w:hint="eastAsia"/>
          <w:lang w:val="en-US" w:eastAsia="zh-CN"/>
        </w:rPr>
        <w:t>按照国际法和惯例，五位选任官员和特定类别的委任职员（</w:t>
      </w:r>
      <w:r>
        <w:rPr>
          <w:rFonts w:hint="eastAsia"/>
          <w:lang w:val="en-US" w:eastAsia="zh-CN"/>
        </w:rPr>
        <w:t>P5</w:t>
      </w:r>
      <w:r>
        <w:rPr>
          <w:rFonts w:hint="eastAsia"/>
          <w:lang w:val="en-US" w:eastAsia="zh-CN"/>
        </w:rPr>
        <w:t>及以上）均因总部协议在东道国享有给予外交人员的特权、豁免权和便利条件。</w:t>
      </w:r>
    </w:p>
    <w:p w14:paraId="0DED1C2A" w14:textId="77777777" w:rsidR="00B80DA4" w:rsidRPr="0063347C" w:rsidRDefault="00B80DA4" w:rsidP="006B0483">
      <w:pPr>
        <w:rPr>
          <w:lang w:eastAsia="zh-CN"/>
        </w:rPr>
      </w:pPr>
      <w:r>
        <w:rPr>
          <w:lang w:eastAsia="zh-CN"/>
        </w:rPr>
        <w:t>8</w:t>
      </w:r>
      <w:r>
        <w:rPr>
          <w:lang w:val="en-US" w:eastAsia="zh-CN"/>
        </w:rPr>
        <w:t>.57</w:t>
      </w:r>
      <w:r>
        <w:rPr>
          <w:lang w:val="en-US" w:eastAsia="zh-CN"/>
        </w:rPr>
        <w:tab/>
      </w:r>
      <w:r>
        <w:rPr>
          <w:rFonts w:hint="eastAsia"/>
          <w:lang w:val="en-US" w:eastAsia="zh-CN"/>
        </w:rPr>
        <w:t>此外，通过总部协议，所有职员，无论级别与国籍（包括东道国国民）为何，均至少享有下列特权、豁免权和便利条件：在履行职责时，免受因采取的行动、进行的口头表达和书面材料而受司法处理的豁免权；对于国际电联支付给他们的工资、薪酬和补偿免予征税（国家、地区、地方）（包括职员养恤金或公积金向职员支付的一次付清总额（</w:t>
      </w:r>
      <w:r w:rsidRPr="0063347C">
        <w:rPr>
          <w:lang w:eastAsia="zh-CN"/>
        </w:rPr>
        <w:t>capital sums</w:t>
      </w:r>
      <w:r>
        <w:rPr>
          <w:rFonts w:hint="eastAsia"/>
          <w:lang w:eastAsia="zh-CN"/>
        </w:rPr>
        <w:t>）、生病或事故赔偿金）；免除东道国的国家服务义务（东道国本身国民除外）；无移民限制或外国人登记手续限制（包括其配偶和家庭成员）；货币兑换便利条件；出现国际性危机时的归国便利条件（包括其家庭成员及其所雇用家政服务人员）；海关便利条件等。</w:t>
      </w:r>
    </w:p>
    <w:p w14:paraId="5C5E1ED2" w14:textId="77777777" w:rsidR="00B80DA4" w:rsidRPr="0063347C" w:rsidRDefault="00B80DA4" w:rsidP="006B0483">
      <w:pPr>
        <w:rPr>
          <w:lang w:eastAsia="zh-CN"/>
        </w:rPr>
      </w:pPr>
      <w:r>
        <w:rPr>
          <w:lang w:eastAsia="zh-CN"/>
        </w:rPr>
        <w:t>8</w:t>
      </w:r>
      <w:r>
        <w:rPr>
          <w:lang w:val="en-US" w:eastAsia="zh-CN"/>
        </w:rPr>
        <w:t>.58</w:t>
      </w:r>
      <w:r>
        <w:rPr>
          <w:lang w:val="en-US" w:eastAsia="zh-CN"/>
        </w:rPr>
        <w:tab/>
      </w:r>
      <w:r>
        <w:rPr>
          <w:rFonts w:hint="eastAsia"/>
          <w:lang w:val="en-US" w:eastAsia="zh-CN"/>
        </w:rPr>
        <w:t>与此同时，总部协议须做出规定，为向参与国际电联活动人员和国际电联职员发放签证提供简化、便捷的程序（且不收取任何费用），并免费向职员及其家庭成员发放相当于东道国居留许可的法律文书。最后，总部协议或其执行安排中还必须包括有利于职员配偶进入东道国劳务市场的简化且不受限制的机制。</w:t>
      </w:r>
    </w:p>
    <w:p w14:paraId="21D13489" w14:textId="77777777" w:rsidR="00B80DA4" w:rsidRPr="00BF250E" w:rsidRDefault="00B80DA4" w:rsidP="00B80DA4">
      <w:pPr>
        <w:pStyle w:val="Headingb"/>
        <w:tabs>
          <w:tab w:val="clear" w:pos="567"/>
          <w:tab w:val="clear" w:pos="1134"/>
          <w:tab w:val="clear" w:pos="1701"/>
          <w:tab w:val="clear" w:pos="2268"/>
          <w:tab w:val="clear" w:pos="2835"/>
        </w:tabs>
        <w:spacing w:before="120" w:after="120"/>
        <w:rPr>
          <w:lang w:val="en-US" w:eastAsia="zh-CN"/>
        </w:rPr>
      </w:pPr>
      <w:r>
        <w:rPr>
          <w:rFonts w:hint="eastAsia"/>
          <w:lang w:val="en-US" w:eastAsia="zh-CN"/>
        </w:rPr>
        <w:lastRenderedPageBreak/>
        <w:t>社会保障</w:t>
      </w:r>
    </w:p>
    <w:p w14:paraId="71D921DD" w14:textId="77777777" w:rsidR="00B80DA4" w:rsidRPr="0063347C" w:rsidRDefault="00B80DA4" w:rsidP="006B0483">
      <w:pPr>
        <w:rPr>
          <w:lang w:eastAsia="zh-CN"/>
        </w:rPr>
      </w:pPr>
      <w:r>
        <w:rPr>
          <w:lang w:eastAsia="zh-CN"/>
        </w:rPr>
        <w:t>8</w:t>
      </w:r>
      <w:r>
        <w:rPr>
          <w:lang w:val="en-US" w:eastAsia="zh-CN"/>
        </w:rPr>
        <w:t>.59</w:t>
      </w:r>
      <w:r>
        <w:rPr>
          <w:lang w:val="en-US" w:eastAsia="zh-CN"/>
        </w:rPr>
        <w:tab/>
      </w:r>
      <w:r>
        <w:rPr>
          <w:rFonts w:hint="eastAsia"/>
          <w:lang w:val="en-US" w:eastAsia="zh-CN"/>
        </w:rPr>
        <w:t>文件仅对各种情况做了简要概述，并非面面俱到。还需要指出的是，总部协议必须包含有关免除国际电联向东道国一般性社会保障基金缴纳强制性费用的条款。</w:t>
      </w:r>
    </w:p>
    <w:p w14:paraId="31F52109"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结论</w:t>
      </w:r>
    </w:p>
    <w:p w14:paraId="24011297" w14:textId="77777777" w:rsidR="00B80DA4" w:rsidRPr="0063347C" w:rsidRDefault="00B80DA4" w:rsidP="006B0483">
      <w:pPr>
        <w:rPr>
          <w:lang w:eastAsia="zh-CN"/>
        </w:rPr>
      </w:pPr>
      <w:r>
        <w:rPr>
          <w:lang w:eastAsia="zh-CN"/>
        </w:rPr>
        <w:t>8</w:t>
      </w:r>
      <w:r>
        <w:rPr>
          <w:lang w:val="en-US" w:eastAsia="zh-CN"/>
        </w:rPr>
        <w:t>.60</w:t>
      </w:r>
      <w:r>
        <w:rPr>
          <w:lang w:val="en-US" w:eastAsia="zh-CN"/>
        </w:rPr>
        <w:tab/>
      </w:r>
      <w:r>
        <w:rPr>
          <w:rFonts w:hint="eastAsia"/>
          <w:lang w:val="en-US" w:eastAsia="zh-CN"/>
        </w:rPr>
        <w:t>总部协议的谈判会是一个冗长复杂的过程（取决于东道国的法律和制度框架以及经济和社会结构），如果东道国不是</w:t>
      </w:r>
      <w:r>
        <w:rPr>
          <w:rFonts w:hint="eastAsia"/>
          <w:lang w:val="en-US" w:eastAsia="zh-CN"/>
        </w:rPr>
        <w:t>1947</w:t>
      </w:r>
      <w:r>
        <w:rPr>
          <w:rFonts w:hint="eastAsia"/>
          <w:lang w:val="en-US" w:eastAsia="zh-CN"/>
        </w:rPr>
        <w:t>年《专门机构特权和豁免权公约》的缔约国，情况则更会如此。</w:t>
      </w:r>
    </w:p>
    <w:p w14:paraId="5832E6CC" w14:textId="77777777" w:rsidR="00B80DA4" w:rsidRPr="0063347C" w:rsidRDefault="00B80DA4" w:rsidP="006B0483">
      <w:pPr>
        <w:pStyle w:val="Headingb"/>
        <w:rPr>
          <w:lang w:eastAsia="zh-CN"/>
        </w:rPr>
      </w:pPr>
      <w:r>
        <w:rPr>
          <w:lang w:eastAsia="zh-CN"/>
        </w:rPr>
        <w:t>c)</w:t>
      </w:r>
      <w:r>
        <w:rPr>
          <w:lang w:eastAsia="zh-CN"/>
        </w:rPr>
        <w:tab/>
      </w:r>
      <w:r>
        <w:rPr>
          <w:rFonts w:hint="eastAsia"/>
          <w:lang w:eastAsia="zh-CN"/>
        </w:rPr>
        <w:t>有关国际电联总部服务提供协议及合同的终止与重新谈判</w:t>
      </w:r>
    </w:p>
    <w:p w14:paraId="33CD05F0" w14:textId="77777777" w:rsidR="00B80DA4" w:rsidRPr="0063347C" w:rsidRDefault="00B80DA4" w:rsidP="006B0483">
      <w:pPr>
        <w:rPr>
          <w:lang w:eastAsia="zh-CN"/>
        </w:rPr>
      </w:pPr>
      <w:r>
        <w:rPr>
          <w:lang w:eastAsia="zh-CN"/>
        </w:rPr>
        <w:t>8</w:t>
      </w:r>
      <w:r>
        <w:rPr>
          <w:lang w:val="en-US" w:eastAsia="zh-CN"/>
        </w:rPr>
        <w:t>.61</w:t>
      </w:r>
      <w:r>
        <w:rPr>
          <w:lang w:val="en-US" w:eastAsia="zh-CN"/>
        </w:rPr>
        <w:tab/>
      </w:r>
      <w:r>
        <w:rPr>
          <w:rFonts w:hint="eastAsia"/>
          <w:lang w:val="en-US" w:eastAsia="zh-CN"/>
        </w:rPr>
        <w:t>极有可能的是，国际电联总部迁离日内瓦还意味着必须终止多数总部服务提供合同，并根据国际电联内部采购规则重新谈判和签定合同并与新竞标胜出方重新谈判合同。</w:t>
      </w:r>
    </w:p>
    <w:p w14:paraId="5B699C41" w14:textId="77777777" w:rsidR="00B80DA4" w:rsidRPr="0063347C" w:rsidRDefault="00B80DA4" w:rsidP="006B0483">
      <w:pPr>
        <w:pStyle w:val="Headingb"/>
        <w:rPr>
          <w:lang w:eastAsia="zh-CN"/>
        </w:rPr>
      </w:pPr>
      <w:r>
        <w:rPr>
          <w:lang w:eastAsia="zh-CN"/>
        </w:rPr>
        <w:t>d)</w:t>
      </w:r>
      <w:r>
        <w:rPr>
          <w:lang w:eastAsia="zh-CN"/>
        </w:rPr>
        <w:tab/>
      </w:r>
      <w:r>
        <w:rPr>
          <w:rFonts w:hint="eastAsia"/>
          <w:lang w:eastAsia="zh-CN"/>
        </w:rPr>
        <w:t>国际电联持有的“地上权”的可能转让</w:t>
      </w:r>
    </w:p>
    <w:p w14:paraId="7D9C622B" w14:textId="77777777" w:rsidR="00B80DA4" w:rsidRPr="0063347C" w:rsidRDefault="00B80DA4" w:rsidP="006B0483">
      <w:pPr>
        <w:rPr>
          <w:lang w:eastAsia="zh-CN"/>
        </w:rPr>
      </w:pPr>
      <w:r>
        <w:rPr>
          <w:lang w:eastAsia="zh-CN"/>
        </w:rPr>
        <w:t>8</w:t>
      </w:r>
      <w:r>
        <w:rPr>
          <w:lang w:val="en-US" w:eastAsia="zh-CN"/>
        </w:rPr>
        <w:t>.62</w:t>
      </w:r>
      <w:r>
        <w:rPr>
          <w:lang w:val="en-US" w:eastAsia="zh-CN"/>
        </w:rPr>
        <w:tab/>
      </w:r>
      <w:r>
        <w:rPr>
          <w:rFonts w:hint="eastAsia"/>
          <w:lang w:val="en-US" w:eastAsia="zh-CN"/>
        </w:rPr>
        <w:t>如果国际电联总部迁离日内瓦，则国际电联只能放弃日内瓦州给予的“地上权”。</w:t>
      </w:r>
    </w:p>
    <w:p w14:paraId="736F15C9"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Pr>
          <w:rFonts w:hint="eastAsia"/>
          <w:lang w:eastAsia="zh-CN"/>
        </w:rPr>
        <w:t>何为“地上权</w:t>
      </w:r>
      <w:r>
        <w:rPr>
          <w:rFonts w:hint="eastAsia"/>
          <w:lang w:val="en-US" w:eastAsia="zh-CN"/>
        </w:rPr>
        <w:t>”？</w:t>
      </w:r>
    </w:p>
    <w:p w14:paraId="07A3BE21" w14:textId="77777777" w:rsidR="00B80DA4" w:rsidRPr="0063347C" w:rsidRDefault="00B80DA4" w:rsidP="006B0483">
      <w:pPr>
        <w:rPr>
          <w:lang w:eastAsia="zh-CN"/>
        </w:rPr>
      </w:pPr>
      <w:r>
        <w:rPr>
          <w:lang w:eastAsia="zh-CN"/>
        </w:rPr>
        <w:t>8</w:t>
      </w:r>
      <w:r>
        <w:rPr>
          <w:lang w:val="en-US" w:eastAsia="zh-CN"/>
        </w:rPr>
        <w:t>.63</w:t>
      </w:r>
      <w:r>
        <w:rPr>
          <w:lang w:val="en-US" w:eastAsia="zh-CN"/>
        </w:rPr>
        <w:tab/>
      </w:r>
      <w:r>
        <w:rPr>
          <w:rFonts w:hint="eastAsia"/>
          <w:lang w:val="en-US" w:eastAsia="zh-CN"/>
        </w:rPr>
        <w:t>就本质而言，“地上权”为赋予持有方</w:t>
      </w:r>
      <w:r>
        <w:rPr>
          <w:rFonts w:hint="eastAsia"/>
          <w:lang w:val="en-US" w:eastAsia="zh-CN"/>
        </w:rPr>
        <w:t xml:space="preserve"> </w:t>
      </w:r>
      <w:r w:rsidRPr="00F33502">
        <w:rPr>
          <w:lang w:val="en-US" w:eastAsia="zh-CN"/>
        </w:rPr>
        <w:t>–</w:t>
      </w:r>
      <w:r>
        <w:rPr>
          <w:lang w:val="en-US" w:eastAsia="zh-CN"/>
        </w:rPr>
        <w:t xml:space="preserve"> </w:t>
      </w:r>
      <w:r>
        <w:rPr>
          <w:rFonts w:hint="eastAsia"/>
          <w:lang w:val="en-US" w:eastAsia="zh-CN"/>
        </w:rPr>
        <w:t>在此情况下为国际电联</w:t>
      </w:r>
      <w:r>
        <w:rPr>
          <w:rFonts w:hint="eastAsia"/>
          <w:lang w:val="en-US" w:eastAsia="zh-CN"/>
        </w:rPr>
        <w:t xml:space="preserve"> </w:t>
      </w:r>
      <w:r w:rsidRPr="00F33502">
        <w:rPr>
          <w:lang w:val="en-US" w:eastAsia="zh-CN"/>
        </w:rPr>
        <w:t>–</w:t>
      </w:r>
      <w:r>
        <w:rPr>
          <w:lang w:val="en-US" w:eastAsia="zh-CN"/>
        </w:rPr>
        <w:t xml:space="preserve"> </w:t>
      </w:r>
      <w:r>
        <w:rPr>
          <w:rFonts w:hint="eastAsia"/>
          <w:lang w:val="en-US" w:eastAsia="zh-CN"/>
        </w:rPr>
        <w:t>的地役权，给予持有方权利，在一块特定土地上建造用于其服务的楼宇和相关设施。</w:t>
      </w:r>
    </w:p>
    <w:p w14:paraId="2FC1A014" w14:textId="77777777" w:rsidR="00B80DA4" w:rsidRPr="0063347C" w:rsidRDefault="00B80DA4" w:rsidP="006B0483">
      <w:pPr>
        <w:rPr>
          <w:lang w:eastAsia="zh-CN"/>
        </w:rPr>
      </w:pPr>
      <w:r>
        <w:rPr>
          <w:lang w:eastAsia="zh-CN"/>
        </w:rPr>
        <w:t>8</w:t>
      </w:r>
      <w:r>
        <w:rPr>
          <w:lang w:val="en-US" w:eastAsia="zh-CN"/>
        </w:rPr>
        <w:t>.64</w:t>
      </w:r>
      <w:r>
        <w:rPr>
          <w:lang w:val="en-US" w:eastAsia="zh-CN"/>
        </w:rPr>
        <w:tab/>
      </w:r>
      <w:r>
        <w:rPr>
          <w:rFonts w:hint="eastAsia"/>
          <w:lang w:val="en-US" w:eastAsia="zh-CN"/>
        </w:rPr>
        <w:t>换言之，“地上权”是国际电联在属于第三方</w:t>
      </w:r>
      <w:r>
        <w:rPr>
          <w:rFonts w:hint="eastAsia"/>
          <w:lang w:val="en-US" w:eastAsia="zh-CN"/>
        </w:rPr>
        <w:t xml:space="preserve"> </w:t>
      </w:r>
      <w:r w:rsidRPr="00433BE2">
        <w:rPr>
          <w:lang w:val="en-US" w:eastAsia="zh-CN"/>
        </w:rPr>
        <w:t>–</w:t>
      </w:r>
      <w:r>
        <w:rPr>
          <w:lang w:val="en-US" w:eastAsia="zh-CN"/>
        </w:rPr>
        <w:t xml:space="preserve"> </w:t>
      </w:r>
      <w:r>
        <w:rPr>
          <w:rFonts w:hint="eastAsia"/>
          <w:lang w:val="en-US" w:eastAsia="zh-CN"/>
        </w:rPr>
        <w:t>在此情况下为日内瓦州</w:t>
      </w:r>
      <w:r>
        <w:rPr>
          <w:rFonts w:hint="eastAsia"/>
          <w:lang w:val="en-US" w:eastAsia="zh-CN"/>
        </w:rPr>
        <w:t xml:space="preserve"> </w:t>
      </w:r>
      <w:r w:rsidRPr="00433BE2">
        <w:rPr>
          <w:lang w:val="en-US" w:eastAsia="zh-CN"/>
        </w:rPr>
        <w:t>–</w:t>
      </w:r>
      <w:r>
        <w:rPr>
          <w:lang w:val="en-US" w:eastAsia="zh-CN"/>
        </w:rPr>
        <w:t xml:space="preserve"> </w:t>
      </w:r>
      <w:r>
        <w:rPr>
          <w:rFonts w:hint="eastAsia"/>
          <w:lang w:val="en-US" w:eastAsia="zh-CN"/>
        </w:rPr>
        <w:t>的土地上拥有一幢或多幢建筑物的权利。</w:t>
      </w:r>
    </w:p>
    <w:p w14:paraId="3226D990" w14:textId="77777777" w:rsidR="00B80DA4" w:rsidRPr="0063347C" w:rsidRDefault="00B80DA4" w:rsidP="006B0483">
      <w:pPr>
        <w:rPr>
          <w:lang w:eastAsia="zh-CN"/>
        </w:rPr>
      </w:pPr>
      <w:r>
        <w:rPr>
          <w:lang w:eastAsia="zh-CN"/>
        </w:rPr>
        <w:t>8</w:t>
      </w:r>
      <w:r>
        <w:rPr>
          <w:lang w:val="en-US" w:eastAsia="zh-CN"/>
        </w:rPr>
        <w:t>.65</w:t>
      </w:r>
      <w:r>
        <w:rPr>
          <w:lang w:val="en-US" w:eastAsia="zh-CN"/>
        </w:rPr>
        <w:tab/>
      </w:r>
      <w:r>
        <w:rPr>
          <w:rFonts w:hint="eastAsia"/>
          <w:lang w:val="en-US" w:eastAsia="zh-CN"/>
        </w:rPr>
        <w:t>此地役权最初于</w:t>
      </w:r>
      <w:r>
        <w:rPr>
          <w:rFonts w:hint="eastAsia"/>
          <w:lang w:val="en-US" w:eastAsia="zh-CN"/>
        </w:rPr>
        <w:t>1967</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22</w:t>
      </w:r>
      <w:r>
        <w:rPr>
          <w:rFonts w:hint="eastAsia"/>
          <w:lang w:val="en-US" w:eastAsia="zh-CN"/>
        </w:rPr>
        <w:t>日在公证部门的见证下通过签署一项公证书免费授予国际电联。之后，随着国际电联不同办公楼的建设，对公证书所涵盖的面积做了若干次修订。</w:t>
      </w:r>
    </w:p>
    <w:p w14:paraId="177528EE" w14:textId="77777777" w:rsidR="00B80DA4" w:rsidRPr="0063347C" w:rsidRDefault="00B80DA4" w:rsidP="006B0483">
      <w:pPr>
        <w:rPr>
          <w:lang w:eastAsia="zh-CN"/>
        </w:rPr>
      </w:pPr>
      <w:r>
        <w:rPr>
          <w:lang w:eastAsia="zh-CN"/>
        </w:rPr>
        <w:t>8</w:t>
      </w:r>
      <w:r>
        <w:rPr>
          <w:lang w:val="en-US" w:eastAsia="zh-CN"/>
        </w:rPr>
        <w:t>.66</w:t>
      </w:r>
      <w:r>
        <w:rPr>
          <w:lang w:val="en-US" w:eastAsia="zh-CN"/>
        </w:rPr>
        <w:tab/>
      </w:r>
      <w:r>
        <w:rPr>
          <w:rFonts w:hint="eastAsia"/>
          <w:lang w:val="en-US" w:eastAsia="zh-CN"/>
        </w:rPr>
        <w:t>地役权并非永久授予国际电联，将于</w:t>
      </w:r>
      <w:r>
        <w:rPr>
          <w:rFonts w:hint="eastAsia"/>
          <w:lang w:val="en-US" w:eastAsia="zh-CN"/>
        </w:rPr>
        <w:t>2079</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日到期。然而，地役权不仅可续，而且还可以转让。</w:t>
      </w:r>
    </w:p>
    <w:p w14:paraId="04AFEE1C" w14:textId="77777777" w:rsidR="00B80DA4" w:rsidRPr="0063347C" w:rsidRDefault="00B80DA4" w:rsidP="006B0483">
      <w:pPr>
        <w:rPr>
          <w:lang w:eastAsia="zh-CN"/>
        </w:rPr>
      </w:pPr>
      <w:r>
        <w:rPr>
          <w:lang w:eastAsia="zh-CN"/>
        </w:rPr>
        <w:t>8</w:t>
      </w:r>
      <w:r>
        <w:rPr>
          <w:lang w:val="en-US" w:eastAsia="zh-CN"/>
        </w:rPr>
        <w:t>.67</w:t>
      </w:r>
      <w:r>
        <w:rPr>
          <w:lang w:val="en-US" w:eastAsia="zh-CN"/>
        </w:rPr>
        <w:tab/>
      </w:r>
      <w:r>
        <w:rPr>
          <w:rFonts w:hint="eastAsia"/>
          <w:lang w:val="en-US" w:eastAsia="zh-CN"/>
        </w:rPr>
        <w:t>如果在</w:t>
      </w:r>
      <w:r>
        <w:rPr>
          <w:rFonts w:hint="eastAsia"/>
          <w:lang w:val="en-US" w:eastAsia="zh-CN"/>
        </w:rPr>
        <w:t>2079</w:t>
      </w:r>
      <w:r>
        <w:rPr>
          <w:rFonts w:hint="eastAsia"/>
          <w:lang w:val="en-US" w:eastAsia="zh-CN"/>
        </w:rPr>
        <w:t>年不续“地上权”，则在适用地役权的地块上建起的办公楼须返还该土地拥有者</w:t>
      </w:r>
      <w:r>
        <w:rPr>
          <w:rFonts w:hint="eastAsia"/>
          <w:lang w:val="en-US" w:eastAsia="zh-CN"/>
        </w:rPr>
        <w:t xml:space="preserve"> </w:t>
      </w:r>
      <w:r w:rsidRPr="00CA42F8">
        <w:rPr>
          <w:lang w:val="en-US" w:eastAsia="zh-CN"/>
        </w:rPr>
        <w:t>–</w:t>
      </w:r>
      <w:r>
        <w:rPr>
          <w:lang w:val="en-US" w:eastAsia="zh-CN"/>
        </w:rPr>
        <w:t xml:space="preserve"> </w:t>
      </w:r>
      <w:r>
        <w:rPr>
          <w:rFonts w:hint="eastAsia"/>
          <w:lang w:val="en-US" w:eastAsia="zh-CN"/>
        </w:rPr>
        <w:t>即日内瓦州，前提是在该权利到期日时，如果国际电联在办公楼扩建、改造和翻新工程方面的重大投资尚未完全折旧，则须向国际电联支付一笔赔偿金。</w:t>
      </w:r>
    </w:p>
    <w:p w14:paraId="6C4E4BC3" w14:textId="77777777" w:rsidR="00B80DA4" w:rsidRPr="0063347C" w:rsidRDefault="00B80DA4" w:rsidP="00B80DA4">
      <w:pPr>
        <w:pStyle w:val="Headingb"/>
        <w:tabs>
          <w:tab w:val="clear" w:pos="567"/>
          <w:tab w:val="clear" w:pos="1134"/>
          <w:tab w:val="clear" w:pos="1701"/>
          <w:tab w:val="clear" w:pos="2268"/>
          <w:tab w:val="clear" w:pos="2835"/>
        </w:tabs>
        <w:spacing w:before="120" w:after="120"/>
        <w:rPr>
          <w:lang w:eastAsia="zh-CN"/>
        </w:rPr>
      </w:pPr>
      <w:r w:rsidRPr="001355A8">
        <w:rPr>
          <w:rFonts w:ascii="SimSun" w:hAnsi="SimSun"/>
          <w:lang w:eastAsia="zh-CN"/>
        </w:rPr>
        <w:t>“</w:t>
      </w:r>
      <w:r>
        <w:rPr>
          <w:rFonts w:hint="eastAsia"/>
          <w:lang w:eastAsia="zh-CN"/>
        </w:rPr>
        <w:t>地上权</w:t>
      </w:r>
      <w:r w:rsidRPr="001355A8">
        <w:rPr>
          <w:rFonts w:ascii="SimSun" w:hAnsi="SimSun" w:hint="eastAsia"/>
          <w:lang w:eastAsia="zh-CN"/>
        </w:rPr>
        <w:t>”</w:t>
      </w:r>
      <w:r>
        <w:rPr>
          <w:rFonts w:hint="eastAsia"/>
          <w:lang w:eastAsia="zh-CN"/>
        </w:rPr>
        <w:t>的转让程序和条件</w:t>
      </w:r>
    </w:p>
    <w:p w14:paraId="12BD5C66" w14:textId="77777777" w:rsidR="00B80DA4" w:rsidRPr="0063347C" w:rsidRDefault="00B80DA4" w:rsidP="00323BC6">
      <w:pPr>
        <w:rPr>
          <w:lang w:eastAsia="zh-CN"/>
        </w:rPr>
      </w:pPr>
      <w:r>
        <w:rPr>
          <w:lang w:eastAsia="zh-CN"/>
        </w:rPr>
        <w:t>8</w:t>
      </w:r>
      <w:r>
        <w:rPr>
          <w:lang w:val="en-US" w:eastAsia="zh-CN"/>
        </w:rPr>
        <w:t>.68</w:t>
      </w:r>
      <w:r>
        <w:rPr>
          <w:lang w:val="en-US" w:eastAsia="zh-CN"/>
        </w:rPr>
        <w:tab/>
      </w:r>
      <w:r>
        <w:rPr>
          <w:rFonts w:hint="eastAsia"/>
          <w:lang w:val="en-US" w:eastAsia="zh-CN"/>
        </w:rPr>
        <w:t>如上所述，可在任何时候转让地役权。</w:t>
      </w:r>
    </w:p>
    <w:p w14:paraId="058E5F8B" w14:textId="77777777" w:rsidR="00B80DA4" w:rsidRPr="0063347C" w:rsidRDefault="00B80DA4" w:rsidP="00323BC6">
      <w:pPr>
        <w:rPr>
          <w:lang w:eastAsia="zh-CN"/>
        </w:rPr>
      </w:pPr>
      <w:r>
        <w:rPr>
          <w:lang w:eastAsia="zh-CN"/>
        </w:rPr>
        <w:t>8</w:t>
      </w:r>
      <w:r>
        <w:rPr>
          <w:lang w:val="en-US" w:eastAsia="zh-CN"/>
        </w:rPr>
        <w:t>.69</w:t>
      </w:r>
      <w:r>
        <w:rPr>
          <w:lang w:val="en-US" w:eastAsia="zh-CN"/>
        </w:rPr>
        <w:tab/>
      </w:r>
      <w:r>
        <w:rPr>
          <w:rFonts w:hint="eastAsia"/>
          <w:lang w:val="en-US" w:eastAsia="zh-CN"/>
        </w:rPr>
        <w:t>因此，国际电联可转让其“地上权”。换言之，可向第三方出售其办公楼，前提是日内瓦州在法律上拥有优先购买权。</w:t>
      </w:r>
    </w:p>
    <w:p w14:paraId="41F40A99" w14:textId="77777777" w:rsidR="00B80DA4" w:rsidRPr="0063347C" w:rsidRDefault="00B80DA4" w:rsidP="00323BC6">
      <w:pPr>
        <w:rPr>
          <w:lang w:eastAsia="zh-CN"/>
        </w:rPr>
      </w:pPr>
      <w:r>
        <w:rPr>
          <w:lang w:eastAsia="zh-CN"/>
        </w:rPr>
        <w:t>8</w:t>
      </w:r>
      <w:r>
        <w:rPr>
          <w:lang w:val="en-US" w:eastAsia="zh-CN"/>
        </w:rPr>
        <w:t>.70</w:t>
      </w:r>
      <w:r>
        <w:rPr>
          <w:lang w:val="en-US" w:eastAsia="zh-CN"/>
        </w:rPr>
        <w:tab/>
      </w:r>
      <w:r>
        <w:rPr>
          <w:rFonts w:hint="eastAsia"/>
          <w:lang w:val="en-US" w:eastAsia="zh-CN"/>
        </w:rPr>
        <w:t>然而，应当指出的是，如果买方拥有与国际电联相同或类似的法律地位，即，另一家已经或正在日内瓦建立其总部的国际或政府间组织，则上述法定优先购买权将无法实施。</w:t>
      </w:r>
    </w:p>
    <w:p w14:paraId="4A4764C6" w14:textId="77777777" w:rsidR="00B80DA4" w:rsidRPr="0063347C" w:rsidRDefault="00B80DA4" w:rsidP="00323BC6">
      <w:pPr>
        <w:rPr>
          <w:lang w:eastAsia="zh-CN"/>
        </w:rPr>
      </w:pPr>
      <w:r>
        <w:rPr>
          <w:lang w:eastAsia="zh-CN"/>
        </w:rPr>
        <w:t>8</w:t>
      </w:r>
      <w:r>
        <w:rPr>
          <w:lang w:val="en-US" w:eastAsia="zh-CN"/>
        </w:rPr>
        <w:t>.71</w:t>
      </w:r>
      <w:r>
        <w:rPr>
          <w:lang w:val="en-US" w:eastAsia="zh-CN"/>
        </w:rPr>
        <w:tab/>
      </w:r>
      <w:r>
        <w:rPr>
          <w:rFonts w:hint="eastAsia"/>
          <w:lang w:val="en-US" w:eastAsia="zh-CN"/>
        </w:rPr>
        <w:t>自国际电联通知日内瓦州转让“地上权”之日起的六个月内，日内瓦州须表明其行使优先购买权的意向，在此表明之后，再用六个月时间行使其权利。换言之，任何出售程序都可能至少花费</w:t>
      </w:r>
      <w:r>
        <w:rPr>
          <w:rFonts w:hint="eastAsia"/>
          <w:lang w:val="en-US" w:eastAsia="zh-CN"/>
        </w:rPr>
        <w:t>18</w:t>
      </w:r>
      <w:r>
        <w:rPr>
          <w:rFonts w:hint="eastAsia"/>
          <w:lang w:val="en-US" w:eastAsia="zh-CN"/>
        </w:rPr>
        <w:t>至</w:t>
      </w:r>
      <w:r>
        <w:rPr>
          <w:rFonts w:hint="eastAsia"/>
          <w:lang w:val="en-US" w:eastAsia="zh-CN"/>
        </w:rPr>
        <w:t>24</w:t>
      </w:r>
      <w:r>
        <w:rPr>
          <w:rFonts w:hint="eastAsia"/>
          <w:lang w:val="en-US" w:eastAsia="zh-CN"/>
        </w:rPr>
        <w:t>个月的时间。</w:t>
      </w:r>
    </w:p>
    <w:p w14:paraId="2FF1EDED" w14:textId="77777777" w:rsidR="00B80DA4" w:rsidRPr="0063347C" w:rsidRDefault="00B80DA4" w:rsidP="00B80DA4">
      <w:pPr>
        <w:pStyle w:val="Heading1"/>
        <w:tabs>
          <w:tab w:val="clear" w:pos="567"/>
          <w:tab w:val="clear" w:pos="1134"/>
          <w:tab w:val="clear" w:pos="1701"/>
          <w:tab w:val="clear" w:pos="2268"/>
          <w:tab w:val="clear" w:pos="2835"/>
        </w:tabs>
        <w:spacing w:before="400" w:after="120"/>
        <w:ind w:left="709" w:hanging="709"/>
        <w:rPr>
          <w:lang w:eastAsia="zh-CN"/>
        </w:rPr>
      </w:pPr>
      <w:r w:rsidRPr="0063347C">
        <w:rPr>
          <w:lang w:eastAsia="zh-CN"/>
        </w:rPr>
        <w:lastRenderedPageBreak/>
        <w:t>9</w:t>
      </w:r>
      <w:r>
        <w:rPr>
          <w:lang w:eastAsia="zh-CN"/>
        </w:rPr>
        <w:tab/>
      </w:r>
      <w:r>
        <w:rPr>
          <w:rFonts w:hint="eastAsia"/>
          <w:lang w:eastAsia="zh-CN"/>
        </w:rPr>
        <w:t>所考虑的各项方案的综述和比较</w:t>
      </w:r>
    </w:p>
    <w:p w14:paraId="6F416972" w14:textId="77777777" w:rsidR="00B80DA4" w:rsidRPr="0063347C" w:rsidRDefault="00B80DA4" w:rsidP="00323BC6">
      <w:pPr>
        <w:rPr>
          <w:lang w:eastAsia="zh-CN"/>
        </w:rPr>
      </w:pPr>
      <w:r>
        <w:rPr>
          <w:lang w:eastAsia="zh-CN"/>
        </w:rPr>
        <w:t>9</w:t>
      </w:r>
      <w:r>
        <w:rPr>
          <w:lang w:val="en-US" w:eastAsia="zh-CN"/>
        </w:rPr>
        <w:t>.1</w:t>
      </w:r>
      <w:r>
        <w:rPr>
          <w:lang w:val="en-US" w:eastAsia="zh-CN"/>
        </w:rPr>
        <w:tab/>
      </w:r>
      <w:r>
        <w:rPr>
          <w:rFonts w:hint="eastAsia"/>
          <w:lang w:val="en-US" w:eastAsia="zh-CN"/>
        </w:rPr>
        <w:t>重要的是，需考虑到</w:t>
      </w:r>
      <w:r>
        <w:rPr>
          <w:rFonts w:hint="eastAsia"/>
          <w:lang w:val="en-US" w:eastAsia="zh-CN"/>
        </w:rPr>
        <w:t>2016-2019</w:t>
      </w:r>
      <w:r>
        <w:rPr>
          <w:rFonts w:hint="eastAsia"/>
          <w:lang w:val="en-US" w:eastAsia="zh-CN"/>
        </w:rPr>
        <w:t>年财务规划草案中没有包含各项不同方案的费用。方案的选择以及相关的实施时间安排将对国际电联产生财务影响。</w:t>
      </w:r>
    </w:p>
    <w:p w14:paraId="3B773E23" w14:textId="77777777" w:rsidR="00B80DA4" w:rsidRPr="0063347C" w:rsidRDefault="00B80DA4" w:rsidP="00323BC6">
      <w:pPr>
        <w:rPr>
          <w:lang w:eastAsia="zh-CN"/>
        </w:rPr>
      </w:pPr>
      <w:r>
        <w:rPr>
          <w:lang w:eastAsia="zh-CN"/>
        </w:rPr>
        <w:t>9</w:t>
      </w:r>
      <w:r>
        <w:rPr>
          <w:lang w:val="en-US" w:eastAsia="zh-CN"/>
        </w:rPr>
        <w:t>.2</w:t>
      </w:r>
      <w:r>
        <w:rPr>
          <w:lang w:val="en-US" w:eastAsia="zh-CN"/>
        </w:rPr>
        <w:tab/>
      </w:r>
      <w:r>
        <w:rPr>
          <w:rFonts w:hint="eastAsia"/>
          <w:lang w:val="en-US" w:eastAsia="zh-CN"/>
        </w:rPr>
        <w:t>已根据下列标准对所选方案的影响进行了评估：</w:t>
      </w:r>
    </w:p>
    <w:p w14:paraId="6897AB24" w14:textId="77777777" w:rsidR="00B80DA4" w:rsidRPr="00753029" w:rsidRDefault="00B80DA4" w:rsidP="00753029">
      <w:pPr>
        <w:pStyle w:val="enumlev1"/>
        <w:rPr>
          <w:lang w:eastAsia="zh-CN"/>
        </w:rPr>
      </w:pPr>
      <w:r w:rsidRPr="00753029">
        <w:rPr>
          <w:lang w:eastAsia="zh-CN"/>
        </w:rPr>
        <w:t>–</w:t>
      </w:r>
      <w:r w:rsidRPr="00753029">
        <w:rPr>
          <w:lang w:eastAsia="zh-CN"/>
        </w:rPr>
        <w:tab/>
      </w:r>
      <w:r w:rsidRPr="00753029">
        <w:rPr>
          <w:rFonts w:hint="eastAsia"/>
          <w:lang w:eastAsia="zh-CN"/>
        </w:rPr>
        <w:t>在所选方案实施过程中对国际电联运行的影响</w:t>
      </w:r>
    </w:p>
    <w:p w14:paraId="1D8D6989" w14:textId="77777777" w:rsidR="00B80DA4" w:rsidRPr="0063347C" w:rsidRDefault="00B80DA4" w:rsidP="00753029">
      <w:pPr>
        <w:pStyle w:val="enumlev1"/>
        <w:rPr>
          <w:lang w:eastAsia="zh-CN"/>
        </w:rPr>
      </w:pPr>
      <w:r>
        <w:rPr>
          <w:lang w:eastAsia="zh-CN"/>
        </w:rPr>
        <w:t>–</w:t>
      </w:r>
      <w:r>
        <w:rPr>
          <w:lang w:eastAsia="zh-CN"/>
        </w:rPr>
        <w:tab/>
      </w:r>
      <w:r>
        <w:rPr>
          <w:rFonts w:hint="eastAsia"/>
          <w:lang w:eastAsia="zh-CN"/>
        </w:rPr>
        <w:t>对职员以及现有职员已掌握专业知识和技能的影响</w:t>
      </w:r>
    </w:p>
    <w:p w14:paraId="55165DFF" w14:textId="77777777" w:rsidR="00B80DA4" w:rsidRPr="0063347C" w:rsidRDefault="00B80DA4" w:rsidP="00753029">
      <w:pPr>
        <w:pStyle w:val="enumlev1"/>
        <w:rPr>
          <w:lang w:eastAsia="zh-CN"/>
        </w:rPr>
      </w:pPr>
      <w:r>
        <w:rPr>
          <w:lang w:eastAsia="zh-CN"/>
        </w:rPr>
        <w:t>–</w:t>
      </w:r>
      <w:r>
        <w:rPr>
          <w:lang w:eastAsia="zh-CN"/>
        </w:rPr>
        <w:tab/>
      </w:r>
      <w:r>
        <w:rPr>
          <w:rFonts w:hint="eastAsia"/>
          <w:lang w:eastAsia="zh-CN"/>
        </w:rPr>
        <w:t>包含短期和长期估算节省在内的财务影响</w:t>
      </w:r>
    </w:p>
    <w:p w14:paraId="5620E670" w14:textId="77777777" w:rsidR="00B80DA4" w:rsidRPr="0063347C" w:rsidRDefault="00B80DA4" w:rsidP="00753029">
      <w:pPr>
        <w:pStyle w:val="enumlev1"/>
        <w:rPr>
          <w:lang w:eastAsia="zh-CN"/>
        </w:rPr>
      </w:pPr>
      <w:r>
        <w:rPr>
          <w:lang w:eastAsia="zh-CN"/>
        </w:rPr>
        <w:t>–</w:t>
      </w:r>
      <w:r>
        <w:rPr>
          <w:lang w:eastAsia="zh-CN"/>
        </w:rPr>
        <w:tab/>
      </w:r>
      <w:r>
        <w:rPr>
          <w:rFonts w:hint="eastAsia"/>
          <w:lang w:eastAsia="zh-CN"/>
        </w:rPr>
        <w:t>对国际电联工作和形象的整体影响。</w:t>
      </w:r>
    </w:p>
    <w:p w14:paraId="4735389E" w14:textId="77777777" w:rsidR="00B80DA4" w:rsidRDefault="00B80DA4" w:rsidP="00B80DA4">
      <w:pPr>
        <w:pStyle w:val="Headingb"/>
        <w:tabs>
          <w:tab w:val="clear" w:pos="567"/>
          <w:tab w:val="clear" w:pos="1134"/>
          <w:tab w:val="clear" w:pos="1701"/>
          <w:tab w:val="clear" w:pos="2268"/>
          <w:tab w:val="clear" w:pos="2835"/>
        </w:tabs>
        <w:spacing w:before="240" w:after="240"/>
        <w:rPr>
          <w:lang w:val="en-US"/>
        </w:rPr>
      </w:pPr>
      <w:r>
        <w:rPr>
          <w:rFonts w:hint="eastAsia"/>
          <w:lang w:val="en-US" w:eastAsia="zh-CN"/>
        </w:rPr>
        <w:t>对正常预算的影响</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180"/>
        <w:gridCol w:w="2205"/>
        <w:gridCol w:w="5046"/>
      </w:tblGrid>
      <w:tr w:rsidR="00B80DA4" w:rsidRPr="0063347C" w14:paraId="27233FF5" w14:textId="77777777" w:rsidTr="000E7785">
        <w:trPr>
          <w:cantSplit/>
          <w:trHeight w:val="615"/>
        </w:trPr>
        <w:tc>
          <w:tcPr>
            <w:tcW w:w="792" w:type="dxa"/>
            <w:vAlign w:val="center"/>
          </w:tcPr>
          <w:p w14:paraId="5FC9EEBF" w14:textId="77777777" w:rsidR="00B80DA4" w:rsidRPr="00961C5B" w:rsidRDefault="00B80DA4" w:rsidP="000E7785">
            <w:pPr>
              <w:pStyle w:val="Tablehead"/>
              <w:rPr>
                <w:sz w:val="18"/>
                <w:szCs w:val="18"/>
                <w:lang w:val="fr-FR"/>
              </w:rPr>
            </w:pPr>
            <w:r>
              <w:rPr>
                <w:rFonts w:hint="eastAsia"/>
                <w:sz w:val="18"/>
                <w:szCs w:val="18"/>
                <w:lang w:val="fr-FR" w:eastAsia="zh-CN"/>
              </w:rPr>
              <w:t>方案</w:t>
            </w:r>
          </w:p>
        </w:tc>
        <w:tc>
          <w:tcPr>
            <w:tcW w:w="2180" w:type="dxa"/>
            <w:vAlign w:val="center"/>
          </w:tcPr>
          <w:p w14:paraId="60D8FE0F" w14:textId="77777777" w:rsidR="00B80DA4" w:rsidRPr="0063347C" w:rsidRDefault="00B80DA4" w:rsidP="000E7785">
            <w:pPr>
              <w:pStyle w:val="Tablehead"/>
              <w:rPr>
                <w:sz w:val="18"/>
                <w:szCs w:val="18"/>
              </w:rPr>
            </w:pPr>
            <w:r>
              <w:rPr>
                <w:rFonts w:hint="eastAsia"/>
                <w:sz w:val="18"/>
                <w:szCs w:val="18"/>
                <w:lang w:eastAsia="zh-CN"/>
              </w:rPr>
              <w:t>方案估算费用合计</w:t>
            </w:r>
          </w:p>
        </w:tc>
        <w:tc>
          <w:tcPr>
            <w:tcW w:w="2205" w:type="dxa"/>
            <w:vAlign w:val="center"/>
          </w:tcPr>
          <w:p w14:paraId="7F977C22" w14:textId="77777777" w:rsidR="00B80DA4" w:rsidRPr="0063347C" w:rsidRDefault="00B80DA4" w:rsidP="000E7785">
            <w:pPr>
              <w:pStyle w:val="Tablehead"/>
              <w:rPr>
                <w:sz w:val="18"/>
                <w:szCs w:val="18"/>
                <w:lang w:eastAsia="zh-CN"/>
              </w:rPr>
            </w:pPr>
            <w:r>
              <w:rPr>
                <w:rFonts w:hint="eastAsia"/>
                <w:sz w:val="18"/>
                <w:szCs w:val="18"/>
                <w:lang w:eastAsia="zh-CN"/>
              </w:rPr>
              <w:t>短期影响</w:t>
            </w:r>
            <w:r>
              <w:rPr>
                <w:sz w:val="18"/>
                <w:szCs w:val="18"/>
                <w:lang w:eastAsia="zh-CN"/>
              </w:rPr>
              <w:br/>
            </w:r>
            <w:r>
              <w:rPr>
                <w:rFonts w:hint="eastAsia"/>
                <w:sz w:val="18"/>
                <w:szCs w:val="18"/>
                <w:lang w:eastAsia="zh-CN"/>
              </w:rPr>
              <w:t>（</w:t>
            </w:r>
            <w:r>
              <w:rPr>
                <w:rFonts w:hint="eastAsia"/>
                <w:sz w:val="18"/>
                <w:szCs w:val="18"/>
                <w:lang w:eastAsia="zh-CN"/>
              </w:rPr>
              <w:t>2016-2019</w:t>
            </w:r>
            <w:r>
              <w:rPr>
                <w:rFonts w:hint="eastAsia"/>
                <w:sz w:val="18"/>
                <w:szCs w:val="18"/>
                <w:lang w:eastAsia="zh-CN"/>
              </w:rPr>
              <w:t>年财务规划）</w:t>
            </w:r>
          </w:p>
        </w:tc>
        <w:tc>
          <w:tcPr>
            <w:tcW w:w="5046" w:type="dxa"/>
            <w:vAlign w:val="center"/>
          </w:tcPr>
          <w:p w14:paraId="718219C3" w14:textId="77777777" w:rsidR="00B80DA4" w:rsidRPr="00961C5B" w:rsidRDefault="00B80DA4" w:rsidP="000E7785">
            <w:pPr>
              <w:pStyle w:val="Tablehead"/>
              <w:rPr>
                <w:sz w:val="18"/>
                <w:szCs w:val="18"/>
                <w:lang w:val="en-US"/>
              </w:rPr>
            </w:pPr>
            <w:r>
              <w:rPr>
                <w:rFonts w:hint="eastAsia"/>
                <w:sz w:val="18"/>
                <w:szCs w:val="18"/>
                <w:lang w:val="en-US" w:eastAsia="zh-CN"/>
              </w:rPr>
              <w:t>长期财务影响</w:t>
            </w:r>
          </w:p>
        </w:tc>
      </w:tr>
      <w:tr w:rsidR="00B80DA4" w:rsidRPr="00961C5B" w14:paraId="7AE12DAA" w14:textId="77777777" w:rsidTr="000E7785">
        <w:trPr>
          <w:cantSplit/>
          <w:trHeight w:val="1241"/>
        </w:trPr>
        <w:tc>
          <w:tcPr>
            <w:tcW w:w="792" w:type="dxa"/>
            <w:textDirection w:val="btLr"/>
          </w:tcPr>
          <w:p w14:paraId="0E59660F" w14:textId="77777777" w:rsidR="00B80DA4" w:rsidRPr="00961C5B" w:rsidRDefault="00B80DA4" w:rsidP="000E7785">
            <w:pPr>
              <w:pStyle w:val="Tabletext"/>
              <w:ind w:left="113" w:right="113"/>
              <w:jc w:val="center"/>
              <w:rPr>
                <w:b/>
                <w:bCs/>
                <w:sz w:val="18"/>
                <w:szCs w:val="18"/>
                <w:lang w:val="en-US"/>
              </w:rPr>
            </w:pPr>
            <w:r>
              <w:rPr>
                <w:rFonts w:hint="eastAsia"/>
                <w:b/>
                <w:bCs/>
                <w:sz w:val="18"/>
                <w:szCs w:val="18"/>
                <w:lang w:val="en-US" w:eastAsia="zh-CN"/>
              </w:rPr>
              <w:t>重建</w:t>
            </w:r>
          </w:p>
        </w:tc>
        <w:tc>
          <w:tcPr>
            <w:tcW w:w="2180" w:type="dxa"/>
          </w:tcPr>
          <w:p w14:paraId="16AD0EF0" w14:textId="797272BC" w:rsidR="00B80DA4" w:rsidRPr="00961C5B" w:rsidRDefault="004B7A97" w:rsidP="000E7785">
            <w:pPr>
              <w:pStyle w:val="Tabletext"/>
              <w:rPr>
                <w:sz w:val="18"/>
                <w:szCs w:val="18"/>
                <w:lang w:val="en-US" w:eastAsia="zh-CN"/>
              </w:rPr>
            </w:pPr>
            <w:r>
              <w:rPr>
                <w:sz w:val="18"/>
                <w:szCs w:val="18"/>
                <w:lang w:val="en-US" w:eastAsia="zh-CN"/>
              </w:rPr>
              <w:t>2.</w:t>
            </w:r>
            <w:r>
              <w:rPr>
                <w:sz w:val="18"/>
                <w:szCs w:val="18"/>
                <w:lang w:val="en-US"/>
              </w:rPr>
              <w:t>1125</w:t>
            </w:r>
            <w:r w:rsidR="00B80DA4">
              <w:rPr>
                <w:rFonts w:hint="eastAsia"/>
                <w:sz w:val="18"/>
                <w:szCs w:val="18"/>
                <w:lang w:val="en-US" w:eastAsia="zh-CN"/>
              </w:rPr>
              <w:t>亿瑞郎</w:t>
            </w:r>
          </w:p>
        </w:tc>
        <w:tc>
          <w:tcPr>
            <w:tcW w:w="2205" w:type="dxa"/>
          </w:tcPr>
          <w:p w14:paraId="0822DD97" w14:textId="77777777" w:rsidR="00B80DA4" w:rsidRPr="00961C5B" w:rsidRDefault="00B80DA4" w:rsidP="000E7785">
            <w:pPr>
              <w:pStyle w:val="Tabletext"/>
              <w:rPr>
                <w:sz w:val="18"/>
                <w:szCs w:val="18"/>
                <w:lang w:eastAsia="zh-CN"/>
              </w:rPr>
            </w:pPr>
            <w:r>
              <w:rPr>
                <w:rFonts w:hint="eastAsia"/>
                <w:sz w:val="18"/>
                <w:szCs w:val="18"/>
                <w:lang w:eastAsia="zh-CN"/>
              </w:rPr>
              <w:t>无。还款自</w:t>
            </w:r>
            <w:r>
              <w:rPr>
                <w:rFonts w:hint="eastAsia"/>
                <w:sz w:val="18"/>
                <w:szCs w:val="18"/>
                <w:lang w:eastAsia="zh-CN"/>
              </w:rPr>
              <w:t>2021</w:t>
            </w:r>
            <w:r>
              <w:rPr>
                <w:rFonts w:hint="eastAsia"/>
                <w:sz w:val="18"/>
                <w:szCs w:val="18"/>
                <w:lang w:eastAsia="zh-CN"/>
              </w:rPr>
              <w:t>年开始。</w:t>
            </w:r>
          </w:p>
        </w:tc>
        <w:tc>
          <w:tcPr>
            <w:tcW w:w="5046" w:type="dxa"/>
          </w:tcPr>
          <w:p w14:paraId="3C9B9983" w14:textId="36A88A83" w:rsidR="00B80DA4" w:rsidRDefault="00B80DA4">
            <w:pPr>
              <w:pStyle w:val="Tabletext"/>
              <w:rPr>
                <w:sz w:val="18"/>
                <w:szCs w:val="18"/>
                <w:lang w:eastAsia="zh-CN"/>
              </w:rPr>
            </w:pPr>
            <w:r>
              <w:rPr>
                <w:rFonts w:hint="eastAsia"/>
                <w:b/>
                <w:bCs/>
                <w:sz w:val="18"/>
                <w:szCs w:val="18"/>
                <w:lang w:eastAsia="zh-CN"/>
              </w:rPr>
              <w:t>年度费用：</w:t>
            </w:r>
            <w:r w:rsidR="004B7A97">
              <w:rPr>
                <w:b/>
                <w:bCs/>
                <w:sz w:val="18"/>
                <w:szCs w:val="18"/>
                <w:lang w:eastAsia="zh-CN"/>
              </w:rPr>
              <w:t>510</w:t>
            </w:r>
            <w:r>
              <w:rPr>
                <w:rFonts w:hint="eastAsia"/>
                <w:b/>
                <w:bCs/>
                <w:sz w:val="18"/>
                <w:szCs w:val="18"/>
                <w:lang w:eastAsia="zh-CN"/>
              </w:rPr>
              <w:t>万瑞郎，</w:t>
            </w:r>
            <w:r w:rsidRPr="00E44FF4">
              <w:rPr>
                <w:rFonts w:hint="eastAsia"/>
                <w:sz w:val="18"/>
                <w:szCs w:val="18"/>
                <w:lang w:eastAsia="zh-CN"/>
              </w:rPr>
              <w:t>其中：</w:t>
            </w:r>
          </w:p>
          <w:p w14:paraId="385CFE26"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新办公楼每年</w:t>
            </w:r>
            <w:r>
              <w:rPr>
                <w:rFonts w:hint="eastAsia"/>
                <w:sz w:val="18"/>
                <w:szCs w:val="18"/>
                <w:lang w:eastAsia="zh-CN"/>
              </w:rPr>
              <w:t>300</w:t>
            </w:r>
            <w:r>
              <w:rPr>
                <w:rFonts w:hint="eastAsia"/>
                <w:sz w:val="18"/>
                <w:szCs w:val="18"/>
                <w:lang w:eastAsia="zh-CN"/>
              </w:rPr>
              <w:t>万瑞郎的还款，为期</w:t>
            </w:r>
            <w:r>
              <w:rPr>
                <w:rFonts w:hint="eastAsia"/>
                <w:sz w:val="18"/>
                <w:szCs w:val="18"/>
                <w:lang w:eastAsia="zh-CN"/>
              </w:rPr>
              <w:t>50</w:t>
            </w:r>
            <w:r>
              <w:rPr>
                <w:rFonts w:hint="eastAsia"/>
                <w:sz w:val="18"/>
                <w:szCs w:val="18"/>
                <w:lang w:eastAsia="zh-CN"/>
              </w:rPr>
              <w:t>年，自</w:t>
            </w:r>
            <w:r>
              <w:rPr>
                <w:rFonts w:hint="eastAsia"/>
                <w:sz w:val="18"/>
                <w:szCs w:val="18"/>
                <w:lang w:eastAsia="zh-CN"/>
              </w:rPr>
              <w:t>20</w:t>
            </w:r>
            <w:r>
              <w:rPr>
                <w:sz w:val="18"/>
                <w:szCs w:val="18"/>
                <w:lang w:eastAsia="zh-CN"/>
              </w:rPr>
              <w:t>21</w:t>
            </w:r>
            <w:r>
              <w:rPr>
                <w:rFonts w:hint="eastAsia"/>
                <w:sz w:val="18"/>
                <w:szCs w:val="18"/>
                <w:lang w:eastAsia="zh-CN"/>
              </w:rPr>
              <w:t>年开始</w:t>
            </w:r>
          </w:p>
          <w:p w14:paraId="628EBD30" w14:textId="7AD692F0" w:rsidR="00B80DA4" w:rsidRPr="00961C5B" w:rsidRDefault="00B80DA4">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塔楼和</w:t>
            </w:r>
            <w:r>
              <w:rPr>
                <w:sz w:val="18"/>
                <w:szCs w:val="18"/>
                <w:lang w:eastAsia="zh-CN"/>
              </w:rPr>
              <w:t>Montbrillant</w:t>
            </w:r>
            <w:r>
              <w:rPr>
                <w:rFonts w:hint="eastAsia"/>
                <w:sz w:val="18"/>
                <w:szCs w:val="18"/>
                <w:lang w:eastAsia="zh-CN"/>
              </w:rPr>
              <w:t>办公楼翻修为每年</w:t>
            </w:r>
            <w:r>
              <w:rPr>
                <w:rFonts w:hint="eastAsia"/>
                <w:sz w:val="18"/>
                <w:szCs w:val="18"/>
                <w:lang w:eastAsia="zh-CN"/>
              </w:rPr>
              <w:t>170</w:t>
            </w:r>
            <w:r>
              <w:rPr>
                <w:rFonts w:hint="eastAsia"/>
                <w:sz w:val="18"/>
                <w:szCs w:val="18"/>
                <w:lang w:eastAsia="zh-CN"/>
              </w:rPr>
              <w:t>万瑞郎，自（预定日期）</w:t>
            </w:r>
            <w:r>
              <w:rPr>
                <w:rFonts w:hint="eastAsia"/>
                <w:sz w:val="18"/>
                <w:szCs w:val="18"/>
                <w:lang w:eastAsia="zh-CN"/>
              </w:rPr>
              <w:t>2025</w:t>
            </w:r>
            <w:r>
              <w:rPr>
                <w:rFonts w:hint="eastAsia"/>
                <w:sz w:val="18"/>
                <w:szCs w:val="18"/>
                <w:lang w:eastAsia="zh-CN"/>
              </w:rPr>
              <w:t>年期，为期</w:t>
            </w:r>
            <w:r>
              <w:rPr>
                <w:rFonts w:hint="eastAsia"/>
                <w:sz w:val="18"/>
                <w:szCs w:val="18"/>
                <w:lang w:eastAsia="zh-CN"/>
              </w:rPr>
              <w:t>30</w:t>
            </w:r>
            <w:r>
              <w:rPr>
                <w:rFonts w:hint="eastAsia"/>
                <w:sz w:val="18"/>
                <w:szCs w:val="18"/>
                <w:lang w:eastAsia="zh-CN"/>
              </w:rPr>
              <w:t>年，另加每年平均</w:t>
            </w:r>
            <w:r w:rsidR="004B7A97">
              <w:rPr>
                <w:sz w:val="18"/>
                <w:szCs w:val="18"/>
                <w:lang w:eastAsia="zh-CN"/>
              </w:rPr>
              <w:t>40</w:t>
            </w:r>
            <w:r>
              <w:rPr>
                <w:rFonts w:hint="eastAsia"/>
                <w:sz w:val="18"/>
                <w:szCs w:val="18"/>
                <w:lang w:eastAsia="zh-CN"/>
              </w:rPr>
              <w:t>万瑞郎的利息</w:t>
            </w:r>
          </w:p>
          <w:p w14:paraId="18FCBBEC" w14:textId="77777777" w:rsidR="00B80DA4" w:rsidRDefault="00B80DA4" w:rsidP="000E7785">
            <w:pPr>
              <w:pStyle w:val="Tabletext"/>
              <w:rPr>
                <w:sz w:val="18"/>
                <w:szCs w:val="18"/>
                <w:lang w:eastAsia="zh-CN"/>
              </w:rPr>
            </w:pPr>
            <w:r>
              <w:rPr>
                <w:rFonts w:hint="eastAsia"/>
                <w:sz w:val="18"/>
                <w:szCs w:val="18"/>
                <w:lang w:eastAsia="zh-CN"/>
              </w:rPr>
              <w:t>节省：</w:t>
            </w:r>
          </w:p>
          <w:p w14:paraId="32C20C46"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w:t>
            </w:r>
            <w:r>
              <w:rPr>
                <w:rFonts w:hint="eastAsia"/>
                <w:sz w:val="18"/>
                <w:szCs w:val="18"/>
                <w:lang w:eastAsia="zh-CN"/>
              </w:rPr>
              <w:t>2021</w:t>
            </w:r>
            <w:r>
              <w:rPr>
                <w:rFonts w:hint="eastAsia"/>
                <w:sz w:val="18"/>
                <w:szCs w:val="18"/>
                <w:lang w:eastAsia="zh-CN"/>
              </w:rPr>
              <w:t>年起每年节省</w:t>
            </w:r>
            <w:r>
              <w:rPr>
                <w:rFonts w:hint="eastAsia"/>
                <w:sz w:val="18"/>
                <w:szCs w:val="18"/>
                <w:lang w:eastAsia="zh-CN"/>
              </w:rPr>
              <w:t>10</w:t>
            </w:r>
            <w:r>
              <w:rPr>
                <w:rFonts w:hint="eastAsia"/>
                <w:sz w:val="18"/>
                <w:szCs w:val="18"/>
                <w:lang w:eastAsia="zh-CN"/>
              </w:rPr>
              <w:t>万瑞郎的公用设施费用</w:t>
            </w:r>
          </w:p>
          <w:p w14:paraId="595DB477"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在新的</w:t>
            </w:r>
            <w:r>
              <w:rPr>
                <w:sz w:val="18"/>
                <w:szCs w:val="18"/>
                <w:lang w:eastAsia="zh-CN"/>
              </w:rPr>
              <w:t>Varembé II</w:t>
            </w:r>
            <w:r>
              <w:rPr>
                <w:rFonts w:hint="eastAsia"/>
                <w:sz w:val="18"/>
                <w:szCs w:val="18"/>
                <w:lang w:eastAsia="zh-CN"/>
              </w:rPr>
              <w:t>楼和翻修后塔楼和</w:t>
            </w:r>
            <w:r w:rsidRPr="00961C5B">
              <w:rPr>
                <w:sz w:val="18"/>
                <w:szCs w:val="18"/>
                <w:lang w:eastAsia="zh-CN"/>
              </w:rPr>
              <w:t>Montbrillant</w:t>
            </w:r>
            <w:r>
              <w:rPr>
                <w:rFonts w:hint="eastAsia"/>
                <w:sz w:val="18"/>
                <w:szCs w:val="18"/>
                <w:lang w:eastAsia="zh-CN"/>
              </w:rPr>
              <w:t>办公楼最初使用阶段（</w:t>
            </w:r>
            <w:r>
              <w:rPr>
                <w:rFonts w:hint="eastAsia"/>
                <w:sz w:val="18"/>
                <w:szCs w:val="18"/>
                <w:lang w:eastAsia="zh-CN"/>
              </w:rPr>
              <w:t>2021-2050</w:t>
            </w:r>
            <w:r>
              <w:rPr>
                <w:rFonts w:hint="eastAsia"/>
                <w:sz w:val="18"/>
                <w:szCs w:val="18"/>
                <w:lang w:eastAsia="zh-CN"/>
              </w:rPr>
              <w:t>年），可节省预期总数为</w:t>
            </w:r>
            <w:r>
              <w:rPr>
                <w:rFonts w:hint="eastAsia"/>
                <w:sz w:val="18"/>
                <w:szCs w:val="18"/>
                <w:lang w:eastAsia="zh-CN"/>
              </w:rPr>
              <w:t>3 000</w:t>
            </w:r>
            <w:r>
              <w:rPr>
                <w:rFonts w:hint="eastAsia"/>
                <w:sz w:val="18"/>
                <w:szCs w:val="18"/>
                <w:lang w:eastAsia="zh-CN"/>
              </w:rPr>
              <w:t>万瑞郎的持续维护费用。</w:t>
            </w:r>
          </w:p>
        </w:tc>
      </w:tr>
      <w:tr w:rsidR="00B80DA4" w:rsidRPr="00961C5B" w14:paraId="77799BCB" w14:textId="77777777" w:rsidTr="000E7785">
        <w:trPr>
          <w:cantSplit/>
          <w:trHeight w:val="980"/>
        </w:trPr>
        <w:tc>
          <w:tcPr>
            <w:tcW w:w="792" w:type="dxa"/>
            <w:textDirection w:val="btLr"/>
          </w:tcPr>
          <w:p w14:paraId="2BA1DD4D" w14:textId="77777777" w:rsidR="00B80DA4" w:rsidRPr="00961C5B" w:rsidRDefault="00B80DA4" w:rsidP="000E7785">
            <w:pPr>
              <w:pStyle w:val="Tabletext"/>
              <w:ind w:left="113" w:right="113"/>
              <w:jc w:val="center"/>
              <w:rPr>
                <w:b/>
                <w:bCs/>
                <w:sz w:val="18"/>
                <w:szCs w:val="18"/>
                <w:lang w:val="fr-FR"/>
              </w:rPr>
            </w:pPr>
            <w:r>
              <w:rPr>
                <w:rFonts w:hint="eastAsia"/>
                <w:b/>
                <w:bCs/>
                <w:sz w:val="18"/>
                <w:szCs w:val="18"/>
                <w:lang w:val="fr-FR" w:eastAsia="zh-CN"/>
              </w:rPr>
              <w:t>翻修</w:t>
            </w:r>
          </w:p>
        </w:tc>
        <w:tc>
          <w:tcPr>
            <w:tcW w:w="2180" w:type="dxa"/>
          </w:tcPr>
          <w:p w14:paraId="7BB3A743" w14:textId="072075B4" w:rsidR="00B80DA4" w:rsidRPr="00961C5B" w:rsidRDefault="00726BB9" w:rsidP="000E7785">
            <w:pPr>
              <w:pStyle w:val="Tabletext"/>
              <w:rPr>
                <w:sz w:val="18"/>
                <w:szCs w:val="18"/>
                <w:lang w:val="fr-FR" w:eastAsia="zh-CN"/>
              </w:rPr>
            </w:pPr>
            <w:r>
              <w:rPr>
                <w:sz w:val="18"/>
                <w:szCs w:val="18"/>
                <w:lang w:val="en-US" w:eastAsia="zh-CN"/>
              </w:rPr>
              <w:t>1.</w:t>
            </w:r>
            <w:r>
              <w:rPr>
                <w:sz w:val="18"/>
                <w:szCs w:val="18"/>
                <w:lang w:val="en-US"/>
              </w:rPr>
              <w:t>47</w:t>
            </w:r>
            <w:r w:rsidR="00B80DA4">
              <w:rPr>
                <w:rFonts w:hint="eastAsia"/>
                <w:sz w:val="18"/>
                <w:szCs w:val="18"/>
                <w:lang w:val="en-US" w:eastAsia="zh-CN"/>
              </w:rPr>
              <w:t>亿瑞郎</w:t>
            </w:r>
          </w:p>
        </w:tc>
        <w:tc>
          <w:tcPr>
            <w:tcW w:w="2205" w:type="dxa"/>
          </w:tcPr>
          <w:p w14:paraId="3624C2CE" w14:textId="77777777" w:rsidR="00B80DA4" w:rsidRPr="007C4209" w:rsidRDefault="00B80DA4" w:rsidP="000E7785">
            <w:pPr>
              <w:pStyle w:val="Tabletext"/>
              <w:rPr>
                <w:sz w:val="18"/>
                <w:szCs w:val="18"/>
                <w:lang w:val="fr-FR"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14:paraId="3B523047" w14:textId="0350221B" w:rsidR="00B80DA4" w:rsidRDefault="00B80DA4">
            <w:pPr>
              <w:pStyle w:val="Tabletext"/>
              <w:rPr>
                <w:sz w:val="18"/>
                <w:szCs w:val="18"/>
                <w:lang w:eastAsia="zh-CN"/>
              </w:rPr>
            </w:pPr>
            <w:r>
              <w:rPr>
                <w:rFonts w:hint="eastAsia"/>
                <w:b/>
                <w:bCs/>
                <w:sz w:val="18"/>
                <w:szCs w:val="18"/>
                <w:lang w:val="fr-FR" w:eastAsia="zh-CN"/>
              </w:rPr>
              <w:t>年度费用：</w:t>
            </w:r>
            <w:r w:rsidR="00726BB9">
              <w:rPr>
                <w:b/>
                <w:bCs/>
                <w:sz w:val="18"/>
                <w:szCs w:val="18"/>
                <w:lang w:val="fr-FR" w:eastAsia="zh-CN"/>
              </w:rPr>
              <w:t>490</w:t>
            </w:r>
            <w:r>
              <w:rPr>
                <w:rFonts w:hint="eastAsia"/>
                <w:b/>
                <w:bCs/>
                <w:sz w:val="18"/>
                <w:szCs w:val="18"/>
                <w:lang w:val="fr-FR" w:eastAsia="zh-CN"/>
              </w:rPr>
              <w:t>万瑞郎，</w:t>
            </w:r>
            <w:r w:rsidRPr="007C4209">
              <w:rPr>
                <w:rFonts w:hint="eastAsia"/>
                <w:sz w:val="18"/>
                <w:szCs w:val="18"/>
                <w:lang w:val="fr-FR" w:eastAsia="zh-CN"/>
              </w:rPr>
              <w:t>其中：</w:t>
            </w:r>
          </w:p>
          <w:p w14:paraId="5B12ECA8" w14:textId="343923A0" w:rsidR="00B80DA4" w:rsidRPr="00961C5B" w:rsidRDefault="00B80DA4">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自翻修工程完成之日起每年</w:t>
            </w:r>
            <w:r>
              <w:rPr>
                <w:rFonts w:hint="eastAsia"/>
                <w:sz w:val="18"/>
                <w:szCs w:val="18"/>
                <w:lang w:eastAsia="zh-CN"/>
              </w:rPr>
              <w:t>400</w:t>
            </w:r>
            <w:r>
              <w:rPr>
                <w:rFonts w:hint="eastAsia"/>
                <w:sz w:val="18"/>
                <w:szCs w:val="18"/>
                <w:lang w:eastAsia="zh-CN"/>
              </w:rPr>
              <w:t>万瑞郎，为期</w:t>
            </w:r>
            <w:r>
              <w:rPr>
                <w:rFonts w:hint="eastAsia"/>
                <w:sz w:val="18"/>
                <w:szCs w:val="18"/>
                <w:lang w:eastAsia="zh-CN"/>
              </w:rPr>
              <w:t>30</w:t>
            </w:r>
            <w:r>
              <w:rPr>
                <w:rFonts w:hint="eastAsia"/>
                <w:sz w:val="18"/>
                <w:szCs w:val="18"/>
                <w:lang w:eastAsia="zh-CN"/>
              </w:rPr>
              <w:t>年，另加平均</w:t>
            </w:r>
            <w:r w:rsidR="00726BB9">
              <w:rPr>
                <w:sz w:val="18"/>
                <w:szCs w:val="18"/>
                <w:lang w:eastAsia="zh-CN"/>
              </w:rPr>
              <w:t>90</w:t>
            </w:r>
            <w:r>
              <w:rPr>
                <w:rFonts w:hint="eastAsia"/>
                <w:sz w:val="18"/>
                <w:szCs w:val="18"/>
                <w:lang w:eastAsia="zh-CN"/>
              </w:rPr>
              <w:t>万瑞郎的利息</w:t>
            </w:r>
          </w:p>
          <w:p w14:paraId="000DD335" w14:textId="77777777" w:rsidR="00B80DA4" w:rsidRDefault="00B80DA4" w:rsidP="000E7785">
            <w:pPr>
              <w:pStyle w:val="Tabletext"/>
              <w:rPr>
                <w:sz w:val="18"/>
                <w:szCs w:val="18"/>
                <w:lang w:eastAsia="zh-CN"/>
              </w:rPr>
            </w:pPr>
            <w:r>
              <w:rPr>
                <w:rFonts w:hint="eastAsia"/>
                <w:sz w:val="18"/>
                <w:szCs w:val="18"/>
                <w:lang w:eastAsia="zh-CN"/>
              </w:rPr>
              <w:t>节省：</w:t>
            </w:r>
          </w:p>
          <w:p w14:paraId="2D6C5A7E"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w:t>
            </w:r>
            <w:r>
              <w:rPr>
                <w:rFonts w:hint="eastAsia"/>
                <w:sz w:val="18"/>
                <w:szCs w:val="18"/>
                <w:lang w:eastAsia="zh-CN"/>
              </w:rPr>
              <w:t>2021</w:t>
            </w:r>
            <w:r>
              <w:rPr>
                <w:rFonts w:hint="eastAsia"/>
                <w:sz w:val="18"/>
                <w:szCs w:val="18"/>
                <w:lang w:eastAsia="zh-CN"/>
              </w:rPr>
              <w:t>年起每年节省</w:t>
            </w:r>
            <w:r>
              <w:rPr>
                <w:rFonts w:hint="eastAsia"/>
                <w:sz w:val="18"/>
                <w:szCs w:val="18"/>
                <w:lang w:eastAsia="zh-CN"/>
              </w:rPr>
              <w:t>10</w:t>
            </w:r>
            <w:r>
              <w:rPr>
                <w:rFonts w:hint="eastAsia"/>
                <w:sz w:val="18"/>
                <w:szCs w:val="18"/>
                <w:lang w:eastAsia="zh-CN"/>
              </w:rPr>
              <w:t>万瑞郎的公用设施费用</w:t>
            </w:r>
          </w:p>
          <w:p w14:paraId="30D85D22"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翻修后的办公楼在初期使用阶段（</w:t>
            </w:r>
            <w:r>
              <w:rPr>
                <w:rFonts w:hint="eastAsia"/>
                <w:sz w:val="18"/>
                <w:szCs w:val="18"/>
                <w:lang w:eastAsia="zh-CN"/>
              </w:rPr>
              <w:t>2021-2050</w:t>
            </w:r>
            <w:r>
              <w:rPr>
                <w:rFonts w:hint="eastAsia"/>
                <w:sz w:val="18"/>
                <w:szCs w:val="18"/>
                <w:lang w:eastAsia="zh-CN"/>
              </w:rPr>
              <w:t>年）预期总共节省</w:t>
            </w:r>
            <w:r>
              <w:rPr>
                <w:rFonts w:hint="eastAsia"/>
                <w:sz w:val="18"/>
                <w:szCs w:val="18"/>
                <w:lang w:eastAsia="zh-CN"/>
              </w:rPr>
              <w:t>3</w:t>
            </w:r>
            <w:r>
              <w:rPr>
                <w:sz w:val="18"/>
                <w:szCs w:val="18"/>
                <w:lang w:eastAsia="zh-CN"/>
              </w:rPr>
              <w:t xml:space="preserve"> </w:t>
            </w:r>
            <w:r>
              <w:rPr>
                <w:rFonts w:hint="eastAsia"/>
                <w:sz w:val="18"/>
                <w:szCs w:val="18"/>
                <w:lang w:eastAsia="zh-CN"/>
              </w:rPr>
              <w:t>000</w:t>
            </w:r>
            <w:r>
              <w:rPr>
                <w:rFonts w:hint="eastAsia"/>
                <w:sz w:val="18"/>
                <w:szCs w:val="18"/>
                <w:lang w:eastAsia="zh-CN"/>
              </w:rPr>
              <w:t>万瑞郎的持续维护费用。</w:t>
            </w:r>
          </w:p>
        </w:tc>
      </w:tr>
      <w:tr w:rsidR="00B80DA4" w:rsidRPr="00961C5B" w14:paraId="68E8C94E" w14:textId="77777777" w:rsidTr="000E7785">
        <w:trPr>
          <w:cantSplit/>
          <w:trHeight w:val="980"/>
        </w:trPr>
        <w:tc>
          <w:tcPr>
            <w:tcW w:w="792" w:type="dxa"/>
            <w:textDirection w:val="btLr"/>
          </w:tcPr>
          <w:p w14:paraId="0F5AAEAA" w14:textId="77777777" w:rsidR="00B80DA4" w:rsidRPr="00961C5B" w:rsidRDefault="00B80DA4" w:rsidP="000E7785">
            <w:pPr>
              <w:pStyle w:val="Tabletext"/>
              <w:ind w:left="113" w:right="113"/>
              <w:jc w:val="center"/>
              <w:rPr>
                <w:b/>
                <w:bCs/>
                <w:sz w:val="18"/>
                <w:szCs w:val="18"/>
                <w:lang w:val="fr-FR"/>
              </w:rPr>
            </w:pPr>
            <w:r>
              <w:rPr>
                <w:rFonts w:hint="eastAsia"/>
                <w:b/>
                <w:bCs/>
                <w:sz w:val="18"/>
                <w:szCs w:val="18"/>
                <w:lang w:val="fr-FR" w:eastAsia="zh-CN"/>
              </w:rPr>
              <w:t>租用</w:t>
            </w:r>
          </w:p>
        </w:tc>
        <w:tc>
          <w:tcPr>
            <w:tcW w:w="2180" w:type="dxa"/>
          </w:tcPr>
          <w:p w14:paraId="24EB633C" w14:textId="77777777" w:rsidR="00B80DA4" w:rsidRPr="00961C5B" w:rsidRDefault="00B80DA4" w:rsidP="000E7785">
            <w:pPr>
              <w:pStyle w:val="Tabletext"/>
              <w:rPr>
                <w:sz w:val="18"/>
                <w:szCs w:val="18"/>
                <w:lang w:eastAsia="zh-CN"/>
              </w:rPr>
            </w:pPr>
            <w:r>
              <w:rPr>
                <w:rFonts w:hint="eastAsia"/>
                <w:sz w:val="18"/>
                <w:szCs w:val="18"/>
                <w:lang w:eastAsia="zh-CN"/>
              </w:rPr>
              <w:t>每年</w:t>
            </w:r>
            <w:r>
              <w:rPr>
                <w:rFonts w:hint="eastAsia"/>
                <w:sz w:val="18"/>
                <w:szCs w:val="18"/>
                <w:lang w:eastAsia="zh-CN"/>
              </w:rPr>
              <w:t>490</w:t>
            </w:r>
            <w:r>
              <w:rPr>
                <w:rFonts w:hint="eastAsia"/>
                <w:sz w:val="18"/>
                <w:szCs w:val="18"/>
                <w:lang w:eastAsia="zh-CN"/>
              </w:rPr>
              <w:t>万瑞郎，包括相关费用</w:t>
            </w:r>
          </w:p>
          <w:p w14:paraId="754AC677" w14:textId="0F18855A" w:rsidR="00B80DA4" w:rsidRPr="00961C5B" w:rsidRDefault="00B80DA4">
            <w:pPr>
              <w:pStyle w:val="Tabletext"/>
              <w:rPr>
                <w:sz w:val="18"/>
                <w:szCs w:val="18"/>
              </w:rPr>
            </w:pPr>
            <w:r>
              <w:rPr>
                <w:rFonts w:hint="eastAsia"/>
                <w:sz w:val="18"/>
                <w:szCs w:val="18"/>
                <w:lang w:eastAsia="zh-CN"/>
              </w:rPr>
              <w:t>翻修：</w:t>
            </w:r>
            <w:r w:rsidR="00726BB9">
              <w:rPr>
                <w:sz w:val="18"/>
                <w:szCs w:val="18"/>
              </w:rPr>
              <w:t>6 560</w:t>
            </w:r>
            <w:r>
              <w:rPr>
                <w:rFonts w:hint="eastAsia"/>
                <w:sz w:val="18"/>
                <w:szCs w:val="18"/>
                <w:lang w:eastAsia="zh-CN"/>
              </w:rPr>
              <w:t>万瑞郎</w:t>
            </w:r>
          </w:p>
        </w:tc>
        <w:tc>
          <w:tcPr>
            <w:tcW w:w="2205" w:type="dxa"/>
          </w:tcPr>
          <w:p w14:paraId="50ACC2FC" w14:textId="77777777" w:rsidR="00B80DA4" w:rsidRPr="00961C5B" w:rsidRDefault="00B80DA4" w:rsidP="000E7785">
            <w:pPr>
              <w:pStyle w:val="Tabletext"/>
              <w:rPr>
                <w:sz w:val="18"/>
                <w:szCs w:val="18"/>
                <w:lang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14:paraId="0EC10BDA" w14:textId="04CC764F" w:rsidR="00B80DA4" w:rsidRDefault="00B80DA4">
            <w:pPr>
              <w:pStyle w:val="Tabletext"/>
              <w:rPr>
                <w:sz w:val="18"/>
                <w:szCs w:val="18"/>
                <w:lang w:eastAsia="zh-CN"/>
              </w:rPr>
            </w:pPr>
            <w:r>
              <w:rPr>
                <w:rFonts w:hint="eastAsia"/>
                <w:b/>
                <w:bCs/>
                <w:sz w:val="18"/>
                <w:szCs w:val="18"/>
                <w:lang w:val="fr-FR" w:eastAsia="zh-CN"/>
              </w:rPr>
              <w:t>年度费用：</w:t>
            </w:r>
            <w:r w:rsidR="00726BB9">
              <w:rPr>
                <w:b/>
                <w:bCs/>
                <w:sz w:val="18"/>
                <w:szCs w:val="18"/>
                <w:lang w:val="fr-FR" w:eastAsia="zh-CN"/>
              </w:rPr>
              <w:t>710</w:t>
            </w:r>
            <w:r>
              <w:rPr>
                <w:rFonts w:hint="eastAsia"/>
                <w:b/>
                <w:bCs/>
                <w:sz w:val="18"/>
                <w:szCs w:val="18"/>
                <w:lang w:val="fr-FR" w:eastAsia="zh-CN"/>
              </w:rPr>
              <w:t>万瑞郎，</w:t>
            </w:r>
            <w:r w:rsidRPr="007C4209">
              <w:rPr>
                <w:rFonts w:hint="eastAsia"/>
                <w:sz w:val="18"/>
                <w:szCs w:val="18"/>
                <w:lang w:val="fr-FR" w:eastAsia="zh-CN"/>
              </w:rPr>
              <w:t>其中：</w:t>
            </w:r>
          </w:p>
          <w:p w14:paraId="1EF0568E"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每年</w:t>
            </w:r>
            <w:r>
              <w:rPr>
                <w:rFonts w:hint="eastAsia"/>
                <w:sz w:val="18"/>
                <w:szCs w:val="18"/>
                <w:lang w:eastAsia="zh-CN"/>
              </w:rPr>
              <w:t>490</w:t>
            </w:r>
            <w:r>
              <w:rPr>
                <w:rFonts w:hint="eastAsia"/>
                <w:sz w:val="18"/>
                <w:szCs w:val="18"/>
                <w:lang w:eastAsia="zh-CN"/>
              </w:rPr>
              <w:t>万瑞郎，另加租用办公室的相关费用，且不会给国际电联资产带来任何改善</w:t>
            </w:r>
          </w:p>
          <w:p w14:paraId="05354D72" w14:textId="32E367A7" w:rsidR="00B80DA4" w:rsidRPr="00961C5B" w:rsidRDefault="00B80DA4">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自工程完成之日起每年</w:t>
            </w:r>
            <w:r>
              <w:rPr>
                <w:rFonts w:hint="eastAsia"/>
                <w:sz w:val="18"/>
                <w:szCs w:val="18"/>
                <w:lang w:eastAsia="zh-CN"/>
              </w:rPr>
              <w:t>180</w:t>
            </w:r>
            <w:r>
              <w:rPr>
                <w:rFonts w:hint="eastAsia"/>
                <w:sz w:val="18"/>
                <w:szCs w:val="18"/>
                <w:lang w:eastAsia="zh-CN"/>
              </w:rPr>
              <w:t>万瑞郎，为期</w:t>
            </w:r>
            <w:r>
              <w:rPr>
                <w:rFonts w:hint="eastAsia"/>
                <w:sz w:val="18"/>
                <w:szCs w:val="18"/>
                <w:lang w:eastAsia="zh-CN"/>
              </w:rPr>
              <w:t>30</w:t>
            </w:r>
            <w:r>
              <w:rPr>
                <w:rFonts w:hint="eastAsia"/>
                <w:sz w:val="18"/>
                <w:szCs w:val="18"/>
                <w:lang w:eastAsia="zh-CN"/>
              </w:rPr>
              <w:t>年，另加平均</w:t>
            </w:r>
            <w:r w:rsidR="00726BB9">
              <w:rPr>
                <w:sz w:val="18"/>
                <w:szCs w:val="18"/>
                <w:lang w:eastAsia="zh-CN"/>
              </w:rPr>
              <w:t>40</w:t>
            </w:r>
            <w:r>
              <w:rPr>
                <w:rFonts w:hint="eastAsia"/>
                <w:sz w:val="18"/>
                <w:szCs w:val="18"/>
                <w:lang w:eastAsia="zh-CN"/>
              </w:rPr>
              <w:t>万瑞郎的利息。</w:t>
            </w:r>
          </w:p>
        </w:tc>
      </w:tr>
      <w:tr w:rsidR="00B80DA4" w:rsidRPr="00961C5B" w14:paraId="42CE9335" w14:textId="77777777" w:rsidTr="000E7785">
        <w:trPr>
          <w:cantSplit/>
          <w:trHeight w:val="1209"/>
        </w:trPr>
        <w:tc>
          <w:tcPr>
            <w:tcW w:w="792" w:type="dxa"/>
            <w:textDirection w:val="btLr"/>
          </w:tcPr>
          <w:p w14:paraId="457FACB2" w14:textId="77777777" w:rsidR="00B80DA4" w:rsidRPr="00961C5B" w:rsidRDefault="00B80DA4" w:rsidP="000E7785">
            <w:pPr>
              <w:pStyle w:val="Tabletext"/>
              <w:ind w:left="113" w:right="113"/>
              <w:jc w:val="center"/>
              <w:rPr>
                <w:b/>
                <w:bCs/>
                <w:sz w:val="18"/>
                <w:szCs w:val="18"/>
                <w:lang w:val="fr-FR"/>
              </w:rPr>
            </w:pPr>
            <w:r>
              <w:rPr>
                <w:rFonts w:hint="eastAsia"/>
                <w:b/>
                <w:bCs/>
                <w:sz w:val="18"/>
                <w:szCs w:val="18"/>
                <w:lang w:val="fr-FR" w:eastAsia="zh-CN"/>
              </w:rPr>
              <w:t>迁移</w:t>
            </w:r>
          </w:p>
        </w:tc>
        <w:tc>
          <w:tcPr>
            <w:tcW w:w="2180" w:type="dxa"/>
          </w:tcPr>
          <w:p w14:paraId="4E111011" w14:textId="77777777" w:rsidR="00B80DA4" w:rsidRPr="007E56E5" w:rsidRDefault="00B80DA4" w:rsidP="000E7785">
            <w:pPr>
              <w:pStyle w:val="Tabletext"/>
              <w:rPr>
                <w:sz w:val="18"/>
                <w:szCs w:val="18"/>
                <w:lang w:val="fr-FR" w:eastAsia="zh-CN"/>
              </w:rPr>
            </w:pPr>
            <w:r>
              <w:rPr>
                <w:rFonts w:hint="eastAsia"/>
                <w:sz w:val="18"/>
                <w:szCs w:val="18"/>
                <w:lang w:eastAsia="zh-CN"/>
              </w:rPr>
              <w:t>介于</w:t>
            </w:r>
            <w:r w:rsidRPr="007E56E5">
              <w:rPr>
                <w:rFonts w:hint="eastAsia"/>
                <w:sz w:val="18"/>
                <w:szCs w:val="18"/>
                <w:lang w:val="fr-FR" w:eastAsia="zh-CN"/>
              </w:rPr>
              <w:t>1</w:t>
            </w:r>
            <w:r w:rsidRPr="007E56E5">
              <w:rPr>
                <w:sz w:val="18"/>
                <w:szCs w:val="18"/>
                <w:lang w:val="fr-FR" w:eastAsia="zh-CN"/>
              </w:rPr>
              <w:t>.3</w:t>
            </w:r>
            <w:r>
              <w:rPr>
                <w:rFonts w:hint="eastAsia"/>
                <w:sz w:val="18"/>
                <w:szCs w:val="18"/>
                <w:lang w:eastAsia="zh-CN"/>
              </w:rPr>
              <w:t>至</w:t>
            </w:r>
            <w:r w:rsidRPr="007E56E5">
              <w:rPr>
                <w:sz w:val="18"/>
                <w:szCs w:val="18"/>
                <w:lang w:val="fr-FR" w:eastAsia="zh-CN"/>
              </w:rPr>
              <w:t>1.7</w:t>
            </w:r>
            <w:r>
              <w:rPr>
                <w:rFonts w:hint="eastAsia"/>
                <w:sz w:val="18"/>
                <w:szCs w:val="18"/>
                <w:lang w:val="en-US" w:eastAsia="zh-CN"/>
              </w:rPr>
              <w:t>亿瑞郎之间</w:t>
            </w:r>
            <w:r w:rsidRPr="007E56E5">
              <w:rPr>
                <w:rFonts w:hint="eastAsia"/>
                <w:sz w:val="18"/>
                <w:szCs w:val="18"/>
                <w:lang w:val="fr-FR" w:eastAsia="zh-CN"/>
              </w:rPr>
              <w:t>（</w:t>
            </w:r>
            <w:r>
              <w:rPr>
                <w:rFonts w:hint="eastAsia"/>
                <w:sz w:val="18"/>
                <w:szCs w:val="18"/>
                <w:lang w:val="en-US" w:eastAsia="zh-CN"/>
              </w:rPr>
              <w:t>迁移费用，不包含为新办公楼提供设施和服务的费用</w:t>
            </w:r>
            <w:r w:rsidRPr="007E56E5">
              <w:rPr>
                <w:rFonts w:hint="eastAsia"/>
                <w:sz w:val="18"/>
                <w:szCs w:val="18"/>
                <w:lang w:val="fr-FR" w:eastAsia="zh-CN"/>
              </w:rPr>
              <w:t>）</w:t>
            </w:r>
          </w:p>
          <w:p w14:paraId="7FA22920" w14:textId="77777777" w:rsidR="00B80DA4" w:rsidRPr="00573A00" w:rsidRDefault="00B80DA4" w:rsidP="000E7785">
            <w:pPr>
              <w:pStyle w:val="Tabletext"/>
              <w:rPr>
                <w:sz w:val="18"/>
                <w:szCs w:val="18"/>
                <w:lang w:val="en-US" w:eastAsia="zh-CN"/>
              </w:rPr>
            </w:pPr>
            <w:r>
              <w:rPr>
                <w:sz w:val="18"/>
                <w:szCs w:val="18"/>
                <w:lang w:val="en-US" w:eastAsia="zh-CN"/>
              </w:rPr>
              <w:t>4 800</w:t>
            </w:r>
            <w:r>
              <w:rPr>
                <w:rFonts w:hint="eastAsia"/>
                <w:sz w:val="18"/>
                <w:szCs w:val="18"/>
                <w:lang w:val="en-US" w:eastAsia="zh-CN"/>
              </w:rPr>
              <w:t>万瑞郎</w:t>
            </w:r>
            <w:r>
              <w:rPr>
                <w:sz w:val="18"/>
                <w:szCs w:val="18"/>
                <w:lang w:val="en-US" w:eastAsia="zh-CN"/>
              </w:rPr>
              <w:br/>
            </w:r>
            <w:r>
              <w:rPr>
                <w:rFonts w:hint="eastAsia"/>
                <w:sz w:val="18"/>
                <w:szCs w:val="18"/>
                <w:lang w:val="en-US" w:eastAsia="zh-CN"/>
              </w:rPr>
              <w:t>（分期付款金额）</w:t>
            </w:r>
          </w:p>
          <w:p w14:paraId="0B109F5F" w14:textId="77777777" w:rsidR="00B80DA4" w:rsidRPr="00573A00" w:rsidRDefault="00B80DA4" w:rsidP="000E7785">
            <w:pPr>
              <w:pStyle w:val="Tabletext"/>
              <w:keepNext/>
              <w:keepLines/>
              <w:outlineLvl w:val="2"/>
              <w:rPr>
                <w:sz w:val="18"/>
                <w:szCs w:val="18"/>
                <w:lang w:val="en-US" w:eastAsia="zh-CN"/>
              </w:rPr>
            </w:pPr>
            <w:r>
              <w:rPr>
                <w:rFonts w:hint="eastAsia"/>
                <w:sz w:val="18"/>
                <w:szCs w:val="18"/>
                <w:lang w:val="en-US" w:eastAsia="zh-CN"/>
              </w:rPr>
              <w:t>一些费用可由出售所有现有总部办公楼的收入抵消（目前尚无法对收入额做出估算）</w:t>
            </w:r>
          </w:p>
        </w:tc>
        <w:tc>
          <w:tcPr>
            <w:tcW w:w="2205" w:type="dxa"/>
          </w:tcPr>
          <w:p w14:paraId="17BEC4F9" w14:textId="77777777" w:rsidR="00B80DA4" w:rsidRPr="00961C5B" w:rsidRDefault="00B80DA4" w:rsidP="000E7785">
            <w:pPr>
              <w:pStyle w:val="Tabletext"/>
              <w:rPr>
                <w:sz w:val="18"/>
                <w:szCs w:val="18"/>
                <w:lang w:eastAsia="zh-CN"/>
              </w:rPr>
            </w:pPr>
            <w:r>
              <w:rPr>
                <w:rFonts w:hint="eastAsia"/>
                <w:sz w:val="18"/>
                <w:szCs w:val="18"/>
                <w:lang w:eastAsia="zh-CN"/>
              </w:rPr>
              <w:t>取决于选定的时间安排</w:t>
            </w:r>
            <w:r w:rsidRPr="007C4209">
              <w:rPr>
                <w:rFonts w:hint="eastAsia"/>
                <w:sz w:val="18"/>
                <w:szCs w:val="18"/>
                <w:lang w:val="fr-FR" w:eastAsia="zh-CN"/>
              </w:rPr>
              <w:t>，</w:t>
            </w:r>
            <w:r>
              <w:rPr>
                <w:rFonts w:hint="eastAsia"/>
                <w:sz w:val="18"/>
                <w:szCs w:val="18"/>
                <w:lang w:eastAsia="zh-CN"/>
              </w:rPr>
              <w:t>可能会对</w:t>
            </w:r>
            <w:r w:rsidRPr="007C4209">
              <w:rPr>
                <w:rFonts w:hint="eastAsia"/>
                <w:sz w:val="18"/>
                <w:szCs w:val="18"/>
                <w:lang w:val="fr-FR" w:eastAsia="zh-CN"/>
              </w:rPr>
              <w:t>2016-2019</w:t>
            </w:r>
            <w:r>
              <w:rPr>
                <w:rFonts w:hint="eastAsia"/>
                <w:sz w:val="18"/>
                <w:szCs w:val="18"/>
                <w:lang w:eastAsia="zh-CN"/>
              </w:rPr>
              <w:t>年财务规划产生某些影响</w:t>
            </w:r>
            <w:r>
              <w:rPr>
                <w:rFonts w:hint="eastAsia"/>
                <w:sz w:val="18"/>
                <w:szCs w:val="18"/>
                <w:lang w:val="fr-FR" w:eastAsia="zh-CN"/>
              </w:rPr>
              <w:t>。</w:t>
            </w:r>
          </w:p>
        </w:tc>
        <w:tc>
          <w:tcPr>
            <w:tcW w:w="5046" w:type="dxa"/>
          </w:tcPr>
          <w:p w14:paraId="0C97468C" w14:textId="77777777" w:rsidR="00B80DA4"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必须将在新地点使用办公楼的费用考虑在内</w:t>
            </w:r>
          </w:p>
          <w:p w14:paraId="227A2448" w14:textId="77777777" w:rsidR="00B80DA4" w:rsidRPr="00961C5B" w:rsidRDefault="00B80DA4" w:rsidP="000E7785">
            <w:pPr>
              <w:pStyle w:val="Tabletext"/>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人员费用节省，有待按照新地点的具体情况做出估算</w:t>
            </w:r>
          </w:p>
        </w:tc>
      </w:tr>
    </w:tbl>
    <w:p w14:paraId="09F222D0" w14:textId="77777777" w:rsidR="00B80DA4" w:rsidRDefault="00B80DA4" w:rsidP="00F32B15">
      <w:pPr>
        <w:pStyle w:val="Headingb"/>
        <w:pageBreakBefore/>
        <w:tabs>
          <w:tab w:val="clear" w:pos="567"/>
          <w:tab w:val="clear" w:pos="1134"/>
          <w:tab w:val="clear" w:pos="1701"/>
          <w:tab w:val="clear" w:pos="2268"/>
          <w:tab w:val="clear" w:pos="2835"/>
        </w:tabs>
        <w:spacing w:before="240" w:after="160"/>
        <w:ind w:left="0" w:firstLine="0"/>
        <w:rPr>
          <w:lang w:val="fr-CH"/>
        </w:rPr>
      </w:pPr>
      <w:r>
        <w:rPr>
          <w:rFonts w:hint="eastAsia"/>
          <w:lang w:val="fr-CH" w:eastAsia="zh-CN"/>
        </w:rPr>
        <w:lastRenderedPageBreak/>
        <w:t>战略考虑</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4"/>
        <w:gridCol w:w="4613"/>
        <w:gridCol w:w="1384"/>
        <w:gridCol w:w="989"/>
      </w:tblGrid>
      <w:tr w:rsidR="00B80DA4" w:rsidRPr="00961C5B" w14:paraId="7F1C4D3A" w14:textId="77777777" w:rsidTr="000E7785">
        <w:trPr>
          <w:cantSplit/>
          <w:jc w:val="center"/>
        </w:trPr>
        <w:tc>
          <w:tcPr>
            <w:tcW w:w="726" w:type="dxa"/>
            <w:vAlign w:val="center"/>
          </w:tcPr>
          <w:p w14:paraId="292E2EC6" w14:textId="77777777" w:rsidR="00B80DA4" w:rsidRPr="00961C5B" w:rsidRDefault="00B80DA4" w:rsidP="000E7785">
            <w:pPr>
              <w:pStyle w:val="Tablehead"/>
              <w:rPr>
                <w:sz w:val="18"/>
                <w:szCs w:val="18"/>
                <w:lang w:val="fr-FR"/>
              </w:rPr>
            </w:pPr>
            <w:r>
              <w:rPr>
                <w:rFonts w:hint="eastAsia"/>
                <w:sz w:val="18"/>
                <w:szCs w:val="18"/>
                <w:lang w:val="fr-FR" w:eastAsia="zh-CN"/>
              </w:rPr>
              <w:t>方案</w:t>
            </w:r>
          </w:p>
        </w:tc>
        <w:tc>
          <w:tcPr>
            <w:tcW w:w="2834" w:type="dxa"/>
            <w:tcMar>
              <w:left w:w="57" w:type="dxa"/>
              <w:right w:w="57" w:type="dxa"/>
            </w:tcMar>
            <w:vAlign w:val="center"/>
          </w:tcPr>
          <w:p w14:paraId="6BC53805" w14:textId="77777777" w:rsidR="00B80DA4" w:rsidRPr="00961C5B" w:rsidRDefault="00B80DA4" w:rsidP="000E7785">
            <w:pPr>
              <w:pStyle w:val="Tablehead"/>
              <w:spacing w:before="40" w:after="40"/>
              <w:rPr>
                <w:sz w:val="18"/>
                <w:szCs w:val="18"/>
                <w:lang w:val="fr-FR"/>
              </w:rPr>
            </w:pPr>
            <w:r>
              <w:rPr>
                <w:rFonts w:hint="eastAsia"/>
                <w:sz w:val="18"/>
                <w:szCs w:val="18"/>
                <w:lang w:val="fr-FR" w:eastAsia="zh-CN"/>
              </w:rPr>
              <w:t>优点</w:t>
            </w:r>
          </w:p>
        </w:tc>
        <w:tc>
          <w:tcPr>
            <w:tcW w:w="4613" w:type="dxa"/>
            <w:tcMar>
              <w:left w:w="57" w:type="dxa"/>
              <w:right w:w="57" w:type="dxa"/>
            </w:tcMar>
            <w:vAlign w:val="center"/>
          </w:tcPr>
          <w:p w14:paraId="08030CB5" w14:textId="77777777" w:rsidR="00B80DA4" w:rsidRPr="00961C5B" w:rsidRDefault="00B80DA4" w:rsidP="000E7785">
            <w:pPr>
              <w:pStyle w:val="Tablehead"/>
              <w:spacing w:before="40" w:after="40"/>
              <w:rPr>
                <w:sz w:val="18"/>
                <w:szCs w:val="18"/>
                <w:lang w:val="fr-FR"/>
              </w:rPr>
            </w:pPr>
            <w:r>
              <w:rPr>
                <w:rFonts w:hint="eastAsia"/>
                <w:sz w:val="18"/>
                <w:szCs w:val="18"/>
                <w:lang w:val="fr-FR" w:eastAsia="zh-CN"/>
              </w:rPr>
              <w:t>缺点</w:t>
            </w:r>
          </w:p>
        </w:tc>
        <w:tc>
          <w:tcPr>
            <w:tcW w:w="1384" w:type="dxa"/>
            <w:tcMar>
              <w:left w:w="57" w:type="dxa"/>
              <w:right w:w="57" w:type="dxa"/>
            </w:tcMar>
            <w:vAlign w:val="center"/>
          </w:tcPr>
          <w:p w14:paraId="780B3D03" w14:textId="77777777" w:rsidR="00B80DA4" w:rsidRPr="00961C5B" w:rsidRDefault="00B80DA4" w:rsidP="000E7785">
            <w:pPr>
              <w:pStyle w:val="Tablehead"/>
              <w:spacing w:before="40" w:after="40"/>
              <w:rPr>
                <w:sz w:val="18"/>
                <w:szCs w:val="18"/>
                <w:lang w:val="fr-FR"/>
              </w:rPr>
            </w:pPr>
            <w:r>
              <w:rPr>
                <w:rFonts w:hint="eastAsia"/>
                <w:sz w:val="18"/>
                <w:szCs w:val="18"/>
                <w:lang w:val="fr-FR" w:eastAsia="zh-CN"/>
              </w:rPr>
              <w:t>潜在短期节省</w:t>
            </w:r>
          </w:p>
        </w:tc>
        <w:tc>
          <w:tcPr>
            <w:tcW w:w="989" w:type="dxa"/>
            <w:tcMar>
              <w:left w:w="57" w:type="dxa"/>
              <w:right w:w="57" w:type="dxa"/>
            </w:tcMar>
            <w:vAlign w:val="center"/>
          </w:tcPr>
          <w:p w14:paraId="6230A44F" w14:textId="77777777" w:rsidR="00B80DA4" w:rsidRPr="00961C5B" w:rsidRDefault="00B80DA4" w:rsidP="000E7785">
            <w:pPr>
              <w:pStyle w:val="Tablehead"/>
              <w:spacing w:before="40" w:after="40"/>
              <w:rPr>
                <w:sz w:val="18"/>
                <w:szCs w:val="18"/>
                <w:lang w:val="fr-FR"/>
              </w:rPr>
            </w:pPr>
            <w:r>
              <w:rPr>
                <w:rFonts w:hint="eastAsia"/>
                <w:sz w:val="18"/>
                <w:szCs w:val="18"/>
                <w:lang w:val="fr-FR" w:eastAsia="zh-CN"/>
              </w:rPr>
              <w:t>长期潜在节省</w:t>
            </w:r>
          </w:p>
        </w:tc>
      </w:tr>
      <w:tr w:rsidR="00B80DA4" w:rsidRPr="00961C5B" w14:paraId="59917C6E" w14:textId="77777777" w:rsidTr="000E7785">
        <w:trPr>
          <w:cantSplit/>
          <w:jc w:val="center"/>
        </w:trPr>
        <w:tc>
          <w:tcPr>
            <w:tcW w:w="726" w:type="dxa"/>
            <w:textDirection w:val="btLr"/>
          </w:tcPr>
          <w:p w14:paraId="7BCBA4CD" w14:textId="77777777" w:rsidR="00B80DA4" w:rsidRPr="00961C5B" w:rsidRDefault="00B80DA4" w:rsidP="000E7785">
            <w:pPr>
              <w:pStyle w:val="Tabletext"/>
              <w:ind w:left="113" w:right="113"/>
              <w:jc w:val="center"/>
              <w:rPr>
                <w:b/>
                <w:bCs/>
                <w:sz w:val="18"/>
                <w:szCs w:val="18"/>
                <w:lang w:val="en-US"/>
              </w:rPr>
            </w:pPr>
            <w:r>
              <w:rPr>
                <w:rFonts w:hint="eastAsia"/>
                <w:b/>
                <w:bCs/>
                <w:sz w:val="18"/>
                <w:szCs w:val="18"/>
                <w:lang w:val="en-US" w:eastAsia="zh-CN"/>
              </w:rPr>
              <w:t>重建</w:t>
            </w:r>
          </w:p>
        </w:tc>
        <w:tc>
          <w:tcPr>
            <w:tcW w:w="2834" w:type="dxa"/>
            <w:tcMar>
              <w:left w:w="57" w:type="dxa"/>
              <w:right w:w="57" w:type="dxa"/>
            </w:tcMar>
          </w:tcPr>
          <w:p w14:paraId="4E7E3AB1" w14:textId="77777777" w:rsidR="00B80DA4" w:rsidRPr="00961C5B"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保留国际电联长期以来的所在地</w:t>
            </w:r>
          </w:p>
          <w:p w14:paraId="5B9E79A2" w14:textId="77777777" w:rsidR="00B80DA4" w:rsidRPr="00961C5B"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对国际电联活动影响最小</w:t>
            </w:r>
          </w:p>
          <w:p w14:paraId="69AD13D1" w14:textId="77777777" w:rsidR="00B80DA4"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对办公楼进行潜在重新评估，可能对国际电联资产带来正面影响</w:t>
            </w:r>
          </w:p>
          <w:p w14:paraId="2FDE1C35" w14:textId="77777777" w:rsidR="00B80DA4" w:rsidRPr="00961C5B"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将增加</w:t>
            </w:r>
            <w:r>
              <w:rPr>
                <w:rFonts w:hint="eastAsia"/>
                <w:sz w:val="18"/>
                <w:szCs w:val="18"/>
                <w:lang w:eastAsia="zh-CN"/>
              </w:rPr>
              <w:t>400</w:t>
            </w:r>
            <w:r>
              <w:rPr>
                <w:rFonts w:hint="eastAsia"/>
                <w:sz w:val="18"/>
                <w:szCs w:val="18"/>
                <w:lang w:eastAsia="zh-CN"/>
              </w:rPr>
              <w:t>个代表会议厅坐席</w:t>
            </w:r>
          </w:p>
        </w:tc>
        <w:tc>
          <w:tcPr>
            <w:tcW w:w="4613" w:type="dxa"/>
            <w:tcMar>
              <w:left w:w="57" w:type="dxa"/>
              <w:right w:w="57" w:type="dxa"/>
            </w:tcMar>
          </w:tcPr>
          <w:p w14:paraId="76ECEA94"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项目的成本和资金：每年</w:t>
            </w:r>
            <w:r>
              <w:rPr>
                <w:rFonts w:hint="eastAsia"/>
                <w:sz w:val="18"/>
                <w:szCs w:val="18"/>
                <w:lang w:eastAsia="zh-CN"/>
              </w:rPr>
              <w:t>300</w:t>
            </w:r>
            <w:r>
              <w:rPr>
                <w:rFonts w:hint="eastAsia"/>
                <w:sz w:val="18"/>
                <w:szCs w:val="18"/>
                <w:lang w:eastAsia="zh-CN"/>
              </w:rPr>
              <w:t>万瑞郎，为期</w:t>
            </w:r>
            <w:r>
              <w:rPr>
                <w:rFonts w:hint="eastAsia"/>
                <w:sz w:val="18"/>
                <w:szCs w:val="18"/>
                <w:lang w:eastAsia="zh-CN"/>
              </w:rPr>
              <w:t>50</w:t>
            </w:r>
            <w:r>
              <w:rPr>
                <w:rFonts w:hint="eastAsia"/>
                <w:sz w:val="18"/>
                <w:szCs w:val="18"/>
                <w:lang w:eastAsia="zh-CN"/>
              </w:rPr>
              <w:t>年，将纳入正常预算之中。</w:t>
            </w:r>
          </w:p>
        </w:tc>
        <w:tc>
          <w:tcPr>
            <w:tcW w:w="1384" w:type="dxa"/>
            <w:tcMar>
              <w:left w:w="57" w:type="dxa"/>
              <w:right w:w="57" w:type="dxa"/>
            </w:tcMar>
          </w:tcPr>
          <w:p w14:paraId="79F01AFC" w14:textId="77777777" w:rsidR="00B80DA4" w:rsidRPr="00961C5B" w:rsidRDefault="00B80DA4" w:rsidP="000E7785">
            <w:pPr>
              <w:pStyle w:val="Tabletext"/>
              <w:spacing w:before="40" w:after="40"/>
              <w:rPr>
                <w:sz w:val="18"/>
                <w:szCs w:val="18"/>
                <w:lang w:eastAsia="zh-CN"/>
              </w:rPr>
            </w:pPr>
            <w:r>
              <w:rPr>
                <w:rFonts w:hint="eastAsia"/>
                <w:sz w:val="18"/>
                <w:szCs w:val="18"/>
                <w:lang w:eastAsia="zh-CN"/>
              </w:rPr>
              <w:t>对</w:t>
            </w:r>
            <w:r>
              <w:rPr>
                <w:rFonts w:hint="eastAsia"/>
                <w:sz w:val="18"/>
                <w:szCs w:val="18"/>
                <w:lang w:eastAsia="zh-CN"/>
              </w:rPr>
              <w:t>2016-2019</w:t>
            </w:r>
            <w:r>
              <w:rPr>
                <w:rFonts w:hint="eastAsia"/>
                <w:sz w:val="18"/>
                <w:szCs w:val="18"/>
                <w:lang w:eastAsia="zh-CN"/>
              </w:rPr>
              <w:t>年财务规划没有影响。</w:t>
            </w:r>
          </w:p>
          <w:p w14:paraId="0B48330E" w14:textId="77777777" w:rsidR="00B80DA4" w:rsidRPr="00961C5B" w:rsidRDefault="00B80DA4" w:rsidP="000E7785">
            <w:pPr>
              <w:pStyle w:val="Tabletext"/>
              <w:spacing w:before="40" w:after="40"/>
              <w:rPr>
                <w:b/>
                <w:bCs/>
                <w:sz w:val="18"/>
                <w:szCs w:val="18"/>
              </w:rPr>
            </w:pPr>
            <w:r>
              <w:rPr>
                <w:rFonts w:hint="eastAsia"/>
                <w:sz w:val="18"/>
                <w:szCs w:val="18"/>
                <w:lang w:eastAsia="zh-CN"/>
              </w:rPr>
              <w:t>还贷自</w:t>
            </w:r>
            <w:r>
              <w:rPr>
                <w:rFonts w:hint="eastAsia"/>
                <w:sz w:val="18"/>
                <w:szCs w:val="18"/>
                <w:lang w:eastAsia="zh-CN"/>
              </w:rPr>
              <w:t>2021</w:t>
            </w:r>
            <w:r>
              <w:rPr>
                <w:rFonts w:hint="eastAsia"/>
                <w:sz w:val="18"/>
                <w:szCs w:val="18"/>
                <w:lang w:eastAsia="zh-CN"/>
              </w:rPr>
              <w:t>年开始</w:t>
            </w:r>
          </w:p>
        </w:tc>
        <w:tc>
          <w:tcPr>
            <w:tcW w:w="989" w:type="dxa"/>
            <w:tcMar>
              <w:left w:w="57" w:type="dxa"/>
              <w:right w:w="57" w:type="dxa"/>
            </w:tcMar>
          </w:tcPr>
          <w:p w14:paraId="6BDB5D26" w14:textId="77777777" w:rsidR="00B80DA4" w:rsidRPr="00961C5B" w:rsidRDefault="00B80DA4" w:rsidP="000E7785">
            <w:pPr>
              <w:pStyle w:val="Tabletext"/>
              <w:spacing w:before="40" w:after="40"/>
              <w:jc w:val="center"/>
              <w:rPr>
                <w:b/>
                <w:bCs/>
                <w:sz w:val="18"/>
                <w:szCs w:val="18"/>
                <w:lang w:val="fr-FR"/>
              </w:rPr>
            </w:pPr>
            <w:r w:rsidRPr="00961C5B">
              <w:rPr>
                <w:b/>
                <w:bCs/>
                <w:sz w:val="18"/>
                <w:szCs w:val="18"/>
                <w:lang w:val="fr-FR"/>
              </w:rPr>
              <w:t>++</w:t>
            </w:r>
          </w:p>
        </w:tc>
      </w:tr>
      <w:tr w:rsidR="00B80DA4" w:rsidRPr="00961C5B" w14:paraId="2C2F1BAF" w14:textId="77777777" w:rsidTr="000E7785">
        <w:trPr>
          <w:cantSplit/>
          <w:jc w:val="center"/>
        </w:trPr>
        <w:tc>
          <w:tcPr>
            <w:tcW w:w="726" w:type="dxa"/>
            <w:textDirection w:val="btLr"/>
          </w:tcPr>
          <w:p w14:paraId="3D5F6B17" w14:textId="77777777" w:rsidR="00B80DA4" w:rsidRPr="00961C5B" w:rsidRDefault="00B80DA4" w:rsidP="000E7785">
            <w:pPr>
              <w:pStyle w:val="Tabletext"/>
              <w:ind w:left="113" w:right="113"/>
              <w:jc w:val="center"/>
              <w:rPr>
                <w:b/>
                <w:bCs/>
                <w:sz w:val="18"/>
                <w:szCs w:val="18"/>
                <w:lang w:val="fr-FR"/>
              </w:rPr>
            </w:pPr>
            <w:r>
              <w:rPr>
                <w:rFonts w:hint="eastAsia"/>
                <w:b/>
                <w:bCs/>
                <w:sz w:val="18"/>
                <w:szCs w:val="18"/>
                <w:lang w:val="fr-FR" w:eastAsia="zh-CN"/>
              </w:rPr>
              <w:t>翻修</w:t>
            </w:r>
          </w:p>
        </w:tc>
        <w:tc>
          <w:tcPr>
            <w:tcW w:w="2834" w:type="dxa"/>
            <w:tcMar>
              <w:left w:w="57" w:type="dxa"/>
              <w:right w:w="57" w:type="dxa"/>
            </w:tcMar>
          </w:tcPr>
          <w:p w14:paraId="109C371C" w14:textId="77777777" w:rsidR="00B80DA4" w:rsidRPr="00961C5B"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比重建方案耗资较少的解决方案</w:t>
            </w:r>
          </w:p>
        </w:tc>
        <w:tc>
          <w:tcPr>
            <w:tcW w:w="4613" w:type="dxa"/>
            <w:tcMar>
              <w:left w:w="57" w:type="dxa"/>
              <w:right w:w="57" w:type="dxa"/>
            </w:tcMar>
          </w:tcPr>
          <w:p w14:paraId="53FAFA46"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由于办公楼结构仍维持原有结构，因此是一种不具技术优势的解决方案。</w:t>
            </w:r>
          </w:p>
          <w:p w14:paraId="5E6025BF"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昂贵的解决方案，其总体费用依然有待确定（在工程期间临时安置职员的费用有待估算）。</w:t>
            </w:r>
          </w:p>
          <w:p w14:paraId="2994F3D1"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利用优惠有息贷款而非无息贷款。</w:t>
            </w:r>
          </w:p>
          <w:p w14:paraId="525A7430"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在项目总体影响方面，难以得出节省数字。</w:t>
            </w:r>
          </w:p>
          <w:p w14:paraId="7328386A"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工程期间对所涉及办公楼中的服务运行具有重大影响。</w:t>
            </w:r>
          </w:p>
          <w:p w14:paraId="690938AF"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（为满足安全、消防、撤离、无障碍通行等标准，）每层的可用面积（甚或包括会议厅）减少。</w:t>
            </w:r>
          </w:p>
        </w:tc>
        <w:tc>
          <w:tcPr>
            <w:tcW w:w="1384" w:type="dxa"/>
            <w:tcMar>
              <w:left w:w="57" w:type="dxa"/>
              <w:right w:w="57" w:type="dxa"/>
            </w:tcMar>
          </w:tcPr>
          <w:p w14:paraId="21D08D48" w14:textId="77777777" w:rsidR="00B80DA4" w:rsidRPr="00961C5B" w:rsidRDefault="00B80DA4" w:rsidP="000E7785">
            <w:pPr>
              <w:pStyle w:val="Tabletext"/>
              <w:spacing w:before="40" w:after="40"/>
              <w:jc w:val="center"/>
              <w:rPr>
                <w:b/>
                <w:bCs/>
                <w:sz w:val="18"/>
                <w:szCs w:val="18"/>
                <w:lang w:val="fr-FR"/>
              </w:rPr>
            </w:pPr>
            <w:r w:rsidRPr="00961C5B">
              <w:rPr>
                <w:b/>
                <w:bCs/>
                <w:sz w:val="18"/>
                <w:szCs w:val="18"/>
                <w:lang w:val="fr-FR"/>
              </w:rPr>
              <w:t>-</w:t>
            </w:r>
          </w:p>
        </w:tc>
        <w:tc>
          <w:tcPr>
            <w:tcW w:w="989" w:type="dxa"/>
            <w:tcMar>
              <w:left w:w="57" w:type="dxa"/>
              <w:right w:w="57" w:type="dxa"/>
            </w:tcMar>
          </w:tcPr>
          <w:p w14:paraId="58C8D8B9" w14:textId="77777777" w:rsidR="00B80DA4" w:rsidRPr="00961C5B" w:rsidRDefault="00B80DA4" w:rsidP="000E7785">
            <w:pPr>
              <w:pStyle w:val="Tabletext"/>
              <w:spacing w:before="40" w:after="40"/>
              <w:jc w:val="center"/>
              <w:rPr>
                <w:b/>
                <w:bCs/>
                <w:sz w:val="18"/>
                <w:szCs w:val="18"/>
                <w:lang w:val="fr-FR"/>
              </w:rPr>
            </w:pPr>
            <w:r w:rsidRPr="00961C5B">
              <w:rPr>
                <w:b/>
                <w:bCs/>
                <w:sz w:val="18"/>
                <w:szCs w:val="18"/>
                <w:lang w:val="fr-FR"/>
              </w:rPr>
              <w:t>+</w:t>
            </w:r>
          </w:p>
        </w:tc>
      </w:tr>
      <w:tr w:rsidR="00B80DA4" w:rsidRPr="00961C5B" w14:paraId="3D660298" w14:textId="77777777" w:rsidTr="000E7785">
        <w:trPr>
          <w:cantSplit/>
          <w:jc w:val="center"/>
        </w:trPr>
        <w:tc>
          <w:tcPr>
            <w:tcW w:w="726" w:type="dxa"/>
            <w:textDirection w:val="btLr"/>
          </w:tcPr>
          <w:p w14:paraId="2645C053" w14:textId="77777777" w:rsidR="00B80DA4" w:rsidRPr="00961C5B" w:rsidRDefault="00B80DA4" w:rsidP="000E7785">
            <w:pPr>
              <w:pStyle w:val="Tabletext"/>
              <w:ind w:left="113" w:right="113"/>
              <w:jc w:val="center"/>
              <w:rPr>
                <w:b/>
                <w:bCs/>
                <w:sz w:val="18"/>
                <w:szCs w:val="18"/>
                <w:lang w:val="fr-FR"/>
              </w:rPr>
            </w:pPr>
            <w:r>
              <w:rPr>
                <w:rFonts w:hint="eastAsia"/>
                <w:b/>
                <w:bCs/>
                <w:sz w:val="18"/>
                <w:szCs w:val="18"/>
                <w:lang w:val="fr-FR" w:eastAsia="zh-CN"/>
              </w:rPr>
              <w:t>租用</w:t>
            </w:r>
          </w:p>
        </w:tc>
        <w:tc>
          <w:tcPr>
            <w:tcW w:w="2834" w:type="dxa"/>
            <w:tcMar>
              <w:left w:w="57" w:type="dxa"/>
              <w:right w:w="57" w:type="dxa"/>
            </w:tcMar>
          </w:tcPr>
          <w:p w14:paraId="5CEFE905" w14:textId="77777777" w:rsidR="00B80DA4" w:rsidRPr="00961C5B" w:rsidRDefault="00B80DA4" w:rsidP="000E7785">
            <w:pPr>
              <w:pStyle w:val="Tabletext"/>
              <w:spacing w:before="40" w:after="40"/>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无须管理维护和折旧。</w:t>
            </w:r>
          </w:p>
        </w:tc>
        <w:tc>
          <w:tcPr>
            <w:tcW w:w="4613" w:type="dxa"/>
            <w:tcMar>
              <w:left w:w="57" w:type="dxa"/>
              <w:right w:w="57" w:type="dxa"/>
            </w:tcMar>
          </w:tcPr>
          <w:p w14:paraId="7ACB5FD8"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昂贵解决方案，不会带来任何潜在长期节省。</w:t>
            </w:r>
          </w:p>
          <w:p w14:paraId="6728EB69"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工作人员搬移过程之中和之后对工作产生重大影响。</w:t>
            </w:r>
          </w:p>
          <w:p w14:paraId="27DC046C"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不会给国际电联资产带来正面影响。</w:t>
            </w:r>
          </w:p>
        </w:tc>
        <w:tc>
          <w:tcPr>
            <w:tcW w:w="1384" w:type="dxa"/>
            <w:tcMar>
              <w:left w:w="57" w:type="dxa"/>
              <w:right w:w="57" w:type="dxa"/>
            </w:tcMar>
          </w:tcPr>
          <w:p w14:paraId="3EA25E94" w14:textId="77777777" w:rsidR="00B80DA4" w:rsidRPr="003359B7" w:rsidRDefault="00B80DA4" w:rsidP="000E7785">
            <w:pPr>
              <w:pStyle w:val="Tabletext"/>
              <w:spacing w:before="40" w:after="40"/>
              <w:jc w:val="center"/>
              <w:rPr>
                <w:b/>
                <w:bCs/>
                <w:sz w:val="18"/>
                <w:szCs w:val="18"/>
              </w:rPr>
            </w:pPr>
            <w:r w:rsidRPr="003359B7">
              <w:rPr>
                <w:b/>
                <w:bCs/>
                <w:sz w:val="18"/>
                <w:szCs w:val="18"/>
              </w:rPr>
              <w:t>- -</w:t>
            </w:r>
          </w:p>
        </w:tc>
        <w:tc>
          <w:tcPr>
            <w:tcW w:w="989" w:type="dxa"/>
            <w:tcMar>
              <w:left w:w="57" w:type="dxa"/>
              <w:right w:w="57" w:type="dxa"/>
            </w:tcMar>
          </w:tcPr>
          <w:p w14:paraId="76132835" w14:textId="77777777" w:rsidR="00B80DA4" w:rsidRPr="003359B7" w:rsidRDefault="00B80DA4" w:rsidP="000E7785">
            <w:pPr>
              <w:pStyle w:val="Tabletext"/>
              <w:spacing w:before="40" w:after="40"/>
              <w:jc w:val="center"/>
              <w:rPr>
                <w:b/>
                <w:bCs/>
                <w:sz w:val="18"/>
                <w:szCs w:val="18"/>
              </w:rPr>
            </w:pPr>
            <w:r w:rsidRPr="003359B7">
              <w:rPr>
                <w:b/>
                <w:bCs/>
                <w:sz w:val="18"/>
                <w:szCs w:val="18"/>
              </w:rPr>
              <w:t>- - -</w:t>
            </w:r>
          </w:p>
          <w:p w14:paraId="57FA6E4A" w14:textId="77777777" w:rsidR="00B80DA4" w:rsidRPr="003359B7" w:rsidRDefault="00B80DA4" w:rsidP="000E7785">
            <w:pPr>
              <w:pStyle w:val="Tabletext"/>
              <w:spacing w:before="40" w:after="40"/>
              <w:jc w:val="center"/>
              <w:rPr>
                <w:b/>
                <w:bCs/>
                <w:sz w:val="18"/>
                <w:szCs w:val="18"/>
              </w:rPr>
            </w:pPr>
          </w:p>
        </w:tc>
      </w:tr>
      <w:tr w:rsidR="00B80DA4" w:rsidRPr="00961C5B" w14:paraId="66A8B758" w14:textId="77777777" w:rsidTr="000E7785">
        <w:trPr>
          <w:cantSplit/>
          <w:jc w:val="center"/>
        </w:trPr>
        <w:tc>
          <w:tcPr>
            <w:tcW w:w="726" w:type="dxa"/>
            <w:textDirection w:val="btLr"/>
          </w:tcPr>
          <w:p w14:paraId="0D7E68C6" w14:textId="77777777" w:rsidR="00B80DA4" w:rsidRPr="003359B7" w:rsidRDefault="00B80DA4" w:rsidP="000E7785">
            <w:pPr>
              <w:pStyle w:val="Tabletext"/>
              <w:ind w:left="113" w:right="113"/>
              <w:jc w:val="center"/>
              <w:rPr>
                <w:b/>
                <w:bCs/>
                <w:sz w:val="18"/>
                <w:szCs w:val="18"/>
              </w:rPr>
            </w:pPr>
            <w:r>
              <w:rPr>
                <w:rFonts w:hint="eastAsia"/>
                <w:b/>
                <w:bCs/>
                <w:sz w:val="18"/>
                <w:szCs w:val="18"/>
                <w:lang w:val="fr-FR" w:eastAsia="zh-CN"/>
              </w:rPr>
              <w:t>迁移</w:t>
            </w:r>
          </w:p>
        </w:tc>
        <w:tc>
          <w:tcPr>
            <w:tcW w:w="2834" w:type="dxa"/>
            <w:tcMar>
              <w:left w:w="57" w:type="dxa"/>
              <w:right w:w="57" w:type="dxa"/>
            </w:tcMar>
          </w:tcPr>
          <w:p w14:paraId="45862874" w14:textId="77777777" w:rsidR="00B80DA4" w:rsidRPr="003359B7" w:rsidRDefault="00B80DA4" w:rsidP="000E7785">
            <w:pPr>
              <w:pStyle w:val="Tabletext"/>
              <w:spacing w:before="40" w:after="40"/>
              <w:rPr>
                <w:sz w:val="18"/>
                <w:szCs w:val="18"/>
                <w:lang w:eastAsia="zh-CN"/>
              </w:rPr>
            </w:pPr>
            <w:r w:rsidRPr="003359B7">
              <w:rPr>
                <w:sz w:val="18"/>
                <w:szCs w:val="18"/>
                <w:lang w:eastAsia="zh-CN"/>
              </w:rPr>
              <w:t>–</w:t>
            </w:r>
            <w:r w:rsidRPr="003359B7">
              <w:rPr>
                <w:sz w:val="18"/>
                <w:szCs w:val="18"/>
                <w:lang w:eastAsia="zh-CN"/>
              </w:rPr>
              <w:tab/>
            </w:r>
            <w:r>
              <w:rPr>
                <w:rFonts w:hint="eastAsia"/>
                <w:sz w:val="18"/>
                <w:szCs w:val="18"/>
                <w:lang w:eastAsia="zh-CN"/>
              </w:rPr>
              <w:t>取决于总部选择的新地点，具有带来长期节省的潜力（</w:t>
            </w:r>
            <w:r>
              <w:rPr>
                <w:rFonts w:hint="eastAsia"/>
                <w:sz w:val="18"/>
                <w:szCs w:val="18"/>
                <w:lang w:eastAsia="zh-CN"/>
              </w:rPr>
              <w:t>5-10</w:t>
            </w:r>
            <w:r>
              <w:rPr>
                <w:rFonts w:hint="eastAsia"/>
                <w:sz w:val="18"/>
                <w:szCs w:val="18"/>
                <w:lang w:eastAsia="zh-CN"/>
              </w:rPr>
              <w:t>年后实现收支平衡）</w:t>
            </w:r>
          </w:p>
        </w:tc>
        <w:tc>
          <w:tcPr>
            <w:tcW w:w="4613" w:type="dxa"/>
            <w:tcMar>
              <w:left w:w="57" w:type="dxa"/>
              <w:right w:w="57" w:type="dxa"/>
            </w:tcMar>
          </w:tcPr>
          <w:p w14:paraId="46CAD0A4"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在迁离过程之中和之后会对工作产生重大影响。</w:t>
            </w:r>
          </w:p>
          <w:p w14:paraId="6DB30FFF"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对保留专业技能和本组织的机构记忆产生重大影响。</w:t>
            </w:r>
          </w:p>
          <w:p w14:paraId="0979A379" w14:textId="77777777" w:rsidR="00B80DA4" w:rsidRPr="00961C5B" w:rsidRDefault="00B80DA4" w:rsidP="000E7785">
            <w:pPr>
              <w:pStyle w:val="Tabletext"/>
              <w:spacing w:before="40" w:after="40"/>
              <w:jc w:val="both"/>
              <w:rPr>
                <w:sz w:val="18"/>
                <w:szCs w:val="18"/>
                <w:lang w:eastAsia="zh-CN"/>
              </w:rPr>
            </w:pPr>
            <w:r w:rsidRPr="00FC4FA0">
              <w:rPr>
                <w:sz w:val="18"/>
                <w:szCs w:val="18"/>
                <w:lang w:eastAsia="zh-CN"/>
              </w:rPr>
              <w:t>–</w:t>
            </w:r>
            <w:r>
              <w:rPr>
                <w:sz w:val="18"/>
                <w:szCs w:val="18"/>
                <w:lang w:eastAsia="zh-CN"/>
              </w:rPr>
              <w:tab/>
            </w:r>
            <w:r>
              <w:rPr>
                <w:rFonts w:hint="eastAsia"/>
                <w:sz w:val="18"/>
                <w:szCs w:val="18"/>
                <w:lang w:eastAsia="zh-CN"/>
              </w:rPr>
              <w:t>取决于所选定的新地点，国际电联可能不再享有如下好处：毗邻联合国欧洲总部、邻近诸多政府间组织和非政府间组织以及和</w:t>
            </w:r>
            <w:r>
              <w:rPr>
                <w:rFonts w:hint="eastAsia"/>
                <w:sz w:val="18"/>
                <w:szCs w:val="18"/>
                <w:lang w:eastAsia="zh-CN"/>
              </w:rPr>
              <w:t>193</w:t>
            </w:r>
            <w:r>
              <w:rPr>
                <w:rFonts w:hint="eastAsia"/>
                <w:sz w:val="18"/>
                <w:szCs w:val="18"/>
                <w:lang w:eastAsia="zh-CN"/>
              </w:rPr>
              <w:t>个成员国中多数外交代表团同处一域。</w:t>
            </w:r>
          </w:p>
        </w:tc>
        <w:tc>
          <w:tcPr>
            <w:tcW w:w="1384" w:type="dxa"/>
            <w:tcMar>
              <w:left w:w="57" w:type="dxa"/>
              <w:right w:w="57" w:type="dxa"/>
            </w:tcMar>
          </w:tcPr>
          <w:p w14:paraId="1A8119EC" w14:textId="77777777" w:rsidR="00B80DA4" w:rsidRPr="009012B3" w:rsidRDefault="00B80DA4" w:rsidP="000E7785">
            <w:pPr>
              <w:pStyle w:val="Tabletext"/>
              <w:spacing w:before="40" w:after="40"/>
              <w:jc w:val="center"/>
              <w:rPr>
                <w:b/>
                <w:bCs/>
                <w:sz w:val="18"/>
                <w:szCs w:val="18"/>
                <w:lang w:val="en-US" w:eastAsia="zh-CN"/>
              </w:rPr>
            </w:pPr>
            <w:r w:rsidRPr="009012B3">
              <w:rPr>
                <w:b/>
                <w:bCs/>
                <w:sz w:val="18"/>
                <w:szCs w:val="18"/>
                <w:lang w:val="en-US" w:eastAsia="zh-CN"/>
              </w:rPr>
              <w:t>- - -</w:t>
            </w:r>
            <w:r w:rsidRPr="009012B3">
              <w:rPr>
                <w:b/>
                <w:bCs/>
                <w:sz w:val="18"/>
                <w:szCs w:val="18"/>
                <w:lang w:val="en-US" w:eastAsia="zh-CN"/>
              </w:rPr>
              <w:br/>
            </w:r>
            <w:r>
              <w:rPr>
                <w:rFonts w:hint="eastAsia"/>
                <w:bCs/>
                <w:sz w:val="18"/>
                <w:szCs w:val="18"/>
                <w:lang w:val="en-US" w:eastAsia="zh-CN"/>
              </w:rPr>
              <w:t>（取决于东道国要约）</w:t>
            </w:r>
          </w:p>
        </w:tc>
        <w:tc>
          <w:tcPr>
            <w:tcW w:w="989" w:type="dxa"/>
            <w:tcMar>
              <w:left w:w="57" w:type="dxa"/>
              <w:right w:w="57" w:type="dxa"/>
            </w:tcMar>
          </w:tcPr>
          <w:p w14:paraId="65CC38B7" w14:textId="77777777" w:rsidR="00B80DA4" w:rsidRPr="009012B3" w:rsidRDefault="00B80DA4" w:rsidP="000E7785">
            <w:pPr>
              <w:pStyle w:val="Tabletext"/>
              <w:spacing w:before="40" w:after="40"/>
              <w:jc w:val="center"/>
              <w:rPr>
                <w:b/>
                <w:bCs/>
                <w:sz w:val="18"/>
                <w:szCs w:val="18"/>
                <w:lang w:val="en-US" w:eastAsia="zh-CN"/>
              </w:rPr>
            </w:pPr>
            <w:r w:rsidRPr="009012B3">
              <w:rPr>
                <w:b/>
                <w:bCs/>
                <w:sz w:val="18"/>
                <w:szCs w:val="18"/>
                <w:lang w:val="en-US" w:eastAsia="zh-CN"/>
              </w:rPr>
              <w:t>+++</w:t>
            </w:r>
            <w:r w:rsidRPr="009012B3">
              <w:rPr>
                <w:b/>
                <w:bCs/>
                <w:sz w:val="18"/>
                <w:szCs w:val="18"/>
                <w:lang w:val="en-US" w:eastAsia="zh-CN"/>
              </w:rPr>
              <w:br/>
            </w:r>
            <w:r>
              <w:rPr>
                <w:rFonts w:hint="eastAsia"/>
                <w:bCs/>
                <w:sz w:val="18"/>
                <w:szCs w:val="18"/>
                <w:lang w:val="en-US" w:eastAsia="zh-CN"/>
              </w:rPr>
              <w:t>（取决于东道国要约）</w:t>
            </w:r>
          </w:p>
        </w:tc>
      </w:tr>
    </w:tbl>
    <w:p w14:paraId="718E9643" w14:textId="77777777" w:rsidR="00B80DA4" w:rsidRDefault="00B80DA4" w:rsidP="00323BC6">
      <w:pPr>
        <w:rPr>
          <w:lang w:eastAsia="zh-CN"/>
        </w:rPr>
      </w:pPr>
      <w:r>
        <w:rPr>
          <w:lang w:eastAsia="zh-CN"/>
        </w:rPr>
        <w:t>9</w:t>
      </w:r>
      <w:r>
        <w:rPr>
          <w:lang w:val="en-US" w:eastAsia="zh-CN"/>
        </w:rPr>
        <w:t>.3</w:t>
      </w:r>
      <w:r>
        <w:rPr>
          <w:lang w:val="en-US" w:eastAsia="zh-CN"/>
        </w:rPr>
        <w:tab/>
      </w:r>
      <w:r>
        <w:rPr>
          <w:rFonts w:hint="eastAsia"/>
          <w:lang w:val="en-US" w:eastAsia="zh-CN"/>
        </w:rPr>
        <w:t>虽然可对迁离方案产生的财务影响做出估算，但对职员及其家属的影响却无法估计。那些无法迁离的职员将根据其本国家或国际市场的经济形势努力寻找其它工作。迁离还可能对正处于不同教育阶段的职员（儿童）子女造成一些影响，因为他们可能需转学。可以设想，对人员的总体影响将十分重大，这一点从已经历过迁离或外派的其它机构和私营部门公司所记录的经验中即可看出。部分或临时迁移更会加剧这种负面影响，因为不稳定状况将长期存在，所涉家庭可能不得不保留“狡兔两窟”，导致更多的费用和压力。</w:t>
      </w:r>
    </w:p>
    <w:p w14:paraId="06278CBE" w14:textId="77777777" w:rsidR="00B80DA4" w:rsidRDefault="00323BC6" w:rsidP="00323BC6">
      <w:pPr>
        <w:rPr>
          <w:lang w:eastAsia="zh-CN"/>
        </w:rPr>
      </w:pPr>
      <w:r>
        <w:rPr>
          <w:rFonts w:hint="eastAsia"/>
          <w:lang w:eastAsia="zh-CN"/>
        </w:rPr>
        <w:t>9.</w:t>
      </w:r>
      <w:r>
        <w:rPr>
          <w:lang w:eastAsia="zh-CN"/>
        </w:rPr>
        <w:t>4</w:t>
      </w:r>
      <w:r>
        <w:rPr>
          <w:lang w:eastAsia="zh-CN"/>
        </w:rPr>
        <w:tab/>
      </w:r>
      <w:r w:rsidR="00B80DA4">
        <w:rPr>
          <w:rFonts w:hint="eastAsia"/>
          <w:lang w:eastAsia="zh-CN"/>
        </w:rPr>
        <w:t>请全权代表大会根据本文所介绍信息，就其中说明的四项方案中的一项</w:t>
      </w:r>
      <w:r w:rsidR="00B80DA4" w:rsidRPr="00AC346A">
        <w:rPr>
          <w:rFonts w:hint="eastAsia"/>
          <w:b/>
          <w:bCs/>
          <w:lang w:eastAsia="zh-CN"/>
        </w:rPr>
        <w:t>做出决定</w:t>
      </w:r>
      <w:r w:rsidR="00B80DA4">
        <w:rPr>
          <w:rFonts w:hint="eastAsia"/>
          <w:lang w:eastAsia="zh-CN"/>
        </w:rPr>
        <w:t>。</w:t>
      </w:r>
    </w:p>
    <w:p w14:paraId="364F0700" w14:textId="77777777" w:rsidR="00B80DA4" w:rsidRDefault="00B80DA4" w:rsidP="000E7785">
      <w:pPr>
        <w:pStyle w:val="Reasons"/>
        <w:rPr>
          <w:lang w:eastAsia="zh-CN"/>
        </w:rPr>
      </w:pPr>
    </w:p>
    <w:p w14:paraId="10CC6AC3" w14:textId="77777777" w:rsidR="00B80DA4" w:rsidRDefault="00B80DA4">
      <w:pPr>
        <w:jc w:val="center"/>
      </w:pPr>
      <w:r>
        <w:t>______________</w:t>
      </w:r>
    </w:p>
    <w:sectPr w:rsidR="00B80DA4" w:rsidSect="00BA20B6">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pap" w:date="2014-10-15T14:58:00Z" w:initials="p">
    <w:p w14:paraId="43DCCA9F" w14:textId="77777777" w:rsidR="005148C5" w:rsidRDefault="005148C5" w:rsidP="005148C5">
      <w:pPr>
        <w:pStyle w:val="CommentText"/>
        <w:rPr>
          <w:lang w:val="fr-CH"/>
        </w:rPr>
      </w:pPr>
      <w:r>
        <w:rPr>
          <w:rStyle w:val="CommentReference"/>
        </w:rPr>
        <w:annotationRef/>
      </w:r>
      <w:r>
        <w:rPr>
          <w:lang w:val="fr-CH"/>
        </w:rPr>
        <w:t>A ma connaissance, c’est ITU qui a produit cette estimation. Cette précision est importante, car il faudrait éviter que ITU puisse dire, le cas échéant, qu’il s’agit d’une estimation du pays hôte.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CCA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3D59F" w14:textId="77777777" w:rsidR="00401177" w:rsidRDefault="00401177">
      <w:r>
        <w:separator/>
      </w:r>
    </w:p>
  </w:endnote>
  <w:endnote w:type="continuationSeparator" w:id="0">
    <w:p w14:paraId="65B1D00C" w14:textId="77777777" w:rsidR="00401177" w:rsidRDefault="0040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FE44" w14:textId="4F082369" w:rsidR="00D63CC6" w:rsidRPr="00DA4E4D" w:rsidRDefault="00342DD5" w:rsidP="00456ADE">
    <w:pPr>
      <w:pStyle w:val="Footer"/>
      <w:rPr>
        <w:color w:val="FFFFFF" w:themeColor="background1"/>
      </w:rPr>
    </w:pPr>
    <w:r w:rsidRPr="00DA4E4D">
      <w:rPr>
        <w:color w:val="FFFFFF" w:themeColor="background1"/>
      </w:rPr>
      <w:fldChar w:fldCharType="begin"/>
    </w:r>
    <w:r w:rsidRPr="00DA4E4D">
      <w:rPr>
        <w:color w:val="FFFFFF" w:themeColor="background1"/>
      </w:rPr>
      <w:instrText xml:space="preserve"> FILENAME \p  \* MERGEFORMAT </w:instrText>
    </w:r>
    <w:r w:rsidRPr="00DA4E4D">
      <w:rPr>
        <w:color w:val="FFFFFF" w:themeColor="background1"/>
      </w:rPr>
      <w:fldChar w:fldCharType="separate"/>
    </w:r>
    <w:r w:rsidR="00C251D9" w:rsidRPr="00DA4E4D">
      <w:rPr>
        <w:color w:val="FFFFFF" w:themeColor="background1"/>
      </w:rPr>
      <w:t>P:\CHI\SG\CONF-SG\PP14\000\057REV1C.docx</w:t>
    </w:r>
    <w:r w:rsidRPr="00DA4E4D">
      <w:rPr>
        <w:color w:val="FFFFFF" w:themeColor="background1"/>
      </w:rPr>
      <w:fldChar w:fldCharType="end"/>
    </w:r>
    <w:r w:rsidRPr="00DA4E4D">
      <w:rPr>
        <w:color w:val="FFFFFF" w:themeColor="background1"/>
      </w:rPr>
      <w:t xml:space="preserve"> (370480)</w:t>
    </w:r>
    <w:r w:rsidR="00456ADE" w:rsidRPr="00DA4E4D">
      <w:rPr>
        <w:color w:val="FFFFFF" w:themeColor="background1"/>
      </w:rPr>
      <w:tab/>
    </w:r>
    <w:r w:rsidR="00456ADE" w:rsidRPr="00DA4E4D">
      <w:rPr>
        <w:color w:val="FFFFFF" w:themeColor="background1"/>
      </w:rPr>
      <w:fldChar w:fldCharType="begin"/>
    </w:r>
    <w:r w:rsidR="00456ADE" w:rsidRPr="00DA4E4D">
      <w:rPr>
        <w:color w:val="FFFFFF" w:themeColor="background1"/>
      </w:rPr>
      <w:instrText xml:space="preserve"> SAVEDATE \@ DD.MM.YY </w:instrText>
    </w:r>
    <w:r w:rsidR="00456ADE" w:rsidRPr="00DA4E4D">
      <w:rPr>
        <w:color w:val="FFFFFF" w:themeColor="background1"/>
      </w:rPr>
      <w:fldChar w:fldCharType="separate"/>
    </w:r>
    <w:r w:rsidR="00194032" w:rsidRPr="00DA4E4D">
      <w:rPr>
        <w:color w:val="FFFFFF" w:themeColor="background1"/>
      </w:rPr>
      <w:t>17.10.14</w:t>
    </w:r>
    <w:r w:rsidR="00456ADE" w:rsidRPr="00DA4E4D">
      <w:rPr>
        <w:color w:val="FFFFFF" w:themeColor="background1"/>
      </w:rPr>
      <w:fldChar w:fldCharType="end"/>
    </w:r>
    <w:r w:rsidR="00456ADE" w:rsidRPr="00DA4E4D">
      <w:rPr>
        <w:color w:val="FFFFFF" w:themeColor="background1"/>
      </w:rPr>
      <w:tab/>
    </w:r>
    <w:r w:rsidR="00456ADE" w:rsidRPr="00DA4E4D">
      <w:rPr>
        <w:color w:val="FFFFFF" w:themeColor="background1"/>
      </w:rPr>
      <w:fldChar w:fldCharType="begin"/>
    </w:r>
    <w:r w:rsidR="00456ADE" w:rsidRPr="00DA4E4D">
      <w:rPr>
        <w:color w:val="FFFFFF" w:themeColor="background1"/>
      </w:rPr>
      <w:instrText xml:space="preserve"> PRINTDATE \@ DD.MM.YY </w:instrText>
    </w:r>
    <w:r w:rsidR="00456ADE" w:rsidRPr="00DA4E4D">
      <w:rPr>
        <w:color w:val="FFFFFF" w:themeColor="background1"/>
      </w:rPr>
      <w:fldChar w:fldCharType="separate"/>
    </w:r>
    <w:r w:rsidR="00C251D9" w:rsidRPr="00DA4E4D">
      <w:rPr>
        <w:color w:val="FFFFFF" w:themeColor="background1"/>
      </w:rPr>
      <w:t>30.09.02</w:t>
    </w:r>
    <w:r w:rsidR="00456ADE" w:rsidRPr="00DA4E4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6214" w14:textId="77777777" w:rsidR="00D63CC6" w:rsidRDefault="00D63CC6"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5F99B32" w14:textId="77777777" w:rsidR="00D63CC6" w:rsidRDefault="00D63CC6" w:rsidP="002155B0">
    <w:pPr>
      <w:pStyle w:val="FirstFooter"/>
      <w:jc w:val="center"/>
    </w:pPr>
  </w:p>
  <w:p w14:paraId="73C3965E" w14:textId="1A4B921A" w:rsidR="00D63CC6" w:rsidRPr="00DA4E4D" w:rsidRDefault="00342DD5" w:rsidP="00456ADE">
    <w:pPr>
      <w:pStyle w:val="Footer"/>
      <w:rPr>
        <w:color w:val="FFFFFF" w:themeColor="background1"/>
      </w:rPr>
    </w:pPr>
    <w:r w:rsidRPr="00DA4E4D">
      <w:rPr>
        <w:color w:val="FFFFFF" w:themeColor="background1"/>
      </w:rPr>
      <w:fldChar w:fldCharType="begin"/>
    </w:r>
    <w:r w:rsidRPr="00DA4E4D">
      <w:rPr>
        <w:color w:val="FFFFFF" w:themeColor="background1"/>
      </w:rPr>
      <w:instrText xml:space="preserve"> FILENAME \p  \* MERGEFORMAT </w:instrText>
    </w:r>
    <w:r w:rsidRPr="00DA4E4D">
      <w:rPr>
        <w:color w:val="FFFFFF" w:themeColor="background1"/>
      </w:rPr>
      <w:fldChar w:fldCharType="separate"/>
    </w:r>
    <w:r w:rsidRPr="00DA4E4D">
      <w:rPr>
        <w:color w:val="FFFFFF" w:themeColor="background1"/>
      </w:rPr>
      <w:t>P:\CHI\SG\CONF-SG\PP14\000\057REV1C.docx</w:t>
    </w:r>
    <w:r w:rsidRPr="00DA4E4D">
      <w:rPr>
        <w:color w:val="FFFFFF" w:themeColor="background1"/>
      </w:rPr>
      <w:fldChar w:fldCharType="end"/>
    </w:r>
    <w:r w:rsidRPr="00DA4E4D">
      <w:rPr>
        <w:color w:val="FFFFFF" w:themeColor="background1"/>
      </w:rPr>
      <w:t xml:space="preserve"> (370480)</w:t>
    </w:r>
    <w:r w:rsidRPr="00DA4E4D">
      <w:rPr>
        <w:color w:val="FFFFFF" w:themeColor="background1"/>
      </w:rPr>
      <w:tab/>
    </w:r>
    <w:r w:rsidRPr="00DA4E4D">
      <w:rPr>
        <w:color w:val="FFFFFF" w:themeColor="background1"/>
      </w:rPr>
      <w:fldChar w:fldCharType="begin"/>
    </w:r>
    <w:r w:rsidRPr="00DA4E4D">
      <w:rPr>
        <w:color w:val="FFFFFF" w:themeColor="background1"/>
      </w:rPr>
      <w:instrText xml:space="preserve"> SAVEDATE \@ DD.MM.YY </w:instrText>
    </w:r>
    <w:r w:rsidRPr="00DA4E4D">
      <w:rPr>
        <w:color w:val="FFFFFF" w:themeColor="background1"/>
      </w:rPr>
      <w:fldChar w:fldCharType="separate"/>
    </w:r>
    <w:r w:rsidR="00194032" w:rsidRPr="00DA4E4D">
      <w:rPr>
        <w:color w:val="FFFFFF" w:themeColor="background1"/>
      </w:rPr>
      <w:t>17.10.14</w:t>
    </w:r>
    <w:r w:rsidRPr="00DA4E4D">
      <w:rPr>
        <w:color w:val="FFFFFF" w:themeColor="background1"/>
      </w:rPr>
      <w:fldChar w:fldCharType="end"/>
    </w:r>
    <w:r w:rsidRPr="00DA4E4D">
      <w:rPr>
        <w:color w:val="FFFFFF" w:themeColor="background1"/>
      </w:rPr>
      <w:tab/>
    </w:r>
    <w:r w:rsidRPr="00DA4E4D">
      <w:rPr>
        <w:color w:val="FFFFFF" w:themeColor="background1"/>
      </w:rPr>
      <w:fldChar w:fldCharType="begin"/>
    </w:r>
    <w:r w:rsidRPr="00DA4E4D">
      <w:rPr>
        <w:color w:val="FFFFFF" w:themeColor="background1"/>
      </w:rPr>
      <w:instrText xml:space="preserve"> PRINTDATE \@ DD.MM.YY </w:instrText>
    </w:r>
    <w:r w:rsidRPr="00DA4E4D">
      <w:rPr>
        <w:color w:val="FFFFFF" w:themeColor="background1"/>
      </w:rPr>
      <w:fldChar w:fldCharType="separate"/>
    </w:r>
    <w:r w:rsidRPr="00DA4E4D">
      <w:rPr>
        <w:color w:val="FFFFFF" w:themeColor="background1"/>
      </w:rPr>
      <w:t>30.09.02</w:t>
    </w:r>
    <w:r w:rsidRPr="00DA4E4D">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8FBF3" w14:textId="77777777" w:rsidR="00401177" w:rsidRDefault="00401177">
      <w:r>
        <w:t>____________________</w:t>
      </w:r>
    </w:p>
  </w:footnote>
  <w:footnote w:type="continuationSeparator" w:id="0">
    <w:p w14:paraId="6E274F7E" w14:textId="77777777" w:rsidR="00401177" w:rsidRDefault="00401177">
      <w:r>
        <w:continuationSeparator/>
      </w:r>
    </w:p>
  </w:footnote>
  <w:footnote w:id="1">
    <w:p w14:paraId="491DB99B" w14:textId="77777777" w:rsidR="00D63CC6" w:rsidRPr="005F356D" w:rsidRDefault="00D63CC6" w:rsidP="00BD0317">
      <w:pPr>
        <w:pStyle w:val="FootnoteText"/>
        <w:tabs>
          <w:tab w:val="clear" w:pos="256"/>
          <w:tab w:val="clear" w:pos="567"/>
          <w:tab w:val="clear" w:pos="1134"/>
          <w:tab w:val="clear" w:pos="1701"/>
          <w:tab w:val="clear" w:pos="2268"/>
          <w:tab w:val="clear" w:pos="2835"/>
        </w:tabs>
        <w:spacing w:before="20"/>
        <w:ind w:left="284" w:hanging="284"/>
        <w:rPr>
          <w:lang w:eastAsia="zh-CN"/>
        </w:rPr>
      </w:pPr>
      <w:r w:rsidRPr="002F3026">
        <w:rPr>
          <w:rStyle w:val="FootnoteReference"/>
        </w:rPr>
        <w:footnoteRef/>
      </w:r>
      <w:r w:rsidRPr="005F356D">
        <w:rPr>
          <w:lang w:eastAsia="zh-CN"/>
        </w:rPr>
        <w:tab/>
      </w:r>
      <w:r w:rsidRPr="002F3026">
        <w:rPr>
          <w:rFonts w:hint="eastAsia"/>
          <w:lang w:eastAsia="zh-CN"/>
        </w:rPr>
        <w:t>东道国的</w:t>
      </w:r>
      <w:r>
        <w:rPr>
          <w:rFonts w:hint="eastAsia"/>
          <w:lang w:eastAsia="zh-CN"/>
        </w:rPr>
        <w:t>专用</w:t>
      </w:r>
      <w:r w:rsidRPr="002F3026">
        <w:rPr>
          <w:rFonts w:hint="eastAsia"/>
          <w:lang w:eastAsia="zh-CN"/>
        </w:rPr>
        <w:t>法律术语。</w:t>
      </w:r>
    </w:p>
  </w:footnote>
  <w:footnote w:id="2">
    <w:p w14:paraId="1466499A" w14:textId="77777777" w:rsidR="00D63CC6" w:rsidRPr="00713560" w:rsidRDefault="00D63CC6" w:rsidP="00BD0317">
      <w:pPr>
        <w:pStyle w:val="FootnoteText"/>
        <w:tabs>
          <w:tab w:val="clear" w:pos="256"/>
          <w:tab w:val="clear" w:pos="567"/>
          <w:tab w:val="clear" w:pos="1134"/>
          <w:tab w:val="clear" w:pos="1701"/>
          <w:tab w:val="clear" w:pos="2268"/>
          <w:tab w:val="clear" w:pos="2835"/>
        </w:tabs>
        <w:spacing w:before="20"/>
        <w:ind w:left="284" w:hanging="284"/>
        <w:rPr>
          <w:lang w:eastAsia="zh-CN"/>
        </w:rPr>
      </w:pPr>
      <w:r w:rsidRPr="005F356D">
        <w:rPr>
          <w:rStyle w:val="FootnoteReference"/>
        </w:rPr>
        <w:footnoteRef/>
      </w:r>
      <w:r w:rsidRPr="00573A00">
        <w:rPr>
          <w:lang w:eastAsia="zh-CN"/>
        </w:rPr>
        <w:tab/>
      </w:r>
      <w:r w:rsidRPr="00713560">
        <w:rPr>
          <w:lang w:eastAsia="zh-CN"/>
        </w:rPr>
        <w:t>2009</w:t>
      </w:r>
      <w:r w:rsidRPr="00713560">
        <w:rPr>
          <w:rFonts w:hint="eastAsia"/>
          <w:lang w:eastAsia="zh-CN"/>
        </w:rPr>
        <w:t>年委托专家咨询机构（</w:t>
      </w:r>
      <w:r w:rsidRPr="00713560">
        <w:rPr>
          <w:lang w:eastAsia="zh-CN"/>
        </w:rPr>
        <w:t>Brodbeck-Roulet</w:t>
      </w:r>
      <w:r w:rsidRPr="00713560">
        <w:rPr>
          <w:rFonts w:hint="eastAsia"/>
          <w:lang w:eastAsia="zh-CN"/>
        </w:rPr>
        <w:t>）进行了外部研究，并于</w:t>
      </w:r>
      <w:r w:rsidRPr="00713560">
        <w:rPr>
          <w:rFonts w:hint="eastAsia"/>
          <w:lang w:eastAsia="zh-CN"/>
        </w:rPr>
        <w:t>2010</w:t>
      </w:r>
      <w:r w:rsidRPr="00713560">
        <w:rPr>
          <w:rFonts w:hint="eastAsia"/>
          <w:lang w:eastAsia="zh-CN"/>
        </w:rPr>
        <w:t>年就</w:t>
      </w:r>
      <w:r w:rsidRPr="00713560">
        <w:rPr>
          <w:lang w:eastAsia="zh-CN"/>
        </w:rPr>
        <w:t>Varembé</w:t>
      </w:r>
      <w:r w:rsidRPr="00713560">
        <w:rPr>
          <w:rFonts w:hint="eastAsia"/>
          <w:lang w:eastAsia="zh-CN"/>
        </w:rPr>
        <w:t>办公楼的性能和外立面的可能补救措施做出了报告。</w:t>
      </w:r>
    </w:p>
  </w:footnote>
  <w:footnote w:id="3">
    <w:p w14:paraId="332247B4" w14:textId="51739314" w:rsidR="00D63CC6" w:rsidRPr="004135E2" w:rsidRDefault="00D63CC6" w:rsidP="00C251D9">
      <w:pPr>
        <w:pStyle w:val="FootnoteText"/>
        <w:tabs>
          <w:tab w:val="clear" w:pos="256"/>
          <w:tab w:val="clear" w:pos="567"/>
          <w:tab w:val="left" w:pos="720"/>
        </w:tabs>
        <w:spacing w:before="20"/>
        <w:ind w:left="142" w:hanging="142"/>
        <w:rPr>
          <w:lang w:val="fr-CH"/>
        </w:rPr>
      </w:pPr>
      <w:r>
        <w:rPr>
          <w:rStyle w:val="FootnoteReference"/>
        </w:rPr>
        <w:footnoteRef/>
      </w:r>
      <w:r w:rsidRPr="004135E2">
        <w:rPr>
          <w:lang w:val="fr-CH"/>
        </w:rPr>
        <w:tab/>
      </w:r>
      <w:r w:rsidRPr="00C251D9">
        <w:rPr>
          <w:rFonts w:hint="eastAsia"/>
          <w:spacing w:val="3"/>
          <w:lang w:val="fr-CH"/>
        </w:rPr>
        <w:t>“</w:t>
      </w:r>
      <w:r w:rsidRPr="00C251D9">
        <w:rPr>
          <w:spacing w:val="3"/>
          <w:lang w:val="fr-CH"/>
        </w:rPr>
        <w:t>Fondation des immeubles pour les organisations internationales</w:t>
      </w:r>
      <w:r w:rsidRPr="00C251D9">
        <w:rPr>
          <w:rFonts w:hint="eastAsia"/>
          <w:spacing w:val="3"/>
          <w:lang w:val="fr-CH"/>
        </w:rPr>
        <w:t>”（</w:t>
      </w:r>
      <w:r w:rsidRPr="00C251D9">
        <w:rPr>
          <w:rFonts w:hint="eastAsia"/>
          <w:spacing w:val="3"/>
        </w:rPr>
        <w:t>国际组织不动产基金会</w:t>
      </w:r>
      <w:r w:rsidR="00C251D9" w:rsidRPr="00194032">
        <w:rPr>
          <w:rFonts w:hint="eastAsia"/>
          <w:lang w:val="fr-CH"/>
        </w:rPr>
        <w:t>）</w:t>
      </w:r>
      <w:r>
        <w:rPr>
          <w:rFonts w:hint="eastAsia"/>
        </w:rPr>
        <w:t>。网址</w:t>
      </w:r>
      <w:r>
        <w:rPr>
          <w:rFonts w:hint="eastAsia"/>
          <w:lang w:val="fr-CH"/>
        </w:rPr>
        <w:t>：</w:t>
      </w:r>
      <w:hyperlink r:id="rId1" w:history="1">
        <w:r>
          <w:rPr>
            <w:rStyle w:val="Hyperlink"/>
            <w:lang w:val="fr-CH"/>
          </w:rPr>
          <w:t>www.fipoi.ch</w:t>
        </w:r>
      </w:hyperlink>
      <w:r>
        <w:rPr>
          <w:rFonts w:hint="eastAsia"/>
          <w:lang w:eastAsia="zh-CN"/>
        </w:rPr>
        <w:t>。</w:t>
      </w:r>
    </w:p>
  </w:footnote>
  <w:footnote w:id="4">
    <w:p w14:paraId="4525850E" w14:textId="77777777" w:rsidR="00D63CC6" w:rsidRPr="00E44FF4" w:rsidRDefault="00D63CC6" w:rsidP="00B80DA4">
      <w:pPr>
        <w:pStyle w:val="FootnoteText"/>
        <w:spacing w:before="60"/>
        <w:rPr>
          <w:lang w:val="fr-CH" w:eastAsia="zh-CN"/>
        </w:rPr>
      </w:pPr>
      <w:r>
        <w:rPr>
          <w:rStyle w:val="FootnoteReference"/>
        </w:rPr>
        <w:footnoteRef/>
      </w:r>
      <w:r>
        <w:rPr>
          <w:lang w:val="fr-CH" w:eastAsia="zh-CN"/>
        </w:rPr>
        <w:tab/>
      </w:r>
      <w:r w:rsidRPr="00D9413C">
        <w:rPr>
          <w:rFonts w:hint="eastAsia"/>
          <w:lang w:eastAsia="zh-CN"/>
        </w:rPr>
        <w:t>瑞士无障碍通行标准</w:t>
      </w:r>
      <w:r w:rsidRPr="00E44FF4">
        <w:rPr>
          <w:rFonts w:hint="eastAsia"/>
          <w:lang w:val="fr-CH" w:eastAsia="zh-CN"/>
        </w:rPr>
        <w:t>：</w:t>
      </w:r>
      <w:r w:rsidRPr="00E44FF4">
        <w:rPr>
          <w:lang w:val="fr-CH" w:eastAsia="zh-CN"/>
        </w:rPr>
        <w:t>SIA 500 :2009</w:t>
      </w:r>
      <w:r w:rsidRPr="00E44FF4">
        <w:rPr>
          <w:rFonts w:hint="eastAsia"/>
          <w:lang w:val="fr-CH" w:eastAsia="zh-CN"/>
        </w:rPr>
        <w:t>，</w:t>
      </w:r>
      <w:r w:rsidRPr="00D9413C">
        <w:rPr>
          <w:rFonts w:hint="eastAsia"/>
          <w:lang w:eastAsia="zh-CN"/>
        </w:rPr>
        <w:t>无障碍建筑</w:t>
      </w:r>
      <w:r w:rsidRPr="00E44FF4">
        <w:rPr>
          <w:rFonts w:hint="eastAsia"/>
          <w:lang w:val="fr-CH" w:eastAsia="zh-CN"/>
        </w:rPr>
        <w:t>（</w:t>
      </w:r>
      <w:r w:rsidRPr="00E44FF4">
        <w:rPr>
          <w:lang w:val="fr-CH" w:eastAsia="zh-CN"/>
        </w:rPr>
        <w:t>Constructions sans obstacles</w:t>
      </w:r>
      <w:r w:rsidRPr="00E44FF4">
        <w:rPr>
          <w:rFonts w:hint="eastAsia"/>
          <w:lang w:val="fr-CH" w:eastAsia="zh-CN"/>
        </w:rPr>
        <w:t>）</w:t>
      </w:r>
      <w:r w:rsidRPr="00D9413C">
        <w:rPr>
          <w:rFonts w:hint="eastAsia"/>
          <w:lang w:eastAsia="zh-CN"/>
        </w:rPr>
        <w:t>。</w:t>
      </w:r>
    </w:p>
  </w:footnote>
  <w:footnote w:id="5">
    <w:p w14:paraId="5EC95CEF" w14:textId="77777777" w:rsidR="00D63CC6" w:rsidRPr="00194032" w:rsidRDefault="00D63CC6" w:rsidP="009543BE">
      <w:pPr>
        <w:pStyle w:val="FootnoteText"/>
        <w:tabs>
          <w:tab w:val="clear" w:pos="256"/>
          <w:tab w:val="clear" w:pos="567"/>
          <w:tab w:val="clear" w:pos="1134"/>
          <w:tab w:val="clear" w:pos="1701"/>
          <w:tab w:val="clear" w:pos="2268"/>
          <w:tab w:val="clear" w:pos="2835"/>
        </w:tabs>
        <w:ind w:left="284" w:hanging="284"/>
        <w:rPr>
          <w:lang w:val="fr-CH" w:eastAsia="zh-CN"/>
        </w:rPr>
      </w:pPr>
      <w:r>
        <w:rPr>
          <w:rStyle w:val="FootnoteReference"/>
        </w:rPr>
        <w:footnoteRef/>
      </w:r>
      <w:r w:rsidRPr="00194032">
        <w:rPr>
          <w:lang w:val="fr-CH" w:eastAsia="zh-CN"/>
        </w:rPr>
        <w:tab/>
      </w:r>
      <w:r>
        <w:rPr>
          <w:rFonts w:hint="eastAsia"/>
          <w:lang w:eastAsia="zh-CN"/>
        </w:rPr>
        <w:t>参考信息</w:t>
      </w:r>
      <w:r w:rsidRPr="00194032">
        <w:rPr>
          <w:rFonts w:hint="eastAsia"/>
          <w:lang w:val="fr-CH" w:eastAsia="zh-CN"/>
        </w:rPr>
        <w:t>：</w:t>
      </w:r>
      <w:r>
        <w:rPr>
          <w:rFonts w:hint="eastAsia"/>
          <w:lang w:eastAsia="zh-CN"/>
        </w:rPr>
        <w:t>起诉到</w:t>
      </w:r>
      <w:r w:rsidRPr="00194032">
        <w:rPr>
          <w:rFonts w:hint="eastAsia"/>
          <w:lang w:val="fr-CH" w:eastAsia="zh-CN"/>
        </w:rPr>
        <w:t>ILOAT</w:t>
      </w:r>
      <w:r>
        <w:rPr>
          <w:rFonts w:hint="eastAsia"/>
          <w:lang w:eastAsia="zh-CN"/>
        </w:rPr>
        <w:t>的案件的受理费用为</w:t>
      </w:r>
      <w:r w:rsidRPr="00194032">
        <w:rPr>
          <w:rFonts w:hint="eastAsia"/>
          <w:lang w:val="fr-CH" w:eastAsia="zh-CN"/>
        </w:rPr>
        <w:t>2</w:t>
      </w:r>
      <w:r>
        <w:rPr>
          <w:rFonts w:hint="eastAsia"/>
          <w:lang w:eastAsia="zh-CN"/>
        </w:rPr>
        <w:t>万瑞郎</w:t>
      </w:r>
      <w:r w:rsidRPr="00194032">
        <w:rPr>
          <w:rFonts w:hint="eastAsia"/>
          <w:lang w:val="fr-CH" w:eastAsia="zh-CN"/>
        </w:rPr>
        <w:t>，</w:t>
      </w:r>
      <w:r>
        <w:rPr>
          <w:rFonts w:hint="eastAsia"/>
          <w:lang w:eastAsia="zh-CN"/>
        </w:rPr>
        <w:t>无论结果如何。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C017B" w14:textId="77777777" w:rsidR="00D63CC6" w:rsidRDefault="00D63CC6" w:rsidP="00811D55">
    <w:pPr>
      <w:pStyle w:val="Header"/>
    </w:pPr>
    <w:r>
      <w:fldChar w:fldCharType="begin"/>
    </w:r>
    <w:r>
      <w:instrText xml:space="preserve"> PAGE </w:instrText>
    </w:r>
    <w:r>
      <w:fldChar w:fldCharType="separate"/>
    </w:r>
    <w:r w:rsidR="00DA4E4D">
      <w:rPr>
        <w:noProof/>
      </w:rPr>
      <w:t>17</w:t>
    </w:r>
    <w:r>
      <w:fldChar w:fldCharType="end"/>
    </w:r>
  </w:p>
  <w:p w14:paraId="268310BE" w14:textId="723BBAB6" w:rsidR="00D63CC6" w:rsidRPr="00811D55" w:rsidRDefault="00D63CC6" w:rsidP="00456ADE">
    <w:pPr>
      <w:pStyle w:val="Header"/>
    </w:pPr>
    <w:r>
      <w:t>PP14/57</w:t>
    </w:r>
    <w:r w:rsidR="00456ADE">
      <w:rPr>
        <w:lang w:val="en-US"/>
      </w:rPr>
      <w:t>(Rev.1)</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A4"/>
    <w:rsid w:val="00005963"/>
    <w:rsid w:val="000134DB"/>
    <w:rsid w:val="00014808"/>
    <w:rsid w:val="00040A47"/>
    <w:rsid w:val="00057B6E"/>
    <w:rsid w:val="00076062"/>
    <w:rsid w:val="000911EE"/>
    <w:rsid w:val="0009673E"/>
    <w:rsid w:val="000C4701"/>
    <w:rsid w:val="000E4C7A"/>
    <w:rsid w:val="000E7785"/>
    <w:rsid w:val="000F68C6"/>
    <w:rsid w:val="00111A9E"/>
    <w:rsid w:val="00121A15"/>
    <w:rsid w:val="00123AC1"/>
    <w:rsid w:val="00124C8F"/>
    <w:rsid w:val="00125484"/>
    <w:rsid w:val="00126FE1"/>
    <w:rsid w:val="0013327E"/>
    <w:rsid w:val="00137909"/>
    <w:rsid w:val="0014254A"/>
    <w:rsid w:val="00167FD3"/>
    <w:rsid w:val="00171990"/>
    <w:rsid w:val="00194032"/>
    <w:rsid w:val="001A0EEB"/>
    <w:rsid w:val="001A4A66"/>
    <w:rsid w:val="001B25D1"/>
    <w:rsid w:val="001C4ECA"/>
    <w:rsid w:val="001D7909"/>
    <w:rsid w:val="002021DD"/>
    <w:rsid w:val="002155B0"/>
    <w:rsid w:val="00217A36"/>
    <w:rsid w:val="00224A78"/>
    <w:rsid w:val="00231ABC"/>
    <w:rsid w:val="00241DDB"/>
    <w:rsid w:val="00243985"/>
    <w:rsid w:val="002578B4"/>
    <w:rsid w:val="00262A06"/>
    <w:rsid w:val="00262CF5"/>
    <w:rsid w:val="002A0F5C"/>
    <w:rsid w:val="002A2125"/>
    <w:rsid w:val="002B39F5"/>
    <w:rsid w:val="002E37AF"/>
    <w:rsid w:val="00307225"/>
    <w:rsid w:val="00323BC6"/>
    <w:rsid w:val="00342DD5"/>
    <w:rsid w:val="003477D4"/>
    <w:rsid w:val="00375BBA"/>
    <w:rsid w:val="003760D8"/>
    <w:rsid w:val="00383A29"/>
    <w:rsid w:val="0038484C"/>
    <w:rsid w:val="0038575F"/>
    <w:rsid w:val="00387EA2"/>
    <w:rsid w:val="003907C4"/>
    <w:rsid w:val="003951B4"/>
    <w:rsid w:val="00395CE4"/>
    <w:rsid w:val="003B11AC"/>
    <w:rsid w:val="00401177"/>
    <w:rsid w:val="004014B0"/>
    <w:rsid w:val="00414872"/>
    <w:rsid w:val="00426AC1"/>
    <w:rsid w:val="0045019C"/>
    <w:rsid w:val="00453CBC"/>
    <w:rsid w:val="00456ADE"/>
    <w:rsid w:val="004676C0"/>
    <w:rsid w:val="00476923"/>
    <w:rsid w:val="00476CAF"/>
    <w:rsid w:val="004831DC"/>
    <w:rsid w:val="00485E71"/>
    <w:rsid w:val="004A2166"/>
    <w:rsid w:val="004B7A97"/>
    <w:rsid w:val="004D0EE1"/>
    <w:rsid w:val="004D3182"/>
    <w:rsid w:val="004D5308"/>
    <w:rsid w:val="005061F9"/>
    <w:rsid w:val="005148C5"/>
    <w:rsid w:val="00517E65"/>
    <w:rsid w:val="005356FD"/>
    <w:rsid w:val="00537256"/>
    <w:rsid w:val="00542073"/>
    <w:rsid w:val="00554E24"/>
    <w:rsid w:val="00564B8D"/>
    <w:rsid w:val="00567130"/>
    <w:rsid w:val="00596A53"/>
    <w:rsid w:val="005A4515"/>
    <w:rsid w:val="005A6A1D"/>
    <w:rsid w:val="005C1E39"/>
    <w:rsid w:val="005C57AB"/>
    <w:rsid w:val="005E4794"/>
    <w:rsid w:val="005F67CE"/>
    <w:rsid w:val="00602EDE"/>
    <w:rsid w:val="00617BE4"/>
    <w:rsid w:val="00622189"/>
    <w:rsid w:val="0065134F"/>
    <w:rsid w:val="00671139"/>
    <w:rsid w:val="0067125A"/>
    <w:rsid w:val="00674E98"/>
    <w:rsid w:val="00680265"/>
    <w:rsid w:val="006A0092"/>
    <w:rsid w:val="006A328B"/>
    <w:rsid w:val="006B0483"/>
    <w:rsid w:val="006E57C8"/>
    <w:rsid w:val="006E6BA4"/>
    <w:rsid w:val="006F0211"/>
    <w:rsid w:val="00701ECB"/>
    <w:rsid w:val="007235A4"/>
    <w:rsid w:val="00726BB9"/>
    <w:rsid w:val="0073319E"/>
    <w:rsid w:val="00750829"/>
    <w:rsid w:val="00753029"/>
    <w:rsid w:val="00770CF8"/>
    <w:rsid w:val="007917DE"/>
    <w:rsid w:val="007B558F"/>
    <w:rsid w:val="007B65C8"/>
    <w:rsid w:val="007C4DC3"/>
    <w:rsid w:val="007D5C3C"/>
    <w:rsid w:val="00811D55"/>
    <w:rsid w:val="00814482"/>
    <w:rsid w:val="008160BF"/>
    <w:rsid w:val="0081793E"/>
    <w:rsid w:val="008433E4"/>
    <w:rsid w:val="00850AEF"/>
    <w:rsid w:val="008726C7"/>
    <w:rsid w:val="00887A05"/>
    <w:rsid w:val="008B44F5"/>
    <w:rsid w:val="008D3BE2"/>
    <w:rsid w:val="008D7300"/>
    <w:rsid w:val="008E2C7A"/>
    <w:rsid w:val="008E42E1"/>
    <w:rsid w:val="008E4324"/>
    <w:rsid w:val="008E45D4"/>
    <w:rsid w:val="008E6AE7"/>
    <w:rsid w:val="008E6BC6"/>
    <w:rsid w:val="008F1FAB"/>
    <w:rsid w:val="00904E65"/>
    <w:rsid w:val="00905B6A"/>
    <w:rsid w:val="00927D68"/>
    <w:rsid w:val="009408D8"/>
    <w:rsid w:val="0094565B"/>
    <w:rsid w:val="00950E0F"/>
    <w:rsid w:val="009543BE"/>
    <w:rsid w:val="009608F6"/>
    <w:rsid w:val="009867EA"/>
    <w:rsid w:val="0099173A"/>
    <w:rsid w:val="00994E12"/>
    <w:rsid w:val="009A47A2"/>
    <w:rsid w:val="009B0229"/>
    <w:rsid w:val="009C4B97"/>
    <w:rsid w:val="009D1E93"/>
    <w:rsid w:val="00A03693"/>
    <w:rsid w:val="00A23536"/>
    <w:rsid w:val="00A6085C"/>
    <w:rsid w:val="00A62DA7"/>
    <w:rsid w:val="00A84607"/>
    <w:rsid w:val="00AA7BEE"/>
    <w:rsid w:val="00AC561B"/>
    <w:rsid w:val="00AC5C98"/>
    <w:rsid w:val="00AC61B3"/>
    <w:rsid w:val="00AD1198"/>
    <w:rsid w:val="00AD2C62"/>
    <w:rsid w:val="00AE49B9"/>
    <w:rsid w:val="00B04E59"/>
    <w:rsid w:val="00B05785"/>
    <w:rsid w:val="00B11373"/>
    <w:rsid w:val="00B15AF8"/>
    <w:rsid w:val="00B1733E"/>
    <w:rsid w:val="00B23943"/>
    <w:rsid w:val="00B34094"/>
    <w:rsid w:val="00B412B2"/>
    <w:rsid w:val="00B60A63"/>
    <w:rsid w:val="00B650EC"/>
    <w:rsid w:val="00B80DA4"/>
    <w:rsid w:val="00B96F78"/>
    <w:rsid w:val="00BA154E"/>
    <w:rsid w:val="00BA20B6"/>
    <w:rsid w:val="00BB509B"/>
    <w:rsid w:val="00BD0317"/>
    <w:rsid w:val="00BD4D18"/>
    <w:rsid w:val="00BF720B"/>
    <w:rsid w:val="00C03F5E"/>
    <w:rsid w:val="00C04511"/>
    <w:rsid w:val="00C101EE"/>
    <w:rsid w:val="00C11BC0"/>
    <w:rsid w:val="00C16846"/>
    <w:rsid w:val="00C16AC0"/>
    <w:rsid w:val="00C251D9"/>
    <w:rsid w:val="00C40FEE"/>
    <w:rsid w:val="00C44F27"/>
    <w:rsid w:val="00C561F1"/>
    <w:rsid w:val="00C710E5"/>
    <w:rsid w:val="00C7345F"/>
    <w:rsid w:val="00C73FA3"/>
    <w:rsid w:val="00C74FED"/>
    <w:rsid w:val="00C75F74"/>
    <w:rsid w:val="00C925D8"/>
    <w:rsid w:val="00C948C8"/>
    <w:rsid w:val="00CA38C9"/>
    <w:rsid w:val="00CA401B"/>
    <w:rsid w:val="00CB1CAA"/>
    <w:rsid w:val="00CB57E1"/>
    <w:rsid w:val="00CB66EF"/>
    <w:rsid w:val="00CE40BB"/>
    <w:rsid w:val="00CF05C0"/>
    <w:rsid w:val="00D2057D"/>
    <w:rsid w:val="00D215E8"/>
    <w:rsid w:val="00D42E6D"/>
    <w:rsid w:val="00D57C64"/>
    <w:rsid w:val="00D63CC6"/>
    <w:rsid w:val="00D65220"/>
    <w:rsid w:val="00D82A9F"/>
    <w:rsid w:val="00D97614"/>
    <w:rsid w:val="00DA4E4D"/>
    <w:rsid w:val="00DD26B1"/>
    <w:rsid w:val="00DE3C98"/>
    <w:rsid w:val="00DF23FC"/>
    <w:rsid w:val="00DF39CD"/>
    <w:rsid w:val="00DF51DD"/>
    <w:rsid w:val="00DF579D"/>
    <w:rsid w:val="00E121F2"/>
    <w:rsid w:val="00E26F09"/>
    <w:rsid w:val="00E44CE7"/>
    <w:rsid w:val="00E56E57"/>
    <w:rsid w:val="00E62118"/>
    <w:rsid w:val="00E712DA"/>
    <w:rsid w:val="00E82735"/>
    <w:rsid w:val="00EC18C4"/>
    <w:rsid w:val="00EC1B7F"/>
    <w:rsid w:val="00EE4F1E"/>
    <w:rsid w:val="00EF2642"/>
    <w:rsid w:val="00EF3681"/>
    <w:rsid w:val="00EF5523"/>
    <w:rsid w:val="00F00FD0"/>
    <w:rsid w:val="00F02A26"/>
    <w:rsid w:val="00F03CE8"/>
    <w:rsid w:val="00F16910"/>
    <w:rsid w:val="00F20495"/>
    <w:rsid w:val="00F20BC2"/>
    <w:rsid w:val="00F24F0A"/>
    <w:rsid w:val="00F32B15"/>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0C02E"/>
  <w15:docId w15:val="{0CAC1AE7-07C8-4826-B933-84AB725F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AD1198"/>
    <w:rPr>
      <w:rFonts w:ascii="Calibri" w:hAnsi="Calibri"/>
      <w:position w:val="6"/>
      <w:sz w:val="16"/>
    </w:rPr>
  </w:style>
  <w:style w:type="paragraph" w:styleId="FootnoteText">
    <w:name w:val="footnote text"/>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B80DA4"/>
    <w:pPr>
      <w:jc w:val="center"/>
    </w:pPr>
    <w:rPr>
      <w:rFonts w:eastAsiaTheme="minorEastAsia"/>
      <w:b/>
      <w:sz w:val="32"/>
    </w:rPr>
  </w:style>
  <w:style w:type="paragraph" w:customStyle="1" w:styleId="OPtitle">
    <w:name w:val="OP_title"/>
    <w:basedOn w:val="Normal"/>
    <w:next w:val="Normalaftertitle"/>
    <w:qFormat/>
    <w:rsid w:val="00B80DA4"/>
    <w:pPr>
      <w:jc w:val="center"/>
    </w:pPr>
    <w:rPr>
      <w:rFonts w:eastAsiaTheme="minorEastAsia"/>
      <w:b/>
    </w:rPr>
  </w:style>
  <w:style w:type="paragraph" w:customStyle="1" w:styleId="VolumeTitle">
    <w:name w:val="VolumeTitle"/>
    <w:basedOn w:val="Normal"/>
    <w:next w:val="Normal"/>
    <w:rsid w:val="00B80DA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B80DA4"/>
    <w:rPr>
      <w:rFonts w:ascii="Calibri" w:eastAsia="SimSun" w:hAnsi="Calibri"/>
      <w:b/>
      <w:sz w:val="28"/>
      <w:lang w:val="en-GB" w:eastAsia="en-US"/>
    </w:rPr>
  </w:style>
  <w:style w:type="character" w:customStyle="1" w:styleId="Heading2Char">
    <w:name w:val="Heading 2 Char"/>
    <w:basedOn w:val="DefaultParagraphFont"/>
    <w:link w:val="Heading2"/>
    <w:rsid w:val="00B80DA4"/>
    <w:rPr>
      <w:rFonts w:ascii="Calibri" w:eastAsia="SimSun" w:hAnsi="Calibri"/>
      <w:b/>
      <w:sz w:val="24"/>
      <w:lang w:val="en-GB" w:eastAsia="en-US"/>
    </w:rPr>
  </w:style>
  <w:style w:type="character" w:customStyle="1" w:styleId="Heading3Char">
    <w:name w:val="Heading 3 Char"/>
    <w:basedOn w:val="DefaultParagraphFont"/>
    <w:link w:val="Heading3"/>
    <w:rsid w:val="00B80DA4"/>
    <w:rPr>
      <w:rFonts w:ascii="Calibri" w:eastAsia="SimSun" w:hAnsi="Calibri"/>
      <w:b/>
      <w:sz w:val="24"/>
      <w:lang w:val="en-GB" w:eastAsia="en-US"/>
    </w:rPr>
  </w:style>
  <w:style w:type="character" w:customStyle="1" w:styleId="FooterChar">
    <w:name w:val="Footer Char"/>
    <w:basedOn w:val="DefaultParagraphFont"/>
    <w:link w:val="Footer"/>
    <w:rsid w:val="00B80DA4"/>
    <w:rPr>
      <w:rFonts w:ascii="Calibri" w:eastAsia="SimSun" w:hAnsi="Calibri"/>
      <w:caps/>
      <w:noProof/>
      <w:sz w:val="16"/>
      <w:lang w:val="en-GB" w:eastAsia="en-US"/>
    </w:rPr>
  </w:style>
  <w:style w:type="character" w:customStyle="1" w:styleId="HeaderChar">
    <w:name w:val="Header Char"/>
    <w:basedOn w:val="DefaultParagraphFont"/>
    <w:link w:val="Header"/>
    <w:rsid w:val="00B80DA4"/>
    <w:rPr>
      <w:rFonts w:ascii="Calibri" w:eastAsia="SimSun" w:hAnsi="Calibri"/>
      <w:sz w:val="18"/>
      <w:lang w:val="en-GB" w:eastAsia="en-US"/>
    </w:rPr>
  </w:style>
  <w:style w:type="character" w:customStyle="1" w:styleId="FootnoteTextChar">
    <w:name w:val="Footnote Text Char"/>
    <w:basedOn w:val="DefaultParagraphFont"/>
    <w:link w:val="FootnoteText"/>
    <w:uiPriority w:val="99"/>
    <w:rsid w:val="00B80DA4"/>
    <w:rPr>
      <w:rFonts w:ascii="Calibri" w:eastAsia="SimSun" w:hAnsi="Calibri"/>
      <w:sz w:val="24"/>
      <w:lang w:val="en-GB" w:eastAsia="en-US"/>
    </w:rPr>
  </w:style>
  <w:style w:type="paragraph" w:customStyle="1" w:styleId="SpecialFooter">
    <w:name w:val="Special Footer"/>
    <w:basedOn w:val="Footer"/>
    <w:rsid w:val="00B80DA4"/>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styleId="ListParagraph">
    <w:name w:val="List Paragraph"/>
    <w:basedOn w:val="Normal"/>
    <w:uiPriority w:val="34"/>
    <w:qFormat/>
    <w:rsid w:val="00B80DA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B80DA4"/>
    <w:rPr>
      <w:sz w:val="16"/>
      <w:szCs w:val="16"/>
    </w:rPr>
  </w:style>
  <w:style w:type="paragraph" w:styleId="CommentText">
    <w:name w:val="annotation text"/>
    <w:basedOn w:val="Normal"/>
    <w:link w:val="CommentTextChar"/>
    <w:uiPriority w:val="99"/>
    <w:unhideWhenUsed/>
    <w:rsid w:val="00B80DA4"/>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B80DA4"/>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B80DA4"/>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B80DA4"/>
    <w:rPr>
      <w:rFonts w:ascii="Calibri" w:hAnsi="Calibri"/>
      <w:b/>
      <w:bCs/>
      <w:lang w:val="en-GB" w:eastAsia="en-US"/>
    </w:rPr>
  </w:style>
  <w:style w:type="paragraph" w:customStyle="1" w:styleId="CEONormal">
    <w:name w:val="CEO_Normal"/>
    <w:uiPriority w:val="99"/>
    <w:rsid w:val="00B80DA4"/>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B80DA4"/>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DA4"/>
    <w:rPr>
      <w:rFonts w:ascii="Calibri" w:hAnsi="Calibri"/>
      <w:sz w:val="24"/>
      <w:lang w:val="en-GB" w:eastAsia="en-US"/>
    </w:rPr>
  </w:style>
  <w:style w:type="paragraph" w:styleId="DocumentMap">
    <w:name w:val="Document Map"/>
    <w:basedOn w:val="Normal"/>
    <w:link w:val="DocumentMapChar"/>
    <w:semiHidden/>
    <w:unhideWhenUsed/>
    <w:rsid w:val="00B80DA4"/>
    <w:pPr>
      <w:spacing w:before="0"/>
    </w:pPr>
    <w:rPr>
      <w:rFonts w:ascii="Lucida Grande" w:eastAsia="Times New Roman" w:hAnsi="Lucida Grande" w:cs="Lucida Grande"/>
      <w:szCs w:val="24"/>
    </w:rPr>
  </w:style>
  <w:style w:type="character" w:customStyle="1" w:styleId="DocumentMapChar">
    <w:name w:val="Document Map Char"/>
    <w:basedOn w:val="DefaultParagraphFont"/>
    <w:link w:val="DocumentMap"/>
    <w:semiHidden/>
    <w:rsid w:val="00B80DA4"/>
    <w:rPr>
      <w:rFonts w:ascii="Lucida Grande" w:hAnsi="Lucida Grande" w:cs="Lucida Grande"/>
      <w:sz w:val="24"/>
      <w:szCs w:val="24"/>
      <w:lang w:val="en-GB" w:eastAsia="en-US"/>
    </w:rPr>
  </w:style>
  <w:style w:type="character" w:customStyle="1" w:styleId="enumlev1Char">
    <w:name w:val="enumlev1 Char"/>
    <w:basedOn w:val="DefaultParagraphFont"/>
    <w:link w:val="enumlev1"/>
    <w:uiPriority w:val="99"/>
    <w:rsid w:val="00B80DA4"/>
    <w:rPr>
      <w:rFonts w:ascii="Calibri" w:eastAsia="SimSun" w:hAnsi="Calibri"/>
      <w:sz w:val="24"/>
      <w:lang w:val="en-GB" w:eastAsia="en-US"/>
    </w:rPr>
  </w:style>
  <w:style w:type="paragraph" w:customStyle="1" w:styleId="Noral">
    <w:name w:val="Noral"/>
    <w:basedOn w:val="ListParagraph"/>
    <w:rsid w:val="00EC1B7F"/>
    <w:pPr>
      <w:spacing w:before="120" w:after="240"/>
      <w:ind w:left="0"/>
      <w:contextualSpacing w:val="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3-CL-INF-0018/en" TargetMode="Externa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4-CL-C-0075/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4-CL-C-0050/en" TargetMode="External"/><Relationship Id="rId4" Type="http://schemas.openxmlformats.org/officeDocument/2006/relationships/webSettings" Target="webSettings.xml"/><Relationship Id="rId9" Type="http://schemas.openxmlformats.org/officeDocument/2006/relationships/hyperlink" Target="http://www.itu.int/md/S14-CL-C-0092/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ipoi.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23</Pages>
  <Words>17105</Words>
  <Characters>4003</Characters>
  <Application>Microsoft Office Word</Application>
  <DocSecurity>0</DocSecurity>
  <Lines>33</Lines>
  <Paragraphs>42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21066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 Ricarda</cp:lastModifiedBy>
  <cp:revision>2</cp:revision>
  <cp:lastPrinted>2002-09-30T08:24:00Z</cp:lastPrinted>
  <dcterms:created xsi:type="dcterms:W3CDTF">2014-10-18T00:26:00Z</dcterms:created>
  <dcterms:modified xsi:type="dcterms:W3CDTF">2014-10-18T00:26:00Z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