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77794" w:rsidTr="00E63DAB">
        <w:trPr>
          <w:cantSplit/>
        </w:trPr>
        <w:tc>
          <w:tcPr>
            <w:tcW w:w="6911" w:type="dxa"/>
          </w:tcPr>
          <w:p w:rsidR="00F96AB4" w:rsidRPr="00C7779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C77794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C77794">
              <w:rPr>
                <w:rFonts w:ascii="Verdana" w:hAnsi="Verdana"/>
                <w:szCs w:val="22"/>
                <w:lang w:val="ru-RU"/>
              </w:rPr>
              <w:br/>
            </w:r>
            <w:r w:rsidRPr="00C77794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C77794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C77794">
              <w:rPr>
                <w:noProof/>
                <w:lang w:val="en-US" w:eastAsia="zh-CN"/>
              </w:rPr>
              <w:drawing>
                <wp:inline distT="0" distB="0" distL="0" distR="0" wp14:anchorId="2097096D" wp14:editId="5D516F0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7779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77794" w:rsidRDefault="00F96AB4" w:rsidP="006E5AA6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77794" w:rsidRDefault="00F96AB4" w:rsidP="006E5AA6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C7779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77794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77794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6E5AA6" w:rsidRPr="00C77794" w:rsidTr="006E5AA6">
        <w:trPr>
          <w:cantSplit/>
        </w:trPr>
        <w:tc>
          <w:tcPr>
            <w:tcW w:w="6911" w:type="dxa"/>
            <w:vMerge w:val="restart"/>
          </w:tcPr>
          <w:p w:rsidR="006E5AA6" w:rsidRPr="00C77794" w:rsidRDefault="006E5AA6" w:rsidP="00131286">
            <w:pPr>
              <w:pStyle w:val="Committee"/>
              <w:framePr w:hSpace="0" w:wrap="auto" w:hAnchor="text" w:yAlign="inline"/>
              <w:rPr>
                <w:szCs w:val="22"/>
                <w:lang w:val="ru-RU"/>
              </w:rPr>
            </w:pPr>
            <w:r w:rsidRPr="00C77794">
              <w:rPr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6E5AA6" w:rsidRPr="00C77794" w:rsidRDefault="006E5AA6" w:rsidP="00587B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C77794">
              <w:rPr>
                <w:rFonts w:cstheme="minorHAnsi"/>
                <w:b/>
                <w:bCs/>
                <w:szCs w:val="28"/>
                <w:lang w:val="ru-RU"/>
              </w:rPr>
              <w:t>Документ 51-R</w:t>
            </w:r>
          </w:p>
        </w:tc>
      </w:tr>
      <w:tr w:rsidR="006E5AA6" w:rsidRPr="00C77794" w:rsidTr="006E5AA6">
        <w:trPr>
          <w:cantSplit/>
        </w:trPr>
        <w:tc>
          <w:tcPr>
            <w:tcW w:w="6911" w:type="dxa"/>
            <w:vMerge/>
          </w:tcPr>
          <w:p w:rsidR="006E5AA6" w:rsidRPr="00C77794" w:rsidRDefault="006E5AA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6E5AA6" w:rsidRPr="00C77794" w:rsidRDefault="006E5AA6" w:rsidP="006E114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C77794">
              <w:rPr>
                <w:rFonts w:cstheme="minorHAnsi"/>
                <w:b/>
                <w:bCs/>
                <w:szCs w:val="28"/>
                <w:lang w:val="ru-RU"/>
              </w:rPr>
              <w:t>1 июля 2014 года</w:t>
            </w:r>
          </w:p>
        </w:tc>
      </w:tr>
      <w:tr w:rsidR="006E5AA6" w:rsidRPr="00C77794" w:rsidTr="00E63DAB">
        <w:trPr>
          <w:cantSplit/>
        </w:trPr>
        <w:tc>
          <w:tcPr>
            <w:tcW w:w="6911" w:type="dxa"/>
            <w:vMerge/>
          </w:tcPr>
          <w:p w:rsidR="006E5AA6" w:rsidRPr="00C77794" w:rsidRDefault="006E5AA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6E5AA6" w:rsidRPr="00C77794" w:rsidRDefault="006E5AA6" w:rsidP="0013128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C77794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C77794" w:rsidTr="00E63DAB">
        <w:trPr>
          <w:cantSplit/>
        </w:trPr>
        <w:tc>
          <w:tcPr>
            <w:tcW w:w="10031" w:type="dxa"/>
            <w:gridSpan w:val="2"/>
          </w:tcPr>
          <w:p w:rsidR="00131286" w:rsidRPr="00C77794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C77794" w:rsidTr="00E63DAB">
        <w:trPr>
          <w:cantSplit/>
        </w:trPr>
        <w:tc>
          <w:tcPr>
            <w:tcW w:w="10031" w:type="dxa"/>
            <w:gridSpan w:val="2"/>
          </w:tcPr>
          <w:p w:rsidR="00131286" w:rsidRPr="00C77794" w:rsidRDefault="00587BD1" w:rsidP="00587BD1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C77794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6E5AA6" w:rsidTr="00E63DAB">
        <w:trPr>
          <w:cantSplit/>
        </w:trPr>
        <w:tc>
          <w:tcPr>
            <w:tcW w:w="10031" w:type="dxa"/>
            <w:gridSpan w:val="2"/>
          </w:tcPr>
          <w:p w:rsidR="00131286" w:rsidRPr="00C77794" w:rsidRDefault="00F53BE5" w:rsidP="00131286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C77794">
              <w:rPr>
                <w:lang w:val="ru-RU"/>
              </w:rPr>
              <w:t>ОТЧЕТ РАБОЧЕЙ ГРУППЫ СОВЕТА ПО СТАБИЛЬНОМУ УСТАВУ</w:t>
            </w:r>
          </w:p>
        </w:tc>
      </w:tr>
      <w:tr w:rsidR="00131286" w:rsidRPr="006E5AA6" w:rsidTr="00E63DAB">
        <w:trPr>
          <w:cantSplit/>
        </w:trPr>
        <w:tc>
          <w:tcPr>
            <w:tcW w:w="10031" w:type="dxa"/>
            <w:gridSpan w:val="2"/>
          </w:tcPr>
          <w:p w:rsidR="00131286" w:rsidRPr="00C77794" w:rsidRDefault="00131286" w:rsidP="00131286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</w:tbl>
    <w:bookmarkEnd w:id="7"/>
    <w:p w:rsidR="00587BD1" w:rsidRPr="007F3AA5" w:rsidRDefault="00CF07E4" w:rsidP="00F53BE5">
      <w:pPr>
        <w:pStyle w:val="Normalaftertitle"/>
        <w:rPr>
          <w:lang w:val="ru-RU"/>
        </w:rPr>
      </w:pPr>
      <w:r>
        <w:rPr>
          <w:lang w:val="ru-RU"/>
        </w:rPr>
        <w:t>В приложени</w:t>
      </w:r>
      <w:r w:rsidR="00545B07">
        <w:rPr>
          <w:lang w:val="ru-RU"/>
        </w:rPr>
        <w:t>ях</w:t>
      </w:r>
      <w:r>
        <w:rPr>
          <w:lang w:val="ru-RU"/>
        </w:rPr>
        <w:t xml:space="preserve"> содержатся краткие отчеты об обсуждениях, которые состоялись на Совете 2013 года, касательно Заключительного отчета </w:t>
      </w:r>
      <w:r w:rsidR="00545B07">
        <w:rPr>
          <w:lang w:val="ru-RU"/>
        </w:rPr>
        <w:t>Р</w:t>
      </w:r>
      <w:r>
        <w:rPr>
          <w:lang w:val="ru-RU"/>
        </w:rPr>
        <w:t xml:space="preserve">абочей группы Совета по стабильному Уставу </w:t>
      </w:r>
      <w:r w:rsidR="007F3AA5">
        <w:rPr>
          <w:lang w:val="ru-RU"/>
        </w:rPr>
        <w:t>(</w:t>
      </w:r>
      <w:r>
        <w:rPr>
          <w:lang w:val="ru-RU"/>
        </w:rPr>
        <w:t>РГС/СТБ-</w:t>
      </w:r>
      <w:r w:rsidR="007F3AA5">
        <w:rPr>
          <w:lang w:val="ru-RU"/>
        </w:rPr>
        <w:t>У</w:t>
      </w:r>
      <w:r>
        <w:rPr>
          <w:lang w:val="ru-RU"/>
        </w:rPr>
        <w:t>). Сам Заключительный отчет содержится в</w:t>
      </w:r>
      <w:r w:rsidR="00587BD1" w:rsidRPr="00CF07E4">
        <w:rPr>
          <w:lang w:val="ru-RU"/>
        </w:rPr>
        <w:t xml:space="preserve"> </w:t>
      </w:r>
      <w:hyperlink r:id="rId8" w:history="1">
        <w:r w:rsidR="00587BD1" w:rsidRPr="00C77794">
          <w:rPr>
            <w:rStyle w:val="Hyperlink"/>
            <w:lang w:val="ru-RU"/>
          </w:rPr>
          <w:t>Документе</w:t>
        </w:r>
        <w:r w:rsidR="00587BD1" w:rsidRPr="007F3AA5">
          <w:rPr>
            <w:rStyle w:val="Hyperlink"/>
            <w:lang w:val="ru-RU"/>
          </w:rPr>
          <w:t xml:space="preserve"> </w:t>
        </w:r>
        <w:r w:rsidR="00587BD1" w:rsidRPr="006E5AA6">
          <w:rPr>
            <w:rStyle w:val="Hyperlink"/>
          </w:rPr>
          <w:t>PP</w:t>
        </w:r>
        <w:r w:rsidR="00587BD1" w:rsidRPr="007F3AA5">
          <w:rPr>
            <w:rStyle w:val="Hyperlink"/>
            <w:lang w:val="ru-RU"/>
          </w:rPr>
          <w:t>-14/52</w:t>
        </w:r>
      </w:hyperlink>
      <w:r w:rsidR="00587BD1" w:rsidRPr="007F3AA5">
        <w:rPr>
          <w:lang w:val="ru-RU"/>
        </w:rPr>
        <w:t>.</w:t>
      </w:r>
    </w:p>
    <w:p w:rsidR="00587BD1" w:rsidRPr="006E5AA6" w:rsidRDefault="00587BD1" w:rsidP="00301D86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ind w:right="6"/>
      </w:pPr>
      <w:r w:rsidRPr="007F3AA5">
        <w:rPr>
          <w:lang w:val="ru-RU"/>
        </w:rPr>
        <w:tab/>
      </w:r>
      <w:r w:rsidRPr="00C77794">
        <w:rPr>
          <w:lang w:val="ru-RU"/>
        </w:rPr>
        <w:t>Д</w:t>
      </w:r>
      <w:r w:rsidRPr="006E5AA6">
        <w:t>-</w:t>
      </w:r>
      <w:r w:rsidRPr="00C77794">
        <w:rPr>
          <w:lang w:val="ru-RU"/>
        </w:rPr>
        <w:t>р</w:t>
      </w:r>
      <w:r w:rsidRPr="006E5AA6">
        <w:t xml:space="preserve"> </w:t>
      </w:r>
      <w:r w:rsidRPr="00C77794">
        <w:rPr>
          <w:lang w:val="ru-RU"/>
        </w:rPr>
        <w:t>Хамадун</w:t>
      </w:r>
      <w:r w:rsidRPr="006E5AA6">
        <w:t xml:space="preserve"> </w:t>
      </w:r>
      <w:r w:rsidRPr="00C77794">
        <w:rPr>
          <w:lang w:val="ru-RU"/>
        </w:rPr>
        <w:t>И</w:t>
      </w:r>
      <w:r w:rsidRPr="006E5AA6">
        <w:t xml:space="preserve">. </w:t>
      </w:r>
      <w:r w:rsidRPr="00C77794">
        <w:rPr>
          <w:lang w:val="ru-RU"/>
        </w:rPr>
        <w:t>ТУРЕ</w:t>
      </w:r>
      <w:r w:rsidRPr="006E5AA6">
        <w:br/>
      </w:r>
      <w:r w:rsidRPr="006E5AA6">
        <w:tab/>
      </w:r>
      <w:r w:rsidRPr="00C77794">
        <w:rPr>
          <w:lang w:val="ru-RU"/>
        </w:rPr>
        <w:t>Генеральный</w:t>
      </w:r>
      <w:r w:rsidRPr="006E5AA6">
        <w:t xml:space="preserve"> </w:t>
      </w:r>
      <w:r w:rsidRPr="00C77794">
        <w:rPr>
          <w:lang w:val="ru-RU"/>
        </w:rPr>
        <w:t>секретарь</w:t>
      </w:r>
    </w:p>
    <w:p w:rsidR="00587BD1" w:rsidRPr="00C77794" w:rsidRDefault="00587BD1" w:rsidP="00301D8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418"/>
        </w:tabs>
        <w:spacing w:before="3120"/>
        <w:ind w:left="1418" w:right="-278" w:hanging="1418"/>
        <w:rPr>
          <w:lang w:val="ru-RU"/>
        </w:rPr>
      </w:pPr>
      <w:r w:rsidRPr="00C77794">
        <w:rPr>
          <w:b/>
          <w:bCs/>
          <w:lang w:val="ru-RU"/>
        </w:rPr>
        <w:t>Приложения</w:t>
      </w:r>
      <w:r w:rsidRPr="00C77794">
        <w:rPr>
          <w:lang w:val="ru-RU"/>
        </w:rPr>
        <w:t>:</w:t>
      </w:r>
      <w:r w:rsidRPr="00C77794">
        <w:rPr>
          <w:lang w:val="ru-RU"/>
        </w:rPr>
        <w:tab/>
      </w:r>
      <w:hyperlink w:anchor="C13_118" w:history="1">
        <w:r w:rsidRPr="00C77794">
          <w:rPr>
            <w:rStyle w:val="Hyperlink"/>
            <w:lang w:val="ru-RU"/>
          </w:rPr>
          <w:t xml:space="preserve">Приложение A: </w:t>
        </w:r>
        <w:r w:rsidR="006E1146" w:rsidRPr="00C77794">
          <w:rPr>
            <w:rStyle w:val="Hyperlink"/>
            <w:lang w:val="ru-RU"/>
          </w:rPr>
          <w:t>Выдержка из краткого отчета о седьмом пленарном заседании</w:t>
        </w:r>
      </w:hyperlink>
      <w:r w:rsidRPr="00C77794">
        <w:rPr>
          <w:lang w:val="ru-RU"/>
        </w:rPr>
        <w:t xml:space="preserve"> (C13/118)</w:t>
      </w:r>
      <w:r w:rsidRPr="00C77794">
        <w:rPr>
          <w:lang w:val="ru-RU"/>
        </w:rPr>
        <w:br/>
      </w:r>
      <w:hyperlink w:anchor="C13_119" w:history="1">
        <w:r w:rsidRPr="00C77794">
          <w:rPr>
            <w:rStyle w:val="Hyperlink"/>
            <w:lang w:val="ru-RU"/>
          </w:rPr>
          <w:t xml:space="preserve">Приложение B: </w:t>
        </w:r>
        <w:r w:rsidR="00F53BE5" w:rsidRPr="00C77794">
          <w:rPr>
            <w:rStyle w:val="Hyperlink"/>
            <w:lang w:val="ru-RU"/>
          </w:rPr>
          <w:t>Выдержка из краткого отчета о восьмом пленарном заседании</w:t>
        </w:r>
      </w:hyperlink>
      <w:r w:rsidRPr="00C77794">
        <w:rPr>
          <w:lang w:val="ru-RU"/>
        </w:rPr>
        <w:t xml:space="preserve"> (C13/119)</w:t>
      </w:r>
    </w:p>
    <w:p w:rsidR="00F96AB4" w:rsidRPr="00C77794" w:rsidRDefault="00F96AB4">
      <w:pPr>
        <w:rPr>
          <w:lang w:val="ru-RU"/>
        </w:rPr>
      </w:pPr>
    </w:p>
    <w:p w:rsidR="00F96AB4" w:rsidRPr="00C7779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77794">
        <w:rPr>
          <w:lang w:val="ru-RU"/>
        </w:rPr>
        <w:br w:type="page"/>
      </w:r>
    </w:p>
    <w:p w:rsidR="00587BD1" w:rsidRPr="00C77794" w:rsidRDefault="00587BD1" w:rsidP="00587BD1">
      <w:pPr>
        <w:pStyle w:val="AnnexNo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lastRenderedPageBreak/>
        <w:t>ПРИЛОЖЕНИЕ А</w:t>
      </w:r>
    </w:p>
    <w:p w:rsidR="00587BD1" w:rsidRPr="00C77794" w:rsidRDefault="00587BD1" w:rsidP="00587BD1">
      <w:pPr>
        <w:pStyle w:val="Annextitle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t>ВЫДЕРЖКА из Документа C13/118</w:t>
      </w:r>
    </w:p>
    <w:p w:rsidR="00587BD1" w:rsidRPr="00C77794" w:rsidRDefault="00587BD1" w:rsidP="00587BD1">
      <w:pPr>
        <w:pStyle w:val="Annextitle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t xml:space="preserve">Краткий отчет о седьмом пленарном заседании </w:t>
      </w:r>
      <w:r w:rsidRPr="00C77794">
        <w:rPr>
          <w:rFonts w:eastAsia="SimSun"/>
          <w:lang w:val="ru-RU"/>
        </w:rPr>
        <w:br/>
        <w:t>сессии Совета МСЭ 2013 года</w:t>
      </w:r>
    </w:p>
    <w:p w:rsidR="00587BD1" w:rsidRPr="00C77794" w:rsidRDefault="00587BD1">
      <w:pPr>
        <w:rPr>
          <w:lang w:val="ru-RU"/>
        </w:rPr>
      </w:pPr>
      <w:r w:rsidRPr="00C77794">
        <w:rPr>
          <w:lang w:val="ru-RU"/>
        </w:rPr>
        <w:t>...</w:t>
      </w:r>
    </w:p>
    <w:p w:rsidR="00587BD1" w:rsidRPr="00C77794" w:rsidRDefault="00587BD1" w:rsidP="00587BD1">
      <w:pPr>
        <w:pStyle w:val="Heading1"/>
        <w:rPr>
          <w:snapToGrid w:val="0"/>
          <w:lang w:val="ru-RU"/>
        </w:rPr>
      </w:pPr>
      <w:r w:rsidRPr="00C77794">
        <w:rPr>
          <w:snapToGrid w:val="0"/>
          <w:lang w:val="ru-RU"/>
        </w:rPr>
        <w:t>2</w:t>
      </w:r>
      <w:r w:rsidRPr="00C77794">
        <w:rPr>
          <w:snapToGrid w:val="0"/>
          <w:lang w:val="ru-RU"/>
        </w:rPr>
        <w:tab/>
      </w:r>
      <w:r w:rsidRPr="00C77794">
        <w:rPr>
          <w:rFonts w:cstheme="minorHAnsi"/>
          <w:bCs/>
          <w:lang w:val="ru-RU"/>
        </w:rPr>
        <w:t>Отчет Рабочей группы Совета по стабильному Уставу МСЭ</w:t>
      </w:r>
      <w:r w:rsidRPr="00C77794">
        <w:rPr>
          <w:snapToGrid w:val="0"/>
          <w:lang w:val="ru-RU"/>
        </w:rPr>
        <w:t xml:space="preserve"> (Документы C13/49,</w:t>
      </w:r>
      <w:r w:rsidRPr="00C77794">
        <w:rPr>
          <w:snapToGrid w:val="0"/>
          <w:sz w:val="24"/>
          <w:lang w:val="ru-RU"/>
        </w:rPr>
        <w:t xml:space="preserve"> </w:t>
      </w:r>
      <w:r w:rsidRPr="00C77794">
        <w:rPr>
          <w:snapToGrid w:val="0"/>
          <w:lang w:val="ru-RU"/>
        </w:rPr>
        <w:t>C13/50, C13/52, C13/54, C13/56, C13/83)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2.1</w:t>
      </w:r>
      <w:r w:rsidRPr="00C77794">
        <w:rPr>
          <w:snapToGrid w:val="0"/>
          <w:lang w:val="ru-RU"/>
        </w:rPr>
        <w:tab/>
        <w:t>Председатель Рабочей группы Совета по стабильному Уставу МСЭ представляет Документ </w:t>
      </w:r>
      <w:hyperlink r:id="rId9" w:history="1">
        <w:r w:rsidRPr="00C77794">
          <w:rPr>
            <w:rStyle w:val="Hyperlink"/>
            <w:snapToGrid w:val="0"/>
            <w:lang w:val="ru-RU"/>
          </w:rPr>
          <w:t>C13/49</w:t>
        </w:r>
      </w:hyperlink>
      <w:r w:rsidRPr="00C77794">
        <w:rPr>
          <w:snapToGrid w:val="0"/>
          <w:lang w:val="ru-RU"/>
        </w:rPr>
        <w:t xml:space="preserve">, в котором содержится заключительный отчет </w:t>
      </w:r>
      <w:r w:rsidRPr="00C77794">
        <w:rPr>
          <w:lang w:val="ru-RU"/>
        </w:rPr>
        <w:t>РГС в соответствии с Резолюцией 163 (Гвадалахара, 2010 г.)</w:t>
      </w:r>
      <w:r w:rsidRPr="00C77794">
        <w:rPr>
          <w:snapToGrid w:val="0"/>
          <w:lang w:val="ru-RU"/>
        </w:rPr>
        <w:t xml:space="preserve">. Она говорит, что в Приложении I к этому документу РГС предлагает </w:t>
      </w:r>
      <w:r w:rsidRPr="00C77794">
        <w:rPr>
          <w:lang w:val="ru-RU"/>
        </w:rPr>
        <w:t>проект стабильного Устава и проект "другого документа/конвенции" (теперь имеет название "Общие положения и правила"</w:t>
      </w:r>
      <w:r w:rsidRPr="00C77794">
        <w:rPr>
          <w:snapToGrid w:val="0"/>
          <w:lang w:val="ru-RU"/>
        </w:rPr>
        <w:t xml:space="preserve">). В Приложении II к этому документу содержатся проекты текстов с логически вытекающими изменениями. РГС доводит также до сведения Совета и Полномочной конференции ряд ключевых вопросов, которые были подняты во время ее обсуждений, однако решение по ним выходит за рамки ее круга ведения. В частности, РГС спрашивает, должен ли стабильный Устав быть новым договором или поправкой к существующему Уставу, и должны ли Общие положения и правила быть сведены в единый документ вместе с </w:t>
      </w:r>
      <w:r w:rsidRPr="00C77794">
        <w:rPr>
          <w:rFonts w:cs="Segoe UI"/>
          <w:color w:val="000000"/>
          <w:lang w:val="ru-RU"/>
        </w:rPr>
        <w:t>Общим регламентом конференций, ассамблей и собраний Союза</w:t>
      </w:r>
      <w:r w:rsidRPr="00C77794">
        <w:rPr>
          <w:snapToGrid w:val="0"/>
          <w:lang w:val="ru-RU"/>
        </w:rPr>
        <w:t>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2.2</w:t>
      </w:r>
      <w:r w:rsidRPr="00C77794">
        <w:rPr>
          <w:snapToGrid w:val="0"/>
          <w:lang w:val="ru-RU"/>
        </w:rPr>
        <w:tab/>
        <w:t xml:space="preserve">Советник от Саудовской Аравии представляет Документ </w:t>
      </w:r>
      <w:hyperlink r:id="rId10" w:history="1">
        <w:r w:rsidRPr="00C77794">
          <w:rPr>
            <w:rStyle w:val="Hyperlink"/>
            <w:snapToGrid w:val="0"/>
            <w:lang w:val="ru-RU"/>
          </w:rPr>
          <w:t>C13/54</w:t>
        </w:r>
      </w:hyperlink>
      <w:r w:rsidRPr="00C77794">
        <w:rPr>
          <w:snapToGrid w:val="0"/>
          <w:lang w:val="ru-RU"/>
        </w:rPr>
        <w:t xml:space="preserve">, содержащий, в частности, предложение о том, чтобы считать </w:t>
      </w:r>
      <w:r w:rsidRPr="00C77794">
        <w:rPr>
          <w:lang w:val="ru-RU"/>
        </w:rPr>
        <w:t>стабильный Устав новым договором, заменяющим нынешние Устав и Конвенцию</w:t>
      </w:r>
      <w:r w:rsidRPr="00C77794">
        <w:rPr>
          <w:snapToGrid w:val="0"/>
          <w:lang w:val="ru-RU"/>
        </w:rPr>
        <w:t xml:space="preserve">, и чтобы был один документ под названием </w:t>
      </w:r>
      <w:r w:rsidRPr="00C77794">
        <w:rPr>
          <w:lang w:val="ru-RU"/>
        </w:rPr>
        <w:t xml:space="preserve">"Общие положения и правила", состоящий из двух частей </w:t>
      </w:r>
      <w:r w:rsidRPr="00C77794">
        <w:rPr>
          <w:rFonts w:eastAsia="SimSun"/>
          <w:lang w:val="ru-RU" w:eastAsia="zh-CN"/>
        </w:rPr>
        <w:t xml:space="preserve">(Часть 1: </w:t>
      </w:r>
      <w:r w:rsidRPr="00C77794">
        <w:rPr>
          <w:lang w:val="ru-RU"/>
        </w:rPr>
        <w:t xml:space="preserve">Общие положения; </w:t>
      </w:r>
      <w:r w:rsidRPr="00C77794">
        <w:rPr>
          <w:rFonts w:eastAsia="SimSun"/>
          <w:lang w:val="ru-RU" w:eastAsia="zh-CN"/>
        </w:rPr>
        <w:t xml:space="preserve">Часть 2: </w:t>
      </w:r>
      <w:r w:rsidRPr="00C77794">
        <w:rPr>
          <w:lang w:val="ru-RU"/>
        </w:rPr>
        <w:t>Общий регламент конференций, ассамблей и собраний Союза</w:t>
      </w:r>
      <w:r w:rsidRPr="00C77794">
        <w:rPr>
          <w:snapToGrid w:val="0"/>
          <w:lang w:val="ru-RU"/>
        </w:rPr>
        <w:t xml:space="preserve">), который должен </w:t>
      </w:r>
      <w:r w:rsidRPr="00C77794">
        <w:rPr>
          <w:lang w:val="ru-RU"/>
        </w:rPr>
        <w:t>иметь обязательную силу для Государств</w:t>
      </w:r>
      <w:r w:rsidRPr="00C77794">
        <w:rPr>
          <w:lang w:val="ru-RU"/>
        </w:rPr>
        <w:noBreakHyphen/>
        <w:t>Членов</w:t>
      </w:r>
      <w:r w:rsidRPr="00C77794">
        <w:rPr>
          <w:snapToGrid w:val="0"/>
          <w:lang w:val="ru-RU"/>
        </w:rPr>
        <w:t xml:space="preserve">. Далее он предлагает, чтобы стабильный Устав </w:t>
      </w:r>
      <w:r w:rsidRPr="00C77794">
        <w:rPr>
          <w:lang w:val="ru-RU"/>
        </w:rPr>
        <w:t>устанавливал иерархию между стабильным Уставом, Общими положениями и правилами, Регламентом радиосвязи и РМЭ</w:t>
      </w:r>
      <w:r w:rsidRPr="00C77794">
        <w:rPr>
          <w:snapToGrid w:val="0"/>
          <w:lang w:val="ru-RU"/>
        </w:rPr>
        <w:t>.</w:t>
      </w:r>
    </w:p>
    <w:p w:rsidR="00587BD1" w:rsidRPr="00C77794" w:rsidRDefault="00587BD1" w:rsidP="00587BD1">
      <w:pPr>
        <w:rPr>
          <w:rFonts w:cstheme="minorBidi"/>
          <w:snapToGrid w:val="0"/>
          <w:lang w:val="ru-RU"/>
        </w:rPr>
      </w:pPr>
      <w:r w:rsidRPr="00C77794">
        <w:rPr>
          <w:rFonts w:cstheme="minorBidi"/>
          <w:snapToGrid w:val="0"/>
          <w:lang w:val="ru-RU"/>
        </w:rPr>
        <w:t>2.3</w:t>
      </w:r>
      <w:r w:rsidRPr="00C77794">
        <w:rPr>
          <w:rFonts w:cstheme="minorBidi"/>
          <w:snapToGrid w:val="0"/>
          <w:lang w:val="ru-RU"/>
        </w:rPr>
        <w:tab/>
        <w:t xml:space="preserve">Советник от </w:t>
      </w:r>
      <w:r w:rsidRPr="00C77794">
        <w:rPr>
          <w:rFonts w:cs="Segoe UI"/>
          <w:color w:val="000000"/>
          <w:lang w:val="ru-RU"/>
        </w:rPr>
        <w:t xml:space="preserve">Российской Федерации </w:t>
      </w:r>
      <w:r w:rsidRPr="00C77794">
        <w:rPr>
          <w:rFonts w:cstheme="minorBidi"/>
          <w:snapToGrid w:val="0"/>
          <w:lang w:val="ru-RU"/>
        </w:rPr>
        <w:t xml:space="preserve">представляет Документ </w:t>
      </w:r>
      <w:hyperlink r:id="rId11" w:history="1">
        <w:r w:rsidRPr="00C77794">
          <w:rPr>
            <w:rStyle w:val="Hyperlink"/>
            <w:rFonts w:cstheme="minorBidi"/>
            <w:snapToGrid w:val="0"/>
            <w:lang w:val="ru-RU"/>
          </w:rPr>
          <w:t>C13/56</w:t>
        </w:r>
      </w:hyperlink>
      <w:r w:rsidRPr="00C77794">
        <w:rPr>
          <w:rFonts w:cstheme="minorBidi"/>
          <w:snapToGrid w:val="0"/>
          <w:lang w:val="ru-RU"/>
        </w:rPr>
        <w:t xml:space="preserve">, содержащий предложение о том, чтобы </w:t>
      </w:r>
      <w:r w:rsidRPr="00C77794">
        <w:rPr>
          <w:lang w:val="ru-RU"/>
        </w:rPr>
        <w:t>стабильный Устав был новым договором, который после вступления в силу полностью отменил бы и заменил нынешние Устав и Конвенцию</w:t>
      </w:r>
      <w:r w:rsidRPr="00C77794">
        <w:rPr>
          <w:rFonts w:cstheme="minorBidi"/>
          <w:snapToGrid w:val="0"/>
          <w:lang w:val="ru-RU"/>
        </w:rPr>
        <w:t>. Другие предложения касаются и</w:t>
      </w:r>
      <w:r w:rsidRPr="00C77794">
        <w:rPr>
          <w:lang w:val="ru-RU"/>
        </w:rPr>
        <w:t>ерархии обязательных документов Союза и процедуры пересмотра Устава</w:t>
      </w:r>
      <w:r w:rsidRPr="00C77794">
        <w:rPr>
          <w:rFonts w:cstheme="minorBidi"/>
          <w:snapToGrid w:val="0"/>
          <w:lang w:val="ru-RU"/>
        </w:rPr>
        <w:t xml:space="preserve">. Поддерживая название "другой документ/конвенция", предложенное РГС, он говорит, что </w:t>
      </w:r>
      <w:r w:rsidRPr="00C77794">
        <w:rPr>
          <w:lang w:val="ru-RU"/>
        </w:rPr>
        <w:t>после принятия стабильного Устава Общие положения и правила должны приобрести такой же статус, что и Общий регламент конференций, ассамблей и собраний Союза, и больше не требовать ратификации Государствами</w:t>
      </w:r>
      <w:r w:rsidRPr="00C77794">
        <w:rPr>
          <w:lang w:val="ru-RU"/>
        </w:rPr>
        <w:noBreakHyphen/>
        <w:t>Членами</w:t>
      </w:r>
      <w:r w:rsidRPr="00C77794">
        <w:rPr>
          <w:rFonts w:cstheme="minorBidi"/>
          <w:snapToGrid w:val="0"/>
          <w:lang w:val="ru-RU"/>
        </w:rPr>
        <w:t xml:space="preserve">. </w:t>
      </w:r>
      <w:r w:rsidRPr="00C77794">
        <w:rPr>
          <w:rFonts w:cs="Segoe UI"/>
          <w:color w:val="000000"/>
          <w:lang w:val="ru-RU"/>
        </w:rPr>
        <w:t>Что касается дальнейших действий, то</w:t>
      </w:r>
      <w:r w:rsidRPr="00C77794">
        <w:rPr>
          <w:rFonts w:cstheme="minorBidi"/>
          <w:snapToGrid w:val="0"/>
          <w:lang w:val="ru-RU"/>
        </w:rPr>
        <w:t xml:space="preserve"> он предлагает, чтобы Совет рекомендовал считать текст, содержащийся в Приложении II к Документу C13/49, в качестве основы для рассмотрения на ПК-14, и чтобы Государства-Члены основывали на этом тексте свои вклады для ПК-14.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2.4</w:t>
      </w:r>
      <w:r w:rsidRPr="00C77794">
        <w:rPr>
          <w:snapToGrid w:val="0"/>
          <w:lang w:val="ru-RU"/>
        </w:rPr>
        <w:tab/>
        <w:t xml:space="preserve">Советник от Объединенных Арабских Эмиратов представляет Документ </w:t>
      </w:r>
      <w:hyperlink r:id="rId12" w:history="1">
        <w:r w:rsidRPr="00C77794">
          <w:rPr>
            <w:rStyle w:val="Hyperlink"/>
            <w:snapToGrid w:val="0"/>
            <w:lang w:val="ru-RU"/>
          </w:rPr>
          <w:t>C13/83</w:t>
        </w:r>
      </w:hyperlink>
      <w:r w:rsidRPr="00C77794">
        <w:rPr>
          <w:snapToGrid w:val="0"/>
          <w:lang w:val="ru-RU"/>
        </w:rPr>
        <w:t xml:space="preserve">, отметив тот факт, что принятие решений по основным вопросам, определенным РГС, – </w:t>
      </w:r>
      <w:r w:rsidRPr="00C77794">
        <w:rPr>
          <w:lang w:val="ru-RU"/>
        </w:rPr>
        <w:t>от иерархии документов Союза до процедур внесения поправок,</w:t>
      </w:r>
      <w:r w:rsidRPr="00C77794">
        <w:rPr>
          <w:snapToGrid w:val="0"/>
          <w:lang w:val="ru-RU"/>
        </w:rPr>
        <w:t xml:space="preserve"> – относится к прерогативе ПК-14. Он </w:t>
      </w:r>
      <w:r w:rsidRPr="00C77794">
        <w:rPr>
          <w:lang w:val="ru-RU"/>
        </w:rPr>
        <w:t>предлагает проанализировать соответствующие положения Статьи 55 Устава с тем чтобы упростить, насколько это возможно, для Государств-Членов затруднительный процесс, связанный с получением их согласия считать себя связанными поправками, и, как с этим в принципе согласилась РГС, обеспечить относительную стабильность на восьмилетний период</w:t>
      </w:r>
      <w:r w:rsidRPr="00C77794">
        <w:rPr>
          <w:snapToGrid w:val="0"/>
          <w:lang w:val="ru-RU"/>
        </w:rPr>
        <w:t>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2.5</w:t>
      </w:r>
      <w:r w:rsidRPr="00C77794">
        <w:rPr>
          <w:snapToGrid w:val="0"/>
          <w:lang w:val="ru-RU"/>
        </w:rPr>
        <w:tab/>
        <w:t xml:space="preserve">Советник от Филиппин, выступая от имени наблюдателя от Исламской Республики Иран, представляет Документ </w:t>
      </w:r>
      <w:hyperlink r:id="rId13" w:history="1">
        <w:r w:rsidRPr="00C77794">
          <w:rPr>
            <w:rStyle w:val="Hyperlink"/>
            <w:snapToGrid w:val="0"/>
            <w:lang w:val="ru-RU"/>
          </w:rPr>
          <w:t>C13/50</w:t>
        </w:r>
      </w:hyperlink>
      <w:r w:rsidRPr="00C77794">
        <w:rPr>
          <w:snapToGrid w:val="0"/>
          <w:lang w:val="ru-RU"/>
        </w:rPr>
        <w:t xml:space="preserve">, в котором отмечаются слабые стороны в применении РГС ее круга </w:t>
      </w:r>
      <w:r w:rsidRPr="00C77794">
        <w:rPr>
          <w:snapToGrid w:val="0"/>
          <w:lang w:val="ru-RU"/>
        </w:rPr>
        <w:lastRenderedPageBreak/>
        <w:t xml:space="preserve">ведения. Другие замечания касаются статуса названия второго документа, а также вопроса о том, должен ли стабильный Устав быть новым или текстом с поправками. Исламская Республика Иран считает, что только проект стабильного Устава должен </w:t>
      </w:r>
      <w:r w:rsidRPr="00C77794">
        <w:rPr>
          <w:rFonts w:cs="Segoe UI"/>
          <w:color w:val="000000"/>
          <w:lang w:val="ru-RU"/>
        </w:rPr>
        <w:t>подлежать ратификации, принятию, утверждению или присоединению</w:t>
      </w:r>
      <w:r w:rsidRPr="00C77794">
        <w:rPr>
          <w:snapToGrid w:val="0"/>
          <w:lang w:val="ru-RU"/>
        </w:rPr>
        <w:t>.</w:t>
      </w:r>
    </w:p>
    <w:p w:rsidR="00587BD1" w:rsidRPr="00C77794" w:rsidRDefault="00587BD1" w:rsidP="00587BD1">
      <w:pPr>
        <w:rPr>
          <w:rFonts w:cstheme="minorBidi"/>
          <w:snapToGrid w:val="0"/>
          <w:lang w:val="ru-RU"/>
        </w:rPr>
      </w:pPr>
      <w:r w:rsidRPr="00C77794">
        <w:rPr>
          <w:rFonts w:cstheme="minorBidi"/>
          <w:snapToGrid w:val="0"/>
          <w:lang w:val="ru-RU"/>
        </w:rPr>
        <w:t>2.6</w:t>
      </w:r>
      <w:r w:rsidRPr="00C77794">
        <w:rPr>
          <w:rFonts w:cstheme="minorBidi"/>
          <w:snapToGrid w:val="0"/>
          <w:lang w:val="ru-RU"/>
        </w:rPr>
        <w:tab/>
      </w:r>
      <w:r w:rsidRPr="00C77794">
        <w:rPr>
          <w:rFonts w:cs="Segoe UI"/>
          <w:color w:val="000000"/>
          <w:lang w:val="ru-RU"/>
        </w:rPr>
        <w:t>Советник по правовым вопросам</w:t>
      </w:r>
      <w:r w:rsidRPr="00C77794">
        <w:rPr>
          <w:rFonts w:cstheme="minorBidi"/>
          <w:snapToGrid w:val="0"/>
          <w:lang w:val="ru-RU"/>
        </w:rPr>
        <w:t xml:space="preserve"> представляет Документ </w:t>
      </w:r>
      <w:hyperlink r:id="rId14" w:history="1">
        <w:r w:rsidRPr="00C77794">
          <w:rPr>
            <w:rStyle w:val="Hyperlink"/>
            <w:rFonts w:cstheme="minorBidi"/>
            <w:snapToGrid w:val="0"/>
            <w:lang w:val="ru-RU"/>
          </w:rPr>
          <w:t>C13/52</w:t>
        </w:r>
      </w:hyperlink>
      <w:r w:rsidRPr="00C77794">
        <w:rPr>
          <w:rFonts w:cstheme="minorBidi"/>
          <w:snapToGrid w:val="0"/>
          <w:lang w:val="ru-RU"/>
        </w:rPr>
        <w:t xml:space="preserve">, в котором представлены результаты исследования </w:t>
      </w:r>
      <w:r w:rsidRPr="00C77794">
        <w:rPr>
          <w:lang w:val="ru-RU"/>
        </w:rPr>
        <w:t>механизмов Организации Объединенных Наций и других межправительственных организаций, касающихся вступления в силу поправок к их основополагающим документам</w:t>
      </w:r>
      <w:r w:rsidRPr="00C77794">
        <w:rPr>
          <w:rFonts w:cstheme="minorBidi"/>
          <w:snapToGrid w:val="0"/>
          <w:lang w:val="ru-RU"/>
        </w:rPr>
        <w:t xml:space="preserve">. Совету </w:t>
      </w:r>
      <w:r w:rsidRPr="00C77794">
        <w:rPr>
          <w:lang w:val="ru-RU"/>
        </w:rPr>
        <w:t>предлагается принять к сведению этот документ и распространить его среди Государств-Членов, чтобы помочь им, в случае необходимости, при подготовке к ПК-14</w:t>
      </w:r>
      <w:r w:rsidRPr="00C77794">
        <w:rPr>
          <w:rFonts w:cstheme="minorBidi"/>
          <w:snapToGrid w:val="0"/>
          <w:lang w:val="ru-RU"/>
        </w:rPr>
        <w:t>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2.7</w:t>
      </w:r>
      <w:r w:rsidRPr="00C77794">
        <w:rPr>
          <w:snapToGrid w:val="0"/>
          <w:lang w:val="ru-RU"/>
        </w:rPr>
        <w:tab/>
        <w:t>Председатель открывает общую дискуссию по документам, которые были представлены.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2.8</w:t>
      </w:r>
      <w:r w:rsidRPr="00C77794">
        <w:rPr>
          <w:snapToGrid w:val="0"/>
          <w:lang w:val="ru-RU"/>
        </w:rPr>
        <w:tab/>
        <w:t>Советник от Турции, выступая в качестве заместителя Председателя РГС, говорит, что сравнение о</w:t>
      </w:r>
      <w:r w:rsidRPr="00C77794">
        <w:rPr>
          <w:rFonts w:cs="TimesNewRomanPSMT"/>
          <w:szCs w:val="24"/>
          <w:lang w:val="ru-RU" w:eastAsia="zh-CN"/>
        </w:rPr>
        <w:t>сновных текстов документов</w:t>
      </w:r>
      <w:r w:rsidRPr="00C77794">
        <w:rPr>
          <w:snapToGrid w:val="0"/>
          <w:lang w:val="ru-RU"/>
        </w:rPr>
        <w:t xml:space="preserve"> целого ряда </w:t>
      </w:r>
      <w:r w:rsidRPr="00C77794">
        <w:rPr>
          <w:szCs w:val="24"/>
          <w:lang w:val="ru-RU"/>
        </w:rPr>
        <w:t>межправительственных организаций</w:t>
      </w:r>
      <w:r w:rsidRPr="00C77794">
        <w:rPr>
          <w:snapToGrid w:val="0"/>
          <w:lang w:val="ru-RU"/>
        </w:rPr>
        <w:t xml:space="preserve"> показало, что МСЭ в своем роде уникален, поскольку имеет также РМЭ и Регламент радиосвязи. Кроме того, МСЭ относится к меньшинству, имея о</w:t>
      </w:r>
      <w:r w:rsidRPr="00C77794">
        <w:rPr>
          <w:rFonts w:cs="TimesNewRomanPSMT"/>
          <w:szCs w:val="24"/>
          <w:lang w:val="ru-RU" w:eastAsia="zh-CN"/>
        </w:rPr>
        <w:t>сновные тексты документов,</w:t>
      </w:r>
      <w:r w:rsidRPr="00C77794">
        <w:rPr>
          <w:snapToGrid w:val="0"/>
          <w:lang w:val="ru-RU"/>
        </w:rPr>
        <w:t xml:space="preserve"> в которых затрагиваются такие вопросы, как определения, использование языков и обязанности Генерального секретаря.</w:t>
      </w:r>
    </w:p>
    <w:p w:rsidR="00587BD1" w:rsidRPr="00C77794" w:rsidRDefault="00587BD1" w:rsidP="00587BD1">
      <w:pPr>
        <w:rPr>
          <w:snapToGrid w:val="0"/>
          <w:lang w:val="ru-RU"/>
        </w:rPr>
      </w:pPr>
      <w:r w:rsidRPr="00C77794">
        <w:rPr>
          <w:snapToGrid w:val="0"/>
          <w:lang w:val="ru-RU"/>
        </w:rPr>
        <w:t>2.9</w:t>
      </w:r>
      <w:r w:rsidRPr="00C77794">
        <w:rPr>
          <w:snapToGrid w:val="0"/>
          <w:lang w:val="ru-RU"/>
        </w:rPr>
        <w:tab/>
        <w:t>Советник от Руанды поддерживает предложения, внесенные Саудовской Аравией.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snapToGrid w:val="0"/>
          <w:lang w:val="ru-RU"/>
        </w:rPr>
        <w:t>2.10</w:t>
      </w:r>
      <w:r w:rsidRPr="00C77794">
        <w:rPr>
          <w:snapToGrid w:val="0"/>
          <w:lang w:val="ru-RU"/>
        </w:rPr>
        <w:tab/>
        <w:t>Председатель говорит, что обсуждение документов будет продолжено на следующем пленарном заседании</w:t>
      </w:r>
      <w:r w:rsidRPr="00C77794">
        <w:rPr>
          <w:lang w:val="ru-RU"/>
        </w:rPr>
        <w:t>.</w:t>
      </w:r>
    </w:p>
    <w:p w:rsidR="00587BD1" w:rsidRPr="00C77794" w:rsidRDefault="00587BD1" w:rsidP="00587BD1">
      <w:pPr>
        <w:rPr>
          <w:rFonts w:cstheme="minorHAnsi"/>
          <w:szCs w:val="24"/>
          <w:lang w:val="ru-RU"/>
        </w:rPr>
      </w:pPr>
      <w:r w:rsidRPr="00C77794">
        <w:rPr>
          <w:lang w:val="ru-RU"/>
        </w:rPr>
        <w:t>...</w:t>
      </w:r>
    </w:p>
    <w:p w:rsidR="00587BD1" w:rsidRPr="00C77794" w:rsidRDefault="00587B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77794">
        <w:rPr>
          <w:lang w:val="ru-RU"/>
        </w:rPr>
        <w:br w:type="page"/>
      </w:r>
    </w:p>
    <w:p w:rsidR="00587BD1" w:rsidRPr="00C77794" w:rsidRDefault="00587BD1" w:rsidP="00587BD1">
      <w:pPr>
        <w:pStyle w:val="AnnexNo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lastRenderedPageBreak/>
        <w:t>ПРИЛОЖЕНИЕ B</w:t>
      </w:r>
    </w:p>
    <w:p w:rsidR="00587BD1" w:rsidRPr="00C77794" w:rsidRDefault="00587BD1" w:rsidP="00587BD1">
      <w:pPr>
        <w:pStyle w:val="Annextitle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t>ВЫДЕРЖКА из Документа C13/119</w:t>
      </w:r>
    </w:p>
    <w:p w:rsidR="00587BD1" w:rsidRPr="00C77794" w:rsidRDefault="00587BD1" w:rsidP="00587BD1">
      <w:pPr>
        <w:pStyle w:val="Annextitle"/>
        <w:rPr>
          <w:rFonts w:eastAsia="SimSun"/>
          <w:lang w:val="ru-RU"/>
        </w:rPr>
      </w:pPr>
      <w:r w:rsidRPr="00C77794">
        <w:rPr>
          <w:rFonts w:eastAsia="SimSun"/>
          <w:lang w:val="ru-RU"/>
        </w:rPr>
        <w:t xml:space="preserve">Краткий отчет о восьмом пленарном заседании </w:t>
      </w:r>
      <w:r w:rsidRPr="00C77794">
        <w:rPr>
          <w:rFonts w:eastAsia="SimSun"/>
          <w:lang w:val="ru-RU"/>
        </w:rPr>
        <w:br/>
        <w:t>сессии Совета МСЭ 2013 года</w:t>
      </w:r>
    </w:p>
    <w:p w:rsidR="00587BD1" w:rsidRPr="00C77794" w:rsidRDefault="00587BD1" w:rsidP="00587BD1">
      <w:pPr>
        <w:pStyle w:val="Heading1"/>
        <w:rPr>
          <w:lang w:val="ru-RU"/>
        </w:rPr>
      </w:pPr>
      <w:r w:rsidRPr="00C77794">
        <w:rPr>
          <w:lang w:val="ru-RU"/>
        </w:rPr>
        <w:t>1</w:t>
      </w:r>
      <w:r w:rsidRPr="00C77794">
        <w:rPr>
          <w:lang w:val="ru-RU"/>
        </w:rPr>
        <w:tab/>
        <w:t xml:space="preserve">Отчет Рабочей группы Совета по стабильному Уставу МСЭ (продолжение) (Документы </w:t>
      </w:r>
      <w:r w:rsidRPr="00C77794">
        <w:rPr>
          <w:bCs/>
          <w:lang w:val="ru-RU"/>
        </w:rPr>
        <w:t>C13/49, C13/50, C13/52, C13/54, C13/56, C13/83</w:t>
      </w:r>
      <w:r w:rsidRPr="00C77794">
        <w:rPr>
          <w:lang w:val="ru-RU"/>
        </w:rPr>
        <w:t>)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</w:t>
      </w:r>
      <w:r w:rsidRPr="00C77794">
        <w:rPr>
          <w:lang w:val="ru-RU"/>
        </w:rPr>
        <w:tab/>
        <w:t>Председатель предлагает Совету продолжить рассмотрение отчета РГС и относящихся к нему предложений.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1.2</w:t>
      </w:r>
      <w:r w:rsidRPr="00C77794">
        <w:rPr>
          <w:lang w:val="ru-RU"/>
        </w:rPr>
        <w:tab/>
        <w:t xml:space="preserve">Один из Советников говорит, что проект стабильного Устава, в случае его вступления в силу, следует считать новым договором, а не вариантом существующего текста, в который внесены поправки. Это связано с тем, что в соответствии с законодательством о договорах, поправки ограничиваются частями текста, в то время как пересмотр является повторным рассмотрением всего текста. Кроме того, в Резолюции 163 (Гвадалахара, 2010 г.) не упоминался бы стабильный Устав, если бы в намерения Государств-Членов входила подготовка поправок. Наконец, поправки к Уставу не могут быть независимым документом, в то время как проект стабильного Устава может им быть. 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1.3</w:t>
      </w:r>
      <w:r w:rsidRPr="00C77794">
        <w:rPr>
          <w:lang w:val="ru-RU"/>
        </w:rPr>
        <w:tab/>
        <w:t>Ссылаясь на п. 216 Устава, двое Советников интересуются, будет ли, в случае вступления Устава в силу, ратификация каким-либо Государством-Членом автоматически подразумевать, что им ратифицируется и РМЭ 2012 года. Один из Советников считает, что не будет, с учетом того, что положения, подобные п. 216, должны толковаться контекстуально и что п. 216 должен рассматриваться в контексте Устава 1992 года, а не проекта стабильного Устава. Однако если переместить п. 216 в проект стабильного Устава и если не сузить сферу его применения, то ратификация проекта стабильного Устава будет подразумевать ратификацию РМЭ 2012 года.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1.4</w:t>
      </w:r>
      <w:r w:rsidRPr="00C77794">
        <w:rPr>
          <w:lang w:val="ru-RU"/>
        </w:rPr>
        <w:tab/>
        <w:t>Один из Советников говорит, что во избежание путаницы должно быть два документа: Устав и Общие положения и правила. Для организации работы до и после вступления в силу этих документов будет существовать переходный период, во время которого потребуется согласовать существующие тексты, чтобы учесть новую нумерацию. С учетом важности этого вопроса все соответствующие документы следует предоставить всем Государствам-Членам, имея в виду ПК-14.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1.5</w:t>
      </w:r>
      <w:r w:rsidRPr="00C77794">
        <w:rPr>
          <w:lang w:val="ru-RU"/>
        </w:rPr>
        <w:tab/>
        <w:t>Один из Советников говорит, что придание Общим положениям и правилам характера обязательного, но не подлежащего ратификации государствами документа представляется нарушением государственного суверенитета и потребует дополнительного рассмотрения.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1.6</w:t>
      </w:r>
      <w:r w:rsidRPr="00C77794">
        <w:rPr>
          <w:lang w:val="ru-RU"/>
        </w:rPr>
        <w:tab/>
        <w:t xml:space="preserve">Другой Советник говорит, что если проект стабильного Устава считается новым договором, то потребуется дополнительная проработка и время, прежде чем он может быть принят на полномочной конференции. Оратор не видит преимуществ в принятии нового устава по сравнению с внесением поправок в существующий текст. Если второй документ является обязательным для Государств-Членов, то он должен будет подлежать ратификации и, следовательно, не будет соответствовать назначению Резолюции 163 (Гвадалахара, 2010 г.), а именно: уменьшению нагрузки на Государства-Члены. Оратор отмечает, что, по словам Советника МСЭ по правовым вопросам, второму документу можно придать обязательный характер в рамках МСЭ через положения Устава, однако для этого потребуется положение, устанавливающее его статус по образу Статьи 32 существующего Устава. Совету следует не просто передать ПК-14 отчет РГС, но и обратить внимание Государств-Членов на ряд нерешенных вопросов. 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1.7</w:t>
      </w:r>
      <w:r w:rsidRPr="00C77794">
        <w:rPr>
          <w:lang w:val="ru-RU"/>
        </w:rPr>
        <w:tab/>
        <w:t xml:space="preserve">Один из Советников отмечает, что РГС совершенно правильно не предложила никаких существенных изменений. Вместе с тем Совет должен быть в состоянии выдвинуть предложения на основе работы Группы. Важно обеспечить, чтобы Общие положения и правила носили обязательный </w:t>
      </w:r>
      <w:r w:rsidRPr="00C77794">
        <w:rPr>
          <w:lang w:val="ru-RU"/>
        </w:rPr>
        <w:lastRenderedPageBreak/>
        <w:t>характер для Государств-Членов, и чтобы только полномочная конференция могла вносить в них поправки. Кроме того, в новый Устав следует включить определенные стабильные финансовые положения.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1.8</w:t>
      </w:r>
      <w:r w:rsidRPr="00C77794">
        <w:rPr>
          <w:lang w:val="ru-RU"/>
        </w:rPr>
        <w:tab/>
        <w:t xml:space="preserve">Один из Советников, ссылаясь на Документ </w:t>
      </w:r>
      <w:hyperlink r:id="rId15" w:history="1">
        <w:r w:rsidRPr="00C77794">
          <w:rPr>
            <w:rStyle w:val="Hyperlink"/>
            <w:lang w:val="ru-RU"/>
          </w:rPr>
          <w:t>C13/52</w:t>
        </w:r>
      </w:hyperlink>
      <w:r w:rsidRPr="00C77794">
        <w:rPr>
          <w:lang w:val="ru-RU"/>
        </w:rPr>
        <w:t>, просит представить дополнительную информацию о том, как организации системы Организации Объединенных Наций пересматривают свои основополагающие документы. Оратор и другие Советники считают, что стабильного Устава можно добиться внесением на ПК-14 поправок в Статью 55 существующего Устава.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1.9</w:t>
      </w:r>
      <w:r w:rsidRPr="00C77794">
        <w:rPr>
          <w:lang w:val="ru-RU"/>
        </w:rPr>
        <w:tab/>
        <w:t>Двое Советников поддерживают предложение о созыве внеочередной полномочной конференции по Уставу, при этом один из них соглашается, что Государствам-Членам потребуется не менее восьми месяцев для рассмотрения документа, который должен стать новым договором.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1.10</w:t>
      </w:r>
      <w:r w:rsidRPr="00C77794">
        <w:rPr>
          <w:lang w:val="ru-RU"/>
        </w:rPr>
        <w:tab/>
        <w:t xml:space="preserve">Еще один Советник отмечает, что, как ожидалось, по результатам работы РГС должны были быть подготовлены устав с меньшим количеством статей и содержащая правила процедуры конвенция, которая, несмотря на свой обязательный характер, не потребует ратификации. Предложения, изложенные в Документе </w:t>
      </w:r>
      <w:hyperlink r:id="rId16" w:history="1">
        <w:r w:rsidRPr="00C77794">
          <w:rPr>
            <w:rStyle w:val="Hyperlink"/>
            <w:lang w:val="ru-RU"/>
          </w:rPr>
          <w:t>C13/49</w:t>
        </w:r>
      </w:hyperlink>
      <w:r w:rsidRPr="00C77794">
        <w:rPr>
          <w:lang w:val="ru-RU"/>
        </w:rPr>
        <w:t>, потребуют ратификации парламентом страны оратора. Он сомневается в возможности использования Приложения 2 в качестве основы для будущей работы, поскольку оно не отражает стремления к более простому документу с более высокой степенью стабильности. Оратор и еще один Советник предлагают, чтобы Документ C13/49 был принят к сведению Советом и представлен на рассмотрение ПК-14. Вместе с несколькими другими Советниками они предлагают возобновить мандат РГС и пересмотреть ее круг ведения.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1.11</w:t>
      </w:r>
      <w:r w:rsidRPr="00C77794">
        <w:rPr>
          <w:lang w:val="ru-RU"/>
        </w:rPr>
        <w:tab/>
        <w:t>Один из Советников отмечает отсутствие критериев для определения того, какие положения являются фундаментальными и стабильными по своему характеру. Он полагает, что следует включить положения, касающиеся финансового бремени и обязательств Государств-Членов, и что они подлежат ратификации. Если новые Общие положения и правила будут носить обязательный характер, то потребуется предоставить Государствам-Членам возможность делать к ним оговорки, как это предусмотрено в настоящее время в Статье 32B Конвенции. Оратор полагает, что вместо придания Общим положениям и правилам обязательного характера их следует просто "применять к" Государствам-Членам.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1.12</w:t>
      </w:r>
      <w:r w:rsidRPr="00C77794">
        <w:rPr>
          <w:lang w:val="ru-RU"/>
        </w:rPr>
        <w:tab/>
        <w:t>Двое Советников говорят, что Совет 2013 года не имеет возможности обсудить и решить многие важные вопросы, которые еще не решены; вместо этого ему следует принять решение о том, делать ли или не делать замечания по Документу C13/49, и если делать, то определить характер этих замечаний. Несколько Советников выражают сомнение в том, что Государства-Члены смогут достичь всеобщего консенсуса на ПК-14 с учетом общего числа участников и ограничений по времени и ресурсам. Можно было бы рассмотреть другие подходы, например пересмотр положений, касающихся вступления в силу поправок к Уставу и Конвенции.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1.13</w:t>
      </w:r>
      <w:r w:rsidRPr="00C77794">
        <w:rPr>
          <w:lang w:val="ru-RU"/>
        </w:rPr>
        <w:tab/>
        <w:t>Один из Советников говорит, что окончательным результатом должны стать поправки к существующему Уставу, а не новый договор. Ряд положений, которые можно было бы перенести во второй документ (например, положения, касающиеся финансовых вопросов, в частности единицы взносов), в действительности имеет большое значение для Государств-Членов, и поэтому их следует оставить в основополагающем документе. Вниманию ПК-14 следует представить только существующие документы, однако в обсуждении должны принять участие все Государства-Члены, и, следовательно, им необходимо своевременно получить документы на рабочих языках.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1.14</w:t>
      </w:r>
      <w:r w:rsidRPr="00C77794">
        <w:rPr>
          <w:lang w:val="ru-RU"/>
        </w:rPr>
        <w:tab/>
        <w:t>Один из Советников говорит, что проект Стабильного устава потребует ратификации его страной, независимо от того, будет ли он считаться новым договором или же вариантом существующего текста с внесенными поправками. Еще один Советник отмечает, что в некоторых странах легче добиться ратификации поправок, чем нового договора.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1.15</w:t>
      </w:r>
      <w:r w:rsidRPr="00C77794">
        <w:rPr>
          <w:lang w:val="ru-RU"/>
        </w:rPr>
        <w:tab/>
        <w:t xml:space="preserve">Один из Советников отмечает, что РГС не изменила никаких положений, а просто перегруппировала существующие положения, которые хорошо известны Государствам-Членам. Нерешенные вопросы не относятся к компетенции РГС, и решить их не представляет труда. Совету </w:t>
      </w:r>
      <w:r w:rsidRPr="00C77794">
        <w:rPr>
          <w:lang w:val="ru-RU"/>
        </w:rPr>
        <w:lastRenderedPageBreak/>
        <w:t>стоит не просто принять к сведению Документ C13/49; ему следует представить свои соображения на рассмотрение ПК-14. В связи с тем, что Совет открыт для всех Государств-Членов, нельзя утверждать, что его вклад носит ограниченный характер.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1.16</w:t>
      </w:r>
      <w:r w:rsidRPr="00C77794">
        <w:rPr>
          <w:lang w:val="ru-RU"/>
        </w:rPr>
        <w:tab/>
        <w:t>Один из Советников говорит, что с учетом вопросов, о которых идет речь, можно понять проявленный осторожный подход. При этом РГС исчерпала свой круг ведения согласно Резолюции 163 (Гвадалахара, 2010 г.), в соответствии с которой действия Совета ограничены рассмотрением заключительного отчета Группы и внесением любых замечаний, которые будут сочтены уместными, прежде чем передать этот отчет ПК-14. Если Совет пожелает сделать рекомендации, то ему следует представить их ПК-14 в направляемом отчете; далее ПК-14 может надлежащим образом внести поправки в Резолюцию 163.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1.17</w:t>
      </w:r>
      <w:r w:rsidRPr="00C77794">
        <w:rPr>
          <w:lang w:val="ru-RU"/>
        </w:rPr>
        <w:tab/>
        <w:t xml:space="preserve">Председатель РГС по стабильному Уставу МСЭ говорит, что отчет ее Группы вместе с кратким обзором замечаний Советников предоставит ПК-14 полезную основу для обсуждения. </w:t>
      </w:r>
    </w:p>
    <w:p w:rsidR="00587BD1" w:rsidRPr="00C77794" w:rsidRDefault="00587BD1" w:rsidP="00587BD1">
      <w:pPr>
        <w:rPr>
          <w:lang w:val="ru-RU"/>
        </w:rPr>
      </w:pPr>
      <w:r w:rsidRPr="00C77794">
        <w:rPr>
          <w:lang w:val="ru-RU"/>
        </w:rPr>
        <w:t>1.18</w:t>
      </w:r>
      <w:r w:rsidRPr="00C77794">
        <w:rPr>
          <w:lang w:val="ru-RU"/>
        </w:rPr>
        <w:tab/>
        <w:t xml:space="preserve">Совет </w:t>
      </w:r>
      <w:r w:rsidRPr="00C77794">
        <w:rPr>
          <w:b/>
          <w:lang w:val="ru-RU"/>
        </w:rPr>
        <w:t>принимает решение</w:t>
      </w:r>
      <w:r w:rsidRPr="00C77794">
        <w:rPr>
          <w:lang w:val="ru-RU"/>
        </w:rPr>
        <w:t>, что в рамках подготовки к ПК-14 Документ C13/49 вместе с протоколом данного обсуждения следует направить всем Государствам-Членам и Членам Секторов и что Документ C13/52 следует направить всем Государствам-Членам.</w:t>
      </w:r>
    </w:p>
    <w:p w:rsidR="00587BD1" w:rsidRPr="00C77794" w:rsidRDefault="00587BD1" w:rsidP="005918C7">
      <w:pPr>
        <w:spacing w:before="720"/>
        <w:jc w:val="center"/>
        <w:rPr>
          <w:lang w:val="ru-RU"/>
        </w:rPr>
      </w:pPr>
      <w:r w:rsidRPr="00C77794">
        <w:rPr>
          <w:lang w:val="ru-RU"/>
        </w:rPr>
        <w:t>______________</w:t>
      </w:r>
    </w:p>
    <w:sectPr w:rsidR="00587BD1" w:rsidRPr="00C77794" w:rsidSect="0002174D">
      <w:headerReference w:type="default" r:id="rId17"/>
      <w:footerReference w:type="first" r:id="rId18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D1" w:rsidRDefault="00587BD1" w:rsidP="0079159C">
      <w:r>
        <w:separator/>
      </w:r>
    </w:p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4B3A6C"/>
    <w:p w:rsidR="00587BD1" w:rsidRDefault="00587BD1" w:rsidP="004B3A6C"/>
  </w:endnote>
  <w:endnote w:type="continuationSeparator" w:id="0">
    <w:p w:rsidR="00587BD1" w:rsidRDefault="00587BD1" w:rsidP="0079159C">
      <w:r>
        <w:continuationSeparator/>
      </w:r>
    </w:p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4B3A6C"/>
    <w:p w:rsidR="00587BD1" w:rsidRDefault="00587BD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1636BD" w:rsidP="00587BD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D1" w:rsidRDefault="00587BD1" w:rsidP="0079159C">
      <w:r>
        <w:t>____________________</w:t>
      </w:r>
    </w:p>
  </w:footnote>
  <w:footnote w:type="continuationSeparator" w:id="0">
    <w:p w:rsidR="00587BD1" w:rsidRDefault="00587BD1" w:rsidP="0079159C">
      <w:r>
        <w:continuationSeparator/>
      </w:r>
    </w:p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79159C"/>
    <w:p w:rsidR="00587BD1" w:rsidRDefault="00587BD1" w:rsidP="004B3A6C"/>
    <w:p w:rsidR="00587BD1" w:rsidRDefault="00587BD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87762">
      <w:rPr>
        <w:noProof/>
      </w:rPr>
      <w:t>6</w:t>
    </w:r>
    <w:r>
      <w:fldChar w:fldCharType="end"/>
    </w:r>
    <w:r w:rsidR="00187762">
      <w:t>/</w:t>
    </w:r>
    <w:fldSimple w:instr=" NUMPAGES   \* MERGEFORMAT ">
      <w:r w:rsidR="00187762">
        <w:rPr>
          <w:noProof/>
        </w:rPr>
        <w:t>6</w:t>
      </w:r>
    </w:fldSimple>
  </w:p>
  <w:p w:rsidR="00F96AB4" w:rsidRPr="00131286" w:rsidRDefault="00131286" w:rsidP="00587BD1">
    <w:pPr>
      <w:pStyle w:val="Header"/>
    </w:pPr>
    <w:r>
      <w:t>PP14/</w:t>
    </w:r>
    <w:r w:rsidR="00587BD1">
      <w:t>51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253C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87762"/>
    <w:rsid w:val="001A0EEB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01D86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52010F"/>
    <w:rsid w:val="005356FD"/>
    <w:rsid w:val="00545B07"/>
    <w:rsid w:val="00554E24"/>
    <w:rsid w:val="00563711"/>
    <w:rsid w:val="005653D6"/>
    <w:rsid w:val="00567130"/>
    <w:rsid w:val="00584918"/>
    <w:rsid w:val="00587BD1"/>
    <w:rsid w:val="005918C7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1146"/>
    <w:rsid w:val="006E57C8"/>
    <w:rsid w:val="006E5AA6"/>
    <w:rsid w:val="00710760"/>
    <w:rsid w:val="0073319E"/>
    <w:rsid w:val="007340B5"/>
    <w:rsid w:val="00750829"/>
    <w:rsid w:val="00760830"/>
    <w:rsid w:val="0079159C"/>
    <w:rsid w:val="007C50AF"/>
    <w:rsid w:val="007E4D0F"/>
    <w:rsid w:val="007F3AA5"/>
    <w:rsid w:val="008034F1"/>
    <w:rsid w:val="008102A6"/>
    <w:rsid w:val="00826A7C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B3E77"/>
    <w:rsid w:val="009E4F4B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6846"/>
    <w:rsid w:val="00C40979"/>
    <w:rsid w:val="00C46ECA"/>
    <w:rsid w:val="00C62242"/>
    <w:rsid w:val="00C6326D"/>
    <w:rsid w:val="00C77794"/>
    <w:rsid w:val="00CA38C9"/>
    <w:rsid w:val="00CC6362"/>
    <w:rsid w:val="00CD163A"/>
    <w:rsid w:val="00CE40BB"/>
    <w:rsid w:val="00CF07E4"/>
    <w:rsid w:val="00D25909"/>
    <w:rsid w:val="00D37275"/>
    <w:rsid w:val="00D37469"/>
    <w:rsid w:val="00D50E12"/>
    <w:rsid w:val="00D55DD9"/>
    <w:rsid w:val="00D955EF"/>
    <w:rsid w:val="00DB6880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3BE5"/>
    <w:rsid w:val="00F649D6"/>
    <w:rsid w:val="00F654DD"/>
    <w:rsid w:val="00F96AB4"/>
    <w:rsid w:val="00FA3A0C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4-PP-C-0052/en" TargetMode="External"/><Relationship Id="rId13" Type="http://schemas.openxmlformats.org/officeDocument/2006/relationships/hyperlink" Target="http://www.itu.int/md/S13-CL-C-0050/e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3-CL-C-0083/en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itu.int/md/S13-CL-C-004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3-CL-C-0056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md/S13-CL-C-0052/" TargetMode="External"/><Relationship Id="rId10" Type="http://schemas.openxmlformats.org/officeDocument/2006/relationships/hyperlink" Target="http://www.itu.int/md/S13-CL-C-0054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3-CL-C-0049/en" TargetMode="External"/><Relationship Id="rId14" Type="http://schemas.openxmlformats.org/officeDocument/2006/relationships/hyperlink" Target="http://www.itu.int/md/S13-CL-C-0052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6</Pages>
  <Words>1913</Words>
  <Characters>13060</Characters>
  <Application>Microsoft Office Word</Application>
  <DocSecurity>4</DocSecurity>
  <Lines>108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(PP-14)</dc:subject>
  <dc:creator>Brouard, Ricarda</dc:creator>
  <cp:keywords>PP-14</cp:keywords>
  <cp:lastModifiedBy>Brouard, Ricarda</cp:lastModifiedBy>
  <cp:revision>2</cp:revision>
  <cp:lastPrinted>2014-07-24T09:51:00Z</cp:lastPrinted>
  <dcterms:created xsi:type="dcterms:W3CDTF">2014-07-29T14:38:00Z</dcterms:created>
  <dcterms:modified xsi:type="dcterms:W3CDTF">2014-07-29T14:38:00Z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