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A16ED" w:rsidTr="006A046E">
        <w:trPr>
          <w:cantSplit/>
        </w:trPr>
        <w:tc>
          <w:tcPr>
            <w:tcW w:w="6911" w:type="dxa"/>
          </w:tcPr>
          <w:p w:rsidR="001A16ED" w:rsidRPr="00F04067" w:rsidRDefault="001A16ED" w:rsidP="006A046E">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14:anchorId="3111BCF4" wp14:editId="108AA64C">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6A046E">
        <w:trPr>
          <w:cantSplit/>
        </w:trPr>
        <w:tc>
          <w:tcPr>
            <w:tcW w:w="6911" w:type="dxa"/>
            <w:tcBorders>
              <w:bottom w:val="single" w:sz="12" w:space="0" w:color="auto"/>
            </w:tcBorders>
          </w:tcPr>
          <w:p w:rsidR="001A16ED" w:rsidRPr="00D96B4B" w:rsidRDefault="001A16ED" w:rsidP="006A046E">
            <w:pPr>
              <w:spacing w:after="48" w:line="240" w:lineRule="atLeast"/>
              <w:rPr>
                <w:rFonts w:cstheme="minorHAnsi"/>
                <w:b/>
                <w:smallCaps/>
                <w:szCs w:val="24"/>
              </w:rPr>
            </w:pPr>
            <w:bookmarkStart w:id="2" w:name="dhead"/>
          </w:p>
        </w:tc>
        <w:tc>
          <w:tcPr>
            <w:tcW w:w="3120" w:type="dxa"/>
            <w:tcBorders>
              <w:bottom w:val="single" w:sz="12" w:space="0" w:color="auto"/>
            </w:tcBorders>
          </w:tcPr>
          <w:p w:rsidR="001A16ED" w:rsidRPr="00D96B4B" w:rsidRDefault="001A16ED" w:rsidP="006A046E">
            <w:pPr>
              <w:spacing w:line="240" w:lineRule="atLeast"/>
              <w:rPr>
                <w:rFonts w:cstheme="minorHAnsi"/>
                <w:szCs w:val="24"/>
              </w:rPr>
            </w:pPr>
          </w:p>
        </w:tc>
      </w:tr>
      <w:tr w:rsidR="001A16ED" w:rsidRPr="00C324A8" w:rsidTr="006A046E">
        <w:trPr>
          <w:cantSplit/>
        </w:trPr>
        <w:tc>
          <w:tcPr>
            <w:tcW w:w="6911" w:type="dxa"/>
            <w:tcBorders>
              <w:top w:val="single" w:sz="12" w:space="0" w:color="auto"/>
            </w:tcBorders>
          </w:tcPr>
          <w:p w:rsidR="001A16ED" w:rsidRPr="00D96B4B" w:rsidRDefault="001A16ED" w:rsidP="006A046E">
            <w:pPr>
              <w:spacing w:after="48" w:line="240" w:lineRule="atLeast"/>
              <w:rPr>
                <w:rFonts w:cstheme="minorHAnsi"/>
                <w:b/>
                <w:smallCaps/>
                <w:sz w:val="20"/>
              </w:rPr>
            </w:pPr>
          </w:p>
        </w:tc>
        <w:tc>
          <w:tcPr>
            <w:tcW w:w="3120" w:type="dxa"/>
            <w:tcBorders>
              <w:top w:val="single" w:sz="12" w:space="0" w:color="auto"/>
            </w:tcBorders>
          </w:tcPr>
          <w:p w:rsidR="001A16ED" w:rsidRPr="00D96B4B" w:rsidRDefault="001A16ED" w:rsidP="006A046E">
            <w:pPr>
              <w:spacing w:line="240" w:lineRule="atLeast"/>
              <w:rPr>
                <w:rFonts w:cstheme="minorHAnsi"/>
                <w:sz w:val="20"/>
              </w:rPr>
            </w:pPr>
          </w:p>
        </w:tc>
      </w:tr>
      <w:tr w:rsidR="008263C6" w:rsidRPr="00C324A8" w:rsidTr="006A046E">
        <w:trPr>
          <w:cantSplit/>
          <w:trHeight w:val="23"/>
        </w:trPr>
        <w:tc>
          <w:tcPr>
            <w:tcW w:w="6911" w:type="dxa"/>
            <w:shd w:val="clear" w:color="auto" w:fill="auto"/>
          </w:tcPr>
          <w:p w:rsidR="008263C6" w:rsidRPr="00D96B4B" w:rsidRDefault="008263C6" w:rsidP="008263C6">
            <w:pPr>
              <w:pStyle w:val="Committee"/>
              <w:framePr w:hSpace="0" w:wrap="auto" w:hAnchor="text" w:yAlign="inline"/>
              <w:spacing w:after="0"/>
            </w:pPr>
            <w:bookmarkStart w:id="3" w:name="dnum" w:colFirst="1" w:colLast="1"/>
            <w:bookmarkStart w:id="4" w:name="dmeeting" w:colFirst="0" w:colLast="0"/>
            <w:bookmarkEnd w:id="2"/>
            <w:r w:rsidRPr="00D96B4B">
              <w:t>PLENARY MEETING</w:t>
            </w:r>
          </w:p>
        </w:tc>
        <w:tc>
          <w:tcPr>
            <w:tcW w:w="3120" w:type="dxa"/>
          </w:tcPr>
          <w:p w:rsidR="008263C6" w:rsidRPr="00D96B4B" w:rsidRDefault="008263C6" w:rsidP="00C560A7">
            <w:pPr>
              <w:tabs>
                <w:tab w:val="left" w:pos="851"/>
              </w:tabs>
              <w:spacing w:before="0" w:line="240" w:lineRule="atLeast"/>
              <w:rPr>
                <w:rFonts w:cstheme="minorHAnsi"/>
                <w:szCs w:val="24"/>
              </w:rPr>
            </w:pPr>
            <w:r>
              <w:rPr>
                <w:rFonts w:cstheme="minorHAnsi"/>
                <w:b/>
                <w:szCs w:val="24"/>
              </w:rPr>
              <w:t xml:space="preserve">Document </w:t>
            </w:r>
            <w:r w:rsidR="00C560A7">
              <w:rPr>
                <w:rFonts w:cstheme="minorHAnsi"/>
                <w:b/>
                <w:szCs w:val="24"/>
              </w:rPr>
              <w:t>43</w:t>
            </w:r>
            <w:r>
              <w:rPr>
                <w:rFonts w:cstheme="minorHAnsi"/>
                <w:b/>
                <w:szCs w:val="24"/>
              </w:rPr>
              <w:t>-E</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b/>
                <w:szCs w:val="24"/>
              </w:rPr>
            </w:pPr>
            <w:bookmarkStart w:id="5" w:name="ddate" w:colFirst="1" w:colLast="1"/>
            <w:bookmarkStart w:id="6" w:name="dblank" w:colFirst="0" w:colLast="0"/>
            <w:bookmarkEnd w:id="3"/>
            <w:bookmarkEnd w:id="4"/>
          </w:p>
        </w:tc>
        <w:tc>
          <w:tcPr>
            <w:tcW w:w="3120" w:type="dxa"/>
          </w:tcPr>
          <w:p w:rsidR="008263C6" w:rsidRPr="00D96B4B" w:rsidRDefault="00734F7E" w:rsidP="006A481B">
            <w:pPr>
              <w:spacing w:before="0" w:line="240" w:lineRule="atLeast"/>
              <w:rPr>
                <w:rFonts w:cstheme="minorHAnsi"/>
                <w:szCs w:val="24"/>
              </w:rPr>
            </w:pPr>
            <w:r>
              <w:rPr>
                <w:rFonts w:cstheme="minorHAnsi"/>
                <w:b/>
                <w:szCs w:val="24"/>
              </w:rPr>
              <w:t>10 June</w:t>
            </w:r>
            <w:r w:rsidR="006A481B">
              <w:rPr>
                <w:rFonts w:cstheme="minorHAnsi"/>
                <w:b/>
                <w:szCs w:val="24"/>
              </w:rPr>
              <w:t xml:space="preserve"> 2014</w:t>
            </w:r>
          </w:p>
        </w:tc>
      </w:tr>
      <w:tr w:rsidR="008263C6" w:rsidRPr="00C324A8" w:rsidTr="006A046E">
        <w:trPr>
          <w:cantSplit/>
          <w:trHeight w:val="23"/>
        </w:trPr>
        <w:tc>
          <w:tcPr>
            <w:tcW w:w="6911" w:type="dxa"/>
            <w:shd w:val="clear" w:color="auto" w:fill="auto"/>
          </w:tcPr>
          <w:p w:rsidR="008263C6" w:rsidRPr="00D96B4B" w:rsidRDefault="008263C6" w:rsidP="008263C6">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8263C6" w:rsidRPr="00D96B4B" w:rsidRDefault="008263C6" w:rsidP="008263C6">
            <w:pPr>
              <w:tabs>
                <w:tab w:val="left" w:pos="993"/>
              </w:tabs>
              <w:spacing w:before="0"/>
              <w:rPr>
                <w:rFonts w:cstheme="minorHAnsi"/>
                <w:b/>
                <w:szCs w:val="24"/>
              </w:rPr>
            </w:pPr>
            <w:r w:rsidRPr="00D96B4B">
              <w:rPr>
                <w:rFonts w:cstheme="minorHAnsi"/>
                <w:b/>
                <w:szCs w:val="24"/>
              </w:rPr>
              <w:t>Original: English</w:t>
            </w:r>
          </w:p>
        </w:tc>
      </w:tr>
      <w:tr w:rsidR="008263C6" w:rsidRPr="00C324A8" w:rsidTr="006A046E">
        <w:trPr>
          <w:cantSplit/>
          <w:trHeight w:val="23"/>
        </w:trPr>
        <w:tc>
          <w:tcPr>
            <w:tcW w:w="10031" w:type="dxa"/>
            <w:gridSpan w:val="2"/>
            <w:shd w:val="clear" w:color="auto" w:fill="auto"/>
          </w:tcPr>
          <w:p w:rsidR="008263C6" w:rsidRPr="00D96B4B" w:rsidRDefault="008263C6" w:rsidP="008263C6">
            <w:pPr>
              <w:tabs>
                <w:tab w:val="left" w:pos="993"/>
              </w:tabs>
              <w:rPr>
                <w:rFonts w:ascii="Verdana" w:hAnsi="Verdana"/>
                <w:b/>
                <w:szCs w:val="24"/>
              </w:rPr>
            </w:pPr>
          </w:p>
        </w:tc>
      </w:tr>
      <w:tr w:rsidR="008263C6" w:rsidRPr="00C324A8" w:rsidTr="006A046E">
        <w:trPr>
          <w:cantSplit/>
          <w:trHeight w:val="23"/>
        </w:trPr>
        <w:tc>
          <w:tcPr>
            <w:tcW w:w="10031" w:type="dxa"/>
            <w:gridSpan w:val="2"/>
            <w:shd w:val="clear" w:color="auto" w:fill="auto"/>
          </w:tcPr>
          <w:p w:rsidR="008263C6" w:rsidRDefault="006A481B" w:rsidP="008263C6">
            <w:pPr>
              <w:pStyle w:val="Source"/>
            </w:pPr>
            <w:r>
              <w:t>Note by the Secretary-General</w:t>
            </w:r>
          </w:p>
        </w:tc>
      </w:tr>
      <w:tr w:rsidR="008263C6" w:rsidRPr="00C324A8" w:rsidTr="006A046E">
        <w:trPr>
          <w:cantSplit/>
          <w:trHeight w:val="23"/>
        </w:trPr>
        <w:tc>
          <w:tcPr>
            <w:tcW w:w="10031" w:type="dxa"/>
            <w:gridSpan w:val="2"/>
            <w:shd w:val="clear" w:color="auto" w:fill="auto"/>
          </w:tcPr>
          <w:p w:rsidR="00C560A7" w:rsidRDefault="00734F7E" w:rsidP="00C560A7">
            <w:pPr>
              <w:pStyle w:val="Title1"/>
              <w:spacing w:before="480"/>
            </w:pPr>
            <w:r>
              <w:t xml:space="preserve">RESOLUTION 4 </w:t>
            </w:r>
            <w:r w:rsidR="00C560A7">
              <w:t>(Dubai, 2012)</w:t>
            </w:r>
          </w:p>
          <w:p w:rsidR="008263C6" w:rsidRDefault="00C560A7" w:rsidP="00C560A7">
            <w:pPr>
              <w:pStyle w:val="Restitle"/>
            </w:pPr>
            <w:r>
              <w:t xml:space="preserve">Periodic </w:t>
            </w:r>
            <w:r w:rsidRPr="007B2135">
              <w:t xml:space="preserve">review </w:t>
            </w:r>
            <w:r>
              <w:t xml:space="preserve">of </w:t>
            </w:r>
            <w:r w:rsidRPr="007B2135">
              <w:t xml:space="preserve">the </w:t>
            </w:r>
            <w:r>
              <w:t>International Telecommunication Regulations</w:t>
            </w:r>
          </w:p>
        </w:tc>
      </w:tr>
    </w:tbl>
    <w:bookmarkEnd w:id="7"/>
    <w:bookmarkEnd w:id="8"/>
    <w:p w:rsidR="00C560A7" w:rsidRDefault="00734F7E" w:rsidP="00A86CC1">
      <w:pPr>
        <w:pStyle w:val="Normalaftertitle"/>
        <w:rPr>
          <w:rFonts w:asciiTheme="minorHAnsi" w:hAnsiTheme="minorHAnsi" w:cstheme="minorHAnsi"/>
          <w:szCs w:val="24"/>
        </w:rPr>
      </w:pPr>
      <w:r w:rsidRPr="00C560A7">
        <w:rPr>
          <w:rFonts w:asciiTheme="minorHAnsi" w:hAnsiTheme="minorHAnsi" w:cstheme="minorHAnsi"/>
          <w:szCs w:val="24"/>
        </w:rPr>
        <w:t xml:space="preserve">The World Conference </w:t>
      </w:r>
      <w:r w:rsidR="00C560A7">
        <w:rPr>
          <w:rFonts w:asciiTheme="minorHAnsi" w:hAnsiTheme="minorHAnsi" w:cstheme="minorHAnsi"/>
          <w:szCs w:val="24"/>
        </w:rPr>
        <w:t>on International Telecommunication (WCIT-12) (Dubai, 2012)</w:t>
      </w:r>
      <w:r w:rsidRPr="00C560A7">
        <w:rPr>
          <w:rFonts w:asciiTheme="minorHAnsi" w:hAnsiTheme="minorHAnsi" w:cstheme="minorHAnsi"/>
          <w:szCs w:val="24"/>
        </w:rPr>
        <w:t xml:space="preserve"> has adopted Resolution</w:t>
      </w:r>
      <w:r w:rsidR="00C560A7">
        <w:rPr>
          <w:rFonts w:asciiTheme="minorHAnsi" w:hAnsiTheme="minorHAnsi" w:cstheme="minorHAnsi"/>
          <w:szCs w:val="24"/>
        </w:rPr>
        <w:t xml:space="preserve"> 4 on p</w:t>
      </w:r>
      <w:r w:rsidR="00C560A7">
        <w:t xml:space="preserve">eriodic </w:t>
      </w:r>
      <w:r w:rsidR="00C560A7" w:rsidRPr="007B2135">
        <w:t xml:space="preserve">review </w:t>
      </w:r>
      <w:r w:rsidR="00C560A7">
        <w:t xml:space="preserve">of </w:t>
      </w:r>
      <w:r w:rsidR="00C560A7" w:rsidRPr="007B2135">
        <w:t xml:space="preserve">the </w:t>
      </w:r>
      <w:r w:rsidR="00C560A7">
        <w:t>International Telecommunication Regulations</w:t>
      </w:r>
      <w:r w:rsidRPr="00C560A7">
        <w:rPr>
          <w:rFonts w:asciiTheme="minorHAnsi" w:hAnsiTheme="minorHAnsi" w:cstheme="minorHAnsi"/>
          <w:szCs w:val="24"/>
        </w:rPr>
        <w:t xml:space="preserve"> which </w:t>
      </w:r>
      <w:r w:rsidR="00A86CC1">
        <w:rPr>
          <w:rFonts w:asciiTheme="minorHAnsi" w:hAnsiTheme="minorHAnsi" w:cstheme="minorHAnsi"/>
          <w:szCs w:val="24"/>
        </w:rPr>
        <w:t>was</w:t>
      </w:r>
      <w:r w:rsidRPr="00C560A7">
        <w:rPr>
          <w:rFonts w:asciiTheme="minorHAnsi" w:hAnsiTheme="minorHAnsi" w:cstheme="minorHAnsi"/>
          <w:szCs w:val="24"/>
        </w:rPr>
        <w:t xml:space="preserve"> requested to be brought to the attention of the Plenipotentiary Conference. </w:t>
      </w:r>
    </w:p>
    <w:p w:rsidR="00734F7E" w:rsidRPr="00C560A7" w:rsidRDefault="00C560A7" w:rsidP="00C560A7">
      <w:pPr>
        <w:pStyle w:val="Normalaftertitle"/>
        <w:rPr>
          <w:rFonts w:asciiTheme="minorHAnsi" w:hAnsiTheme="minorHAnsi" w:cstheme="minorHAnsi"/>
          <w:szCs w:val="24"/>
        </w:rPr>
      </w:pPr>
      <w:r>
        <w:rPr>
          <w:rFonts w:asciiTheme="minorHAnsi" w:hAnsiTheme="minorHAnsi" w:cstheme="minorHAnsi"/>
          <w:szCs w:val="24"/>
        </w:rPr>
        <w:t xml:space="preserve">The text of </w:t>
      </w:r>
      <w:r w:rsidR="00734F7E" w:rsidRPr="00C560A7">
        <w:rPr>
          <w:rFonts w:asciiTheme="minorHAnsi" w:hAnsiTheme="minorHAnsi" w:cstheme="minorHAnsi"/>
          <w:szCs w:val="24"/>
        </w:rPr>
        <w:t>Resolution</w:t>
      </w:r>
      <w:r>
        <w:rPr>
          <w:rFonts w:asciiTheme="minorHAnsi" w:hAnsiTheme="minorHAnsi" w:cstheme="minorHAnsi"/>
          <w:szCs w:val="24"/>
        </w:rPr>
        <w:t xml:space="preserve"> 4</w:t>
      </w:r>
      <w:r w:rsidR="00734F7E" w:rsidRPr="00C560A7">
        <w:rPr>
          <w:rFonts w:asciiTheme="minorHAnsi" w:hAnsiTheme="minorHAnsi" w:cstheme="minorHAnsi"/>
          <w:szCs w:val="24"/>
        </w:rPr>
        <w:t xml:space="preserve"> </w:t>
      </w:r>
      <w:r>
        <w:rPr>
          <w:rFonts w:asciiTheme="minorHAnsi" w:hAnsiTheme="minorHAnsi" w:cstheme="minorHAnsi"/>
          <w:szCs w:val="24"/>
        </w:rPr>
        <w:t xml:space="preserve">(Dubai, 2012) </w:t>
      </w:r>
      <w:r w:rsidR="00734F7E" w:rsidRPr="00C560A7">
        <w:rPr>
          <w:rFonts w:asciiTheme="minorHAnsi" w:hAnsiTheme="minorHAnsi" w:cstheme="minorHAnsi"/>
          <w:szCs w:val="24"/>
        </w:rPr>
        <w:t>is attached.</w:t>
      </w:r>
    </w:p>
    <w:p w:rsidR="00734F7E" w:rsidRPr="00C560A7" w:rsidRDefault="00734F7E" w:rsidP="00734F7E">
      <w:pPr>
        <w:rPr>
          <w:rFonts w:asciiTheme="minorHAnsi" w:hAnsiTheme="minorHAnsi" w:cstheme="minorHAnsi"/>
          <w:szCs w:val="24"/>
        </w:rPr>
      </w:pPr>
    </w:p>
    <w:p w:rsidR="00734F7E" w:rsidRPr="00C560A7" w:rsidRDefault="00734F7E" w:rsidP="00734F7E">
      <w:pPr>
        <w:rPr>
          <w:rFonts w:asciiTheme="minorHAnsi" w:hAnsiTheme="minorHAnsi" w:cstheme="minorHAnsi"/>
        </w:rPr>
      </w:pPr>
    </w:p>
    <w:p w:rsidR="00734F7E" w:rsidRDefault="00734F7E" w:rsidP="00734F7E"/>
    <w:p w:rsidR="00734F7E" w:rsidRDefault="00734F7E" w:rsidP="00734F7E"/>
    <w:p w:rsidR="00734F7E" w:rsidRDefault="00734F7E" w:rsidP="00734F7E"/>
    <w:p w:rsidR="00734F7E" w:rsidRDefault="00734F7E" w:rsidP="00734F7E"/>
    <w:p w:rsidR="00734F7E" w:rsidRDefault="00734F7E" w:rsidP="003463EE">
      <w:pPr>
        <w:tabs>
          <w:tab w:val="clear" w:pos="567"/>
          <w:tab w:val="clear" w:pos="1134"/>
          <w:tab w:val="clear" w:pos="1701"/>
          <w:tab w:val="clear" w:pos="2268"/>
          <w:tab w:val="clear" w:pos="2835"/>
          <w:tab w:val="center" w:pos="6804"/>
        </w:tabs>
      </w:pPr>
      <w:r>
        <w:tab/>
        <w:t>Dr Hamadoun I. TOURE</w:t>
      </w:r>
      <w:r>
        <w:br/>
      </w:r>
      <w:r>
        <w:tab/>
        <w:t>Secretary-General</w:t>
      </w:r>
    </w:p>
    <w:p w:rsidR="001A16ED" w:rsidRDefault="001A16ED" w:rsidP="00846DBA"/>
    <w:p w:rsidR="00C560A7" w:rsidRDefault="00C560A7" w:rsidP="00846DBA"/>
    <w:p w:rsidR="00C560A7" w:rsidRDefault="00C560A7" w:rsidP="00846DBA"/>
    <w:p w:rsidR="00C560A7" w:rsidRPr="00C560A7" w:rsidRDefault="00C560A7" w:rsidP="00846DBA">
      <w:pPr>
        <w:rPr>
          <w:b/>
          <w:bCs/>
        </w:rPr>
      </w:pPr>
      <w:r w:rsidRPr="00C560A7">
        <w:rPr>
          <w:b/>
          <w:bCs/>
        </w:rPr>
        <w:t>Annex: 1</w:t>
      </w:r>
    </w:p>
    <w:p w:rsidR="001A16ED" w:rsidRDefault="001A16ED">
      <w:pPr>
        <w:tabs>
          <w:tab w:val="clear" w:pos="567"/>
          <w:tab w:val="clear" w:pos="1134"/>
          <w:tab w:val="clear" w:pos="1701"/>
          <w:tab w:val="clear" w:pos="2268"/>
          <w:tab w:val="clear" w:pos="2835"/>
        </w:tabs>
        <w:overflowPunct/>
        <w:autoSpaceDE/>
        <w:autoSpaceDN/>
        <w:adjustRightInd/>
        <w:spacing w:before="0"/>
        <w:textAlignment w:val="auto"/>
      </w:pPr>
      <w:r>
        <w:br w:type="page"/>
      </w:r>
    </w:p>
    <w:p w:rsidR="0008540E" w:rsidRDefault="00C560A7" w:rsidP="00C560A7">
      <w:pPr>
        <w:pStyle w:val="AnnexNo"/>
      </w:pPr>
      <w:r>
        <w:lastRenderedPageBreak/>
        <w:t>ANNEX</w:t>
      </w:r>
    </w:p>
    <w:p w:rsidR="00734F7E" w:rsidRPr="007B2135" w:rsidRDefault="00734F7E" w:rsidP="00734F7E">
      <w:pPr>
        <w:pStyle w:val="ResNo"/>
      </w:pPr>
      <w:bookmarkStart w:id="9" w:name="_Toc351558998"/>
      <w:bookmarkStart w:id="10" w:name="_Toc351560120"/>
      <w:r w:rsidRPr="007B2135">
        <w:t>RESOLUTION</w:t>
      </w:r>
      <w:r>
        <w:t xml:space="preserve"> </w:t>
      </w:r>
      <w:r w:rsidRPr="002204F2">
        <w:rPr>
          <w:rStyle w:val="href"/>
        </w:rPr>
        <w:t>4</w:t>
      </w:r>
      <w:r>
        <w:t xml:space="preserve"> (DUBAI, 2012)</w:t>
      </w:r>
      <w:bookmarkEnd w:id="9"/>
      <w:bookmarkEnd w:id="10"/>
    </w:p>
    <w:p w:rsidR="00734F7E" w:rsidRPr="00EE5E74" w:rsidRDefault="00734F7E" w:rsidP="00734F7E">
      <w:pPr>
        <w:pStyle w:val="Restitle"/>
      </w:pPr>
      <w:bookmarkStart w:id="11" w:name="_Toc351558999"/>
      <w:bookmarkStart w:id="12" w:name="_Toc351560121"/>
      <w:r>
        <w:t xml:space="preserve">Periodic </w:t>
      </w:r>
      <w:r w:rsidRPr="007B2135">
        <w:t xml:space="preserve">review </w:t>
      </w:r>
      <w:r>
        <w:t xml:space="preserve">of </w:t>
      </w:r>
      <w:r w:rsidRPr="007B2135">
        <w:t xml:space="preserve">the </w:t>
      </w:r>
      <w:r>
        <w:t>International Telecommunication Regulations</w:t>
      </w:r>
      <w:bookmarkEnd w:id="11"/>
      <w:bookmarkEnd w:id="12"/>
    </w:p>
    <w:p w:rsidR="00734F7E" w:rsidRPr="00EE5E74" w:rsidRDefault="00734F7E" w:rsidP="00734F7E">
      <w:pPr>
        <w:pStyle w:val="Normalaftertitle"/>
      </w:pPr>
      <w:r w:rsidRPr="00B71679">
        <w:t>The World Conference on International Telecommunications (Dubai, 2012),</w:t>
      </w:r>
    </w:p>
    <w:p w:rsidR="00734F7E" w:rsidRDefault="00734F7E" w:rsidP="00734F7E">
      <w:pPr>
        <w:pStyle w:val="Call"/>
      </w:pPr>
      <w:proofErr w:type="gramStart"/>
      <w:r>
        <w:t>recalling</w:t>
      </w:r>
      <w:proofErr w:type="gramEnd"/>
    </w:p>
    <w:p w:rsidR="00734F7E" w:rsidRPr="00145204" w:rsidRDefault="00734F7E" w:rsidP="00734F7E">
      <w:r>
        <w:t>Resolution 171 (Guadalajara, 2010) of the Plenipotentiary Conference, on preparations for this conference on the International Telecommunication Regulations (ITRs),</w:t>
      </w:r>
    </w:p>
    <w:p w:rsidR="00734F7E" w:rsidRDefault="00734F7E" w:rsidP="00734F7E">
      <w:pPr>
        <w:pStyle w:val="Call"/>
        <w:keepNext w:val="0"/>
        <w:keepLines w:val="0"/>
        <w:snapToGrid w:val="0"/>
        <w:spacing w:before="240"/>
        <w:rPr>
          <w:rFonts w:cstheme="minorHAnsi"/>
          <w:szCs w:val="24"/>
        </w:rPr>
      </w:pPr>
      <w:proofErr w:type="gramStart"/>
      <w:r>
        <w:rPr>
          <w:rFonts w:cstheme="minorHAnsi"/>
          <w:szCs w:val="24"/>
        </w:rPr>
        <w:t>considering</w:t>
      </w:r>
      <w:proofErr w:type="gramEnd"/>
    </w:p>
    <w:p w:rsidR="00734F7E" w:rsidRPr="00482560" w:rsidRDefault="00734F7E" w:rsidP="00734F7E">
      <w:pPr>
        <w:rPr>
          <w:i/>
          <w:iCs/>
        </w:rPr>
      </w:pPr>
      <w:r w:rsidRPr="00482560">
        <w:rPr>
          <w:i/>
          <w:iCs/>
        </w:rPr>
        <w:t>a)</w:t>
      </w:r>
      <w:r>
        <w:tab/>
        <w:t>that the ITU Council Working Group to prepare the 2012 World Conference on International Telecommunications (WCIT-12) held extensive discussions on the ITRs;</w:t>
      </w:r>
    </w:p>
    <w:p w:rsidR="00734F7E" w:rsidRDefault="00734F7E" w:rsidP="00734F7E">
      <w:r w:rsidRPr="00482560">
        <w:rPr>
          <w:i/>
          <w:iCs/>
        </w:rPr>
        <w:t>b)</w:t>
      </w:r>
      <w:r>
        <w:tab/>
        <w:t>that there have been wide consultations in all ITU regions, involving ITU Member States, ITU Sector Members, Associates and Academia and civil society groups, showing great interest in the revision of the ITRs;</w:t>
      </w:r>
    </w:p>
    <w:p w:rsidR="00734F7E" w:rsidRDefault="00734F7E" w:rsidP="00734F7E">
      <w:r w:rsidRPr="00482560">
        <w:rPr>
          <w:i/>
          <w:iCs/>
        </w:rPr>
        <w:t>c)</w:t>
      </w:r>
      <w:r>
        <w:tab/>
      </w:r>
      <w:proofErr w:type="gramStart"/>
      <w:r>
        <w:t>that</w:t>
      </w:r>
      <w:proofErr w:type="gramEnd"/>
      <w:r>
        <w:t xml:space="preserve"> many input documents have been submitted by the ITU membership;</w:t>
      </w:r>
    </w:p>
    <w:p w:rsidR="00734F7E" w:rsidRPr="00482560" w:rsidRDefault="00734F7E" w:rsidP="00734F7E">
      <w:r w:rsidRPr="00482560">
        <w:rPr>
          <w:i/>
          <w:iCs/>
        </w:rPr>
        <w:t>d)</w:t>
      </w:r>
      <w:r>
        <w:tab/>
      </w:r>
      <w:proofErr w:type="gramStart"/>
      <w:r>
        <w:t>the</w:t>
      </w:r>
      <w:proofErr w:type="gramEnd"/>
      <w:r>
        <w:t xml:space="preserve"> outcome of this conference,</w:t>
      </w:r>
    </w:p>
    <w:p w:rsidR="00734F7E" w:rsidRDefault="00734F7E" w:rsidP="00734F7E">
      <w:pPr>
        <w:pStyle w:val="Call"/>
      </w:pPr>
      <w:proofErr w:type="gramStart"/>
      <w:r w:rsidRPr="00EE5E74">
        <w:t>recognizing</w:t>
      </w:r>
      <w:proofErr w:type="gramEnd"/>
    </w:p>
    <w:p w:rsidR="00734F7E" w:rsidRDefault="00734F7E" w:rsidP="00734F7E">
      <w:proofErr w:type="gramStart"/>
      <w:r w:rsidRPr="00482560">
        <w:rPr>
          <w:i/>
          <w:iCs/>
        </w:rPr>
        <w:t>a</w:t>
      </w:r>
      <w:proofErr w:type="gramEnd"/>
      <w:r w:rsidRPr="00482560">
        <w:rPr>
          <w:i/>
          <w:iCs/>
        </w:rPr>
        <w:t>)</w:t>
      </w:r>
      <w:r>
        <w:tab/>
        <w:t>Articles 13 and 25 of the ITU Constitution;</w:t>
      </w:r>
    </w:p>
    <w:p w:rsidR="00734F7E" w:rsidRDefault="00734F7E" w:rsidP="00734F7E">
      <w:r w:rsidRPr="00482560">
        <w:rPr>
          <w:i/>
          <w:iCs/>
        </w:rPr>
        <w:t>b)</w:t>
      </w:r>
      <w:r>
        <w:tab/>
        <w:t>No. 48 (Article 3) of the ITU Convention;</w:t>
      </w:r>
    </w:p>
    <w:p w:rsidR="00734F7E" w:rsidRDefault="00734F7E" w:rsidP="00734F7E">
      <w:r w:rsidRPr="00482560">
        <w:rPr>
          <w:i/>
          <w:iCs/>
        </w:rPr>
        <w:t>c)</w:t>
      </w:r>
      <w:r>
        <w:tab/>
      </w:r>
      <w:proofErr w:type="gramStart"/>
      <w:r>
        <w:t>that</w:t>
      </w:r>
      <w:proofErr w:type="gramEnd"/>
      <w:r>
        <w:t xml:space="preserve"> the ITRs are one of the pillars supporting ITU's mission;</w:t>
      </w:r>
    </w:p>
    <w:p w:rsidR="00734F7E" w:rsidRDefault="00734F7E" w:rsidP="00734F7E">
      <w:r w:rsidRPr="00482560">
        <w:rPr>
          <w:i/>
          <w:iCs/>
        </w:rPr>
        <w:t>d)</w:t>
      </w:r>
      <w:r>
        <w:tab/>
      </w:r>
      <w:proofErr w:type="gramStart"/>
      <w:r>
        <w:t>that</w:t>
      </w:r>
      <w:proofErr w:type="gramEnd"/>
      <w:r>
        <w:t xml:space="preserve"> 24 years elapsed between the approval of the ITRs and their review at this conference;</w:t>
      </w:r>
    </w:p>
    <w:p w:rsidR="00734F7E" w:rsidRDefault="00734F7E" w:rsidP="00734F7E">
      <w:r w:rsidRPr="00482560">
        <w:rPr>
          <w:i/>
          <w:iCs/>
        </w:rPr>
        <w:t>e)</w:t>
      </w:r>
      <w:r>
        <w:tab/>
      </w:r>
      <w:proofErr w:type="gramStart"/>
      <w:r>
        <w:t>that</w:t>
      </w:r>
      <w:proofErr w:type="gramEnd"/>
      <w:r>
        <w:t xml:space="preserve"> the ITRs consist of high-level guiding principles that should not require frequent amendment, but in the fast-moving sector of telecommunications/ICTs may need to be periodically reviewed,</w:t>
      </w:r>
    </w:p>
    <w:p w:rsidR="00734F7E" w:rsidRDefault="00734F7E" w:rsidP="00734F7E">
      <w:pPr>
        <w:pStyle w:val="Call"/>
      </w:pPr>
      <w:proofErr w:type="gramStart"/>
      <w:r>
        <w:t>noting</w:t>
      </w:r>
      <w:proofErr w:type="gramEnd"/>
    </w:p>
    <w:p w:rsidR="00734F7E" w:rsidRDefault="00734F7E" w:rsidP="00734F7E">
      <w:r w:rsidRPr="00482560">
        <w:rPr>
          <w:i/>
          <w:iCs/>
        </w:rPr>
        <w:t>a)</w:t>
      </w:r>
      <w:r>
        <w:tab/>
      </w:r>
      <w:proofErr w:type="gramStart"/>
      <w:r>
        <w:t>that</w:t>
      </w:r>
      <w:proofErr w:type="gramEnd"/>
      <w:r>
        <w:t xml:space="preserve"> </w:t>
      </w:r>
      <w:r w:rsidRPr="000418ED">
        <w:t>technological development and demand for services that require high bandwidth continue</w:t>
      </w:r>
      <w:r>
        <w:t xml:space="preserve"> to increase;</w:t>
      </w:r>
    </w:p>
    <w:p w:rsidR="00734F7E" w:rsidRDefault="00734F7E" w:rsidP="00734F7E">
      <w:r w:rsidRPr="00482560">
        <w:rPr>
          <w:i/>
          <w:iCs/>
        </w:rPr>
        <w:t>b)</w:t>
      </w:r>
      <w:r w:rsidRPr="00482560">
        <w:rPr>
          <w:i/>
          <w:iCs/>
        </w:rPr>
        <w:tab/>
      </w:r>
      <w:proofErr w:type="gramStart"/>
      <w:r>
        <w:t>that</w:t>
      </w:r>
      <w:proofErr w:type="gramEnd"/>
      <w:r>
        <w:t xml:space="preserve"> the ITRs:</w:t>
      </w:r>
    </w:p>
    <w:p w:rsidR="00734F7E" w:rsidRDefault="00734F7E" w:rsidP="00C560A7">
      <w:pPr>
        <w:ind w:left="1134" w:hanging="1134"/>
      </w:pPr>
      <w:r>
        <w:tab/>
      </w:r>
      <w:proofErr w:type="spellStart"/>
      <w:proofErr w:type="gramStart"/>
      <w:r w:rsidRPr="00C733FD">
        <w:t>i</w:t>
      </w:r>
      <w:proofErr w:type="spellEnd"/>
      <w:proofErr w:type="gramEnd"/>
      <w:r w:rsidRPr="00C733FD">
        <w:t>)</w:t>
      </w:r>
      <w:r>
        <w:tab/>
        <w:t>establish general principles on the provision and operation of international telecommunications;</w:t>
      </w:r>
    </w:p>
    <w:p w:rsidR="00734F7E" w:rsidRDefault="00734F7E" w:rsidP="00734F7E">
      <w:r>
        <w:tab/>
      </w:r>
      <w:r w:rsidRPr="00C733FD">
        <w:t>ii)</w:t>
      </w:r>
      <w:r>
        <w:tab/>
      </w:r>
      <w:proofErr w:type="gramStart"/>
      <w:r>
        <w:t>facilitate</w:t>
      </w:r>
      <w:proofErr w:type="gramEnd"/>
      <w:r>
        <w:t xml:space="preserve"> global interconnection and interoperability;</w:t>
      </w:r>
    </w:p>
    <w:p w:rsidR="00734F7E" w:rsidRDefault="00734F7E" w:rsidP="00C560A7">
      <w:pPr>
        <w:ind w:left="1134" w:hanging="1134"/>
      </w:pPr>
      <w:r>
        <w:tab/>
        <w:t>iii)</w:t>
      </w:r>
      <w:r>
        <w:tab/>
      </w:r>
      <w:proofErr w:type="gramStart"/>
      <w:r>
        <w:t>promote</w:t>
      </w:r>
      <w:proofErr w:type="gramEnd"/>
      <w:r>
        <w:t xml:space="preserve"> efficiency, usefulness and availability of international telecommunication services,</w:t>
      </w:r>
    </w:p>
    <w:p w:rsidR="00734F7E" w:rsidRDefault="00734F7E" w:rsidP="00734F7E">
      <w:pPr>
        <w:pStyle w:val="Call"/>
      </w:pPr>
      <w:proofErr w:type="gramStart"/>
      <w:r>
        <w:lastRenderedPageBreak/>
        <w:t>resolves</w:t>
      </w:r>
      <w:proofErr w:type="gramEnd"/>
    </w:p>
    <w:p w:rsidR="00734F7E" w:rsidRDefault="00734F7E" w:rsidP="00734F7E">
      <w:r>
        <w:t>to invite the 2014 Plenipotentiary Conference to consider this resolution and to take necessary action, as appropriate, to convene periodically (for example every eight years) a World Conference on International Telecommunications to revise the ITRs, taking into account the financial implications for the Union,</w:t>
      </w:r>
    </w:p>
    <w:p w:rsidR="00734F7E" w:rsidRDefault="00734F7E" w:rsidP="00734F7E">
      <w:pPr>
        <w:pStyle w:val="Call"/>
      </w:pPr>
      <w:proofErr w:type="gramStart"/>
      <w:r>
        <w:t>instructs</w:t>
      </w:r>
      <w:proofErr w:type="gramEnd"/>
      <w:r>
        <w:t xml:space="preserve"> the Secretary-General</w:t>
      </w:r>
    </w:p>
    <w:p w:rsidR="00734F7E" w:rsidRDefault="00734F7E" w:rsidP="00734F7E">
      <w:r>
        <w:t>1</w:t>
      </w:r>
      <w:r>
        <w:tab/>
        <w:t>to bring this resolution to the attention of the Plenipotentiary Conference;</w:t>
      </w:r>
    </w:p>
    <w:p w:rsidR="00734F7E" w:rsidRDefault="00734F7E" w:rsidP="00734F7E">
      <w:r>
        <w:t>2</w:t>
      </w:r>
      <w:r>
        <w:tab/>
        <w:t>to provide information to enable the Plenipotentiary Conference to consider the cost implications of convening WCIT,</w:t>
      </w:r>
    </w:p>
    <w:p w:rsidR="00734F7E" w:rsidRDefault="00734F7E" w:rsidP="00734F7E">
      <w:pPr>
        <w:pStyle w:val="Call"/>
      </w:pPr>
      <w:proofErr w:type="gramStart"/>
      <w:r>
        <w:t>invites</w:t>
      </w:r>
      <w:proofErr w:type="gramEnd"/>
      <w:r>
        <w:t xml:space="preserve"> Member States</w:t>
      </w:r>
    </w:p>
    <w:p w:rsidR="00734F7E" w:rsidRDefault="00734F7E" w:rsidP="00734F7E">
      <w:proofErr w:type="gramStart"/>
      <w:r>
        <w:t>to</w:t>
      </w:r>
      <w:proofErr w:type="gramEnd"/>
      <w:r>
        <w:t xml:space="preserve"> contribute to the work outlined in this resolution.</w:t>
      </w:r>
    </w:p>
    <w:p w:rsidR="00734F7E" w:rsidRPr="00C560A7" w:rsidRDefault="00C560A7" w:rsidP="003463EE">
      <w:pPr>
        <w:spacing w:before="840"/>
        <w:jc w:val="center"/>
        <w:rPr>
          <w:u w:val="single"/>
        </w:rPr>
      </w:pPr>
      <w:bookmarkStart w:id="13" w:name="_GoBack"/>
      <w:bookmarkEnd w:id="13"/>
      <w:r>
        <w:rPr>
          <w:u w:val="single"/>
        </w:rPr>
        <w:t>                           </w:t>
      </w:r>
    </w:p>
    <w:sectPr w:rsidR="00734F7E" w:rsidRPr="00C560A7" w:rsidSect="00361097">
      <w:head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B27" w:rsidRDefault="00E22B27">
      <w:r>
        <w:separator/>
      </w:r>
    </w:p>
  </w:endnote>
  <w:endnote w:type="continuationSeparator" w:id="0">
    <w:p w:rsidR="00E22B27" w:rsidRDefault="00E2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C6" w:rsidRDefault="008263C6" w:rsidP="008263C6">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263C6" w:rsidRDefault="008263C6" w:rsidP="008263C6">
    <w:pPr>
      <w:pStyle w:val="FirstFooter"/>
      <w:jc w:val="center"/>
    </w:pPr>
  </w:p>
  <w:p w:rsidR="008263C6" w:rsidRDefault="008263C6" w:rsidP="00826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B27" w:rsidRDefault="00E22B27">
      <w:r>
        <w:t>____________________</w:t>
      </w:r>
    </w:p>
  </w:footnote>
  <w:footnote w:type="continuationSeparator" w:id="0">
    <w:p w:rsidR="00E22B27" w:rsidRDefault="00E22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3C6" w:rsidRDefault="008263C6" w:rsidP="008263C6">
    <w:pPr>
      <w:pStyle w:val="Header"/>
      <w:ind w:left="567" w:hanging="567"/>
    </w:pPr>
    <w:r>
      <w:fldChar w:fldCharType="begin"/>
    </w:r>
    <w:r>
      <w:instrText xml:space="preserve"> PAGE   \* MERGEFORMAT </w:instrText>
    </w:r>
    <w:r>
      <w:fldChar w:fldCharType="separate"/>
    </w:r>
    <w:r w:rsidR="003463EE">
      <w:rPr>
        <w:noProof/>
      </w:rPr>
      <w:t>2</w:t>
    </w:r>
    <w:r>
      <w:fldChar w:fldCharType="end"/>
    </w:r>
  </w:p>
  <w:p w:rsidR="008263C6" w:rsidRPr="001A16ED" w:rsidRDefault="008263C6" w:rsidP="00C560A7">
    <w:pPr>
      <w:pStyle w:val="Header"/>
      <w:ind w:left="567" w:hanging="567"/>
    </w:pPr>
    <w:r>
      <w:t>PP14/</w:t>
    </w:r>
    <w:r w:rsidR="00C560A7">
      <w:t>43</w:t>
    </w:r>
    <w:r>
      <w:t>-</w:t>
    </w:r>
    <w:r w:rsidRPr="004A26C4">
      <w:t>E</w:t>
    </w:r>
  </w:p>
  <w:p w:rsidR="002F5FA2" w:rsidRPr="008263C6" w:rsidRDefault="002F5FA2" w:rsidP="008263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B83398"/>
    <w:lvl w:ilvl="0">
      <w:start w:val="1"/>
      <w:numFmt w:val="decimal"/>
      <w:lvlText w:val="%1."/>
      <w:lvlJc w:val="left"/>
      <w:pPr>
        <w:tabs>
          <w:tab w:val="num" w:pos="1492"/>
        </w:tabs>
        <w:ind w:left="1492" w:hanging="360"/>
      </w:pPr>
    </w:lvl>
  </w:abstractNum>
  <w:abstractNum w:abstractNumId="1">
    <w:nsid w:val="FFFFFF7D"/>
    <w:multiLevelType w:val="singleLevel"/>
    <w:tmpl w:val="6B86709C"/>
    <w:lvl w:ilvl="0">
      <w:start w:val="1"/>
      <w:numFmt w:val="decimal"/>
      <w:lvlText w:val="%1."/>
      <w:lvlJc w:val="left"/>
      <w:pPr>
        <w:tabs>
          <w:tab w:val="num" w:pos="1209"/>
        </w:tabs>
        <w:ind w:left="1209" w:hanging="360"/>
      </w:pPr>
    </w:lvl>
  </w:abstractNum>
  <w:abstractNum w:abstractNumId="2">
    <w:nsid w:val="FFFFFF7E"/>
    <w:multiLevelType w:val="singleLevel"/>
    <w:tmpl w:val="A0846710"/>
    <w:lvl w:ilvl="0">
      <w:start w:val="1"/>
      <w:numFmt w:val="decimal"/>
      <w:lvlText w:val="%1."/>
      <w:lvlJc w:val="left"/>
      <w:pPr>
        <w:tabs>
          <w:tab w:val="num" w:pos="926"/>
        </w:tabs>
        <w:ind w:left="926" w:hanging="360"/>
      </w:pPr>
    </w:lvl>
  </w:abstractNum>
  <w:abstractNum w:abstractNumId="3">
    <w:nsid w:val="FFFFFF7F"/>
    <w:multiLevelType w:val="singleLevel"/>
    <w:tmpl w:val="241EFD72"/>
    <w:lvl w:ilvl="0">
      <w:start w:val="1"/>
      <w:numFmt w:val="decimal"/>
      <w:lvlText w:val="%1."/>
      <w:lvlJc w:val="left"/>
      <w:pPr>
        <w:tabs>
          <w:tab w:val="num" w:pos="643"/>
        </w:tabs>
        <w:ind w:left="643" w:hanging="360"/>
      </w:pPr>
    </w:lvl>
  </w:abstractNum>
  <w:abstractNum w:abstractNumId="4">
    <w:nsid w:val="FFFFFF80"/>
    <w:multiLevelType w:val="singleLevel"/>
    <w:tmpl w:val="DFD240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3CD5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CDA82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1438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C82336"/>
    <w:lvl w:ilvl="0">
      <w:start w:val="1"/>
      <w:numFmt w:val="decimal"/>
      <w:lvlText w:val="%1."/>
      <w:lvlJc w:val="left"/>
      <w:pPr>
        <w:tabs>
          <w:tab w:val="num" w:pos="360"/>
        </w:tabs>
        <w:ind w:left="360" w:hanging="360"/>
      </w:pPr>
    </w:lvl>
  </w:abstractNum>
  <w:abstractNum w:abstractNumId="9">
    <w:nsid w:val="FFFFFF89"/>
    <w:multiLevelType w:val="singleLevel"/>
    <w:tmpl w:val="F36C20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7A"/>
    <w:rsid w:val="00000AF8"/>
    <w:rsid w:val="00001935"/>
    <w:rsid w:val="000048E4"/>
    <w:rsid w:val="00010B2A"/>
    <w:rsid w:val="00011208"/>
    <w:rsid w:val="000143FA"/>
    <w:rsid w:val="00014808"/>
    <w:rsid w:val="00015E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6633C"/>
    <w:rsid w:val="00171990"/>
    <w:rsid w:val="00195B70"/>
    <w:rsid w:val="001961C1"/>
    <w:rsid w:val="001A0EEB"/>
    <w:rsid w:val="001A16ED"/>
    <w:rsid w:val="001B18AB"/>
    <w:rsid w:val="001B70D1"/>
    <w:rsid w:val="001C3804"/>
    <w:rsid w:val="001D3322"/>
    <w:rsid w:val="001E01A5"/>
    <w:rsid w:val="001E18AB"/>
    <w:rsid w:val="001E1C8F"/>
    <w:rsid w:val="002115E0"/>
    <w:rsid w:val="00232B31"/>
    <w:rsid w:val="00235A3B"/>
    <w:rsid w:val="00243BE4"/>
    <w:rsid w:val="00257188"/>
    <w:rsid w:val="002578B4"/>
    <w:rsid w:val="00267D12"/>
    <w:rsid w:val="00281792"/>
    <w:rsid w:val="0028799E"/>
    <w:rsid w:val="002962A8"/>
    <w:rsid w:val="002A56C0"/>
    <w:rsid w:val="002F36B9"/>
    <w:rsid w:val="002F5FA2"/>
    <w:rsid w:val="003126B0"/>
    <w:rsid w:val="00314127"/>
    <w:rsid w:val="00314C12"/>
    <w:rsid w:val="003261C3"/>
    <w:rsid w:val="003453DA"/>
    <w:rsid w:val="003463EE"/>
    <w:rsid w:val="00357754"/>
    <w:rsid w:val="003578E4"/>
    <w:rsid w:val="00361097"/>
    <w:rsid w:val="00373A0D"/>
    <w:rsid w:val="00375076"/>
    <w:rsid w:val="00375BBA"/>
    <w:rsid w:val="00395CE4"/>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604079"/>
    <w:rsid w:val="00617BE4"/>
    <w:rsid w:val="00620233"/>
    <w:rsid w:val="006404B0"/>
    <w:rsid w:val="0066499C"/>
    <w:rsid w:val="006A481B"/>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4F7E"/>
    <w:rsid w:val="00737F2E"/>
    <w:rsid w:val="00745A37"/>
    <w:rsid w:val="00750829"/>
    <w:rsid w:val="007538C9"/>
    <w:rsid w:val="00753F63"/>
    <w:rsid w:val="007542C4"/>
    <w:rsid w:val="00755067"/>
    <w:rsid w:val="007561B6"/>
    <w:rsid w:val="007649DA"/>
    <w:rsid w:val="00765553"/>
    <w:rsid w:val="00777B8B"/>
    <w:rsid w:val="00794795"/>
    <w:rsid w:val="007949EA"/>
    <w:rsid w:val="00796849"/>
    <w:rsid w:val="007A59C3"/>
    <w:rsid w:val="007B0E06"/>
    <w:rsid w:val="007B30FC"/>
    <w:rsid w:val="007C3643"/>
    <w:rsid w:val="007E00D2"/>
    <w:rsid w:val="007E2AD4"/>
    <w:rsid w:val="008263C6"/>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619C5"/>
    <w:rsid w:val="00A808E1"/>
    <w:rsid w:val="00A8262F"/>
    <w:rsid w:val="00A84B32"/>
    <w:rsid w:val="00A84B3A"/>
    <w:rsid w:val="00A86CC1"/>
    <w:rsid w:val="00A93B71"/>
    <w:rsid w:val="00AB0B32"/>
    <w:rsid w:val="00AB5C39"/>
    <w:rsid w:val="00AB75A9"/>
    <w:rsid w:val="00AD1C5C"/>
    <w:rsid w:val="00AD566F"/>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6846"/>
    <w:rsid w:val="00C34851"/>
    <w:rsid w:val="00C42A5B"/>
    <w:rsid w:val="00C56038"/>
    <w:rsid w:val="00C560A7"/>
    <w:rsid w:val="00C72664"/>
    <w:rsid w:val="00C86F24"/>
    <w:rsid w:val="00CA38C9"/>
    <w:rsid w:val="00CB4984"/>
    <w:rsid w:val="00CB5DD7"/>
    <w:rsid w:val="00CB77D5"/>
    <w:rsid w:val="00CC14F0"/>
    <w:rsid w:val="00CE3B0F"/>
    <w:rsid w:val="00CE40BB"/>
    <w:rsid w:val="00CF1C71"/>
    <w:rsid w:val="00D07696"/>
    <w:rsid w:val="00D11956"/>
    <w:rsid w:val="00D150A6"/>
    <w:rsid w:val="00D15A98"/>
    <w:rsid w:val="00D500DC"/>
    <w:rsid w:val="00D54B39"/>
    <w:rsid w:val="00D64FF3"/>
    <w:rsid w:val="00D657A2"/>
    <w:rsid w:val="00D760C8"/>
    <w:rsid w:val="00D83FFD"/>
    <w:rsid w:val="00D8617D"/>
    <w:rsid w:val="00D92563"/>
    <w:rsid w:val="00DC7C10"/>
    <w:rsid w:val="00DD26B1"/>
    <w:rsid w:val="00DD5177"/>
    <w:rsid w:val="00DE16B8"/>
    <w:rsid w:val="00DE4CC2"/>
    <w:rsid w:val="00DF23FC"/>
    <w:rsid w:val="00DF39CD"/>
    <w:rsid w:val="00E002D8"/>
    <w:rsid w:val="00E0094D"/>
    <w:rsid w:val="00E016D9"/>
    <w:rsid w:val="00E13427"/>
    <w:rsid w:val="00E1374D"/>
    <w:rsid w:val="00E20134"/>
    <w:rsid w:val="00E22B27"/>
    <w:rsid w:val="00E24CB2"/>
    <w:rsid w:val="00E3536D"/>
    <w:rsid w:val="00E44456"/>
    <w:rsid w:val="00E553B9"/>
    <w:rsid w:val="00E56E57"/>
    <w:rsid w:val="00E6599B"/>
    <w:rsid w:val="00E664F5"/>
    <w:rsid w:val="00E726DE"/>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7316"/>
    <w:rsid w:val="00F55DA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link w:val="ResNoChar"/>
    <w:uiPriority w:val="99"/>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character" w:customStyle="1" w:styleId="NormalaftertitleChar">
    <w:name w:val="Normal after title Char"/>
    <w:link w:val="Normalaftertitle"/>
    <w:locked/>
    <w:rsid w:val="00734F7E"/>
    <w:rPr>
      <w:rFonts w:ascii="Calibri" w:hAnsi="Calibri"/>
      <w:sz w:val="24"/>
      <w:lang w:val="en-GB" w:eastAsia="en-US"/>
    </w:rPr>
  </w:style>
  <w:style w:type="character" w:customStyle="1" w:styleId="CallChar">
    <w:name w:val="Call Char"/>
    <w:link w:val="Call"/>
    <w:locked/>
    <w:rsid w:val="00734F7E"/>
    <w:rPr>
      <w:rFonts w:ascii="Calibri" w:hAnsi="Calibri"/>
      <w:i/>
      <w:sz w:val="24"/>
      <w:lang w:val="en-GB" w:eastAsia="en-US"/>
    </w:rPr>
  </w:style>
  <w:style w:type="character" w:customStyle="1" w:styleId="href">
    <w:name w:val="href"/>
    <w:basedOn w:val="DefaultParagraphFont"/>
    <w:uiPriority w:val="99"/>
    <w:rsid w:val="00734F7E"/>
    <w:rPr>
      <w:color w:val="auto"/>
    </w:rPr>
  </w:style>
  <w:style w:type="character" w:customStyle="1" w:styleId="ResNoChar">
    <w:name w:val="Res_No Char"/>
    <w:basedOn w:val="DefaultParagraphFont"/>
    <w:link w:val="ResNo"/>
    <w:uiPriority w:val="99"/>
    <w:rsid w:val="00734F7E"/>
    <w:rPr>
      <w:rFonts w:ascii="Calibri" w:hAnsi="Calibri"/>
      <w:caps/>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link w:val="ResNoChar"/>
    <w:uiPriority w:val="99"/>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character" w:customStyle="1" w:styleId="NormalaftertitleChar">
    <w:name w:val="Normal after title Char"/>
    <w:link w:val="Normalaftertitle"/>
    <w:locked/>
    <w:rsid w:val="00734F7E"/>
    <w:rPr>
      <w:rFonts w:ascii="Calibri" w:hAnsi="Calibri"/>
      <w:sz w:val="24"/>
      <w:lang w:val="en-GB" w:eastAsia="en-US"/>
    </w:rPr>
  </w:style>
  <w:style w:type="character" w:customStyle="1" w:styleId="CallChar">
    <w:name w:val="Call Char"/>
    <w:link w:val="Call"/>
    <w:locked/>
    <w:rsid w:val="00734F7E"/>
    <w:rPr>
      <w:rFonts w:ascii="Calibri" w:hAnsi="Calibri"/>
      <w:i/>
      <w:sz w:val="24"/>
      <w:lang w:val="en-GB" w:eastAsia="en-US"/>
    </w:rPr>
  </w:style>
  <w:style w:type="character" w:customStyle="1" w:styleId="href">
    <w:name w:val="href"/>
    <w:basedOn w:val="DefaultParagraphFont"/>
    <w:uiPriority w:val="99"/>
    <w:rsid w:val="00734F7E"/>
    <w:rPr>
      <w:color w:val="auto"/>
    </w:rPr>
  </w:style>
  <w:style w:type="character" w:customStyle="1" w:styleId="ResNoChar">
    <w:name w:val="Res_No Char"/>
    <w:basedOn w:val="DefaultParagraphFont"/>
    <w:link w:val="ResNo"/>
    <w:uiPriority w:val="99"/>
    <w:rsid w:val="00734F7E"/>
    <w:rPr>
      <w:rFonts w:ascii="Calibri" w:hAnsi="Calibr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412</Words>
  <Characters>2591</Characters>
  <Application>Microsoft Office Word</Application>
  <DocSecurity>0</DocSecurity>
  <Lines>21</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2998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(PP-10)</dc:subject>
  <dc:creator>unknown</dc:creator>
  <cp:keywords>PP-10</cp:keywords>
  <cp:lastModifiedBy>Brouard, Ricarda</cp:lastModifiedBy>
  <cp:revision>5</cp:revision>
  <cp:lastPrinted>2014-06-10T10:08:00Z</cp:lastPrinted>
  <dcterms:created xsi:type="dcterms:W3CDTF">2014-06-10T09:57:00Z</dcterms:created>
  <dcterms:modified xsi:type="dcterms:W3CDTF">2014-06-18T15:01:00Z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