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6A046E">
        <w:trPr>
          <w:cantSplit/>
        </w:trPr>
        <w:tc>
          <w:tcPr>
            <w:tcW w:w="6911" w:type="dxa"/>
          </w:tcPr>
          <w:p w:rsidR="00BD1614" w:rsidRPr="00960D89" w:rsidRDefault="00BD1614" w:rsidP="006A046E">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Pr>
                <w:b/>
                <w:smallCaps/>
                <w:sz w:val="30"/>
                <w:szCs w:val="30"/>
                <w:lang w:val="fr-CH"/>
              </w:rPr>
              <w:t>4</w:t>
            </w:r>
            <w:proofErr w:type="gramStart"/>
            <w:r w:rsidRPr="000F6395">
              <w:rPr>
                <w:b/>
                <w:smallCaps/>
                <w:sz w:val="30"/>
                <w:szCs w:val="30"/>
                <w:lang w:val="fr-CH"/>
              </w:rPr>
              <w:t>)</w:t>
            </w:r>
            <w:proofErr w:type="gramEnd"/>
            <w:r w:rsidRPr="000F6395">
              <w:rPr>
                <w:b/>
                <w:smallCaps/>
                <w:sz w:val="36"/>
                <w:lang w:val="fr-CH"/>
              </w:rPr>
              <w:br/>
            </w:r>
            <w:r>
              <w:rPr>
                <w:rFonts w:cs="Times New Roman Bold"/>
                <w:b/>
                <w:bCs/>
                <w:szCs w:val="24"/>
                <w:lang w:val="fr-CH"/>
              </w:rPr>
              <w:t>Busan</w:t>
            </w:r>
            <w:r w:rsidRPr="000F6395">
              <w:rPr>
                <w:rFonts w:cs="Times New Roman Bold"/>
                <w:b/>
                <w:bCs/>
                <w:szCs w:val="24"/>
                <w:lang w:val="fr-CH"/>
              </w:rPr>
              <w:t xml:space="preserve">, </w:t>
            </w:r>
            <w:r>
              <w:rPr>
                <w:rFonts w:cs="Times New Roman Bold"/>
                <w:b/>
                <w:bCs/>
                <w:szCs w:val="24"/>
                <w:lang w:val="fr-CH"/>
              </w:rPr>
              <w:t>20</w:t>
            </w:r>
            <w:r w:rsidRPr="000F6395">
              <w:rPr>
                <w:rFonts w:cs="Times New Roman Bold"/>
                <w:b/>
                <w:bCs/>
                <w:szCs w:val="24"/>
                <w:lang w:val="fr-CH"/>
              </w:rPr>
              <w:t xml:space="preserve"> octobre </w:t>
            </w:r>
            <w:r>
              <w:rPr>
                <w:rFonts w:cs="Times New Roman Bold"/>
                <w:b/>
                <w:bCs/>
                <w:szCs w:val="24"/>
                <w:lang w:val="fr-CH"/>
              </w:rPr>
              <w:t>- 7 novembre 2014</w:t>
            </w:r>
          </w:p>
        </w:tc>
        <w:tc>
          <w:tcPr>
            <w:tcW w:w="3120" w:type="dxa"/>
          </w:tcPr>
          <w:p w:rsidR="00BD1614" w:rsidRPr="008C10D9" w:rsidRDefault="00BD1614" w:rsidP="006A046E">
            <w:pPr>
              <w:spacing w:before="0" w:line="240" w:lineRule="atLeast"/>
              <w:rPr>
                <w:rFonts w:cstheme="minorHAnsi"/>
                <w:lang w:val="en-US"/>
              </w:rPr>
            </w:pPr>
            <w:bookmarkStart w:id="2" w:name="ditulogo"/>
            <w:bookmarkEnd w:id="2"/>
            <w:r w:rsidRPr="008C10D9">
              <w:rPr>
                <w:rFonts w:cstheme="minorHAnsi"/>
                <w:b/>
                <w:bCs/>
                <w:noProof/>
                <w:lang w:val="en-US" w:eastAsia="zh-CN"/>
              </w:rPr>
              <w:drawing>
                <wp:inline distT="0" distB="0" distL="0" distR="0" wp14:anchorId="2F079DD7" wp14:editId="523EFA6D">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0F58F7" w:rsidTr="006A046E">
        <w:trPr>
          <w:cantSplit/>
        </w:trPr>
        <w:tc>
          <w:tcPr>
            <w:tcW w:w="6911" w:type="dxa"/>
            <w:tcBorders>
              <w:bottom w:val="single" w:sz="12" w:space="0" w:color="auto"/>
            </w:tcBorders>
          </w:tcPr>
          <w:p w:rsidR="00BD1614" w:rsidRPr="008C10D9" w:rsidRDefault="00BD1614" w:rsidP="006A046E">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BD1614" w:rsidRPr="000F58F7" w:rsidRDefault="00BD1614" w:rsidP="000F58F7">
            <w:pPr>
              <w:spacing w:before="0" w:after="48" w:line="240" w:lineRule="atLeast"/>
              <w:rPr>
                <w:rFonts w:cstheme="minorHAnsi"/>
                <w:b/>
                <w:smallCaps/>
                <w:szCs w:val="24"/>
                <w:lang w:val="en-US"/>
              </w:rPr>
            </w:pPr>
          </w:p>
        </w:tc>
      </w:tr>
      <w:tr w:rsidR="00BD1614" w:rsidRPr="002A6F8F" w:rsidTr="006A046E">
        <w:trPr>
          <w:cantSplit/>
        </w:trPr>
        <w:tc>
          <w:tcPr>
            <w:tcW w:w="6911" w:type="dxa"/>
            <w:tcBorders>
              <w:top w:val="single" w:sz="12" w:space="0" w:color="auto"/>
            </w:tcBorders>
          </w:tcPr>
          <w:p w:rsidR="00BD1614" w:rsidRPr="008C10D9" w:rsidRDefault="00BD1614" w:rsidP="003D637A">
            <w:pPr>
              <w:spacing w:before="0"/>
              <w:rPr>
                <w:rFonts w:cstheme="minorHAnsi"/>
                <w:b/>
                <w:smallCaps/>
                <w:szCs w:val="24"/>
                <w:lang w:val="en-US"/>
              </w:rPr>
            </w:pPr>
          </w:p>
        </w:tc>
        <w:tc>
          <w:tcPr>
            <w:tcW w:w="3120" w:type="dxa"/>
            <w:tcBorders>
              <w:top w:val="single" w:sz="12" w:space="0" w:color="auto"/>
            </w:tcBorders>
          </w:tcPr>
          <w:p w:rsidR="00BD1614" w:rsidRPr="008C10D9" w:rsidRDefault="00BD1614" w:rsidP="003D637A">
            <w:pPr>
              <w:spacing w:before="0"/>
              <w:rPr>
                <w:rFonts w:cstheme="minorHAnsi"/>
                <w:szCs w:val="24"/>
                <w:lang w:val="en-US"/>
              </w:rPr>
            </w:pPr>
          </w:p>
        </w:tc>
      </w:tr>
      <w:tr w:rsidR="00BD1614" w:rsidRPr="002A6F8F" w:rsidTr="006A046E">
        <w:trPr>
          <w:cantSplit/>
        </w:trPr>
        <w:tc>
          <w:tcPr>
            <w:tcW w:w="6911" w:type="dxa"/>
          </w:tcPr>
          <w:p w:rsidR="00BD1614" w:rsidRPr="008C10D9" w:rsidRDefault="00BD1614" w:rsidP="003D637A">
            <w:pPr>
              <w:pStyle w:val="Committee"/>
              <w:framePr w:hSpace="0" w:wrap="auto" w:hAnchor="text" w:yAlign="inline"/>
              <w:spacing w:after="0" w:line="240" w:lineRule="auto"/>
            </w:pPr>
            <w:r w:rsidRPr="008C10D9">
              <w:t>SÉANCE PLÉNIÈRE</w:t>
            </w:r>
          </w:p>
        </w:tc>
        <w:tc>
          <w:tcPr>
            <w:tcW w:w="3120" w:type="dxa"/>
          </w:tcPr>
          <w:p w:rsidR="00BD1614" w:rsidRPr="008C10D9" w:rsidRDefault="00BD1614" w:rsidP="003D637A">
            <w:pPr>
              <w:spacing w:before="0"/>
              <w:rPr>
                <w:rFonts w:cstheme="minorHAnsi"/>
                <w:szCs w:val="24"/>
                <w:lang w:val="en-US"/>
              </w:rPr>
            </w:pPr>
            <w:r>
              <w:rPr>
                <w:rFonts w:cstheme="minorHAnsi"/>
                <w:b/>
                <w:szCs w:val="24"/>
                <w:lang w:val="en-US"/>
              </w:rPr>
              <w:t>Addendum 1 au</w:t>
            </w:r>
            <w:r>
              <w:rPr>
                <w:rFonts w:cstheme="minorHAnsi"/>
                <w:b/>
                <w:szCs w:val="24"/>
                <w:lang w:val="en-US"/>
              </w:rPr>
              <w:br/>
              <w:t>Document 34</w:t>
            </w:r>
            <w:r w:rsidR="005F63BD" w:rsidRPr="00F44B1A">
              <w:rPr>
                <w:rFonts w:cstheme="minorHAnsi"/>
                <w:b/>
                <w:szCs w:val="24"/>
              </w:rPr>
              <w:t>-F</w:t>
            </w:r>
          </w:p>
        </w:tc>
      </w:tr>
      <w:tr w:rsidR="00BD1614" w:rsidRPr="002A6F8F" w:rsidTr="006A046E">
        <w:trPr>
          <w:cantSplit/>
        </w:trPr>
        <w:tc>
          <w:tcPr>
            <w:tcW w:w="6911" w:type="dxa"/>
          </w:tcPr>
          <w:p w:rsidR="00BD1614" w:rsidRPr="00D0464B" w:rsidRDefault="00BD1614" w:rsidP="003D637A">
            <w:pPr>
              <w:spacing w:before="0"/>
              <w:rPr>
                <w:rFonts w:cstheme="minorHAnsi"/>
                <w:b/>
                <w:szCs w:val="24"/>
                <w:lang w:val="en-US"/>
              </w:rPr>
            </w:pPr>
          </w:p>
        </w:tc>
        <w:tc>
          <w:tcPr>
            <w:tcW w:w="3120" w:type="dxa"/>
          </w:tcPr>
          <w:p w:rsidR="00BD1614" w:rsidRPr="008C10D9" w:rsidRDefault="00BD1614" w:rsidP="003D637A">
            <w:pPr>
              <w:spacing w:before="0"/>
              <w:rPr>
                <w:rFonts w:cstheme="minorHAnsi"/>
                <w:b/>
                <w:szCs w:val="24"/>
                <w:lang w:val="en-US"/>
              </w:rPr>
            </w:pPr>
            <w:r w:rsidRPr="008C10D9">
              <w:rPr>
                <w:rFonts w:cstheme="minorHAnsi"/>
                <w:b/>
                <w:szCs w:val="24"/>
                <w:lang w:val="en-US"/>
              </w:rPr>
              <w:t xml:space="preserve">28 </w:t>
            </w:r>
            <w:r w:rsidRPr="00D43C6D">
              <w:rPr>
                <w:rFonts w:cstheme="minorHAnsi"/>
                <w:b/>
                <w:szCs w:val="24"/>
                <w:lang w:val="fr-CH"/>
              </w:rPr>
              <w:t>février</w:t>
            </w:r>
            <w:r w:rsidRPr="008C10D9">
              <w:rPr>
                <w:rFonts w:cstheme="minorHAnsi"/>
                <w:b/>
                <w:szCs w:val="24"/>
                <w:lang w:val="en-US"/>
              </w:rPr>
              <w:t xml:space="preserve"> 2014</w:t>
            </w:r>
          </w:p>
        </w:tc>
      </w:tr>
      <w:tr w:rsidR="00BD1614" w:rsidRPr="002A6F8F" w:rsidTr="006A046E">
        <w:trPr>
          <w:cantSplit/>
        </w:trPr>
        <w:tc>
          <w:tcPr>
            <w:tcW w:w="6911" w:type="dxa"/>
          </w:tcPr>
          <w:p w:rsidR="00BD1614" w:rsidRPr="008C10D9" w:rsidRDefault="00BD1614" w:rsidP="003D637A">
            <w:pPr>
              <w:spacing w:before="0"/>
              <w:rPr>
                <w:rFonts w:cstheme="minorHAnsi"/>
                <w:b/>
                <w:smallCaps/>
                <w:szCs w:val="24"/>
                <w:lang w:val="en-US"/>
              </w:rPr>
            </w:pPr>
          </w:p>
        </w:tc>
        <w:tc>
          <w:tcPr>
            <w:tcW w:w="3120" w:type="dxa"/>
          </w:tcPr>
          <w:p w:rsidR="00BD1614" w:rsidRPr="008C10D9" w:rsidRDefault="00BD1614" w:rsidP="003D637A">
            <w:pPr>
              <w:spacing w:before="0"/>
              <w:rPr>
                <w:rFonts w:cstheme="minorHAnsi"/>
                <w:b/>
                <w:szCs w:val="24"/>
                <w:lang w:val="en-US"/>
              </w:rPr>
            </w:pPr>
            <w:r w:rsidRPr="008C10D9">
              <w:rPr>
                <w:rFonts w:cstheme="minorHAnsi"/>
                <w:b/>
                <w:szCs w:val="24"/>
                <w:lang w:val="en-US"/>
              </w:rPr>
              <w:t xml:space="preserve">Original: </w:t>
            </w:r>
            <w:r w:rsidRPr="00D43C6D">
              <w:rPr>
                <w:rFonts w:cstheme="minorHAnsi"/>
                <w:b/>
                <w:szCs w:val="24"/>
                <w:lang w:val="fr-CH"/>
              </w:rPr>
              <w:t>anglais</w:t>
            </w:r>
            <w:r w:rsidR="00400D40">
              <w:rPr>
                <w:rFonts w:cstheme="minorHAnsi"/>
                <w:b/>
                <w:szCs w:val="24"/>
                <w:lang w:val="fr-CH"/>
              </w:rPr>
              <w:t>/espagnol</w:t>
            </w:r>
          </w:p>
        </w:tc>
      </w:tr>
      <w:tr w:rsidR="00BD1614" w:rsidRPr="002A6F8F" w:rsidTr="006A046E">
        <w:trPr>
          <w:cantSplit/>
        </w:trPr>
        <w:tc>
          <w:tcPr>
            <w:tcW w:w="10031" w:type="dxa"/>
            <w:gridSpan w:val="2"/>
          </w:tcPr>
          <w:p w:rsidR="00BD1614" w:rsidRPr="008C10D9" w:rsidRDefault="00BD1614" w:rsidP="006A046E">
            <w:pPr>
              <w:spacing w:before="0" w:line="240" w:lineRule="atLeast"/>
              <w:rPr>
                <w:rFonts w:cstheme="minorHAnsi"/>
                <w:b/>
                <w:szCs w:val="24"/>
                <w:lang w:val="en-US"/>
              </w:rPr>
            </w:pPr>
          </w:p>
        </w:tc>
      </w:tr>
      <w:tr w:rsidR="00BD1614" w:rsidRPr="002A6F8F" w:rsidTr="006A046E">
        <w:trPr>
          <w:cantSplit/>
        </w:trPr>
        <w:tc>
          <w:tcPr>
            <w:tcW w:w="10031" w:type="dxa"/>
            <w:gridSpan w:val="2"/>
          </w:tcPr>
          <w:p w:rsidR="00BD1614" w:rsidRPr="00DF466E" w:rsidRDefault="00D43C6D" w:rsidP="00D43C6D">
            <w:pPr>
              <w:pStyle w:val="Source"/>
              <w:rPr>
                <w:lang w:val="fr-CH"/>
              </w:rPr>
            </w:pPr>
            <w:bookmarkStart w:id="4" w:name="dsource" w:colFirst="0" w:colLast="0"/>
            <w:bookmarkEnd w:id="3"/>
            <w:r>
              <w:rPr>
                <w:lang w:val="fr-CH"/>
              </w:rPr>
              <w:t>Etats</w:t>
            </w:r>
            <w:r w:rsidR="00BD1614" w:rsidRPr="00DF466E">
              <w:rPr>
                <w:lang w:val="fr-CH"/>
              </w:rPr>
              <w:t xml:space="preserve"> </w:t>
            </w:r>
            <w:r>
              <w:rPr>
                <w:lang w:val="fr-CH"/>
              </w:rPr>
              <w:t>M</w:t>
            </w:r>
            <w:r w:rsidR="00BD1614" w:rsidRPr="00DF466E">
              <w:rPr>
                <w:lang w:val="fr-CH"/>
              </w:rPr>
              <w:t xml:space="preserve">embres de la </w:t>
            </w:r>
            <w:r>
              <w:rPr>
                <w:lang w:val="fr-CH"/>
              </w:rPr>
              <w:t>Commission interaméricaine des télécommunications (</w:t>
            </w:r>
            <w:r w:rsidR="00BD1614" w:rsidRPr="00DF466E">
              <w:rPr>
                <w:lang w:val="fr-CH"/>
              </w:rPr>
              <w:t>CITEL</w:t>
            </w:r>
            <w:r>
              <w:rPr>
                <w:lang w:val="fr-CH"/>
              </w:rPr>
              <w:t>)</w:t>
            </w:r>
          </w:p>
        </w:tc>
      </w:tr>
      <w:tr w:rsidR="00BD1614" w:rsidRPr="00D43C6D" w:rsidTr="006A046E">
        <w:trPr>
          <w:cantSplit/>
        </w:trPr>
        <w:tc>
          <w:tcPr>
            <w:tcW w:w="10031" w:type="dxa"/>
            <w:gridSpan w:val="2"/>
          </w:tcPr>
          <w:p w:rsidR="00BD1614" w:rsidRPr="00D43C6D" w:rsidRDefault="00D43C6D" w:rsidP="00D43C6D">
            <w:pPr>
              <w:pStyle w:val="Title1"/>
            </w:pPr>
            <w:bookmarkStart w:id="5" w:name="dtitle1" w:colFirst="0" w:colLast="0"/>
            <w:bookmarkEnd w:id="4"/>
            <w:r w:rsidRPr="00D43C6D">
              <w:t>PROPOSITION</w:t>
            </w:r>
            <w:r>
              <w:t xml:space="preserve">s </w:t>
            </w:r>
            <w:r w:rsidRPr="00D43C6D">
              <w:t>int</w:t>
            </w:r>
            <w:r>
              <w:t>e</w:t>
            </w:r>
            <w:r w:rsidRPr="00D43C6D">
              <w:t>raméricaine</w:t>
            </w:r>
            <w:r w:rsidR="00400D40">
              <w:t>S</w:t>
            </w:r>
            <w:r w:rsidRPr="00D43C6D">
              <w:t xml:space="preserve"> pour les travaux de la</w:t>
            </w:r>
            <w:r w:rsidR="00BD1614" w:rsidRPr="00D43C6D">
              <w:t xml:space="preserve"> CONF</w:t>
            </w:r>
            <w:r>
              <w:t>é</w:t>
            </w:r>
            <w:r w:rsidR="00BD1614" w:rsidRPr="00D43C6D">
              <w:t>RENCE</w:t>
            </w:r>
          </w:p>
        </w:tc>
      </w:tr>
      <w:tr w:rsidR="00BD1614" w:rsidRPr="00D43C6D" w:rsidTr="006A046E">
        <w:trPr>
          <w:cantSplit/>
        </w:trPr>
        <w:tc>
          <w:tcPr>
            <w:tcW w:w="10031" w:type="dxa"/>
            <w:gridSpan w:val="2"/>
          </w:tcPr>
          <w:p w:rsidR="00BD1614" w:rsidRPr="00D43C6D" w:rsidRDefault="00BD1614" w:rsidP="006A046E">
            <w:pPr>
              <w:pStyle w:val="Title2"/>
              <w:rPr>
                <w:lang w:val="fr-CH"/>
              </w:rPr>
            </w:pPr>
            <w:bookmarkStart w:id="6" w:name="dtitle2" w:colFirst="0" w:colLast="0"/>
            <w:bookmarkEnd w:id="5"/>
          </w:p>
        </w:tc>
      </w:tr>
      <w:tr w:rsidR="00BD1614" w:rsidRPr="00D43C6D" w:rsidTr="006A046E">
        <w:trPr>
          <w:cantSplit/>
        </w:trPr>
        <w:tc>
          <w:tcPr>
            <w:tcW w:w="10031" w:type="dxa"/>
            <w:gridSpan w:val="2"/>
          </w:tcPr>
          <w:p w:rsidR="00BD1614" w:rsidRPr="00D43C6D" w:rsidRDefault="00BD1614" w:rsidP="006A046E">
            <w:pPr>
              <w:pStyle w:val="Agendaitem"/>
            </w:pPr>
            <w:bookmarkStart w:id="7" w:name="dtitle3" w:colFirst="0" w:colLast="0"/>
            <w:bookmarkEnd w:id="6"/>
          </w:p>
        </w:tc>
      </w:tr>
    </w:tbl>
    <w:bookmarkEnd w:id="7"/>
    <w:p w:rsidR="000D15FB" w:rsidRPr="00DF466E" w:rsidRDefault="00DF466E" w:rsidP="00DF466E">
      <w:pPr>
        <w:pStyle w:val="Headingb"/>
        <w:ind w:left="1134" w:hanging="1134"/>
        <w:rPr>
          <w:lang w:val="fr-CH"/>
        </w:rPr>
      </w:pPr>
      <w:r>
        <w:rPr>
          <w:lang w:val="fr-CH"/>
        </w:rPr>
        <w:t>IAP-1:</w:t>
      </w:r>
      <w:r>
        <w:rPr>
          <w:lang w:val="fr-CH"/>
        </w:rPr>
        <w:tab/>
      </w:r>
      <w:r w:rsidRPr="0023067B">
        <w:rPr>
          <w:lang w:val="fr-CH"/>
        </w:rPr>
        <w:t>PROPOSITION RELATIVE AU GLOSSAIRE DU PLAN STRATÉGIQU</w:t>
      </w:r>
      <w:r w:rsidR="00400D40">
        <w:rPr>
          <w:lang w:val="fr-CH"/>
        </w:rPr>
        <w:t>E DE L'UIT POUR LA PÉRIODE 2016-</w:t>
      </w:r>
      <w:r w:rsidRPr="0023067B">
        <w:rPr>
          <w:lang w:val="fr-CH"/>
        </w:rPr>
        <w:t>2019</w:t>
      </w:r>
    </w:p>
    <w:p w:rsidR="00291216" w:rsidRPr="0032270F" w:rsidRDefault="00795BD7">
      <w:pPr>
        <w:pStyle w:val="Proposal"/>
        <w:rPr>
          <w:lang w:val="fr-CH"/>
        </w:rPr>
      </w:pPr>
      <w:r w:rsidRPr="00DF466E">
        <w:rPr>
          <w:lang w:val="fr-CH"/>
        </w:rPr>
        <w:tab/>
      </w:r>
      <w:r w:rsidRPr="0032270F">
        <w:rPr>
          <w:lang w:val="fr-CH"/>
        </w:rPr>
        <w:t>IAP/34A1/1</w:t>
      </w:r>
    </w:p>
    <w:p w:rsidR="00291216" w:rsidRPr="00567BC1" w:rsidRDefault="00DF466E" w:rsidP="00567BC1">
      <w:pPr>
        <w:jc w:val="center"/>
        <w:rPr>
          <w:b/>
          <w:bCs/>
          <w:sz w:val="28"/>
          <w:szCs w:val="22"/>
          <w:lang w:val="fr-CH"/>
        </w:rPr>
      </w:pPr>
      <w:r w:rsidRPr="00567BC1">
        <w:rPr>
          <w:b/>
          <w:bCs/>
          <w:sz w:val="28"/>
          <w:szCs w:val="22"/>
          <w:lang w:val="fr-CH"/>
        </w:rPr>
        <w:t xml:space="preserve">Proposition relative au Glossaire du Plan stratégique de l'UIT </w:t>
      </w:r>
      <w:r w:rsidRPr="00567BC1">
        <w:rPr>
          <w:b/>
          <w:bCs/>
          <w:sz w:val="28"/>
          <w:szCs w:val="22"/>
          <w:lang w:val="fr-CH"/>
        </w:rPr>
        <w:br/>
      </w:r>
      <w:r w:rsidR="00124D2B" w:rsidRPr="00567BC1">
        <w:rPr>
          <w:b/>
          <w:bCs/>
          <w:sz w:val="28"/>
          <w:szCs w:val="22"/>
          <w:lang w:val="fr-CH"/>
        </w:rPr>
        <w:t>pour la période 2016-</w:t>
      </w:r>
      <w:r w:rsidRPr="00567BC1">
        <w:rPr>
          <w:b/>
          <w:bCs/>
          <w:sz w:val="28"/>
          <w:szCs w:val="22"/>
          <w:lang w:val="fr-CH"/>
        </w:rPr>
        <w:t>2019</w:t>
      </w:r>
    </w:p>
    <w:p w:rsidR="00DF466E" w:rsidRDefault="00DF466E" w:rsidP="00DF466E">
      <w:pPr>
        <w:pStyle w:val="Normalaftertitle"/>
      </w:pPr>
      <w:r>
        <w:t>La</w:t>
      </w:r>
      <w:r w:rsidRPr="001D1B41">
        <w:t xml:space="preserve"> CITEL </w:t>
      </w:r>
      <w:r>
        <w:t xml:space="preserve">présente la proposition de </w:t>
      </w:r>
      <w:r w:rsidRPr="00BB73F5">
        <w:t>Glossaire</w:t>
      </w:r>
      <w:r>
        <w:rPr>
          <w:lang w:val="fr-CH"/>
        </w:rPr>
        <w:t xml:space="preserve"> reproduite dans l'Annexe I</w:t>
      </w:r>
      <w:r>
        <w:t>.</w:t>
      </w:r>
      <w:r w:rsidRPr="001D1B41">
        <w:t xml:space="preserve"> </w:t>
      </w:r>
      <w:r>
        <w:t>Cette</w:t>
      </w:r>
      <w:r w:rsidRPr="001D1B41">
        <w:t xml:space="preserve"> proposition interaméricaine </w:t>
      </w:r>
      <w:r>
        <w:t xml:space="preserve">sera soumise </w:t>
      </w:r>
      <w:r w:rsidRPr="001D1B41">
        <w:t xml:space="preserve">à la </w:t>
      </w:r>
      <w:r w:rsidRPr="001D1B41">
        <w:rPr>
          <w:bCs/>
        </w:rPr>
        <w:t>Conférence mondiale de développement des télécommunications</w:t>
      </w:r>
      <w:r>
        <w:rPr>
          <w:bCs/>
        </w:rPr>
        <w:t xml:space="preserve"> de 2014</w:t>
      </w:r>
      <w:r w:rsidRPr="001D1B41">
        <w:rPr>
          <w:bCs/>
        </w:rPr>
        <w:t xml:space="preserve"> (CMDT-14)</w:t>
      </w:r>
      <w:r w:rsidRPr="001D1B41">
        <w:rPr>
          <w:b/>
        </w:rPr>
        <w:t xml:space="preserve"> </w:t>
      </w:r>
      <w:r w:rsidRPr="001D1B41">
        <w:t>et à la Conférence de plénipotentiaires de l'UIT de 2014 (PP-14).</w:t>
      </w:r>
    </w:p>
    <w:p w:rsidR="0032270F" w:rsidRDefault="0032270F" w:rsidP="0032270F"/>
    <w:p w:rsidR="0032270F" w:rsidRDefault="0032270F" w:rsidP="0032270F"/>
    <w:p w:rsidR="0032270F" w:rsidRDefault="0032270F" w:rsidP="0032270F"/>
    <w:p w:rsidR="0032270F" w:rsidRPr="0032270F" w:rsidRDefault="0032270F" w:rsidP="0032270F"/>
    <w:p w:rsidR="0032270F" w:rsidRPr="0032270F" w:rsidRDefault="0032270F" w:rsidP="0032270F">
      <w:r w:rsidRPr="0085001C">
        <w:rPr>
          <w:b/>
          <w:bCs/>
        </w:rPr>
        <w:t>Annexe I</w:t>
      </w:r>
      <w:r>
        <w:t>: Glossaire du Plan stratégique de l'Union pour la période 2016-2019</w:t>
      </w:r>
    </w:p>
    <w:p w:rsidR="00291216" w:rsidRDefault="00291216" w:rsidP="00D7033F">
      <w:pPr>
        <w:rPr>
          <w:lang w:val="fr-CH"/>
        </w:rPr>
      </w:pPr>
    </w:p>
    <w:p w:rsidR="00DF466E" w:rsidRDefault="00DF466E" w:rsidP="00D7033F">
      <w:pPr>
        <w:rPr>
          <w:lang w:val="fr-CH"/>
        </w:rPr>
        <w:sectPr w:rsidR="00DF466E" w:rsidSect="003A0B7D">
          <w:headerReference w:type="default" r:id="rId13"/>
          <w:footerReference w:type="default" r:id="rId14"/>
          <w:footerReference w:type="first" r:id="rId15"/>
          <w:type w:val="continuous"/>
          <w:pgSz w:w="11913" w:h="16834"/>
          <w:pgMar w:top="1418" w:right="1134" w:bottom="1418" w:left="1134" w:header="720" w:footer="720" w:gutter="0"/>
          <w:paperSrc w:first="15" w:other="15"/>
          <w:cols w:space="720"/>
          <w:titlePg/>
        </w:sectPr>
      </w:pPr>
    </w:p>
    <w:p w:rsidR="00DF466E" w:rsidRPr="00BD1C0A" w:rsidRDefault="00DF466E" w:rsidP="00DF466E">
      <w:pPr>
        <w:pStyle w:val="AnnexNo"/>
        <w:rPr>
          <w:bCs/>
        </w:rPr>
      </w:pPr>
      <w:r w:rsidRPr="00BD1C0A">
        <w:lastRenderedPageBreak/>
        <w:t>Annex</w:t>
      </w:r>
      <w:r w:rsidRPr="00BB73F5">
        <w:t>e</w:t>
      </w:r>
      <w:r>
        <w:t xml:space="preserve"> I</w:t>
      </w:r>
    </w:p>
    <w:p w:rsidR="00DF466E" w:rsidRPr="00D4259E" w:rsidRDefault="00DF466E" w:rsidP="00DF466E">
      <w:pPr>
        <w:pStyle w:val="Annextitle"/>
        <w:rPr>
          <w:bCs/>
        </w:rPr>
      </w:pPr>
      <w:r w:rsidRPr="00BB73F5">
        <w:t>Glossaire préliminaire approuvé du Plan stratégique de l'Union pour la période 2016-2019</w:t>
      </w:r>
    </w:p>
    <w:tbl>
      <w:tblPr>
        <w:tblStyle w:val="TableGrid"/>
        <w:tblW w:w="14743" w:type="dxa"/>
        <w:tblLook w:val="04A0" w:firstRow="1" w:lastRow="0" w:firstColumn="1" w:lastColumn="0" w:noHBand="0" w:noVBand="1"/>
      </w:tblPr>
      <w:tblGrid>
        <w:gridCol w:w="1527"/>
        <w:gridCol w:w="2819"/>
        <w:gridCol w:w="4779"/>
        <w:gridCol w:w="5618"/>
      </w:tblGrid>
      <w:tr w:rsidR="00DF466E" w:rsidRPr="00BB73F5" w:rsidTr="007678DD">
        <w:trPr>
          <w:trHeight w:val="423"/>
          <w:tblHeader/>
        </w:trPr>
        <w:tc>
          <w:tcPr>
            <w:tcW w:w="1527" w:type="dxa"/>
            <w:shd w:val="clear" w:color="auto" w:fill="C6D9F1" w:themeFill="text2" w:themeFillTint="33"/>
          </w:tcPr>
          <w:p w:rsidR="00DF466E" w:rsidRPr="00D4259E" w:rsidRDefault="00DF466E" w:rsidP="004B4D95">
            <w:pPr>
              <w:pStyle w:val="Tablehead"/>
              <w:rPr>
                <w:rFonts w:cstheme="majorBidi"/>
                <w:bCs/>
                <w:i/>
                <w:iCs/>
              </w:rPr>
            </w:pPr>
            <w:r w:rsidRPr="00D4259E">
              <w:rPr>
                <w:rFonts w:cstheme="majorBidi"/>
              </w:rPr>
              <w:t>Terme</w:t>
            </w:r>
          </w:p>
        </w:tc>
        <w:tc>
          <w:tcPr>
            <w:tcW w:w="2819" w:type="dxa"/>
            <w:shd w:val="clear" w:color="auto" w:fill="C6D9F1" w:themeFill="text2" w:themeFillTint="33"/>
          </w:tcPr>
          <w:p w:rsidR="00DF466E" w:rsidRPr="00D4259E" w:rsidRDefault="00DF466E" w:rsidP="004B4D95">
            <w:pPr>
              <w:pStyle w:val="Tablehead"/>
              <w:rPr>
                <w:rFonts w:cstheme="majorBidi"/>
                <w:bCs/>
                <w:i/>
                <w:iCs/>
              </w:rPr>
            </w:pPr>
            <w:r w:rsidRPr="00D4259E">
              <w:rPr>
                <w:rFonts w:cstheme="majorBidi"/>
              </w:rPr>
              <w:t xml:space="preserve">Glossaire dans l'actuel Plan stratégique </w:t>
            </w:r>
          </w:p>
        </w:tc>
        <w:tc>
          <w:tcPr>
            <w:tcW w:w="4779" w:type="dxa"/>
            <w:shd w:val="clear" w:color="auto" w:fill="C6D9F1" w:themeFill="text2" w:themeFillTint="33"/>
          </w:tcPr>
          <w:p w:rsidR="00DF466E" w:rsidRPr="00D4259E" w:rsidRDefault="00DF466E" w:rsidP="004B4D95">
            <w:pPr>
              <w:pStyle w:val="Tablehead"/>
              <w:rPr>
                <w:rFonts w:cstheme="majorBidi"/>
                <w:bCs/>
              </w:rPr>
            </w:pPr>
            <w:r w:rsidRPr="00D4259E">
              <w:rPr>
                <w:rFonts w:cstheme="majorBidi"/>
              </w:rPr>
              <w:t>Glossaire dans le budget 2010-2011</w:t>
            </w:r>
          </w:p>
        </w:tc>
        <w:tc>
          <w:tcPr>
            <w:tcW w:w="5618" w:type="dxa"/>
            <w:shd w:val="clear" w:color="auto" w:fill="C6D9F1" w:themeFill="text2" w:themeFillTint="33"/>
          </w:tcPr>
          <w:p w:rsidR="00DF466E" w:rsidRPr="00D4259E" w:rsidRDefault="00DF466E" w:rsidP="004B4D95">
            <w:pPr>
              <w:pStyle w:val="Tablehead"/>
              <w:rPr>
                <w:rFonts w:cstheme="majorBidi"/>
                <w:bCs/>
              </w:rPr>
            </w:pPr>
            <w:r w:rsidRPr="00D4259E">
              <w:rPr>
                <w:rFonts w:cstheme="majorBidi"/>
              </w:rPr>
              <w:t>Version de travail</w:t>
            </w:r>
          </w:p>
        </w:tc>
      </w:tr>
      <w:tr w:rsidR="00DF466E" w:rsidRPr="00BB73F5" w:rsidTr="007678DD">
        <w:tc>
          <w:tcPr>
            <w:tcW w:w="1527" w:type="dxa"/>
          </w:tcPr>
          <w:p w:rsidR="00DF466E" w:rsidRPr="00BB73F5" w:rsidRDefault="00DF466E" w:rsidP="004B4D95">
            <w:pPr>
              <w:pStyle w:val="Tabletext"/>
              <w:rPr>
                <w:rFonts w:cstheme="majorBidi"/>
                <w:b/>
                <w:bCs/>
              </w:rPr>
            </w:pPr>
            <w:r w:rsidRPr="00BB73F5">
              <w:rPr>
                <w:rFonts w:cstheme="majorBidi"/>
              </w:rPr>
              <w:t>Activités</w:t>
            </w:r>
          </w:p>
        </w:tc>
        <w:tc>
          <w:tcPr>
            <w:tcW w:w="2819" w:type="dxa"/>
          </w:tcPr>
          <w:p w:rsidR="00DF466E" w:rsidRPr="00BB73F5" w:rsidRDefault="00DF466E" w:rsidP="004B4D95">
            <w:pPr>
              <w:pStyle w:val="Tabletext"/>
              <w:jc w:val="center"/>
              <w:rPr>
                <w:rFonts w:cstheme="majorBidi"/>
              </w:rPr>
            </w:pPr>
            <w:r w:rsidRPr="00BB73F5">
              <w:rPr>
                <w:rFonts w:cstheme="majorBidi"/>
              </w:rPr>
              <w:t>–</w:t>
            </w:r>
          </w:p>
        </w:tc>
        <w:tc>
          <w:tcPr>
            <w:tcW w:w="4779" w:type="dxa"/>
          </w:tcPr>
          <w:p w:rsidR="00DF466E" w:rsidRPr="00BB73F5" w:rsidRDefault="00DF466E" w:rsidP="004B4D95">
            <w:pPr>
              <w:pStyle w:val="Tabletext"/>
              <w:rPr>
                <w:rFonts w:cstheme="majorBidi"/>
              </w:rPr>
            </w:pPr>
            <w:r w:rsidRPr="00BB73F5">
              <w:rPr>
                <w:rFonts w:cstheme="majorBidi"/>
              </w:rPr>
              <w:t>Différentes mesures ou différents services d'un département ou du Bureau d'un Secteur (centre de coût) destinés à transformer des ressources (intrants) en produits. Il s'agit de tâches opérationnelles courantes exécutées par les fonctionnaires dans l'exercice quotidien de leurs fonctions. Une activité peut être indépendante ou, au contraire, constituer un élément d'un processus opérationnel complet. Le nombre des activités d'un département doit correspondre aux services que ce département offre à ses différents clients à l'intérieur et à l'extérieur de l'organisation. Les activités générales s'appliquent à l'ensemble de l'Union. Les activités spécifiques s'appliquent uniquement au département ou au Bureau du Secteur qui offre les services en question.</w:t>
            </w:r>
          </w:p>
        </w:tc>
        <w:tc>
          <w:tcPr>
            <w:tcW w:w="5618" w:type="dxa"/>
          </w:tcPr>
          <w:p w:rsidR="00DF466E" w:rsidRPr="00BB73F5" w:rsidRDefault="00DF466E" w:rsidP="004B4D95">
            <w:pPr>
              <w:pStyle w:val="Tabletext"/>
              <w:rPr>
                <w:rFonts w:cstheme="majorBidi"/>
              </w:rPr>
            </w:pPr>
            <w:r w:rsidRPr="00BB73F5">
              <w:rPr>
                <w:rFonts w:cstheme="majorBidi"/>
              </w:rPr>
              <w:t xml:space="preserve">Les activités sont les divers travaux/services permettant de transformer les ressources (contributions) en produits. </w:t>
            </w:r>
          </w:p>
        </w:tc>
      </w:tr>
      <w:tr w:rsidR="00DF466E" w:rsidRPr="00BB73F5" w:rsidTr="007678DD">
        <w:tc>
          <w:tcPr>
            <w:tcW w:w="1527" w:type="dxa"/>
          </w:tcPr>
          <w:p w:rsidR="00DF466E" w:rsidRPr="0032270F" w:rsidRDefault="00DF466E" w:rsidP="004B4D95">
            <w:pPr>
              <w:spacing w:before="60" w:after="60"/>
              <w:rPr>
                <w:rFonts w:cstheme="majorBidi"/>
                <w:b/>
                <w:bCs/>
                <w:sz w:val="22"/>
              </w:rPr>
            </w:pPr>
            <w:r w:rsidRPr="0032270F">
              <w:rPr>
                <w:rFonts w:cstheme="majorBidi"/>
                <w:sz w:val="22"/>
              </w:rPr>
              <w:t>Résultats attendus</w:t>
            </w:r>
          </w:p>
        </w:tc>
        <w:tc>
          <w:tcPr>
            <w:tcW w:w="2819" w:type="dxa"/>
          </w:tcPr>
          <w:p w:rsidR="00DF466E" w:rsidRPr="0032270F" w:rsidRDefault="00DF466E" w:rsidP="004B4D95">
            <w:pPr>
              <w:spacing w:before="60" w:after="60"/>
              <w:rPr>
                <w:rFonts w:cstheme="majorBidi"/>
                <w:sz w:val="22"/>
              </w:rPr>
            </w:pPr>
            <w:r w:rsidRPr="0032270F">
              <w:rPr>
                <w:rFonts w:cstheme="majorBidi"/>
                <w:sz w:val="22"/>
              </w:rPr>
              <w:t xml:space="preserve">Les résultats attendus doivent refléter l'aboutissement souhaité des activités (produits, que l'on appelle quelquefois "résultats"). Ils devraient être, s'il y a lieu, rattachés aux objectifs qui </w:t>
            </w:r>
            <w:r w:rsidRPr="0032270F">
              <w:rPr>
                <w:rFonts w:cstheme="majorBidi"/>
                <w:sz w:val="22"/>
              </w:rPr>
              <w:lastRenderedPageBreak/>
              <w:t>sous-tendent le Plan stratégique.</w:t>
            </w:r>
          </w:p>
        </w:tc>
        <w:tc>
          <w:tcPr>
            <w:tcW w:w="4779" w:type="dxa"/>
          </w:tcPr>
          <w:p w:rsidR="00DF466E" w:rsidRPr="00BB73F5" w:rsidRDefault="00DF466E" w:rsidP="004B4D95">
            <w:pPr>
              <w:pStyle w:val="Tabletext"/>
              <w:rPr>
                <w:rFonts w:cstheme="majorBidi"/>
              </w:rPr>
            </w:pPr>
            <w:r w:rsidRPr="00BB73F5">
              <w:rPr>
                <w:rFonts w:cstheme="majorBidi"/>
              </w:rPr>
              <w:lastRenderedPageBreak/>
              <w:t xml:space="preserve">Les résultats attendus doivent refléter l'aboutissement souhaité des activités (produits). Lorsque cela est possible, ils doivent être coordonnés avec les objectifs qui sous-tendent le Plan stratégique. Par ailleurs, ils peuvent être exprimés sous forme d'une norme, d'une valeur ou d'un taux quantitatif visant à la réalisation d'un objectif donné. Ils peuvent également être </w:t>
            </w:r>
            <w:r w:rsidRPr="00BB73F5">
              <w:rPr>
                <w:rFonts w:cstheme="majorBidi"/>
              </w:rPr>
              <w:lastRenderedPageBreak/>
              <w:t>exprimés en termes de qualité et de rapidité d'exécution. A partir de la description des résultats attendus, il est possible de déduire des indicateurs fondamentaux de performance propres à quantifier et à mesurer les résultats.</w:t>
            </w:r>
          </w:p>
        </w:tc>
        <w:tc>
          <w:tcPr>
            <w:tcW w:w="5618" w:type="dxa"/>
          </w:tcPr>
          <w:p w:rsidR="00DF466E" w:rsidRPr="00BB73F5" w:rsidRDefault="00DF466E" w:rsidP="004B4D95">
            <w:pPr>
              <w:pStyle w:val="Tabletext"/>
              <w:rPr>
                <w:rFonts w:cstheme="majorBidi"/>
              </w:rPr>
            </w:pPr>
            <w:r w:rsidRPr="00BB73F5">
              <w:rPr>
                <w:rFonts w:cstheme="majorBidi"/>
              </w:rPr>
              <w:lastRenderedPageBreak/>
              <w:t>Les résultats attendus doivent refléter les produits souhaités conduisant à la réalisation des objectifs. Ils devraient être évalués par rapport aux résultats concrets. Ils devraient être rattachés, le cas échéant, aux objectifs correspondants du Plan stratégique.</w:t>
            </w:r>
          </w:p>
        </w:tc>
      </w:tr>
      <w:tr w:rsidR="00DF466E" w:rsidRPr="00BB73F5" w:rsidTr="007678DD">
        <w:tc>
          <w:tcPr>
            <w:tcW w:w="1527" w:type="dxa"/>
          </w:tcPr>
          <w:p w:rsidR="00DF466E" w:rsidRPr="00BB73F5" w:rsidRDefault="00DF466E" w:rsidP="004B4D95">
            <w:pPr>
              <w:pStyle w:val="Tabletext"/>
              <w:rPr>
                <w:rFonts w:cstheme="majorBidi"/>
                <w:b/>
                <w:bCs/>
              </w:rPr>
            </w:pPr>
            <w:r w:rsidRPr="00BB73F5">
              <w:rPr>
                <w:rFonts w:cstheme="majorBidi"/>
              </w:rPr>
              <w:lastRenderedPageBreak/>
              <w:t>Plan financier</w:t>
            </w:r>
          </w:p>
        </w:tc>
        <w:tc>
          <w:tcPr>
            <w:tcW w:w="2819" w:type="dxa"/>
          </w:tcPr>
          <w:p w:rsidR="00DF466E" w:rsidRPr="00BB73F5" w:rsidRDefault="00DF466E" w:rsidP="004B4D95">
            <w:pPr>
              <w:pStyle w:val="Tabletext"/>
              <w:jc w:val="center"/>
              <w:rPr>
                <w:rFonts w:cstheme="majorBidi"/>
              </w:rPr>
            </w:pPr>
            <w:r w:rsidRPr="00BB73F5">
              <w:rPr>
                <w:rFonts w:cstheme="majorBidi"/>
              </w:rPr>
              <w:t>–</w:t>
            </w:r>
          </w:p>
        </w:tc>
        <w:tc>
          <w:tcPr>
            <w:tcW w:w="4779" w:type="dxa"/>
          </w:tcPr>
          <w:p w:rsidR="00DF466E" w:rsidRPr="00BB73F5" w:rsidRDefault="00DF466E" w:rsidP="004B4D95">
            <w:pPr>
              <w:pStyle w:val="Tabletext"/>
              <w:rPr>
                <w:rFonts w:cstheme="majorBidi"/>
              </w:rPr>
            </w:pPr>
            <w:r w:rsidRPr="00BB73F5">
              <w:rPr>
                <w:rFonts w:cstheme="majorBidi"/>
              </w:rPr>
              <w:t>Le Plan financier est établi pour une période de quatre ans.</w:t>
            </w:r>
          </w:p>
        </w:tc>
        <w:tc>
          <w:tcPr>
            <w:tcW w:w="5618" w:type="dxa"/>
          </w:tcPr>
          <w:p w:rsidR="00DF466E" w:rsidRPr="00BB73F5" w:rsidRDefault="00DF466E" w:rsidP="004B4D95">
            <w:pPr>
              <w:pStyle w:val="Tabletext"/>
              <w:rPr>
                <w:rFonts w:cstheme="majorBidi"/>
              </w:rPr>
            </w:pPr>
            <w:r w:rsidRPr="00BB73F5">
              <w:rPr>
                <w:rFonts w:cstheme="majorBidi"/>
              </w:rPr>
              <w:t xml:space="preserve">Le Plan financier, établi pour une période de quatre ans, définit la base financière à partir de laquelle les budgets biennaux sont établis. </w:t>
            </w:r>
          </w:p>
          <w:p w:rsidR="00DF466E" w:rsidRPr="00BB73F5" w:rsidRDefault="00DF466E" w:rsidP="004B4D95">
            <w:pPr>
              <w:pStyle w:val="Tabletext"/>
              <w:rPr>
                <w:rFonts w:cstheme="majorBidi"/>
              </w:rPr>
            </w:pPr>
            <w:r w:rsidRPr="00BB73F5">
              <w:rPr>
                <w:rFonts w:cstheme="majorBidi"/>
              </w:rPr>
              <w:t xml:space="preserve">Le Plan financier est élaboré dans le cadre de la Décision 5 (Recettes et dépenses de l'Union) qui reflète, notamment, le montant de l'unité contributive approuvé par la Conférence de plénipotentiaires. </w:t>
            </w:r>
          </w:p>
          <w:p w:rsidR="00DF466E" w:rsidRPr="00BB73F5" w:rsidRDefault="00DF466E" w:rsidP="004B4D95">
            <w:pPr>
              <w:pStyle w:val="Tabletext"/>
              <w:rPr>
                <w:rFonts w:cstheme="majorBidi"/>
              </w:rPr>
            </w:pPr>
            <w:r w:rsidRPr="00BB73F5">
              <w:rPr>
                <w:rFonts w:cstheme="majorBidi"/>
              </w:rPr>
              <w:t>Le Plan financier devrait être aligné sur le Plan stratégique.</w:t>
            </w:r>
          </w:p>
        </w:tc>
      </w:tr>
      <w:tr w:rsidR="00DF466E" w:rsidRPr="00BB73F5" w:rsidTr="007678DD">
        <w:tc>
          <w:tcPr>
            <w:tcW w:w="1527" w:type="dxa"/>
          </w:tcPr>
          <w:p w:rsidR="00DF466E" w:rsidRPr="00BB73F5" w:rsidRDefault="00DF466E" w:rsidP="004B4D95">
            <w:pPr>
              <w:pStyle w:val="Tabletext"/>
              <w:rPr>
                <w:rFonts w:cstheme="majorBidi"/>
                <w:b/>
                <w:bCs/>
              </w:rPr>
            </w:pPr>
            <w:r w:rsidRPr="00BB73F5">
              <w:rPr>
                <w:rFonts w:cstheme="majorBidi"/>
              </w:rPr>
              <w:t>Intrants</w:t>
            </w:r>
          </w:p>
        </w:tc>
        <w:tc>
          <w:tcPr>
            <w:tcW w:w="2819" w:type="dxa"/>
          </w:tcPr>
          <w:p w:rsidR="00DF466E" w:rsidRPr="00BB73F5" w:rsidRDefault="00DF466E" w:rsidP="004B4D95">
            <w:pPr>
              <w:pStyle w:val="Tabletext"/>
              <w:jc w:val="center"/>
              <w:rPr>
                <w:rFonts w:cstheme="majorBidi"/>
              </w:rPr>
            </w:pPr>
            <w:r w:rsidRPr="00BB73F5">
              <w:rPr>
                <w:rFonts w:cstheme="majorBidi"/>
              </w:rPr>
              <w:t>–</w:t>
            </w:r>
          </w:p>
        </w:tc>
        <w:tc>
          <w:tcPr>
            <w:tcW w:w="4779" w:type="dxa"/>
          </w:tcPr>
          <w:p w:rsidR="00DF466E" w:rsidRPr="00BB73F5" w:rsidRDefault="00DF466E" w:rsidP="004B4D95">
            <w:pPr>
              <w:pStyle w:val="Tabletext"/>
              <w:jc w:val="center"/>
              <w:rPr>
                <w:rFonts w:cstheme="majorBidi"/>
              </w:rPr>
            </w:pPr>
            <w:r w:rsidRPr="00BB73F5">
              <w:rPr>
                <w:rFonts w:cstheme="majorBidi"/>
              </w:rPr>
              <w:t>–</w:t>
            </w:r>
          </w:p>
        </w:tc>
        <w:tc>
          <w:tcPr>
            <w:tcW w:w="5618" w:type="dxa"/>
          </w:tcPr>
          <w:p w:rsidR="00DF466E" w:rsidRPr="00BB73F5" w:rsidRDefault="00DF466E" w:rsidP="004B4D95">
            <w:pPr>
              <w:pStyle w:val="Tabletext"/>
              <w:rPr>
                <w:rFonts w:cstheme="majorBidi"/>
              </w:rPr>
            </w:pPr>
            <w:r w:rsidRPr="00BB73F5">
              <w:rPr>
                <w:rFonts w:cstheme="majorBidi"/>
              </w:rPr>
              <w:t>Les intrants sont des ressources – ressources financières, humaines, matérielles et technologiques par exemple, utilisées pour les activités en vue de fournir des produits.</w:t>
            </w:r>
          </w:p>
        </w:tc>
      </w:tr>
      <w:tr w:rsidR="00DF466E" w:rsidRPr="00BB73F5" w:rsidTr="007678DD">
        <w:tc>
          <w:tcPr>
            <w:tcW w:w="1527" w:type="dxa"/>
          </w:tcPr>
          <w:p w:rsidR="00DF466E" w:rsidRPr="00BB73F5" w:rsidRDefault="00DF466E" w:rsidP="004B4D95">
            <w:pPr>
              <w:pStyle w:val="Tabletext"/>
              <w:rPr>
                <w:rFonts w:cstheme="majorBidi"/>
                <w:b/>
              </w:rPr>
            </w:pPr>
            <w:r w:rsidRPr="00BB73F5">
              <w:rPr>
                <w:rFonts w:cstheme="majorBidi"/>
              </w:rPr>
              <w:t>Indicateurs fondamentaux de performance (IFP)</w:t>
            </w:r>
          </w:p>
        </w:tc>
        <w:tc>
          <w:tcPr>
            <w:tcW w:w="2819" w:type="dxa"/>
          </w:tcPr>
          <w:p w:rsidR="00DF466E" w:rsidRPr="00BB73F5" w:rsidRDefault="00DF466E" w:rsidP="004B4D95">
            <w:pPr>
              <w:pStyle w:val="Tabletext"/>
              <w:rPr>
                <w:rFonts w:cstheme="majorBidi"/>
              </w:rPr>
            </w:pPr>
            <w:r w:rsidRPr="00BB73F5">
              <w:rPr>
                <w:rFonts w:cstheme="majorBidi"/>
              </w:rPr>
              <w:t>Critères utilisés pour mesurer la réalisation des produits (ou des résultats). Ces indicateurs peuvent être qualitatifs ou quantitatifs.</w:t>
            </w:r>
          </w:p>
        </w:tc>
        <w:tc>
          <w:tcPr>
            <w:tcW w:w="4779" w:type="dxa"/>
          </w:tcPr>
          <w:p w:rsidR="00DF466E" w:rsidRPr="00BB73F5" w:rsidRDefault="00DF466E" w:rsidP="004B4D95">
            <w:pPr>
              <w:pStyle w:val="Tabletext"/>
              <w:rPr>
                <w:rFonts w:cstheme="majorBidi"/>
              </w:rPr>
            </w:pPr>
            <w:r w:rsidRPr="00BB73F5">
              <w:rPr>
                <w:rFonts w:cstheme="majorBidi"/>
              </w:rPr>
              <w:t>Critères ou éléments utilisés pour mesurer le degré de réalisation des produits, lesquels servent à atteindre les différents objectifs définis dans le cadre du processus de planification stratégique. Ces indicateurs peuvent être qualitatifs ou quantitatifs ou les deux. Ils sont conçus pour fournir une échelle de valeur permettant de mesurer et d'indiquer les progrès accomplis dans la fourniture des produits et dans la réalisation des objectifs.</w:t>
            </w:r>
          </w:p>
        </w:tc>
        <w:tc>
          <w:tcPr>
            <w:tcW w:w="5618" w:type="dxa"/>
          </w:tcPr>
          <w:p w:rsidR="00DF466E" w:rsidRPr="00BB73F5" w:rsidRDefault="00DF466E" w:rsidP="004B4D95">
            <w:pPr>
              <w:pStyle w:val="Tabletext"/>
              <w:rPr>
                <w:rFonts w:cstheme="majorBidi"/>
              </w:rPr>
            </w:pPr>
            <w:r w:rsidRPr="00BB73F5">
              <w:rPr>
                <w:rFonts w:cstheme="majorBidi"/>
              </w:rPr>
              <w:t>Les IFP sont les critères utilisés pour mesurer la réalisation des produits (les résultats). Ces indicateurs peuvent être quantitatifs ou qualitatifs.</w:t>
            </w:r>
          </w:p>
        </w:tc>
      </w:tr>
      <w:tr w:rsidR="00DF466E" w:rsidRPr="00BB73F5" w:rsidTr="007678DD">
        <w:tc>
          <w:tcPr>
            <w:tcW w:w="1527" w:type="dxa"/>
          </w:tcPr>
          <w:p w:rsidR="00DF466E" w:rsidRPr="00BB73F5" w:rsidRDefault="00DF466E" w:rsidP="00D43C6D">
            <w:pPr>
              <w:pStyle w:val="Tabletext"/>
              <w:rPr>
                <w:rFonts w:cstheme="majorBidi"/>
                <w:b/>
                <w:bCs/>
                <w:i/>
                <w:iCs/>
              </w:rPr>
            </w:pPr>
            <w:r w:rsidRPr="00BB73F5">
              <w:rPr>
                <w:rFonts w:cstheme="majorBidi"/>
              </w:rPr>
              <w:t>Mission</w:t>
            </w:r>
          </w:p>
        </w:tc>
        <w:tc>
          <w:tcPr>
            <w:tcW w:w="2819" w:type="dxa"/>
          </w:tcPr>
          <w:p w:rsidR="00DF466E" w:rsidRPr="00BB73F5" w:rsidRDefault="00DF466E" w:rsidP="00D43C6D">
            <w:pPr>
              <w:pStyle w:val="Tabletext"/>
              <w:rPr>
                <w:rFonts w:cstheme="majorBidi"/>
                <w:i/>
                <w:iCs/>
              </w:rPr>
            </w:pPr>
            <w:r w:rsidRPr="00BB73F5">
              <w:rPr>
                <w:rFonts w:cstheme="majorBidi"/>
              </w:rPr>
              <w:t xml:space="preserve">Fonction principale générale de l'Union telle qu'elle est énoncée dans les </w:t>
            </w:r>
            <w:r w:rsidRPr="00BB73F5">
              <w:rPr>
                <w:rFonts w:cstheme="majorBidi"/>
              </w:rPr>
              <w:lastRenderedPageBreak/>
              <w:t>Instruments fondamentaux de l'UIT.</w:t>
            </w:r>
          </w:p>
        </w:tc>
        <w:tc>
          <w:tcPr>
            <w:tcW w:w="4779" w:type="dxa"/>
          </w:tcPr>
          <w:p w:rsidR="00DF466E" w:rsidRPr="00BB73F5" w:rsidRDefault="00DF466E" w:rsidP="00C5101B">
            <w:pPr>
              <w:pStyle w:val="Tabletext"/>
              <w:rPr>
                <w:rFonts w:cstheme="majorBidi"/>
              </w:rPr>
            </w:pPr>
            <w:r w:rsidRPr="00BB73F5">
              <w:rPr>
                <w:rFonts w:cstheme="majorBidi"/>
              </w:rPr>
              <w:lastRenderedPageBreak/>
              <w:t xml:space="preserve">Définit la principale fonction générale d'un Secteur ou du Secrétariat général de l'UIT, telle qu'elle </w:t>
            </w:r>
            <w:r w:rsidR="00C5101B">
              <w:rPr>
                <w:rFonts w:cstheme="majorBidi"/>
              </w:rPr>
              <w:t>est énoncée</w:t>
            </w:r>
            <w:r w:rsidRPr="00BB73F5">
              <w:rPr>
                <w:rFonts w:cstheme="majorBidi"/>
              </w:rPr>
              <w:t xml:space="preserve"> dans la Constitution et la Convention de </w:t>
            </w:r>
            <w:r w:rsidRPr="00BB73F5">
              <w:rPr>
                <w:rFonts w:cstheme="majorBidi"/>
              </w:rPr>
              <w:lastRenderedPageBreak/>
              <w:t>l'UIT.</w:t>
            </w:r>
          </w:p>
        </w:tc>
        <w:tc>
          <w:tcPr>
            <w:tcW w:w="5618" w:type="dxa"/>
          </w:tcPr>
          <w:p w:rsidR="00DF466E" w:rsidRPr="00BB73F5" w:rsidRDefault="00DF466E" w:rsidP="00D43C6D">
            <w:pPr>
              <w:pStyle w:val="Tabletext"/>
              <w:rPr>
                <w:rFonts w:cstheme="majorBidi"/>
              </w:rPr>
            </w:pPr>
            <w:r w:rsidRPr="00BB73F5">
              <w:rPr>
                <w:rFonts w:cstheme="majorBidi"/>
              </w:rPr>
              <w:lastRenderedPageBreak/>
              <w:t>La mission désigne les principaux buts généraux de l'Union, conformément aux Instruments fondamentaux de l'UIT.</w:t>
            </w:r>
          </w:p>
        </w:tc>
      </w:tr>
      <w:tr w:rsidR="00DF466E" w:rsidRPr="00BB73F5" w:rsidTr="007678DD">
        <w:tc>
          <w:tcPr>
            <w:tcW w:w="1527" w:type="dxa"/>
          </w:tcPr>
          <w:p w:rsidR="00DF466E" w:rsidRPr="00BB73F5" w:rsidRDefault="00DF466E" w:rsidP="00D43C6D">
            <w:pPr>
              <w:pStyle w:val="Tabletext"/>
              <w:rPr>
                <w:rFonts w:cstheme="majorBidi"/>
                <w:b/>
                <w:bCs/>
              </w:rPr>
            </w:pPr>
            <w:r w:rsidRPr="00BB73F5">
              <w:rPr>
                <w:rFonts w:cstheme="majorBidi"/>
              </w:rPr>
              <w:lastRenderedPageBreak/>
              <w:t>Objectifs</w:t>
            </w:r>
          </w:p>
        </w:tc>
        <w:tc>
          <w:tcPr>
            <w:tcW w:w="2819" w:type="dxa"/>
          </w:tcPr>
          <w:p w:rsidR="00DF466E" w:rsidRPr="00BB73F5" w:rsidRDefault="00DF466E" w:rsidP="00D43C6D">
            <w:pPr>
              <w:pStyle w:val="Tabletext"/>
              <w:rPr>
                <w:rFonts w:cstheme="majorBidi"/>
                <w:i/>
                <w:iCs/>
              </w:rPr>
            </w:pPr>
            <w:r w:rsidRPr="00BB73F5">
              <w:rPr>
                <w:rFonts w:cstheme="majorBidi"/>
              </w:rPr>
              <w:t>Buts spécifiques que doivent atteindre les différents Secteurs et le Secrétariat général.</w:t>
            </w:r>
          </w:p>
        </w:tc>
        <w:tc>
          <w:tcPr>
            <w:tcW w:w="4779" w:type="dxa"/>
          </w:tcPr>
          <w:p w:rsidR="00DF466E" w:rsidRPr="00BB73F5" w:rsidRDefault="00DF466E" w:rsidP="00D43C6D">
            <w:pPr>
              <w:pStyle w:val="Tabletext"/>
              <w:rPr>
                <w:rFonts w:cstheme="majorBidi"/>
              </w:rPr>
            </w:pPr>
            <w:r w:rsidRPr="00BB73F5">
              <w:rPr>
                <w:rFonts w:cstheme="majorBidi"/>
              </w:rPr>
              <w:t>Objets et buts propres à tel ou tel Secteur ou au Secrétariat général. Ils définissent les résultats attendus qui doivent être obtenus dans une période donnée.</w:t>
            </w:r>
          </w:p>
        </w:tc>
        <w:tc>
          <w:tcPr>
            <w:tcW w:w="5618" w:type="dxa"/>
          </w:tcPr>
          <w:p w:rsidR="00DF466E" w:rsidRPr="00BB73F5" w:rsidRDefault="00DF466E" w:rsidP="00D43C6D">
            <w:pPr>
              <w:pStyle w:val="Tabletext"/>
              <w:rPr>
                <w:rFonts w:cstheme="majorBidi"/>
              </w:rPr>
            </w:pPr>
            <w:r w:rsidRPr="00BB73F5">
              <w:rPr>
                <w:rFonts w:cstheme="majorBidi"/>
              </w:rPr>
              <w:t>Les objectifs désignent les buts spécifiques du Secteur et des activités intersectorielles au cours d'une période donnée.</w:t>
            </w:r>
          </w:p>
        </w:tc>
      </w:tr>
      <w:tr w:rsidR="00DF466E" w:rsidRPr="00BB73F5" w:rsidTr="007678DD">
        <w:tc>
          <w:tcPr>
            <w:tcW w:w="1527" w:type="dxa"/>
          </w:tcPr>
          <w:p w:rsidR="00DF466E" w:rsidRPr="00BB73F5" w:rsidRDefault="00DF466E" w:rsidP="00D43C6D">
            <w:pPr>
              <w:pStyle w:val="Tabletext"/>
              <w:rPr>
                <w:rFonts w:cstheme="majorBidi"/>
                <w:b/>
                <w:bCs/>
              </w:rPr>
            </w:pPr>
            <w:r w:rsidRPr="00BB73F5">
              <w:rPr>
                <w:rFonts w:cstheme="majorBidi"/>
              </w:rPr>
              <w:t>Plan opérationnel</w:t>
            </w:r>
          </w:p>
        </w:tc>
        <w:tc>
          <w:tcPr>
            <w:tcW w:w="2819" w:type="dxa"/>
          </w:tcPr>
          <w:p w:rsidR="00DF466E" w:rsidRPr="00BB73F5" w:rsidRDefault="00DF466E" w:rsidP="00D43C6D">
            <w:pPr>
              <w:pStyle w:val="Tabletext"/>
              <w:rPr>
                <w:rFonts w:cstheme="majorBidi"/>
              </w:rPr>
            </w:pPr>
          </w:p>
        </w:tc>
        <w:tc>
          <w:tcPr>
            <w:tcW w:w="4779" w:type="dxa"/>
          </w:tcPr>
          <w:p w:rsidR="00DF466E" w:rsidRPr="00BB73F5" w:rsidRDefault="00DF466E" w:rsidP="00D43C6D">
            <w:pPr>
              <w:pStyle w:val="Tabletext"/>
              <w:rPr>
                <w:rFonts w:cstheme="majorBidi"/>
              </w:rPr>
            </w:pPr>
            <w:r w:rsidRPr="00BB73F5">
              <w:rPr>
                <w:rFonts w:cstheme="majorBidi"/>
              </w:rPr>
              <w:t>Les Plans opérationnels des trois Secteurs et du Secrétariat général jouent un rôle déterminant dans la coordination des Plans stratégique et financier de l'Union. Ils sont établis chaque année pour l'année suivante et les trois années ultérieures. Le Conseil approuve les Plans opérationnels quadriennaux glissants.</w:t>
            </w:r>
          </w:p>
        </w:tc>
        <w:tc>
          <w:tcPr>
            <w:tcW w:w="5618" w:type="dxa"/>
          </w:tcPr>
          <w:p w:rsidR="00DF466E" w:rsidRPr="00BB73F5" w:rsidRDefault="00DF466E" w:rsidP="00D43C6D">
            <w:pPr>
              <w:pStyle w:val="Tabletext"/>
              <w:rPr>
                <w:rFonts w:cstheme="majorBidi"/>
              </w:rPr>
            </w:pPr>
            <w:r w:rsidRPr="00BB73F5">
              <w:rPr>
                <w:rFonts w:cstheme="majorBidi"/>
              </w:rPr>
              <w:t>Le Plan opérationnel est établi chaque année par le Bureau de chaque Secteur, après consultation du Groupe consultatif concerné, et par le Secrétariat général. Conformément au Plan stratégique et au Plan financier, il contient le plan détaillé pour l'année à venir ainsi que des prévisions pour les trois années suivantes pour chaque Secteur et le Secrétariat général. Le Conseil examine et approuve les Plans opérationnels quadriennaux glissants.</w:t>
            </w:r>
          </w:p>
        </w:tc>
      </w:tr>
      <w:tr w:rsidR="00DF466E" w:rsidRPr="00BB73F5" w:rsidTr="007678DD">
        <w:tc>
          <w:tcPr>
            <w:tcW w:w="1527" w:type="dxa"/>
          </w:tcPr>
          <w:p w:rsidR="00DF466E" w:rsidRPr="00BB73F5" w:rsidRDefault="00DF466E" w:rsidP="004B4D95">
            <w:pPr>
              <w:pStyle w:val="Tabletext"/>
              <w:rPr>
                <w:rFonts w:cstheme="majorBidi"/>
                <w:b/>
                <w:bCs/>
              </w:rPr>
            </w:pPr>
            <w:r w:rsidRPr="00BB73F5">
              <w:rPr>
                <w:rFonts w:cstheme="majorBidi"/>
              </w:rPr>
              <w:t>Résultats</w:t>
            </w:r>
          </w:p>
        </w:tc>
        <w:tc>
          <w:tcPr>
            <w:tcW w:w="2819" w:type="dxa"/>
          </w:tcPr>
          <w:p w:rsidR="00DF466E" w:rsidRPr="00BB73F5" w:rsidRDefault="00DF466E" w:rsidP="004B4D95">
            <w:pPr>
              <w:pStyle w:val="Tabletext"/>
              <w:jc w:val="center"/>
              <w:rPr>
                <w:rFonts w:cstheme="majorBidi"/>
              </w:rPr>
            </w:pPr>
            <w:r w:rsidRPr="00BB73F5">
              <w:rPr>
                <w:rFonts w:cstheme="majorBidi"/>
              </w:rPr>
              <w:t>–</w:t>
            </w:r>
          </w:p>
        </w:tc>
        <w:tc>
          <w:tcPr>
            <w:tcW w:w="4779" w:type="dxa"/>
          </w:tcPr>
          <w:p w:rsidR="00DF466E" w:rsidRPr="00BB73F5" w:rsidRDefault="00DF466E" w:rsidP="004B4D95">
            <w:pPr>
              <w:pStyle w:val="Tabletext"/>
              <w:jc w:val="center"/>
              <w:rPr>
                <w:rFonts w:cstheme="majorBidi"/>
              </w:rPr>
            </w:pPr>
            <w:r w:rsidRPr="00BB73F5">
              <w:rPr>
                <w:rFonts w:cstheme="majorBidi"/>
              </w:rPr>
              <w:t>–</w:t>
            </w:r>
          </w:p>
        </w:tc>
        <w:tc>
          <w:tcPr>
            <w:tcW w:w="5618" w:type="dxa"/>
          </w:tcPr>
          <w:p w:rsidR="00DF466E" w:rsidRPr="00BB73F5" w:rsidRDefault="00DF466E" w:rsidP="004B4D95">
            <w:pPr>
              <w:pStyle w:val="Tabletext"/>
              <w:rPr>
                <w:rFonts w:cstheme="majorBidi"/>
              </w:rPr>
            </w:pPr>
            <w:r w:rsidRPr="00BB73F5">
              <w:rPr>
                <w:rFonts w:cstheme="majorBidi"/>
              </w:rPr>
              <w:t>Les résultats indiquent si l'objectif est atteint. Ils sont habituellement, en partie mais pas en totalité, contrôlés par l'organisation.</w:t>
            </w:r>
          </w:p>
        </w:tc>
      </w:tr>
      <w:tr w:rsidR="00DF466E" w:rsidRPr="00BB73F5" w:rsidTr="007678DD">
        <w:tc>
          <w:tcPr>
            <w:tcW w:w="1527" w:type="dxa"/>
          </w:tcPr>
          <w:p w:rsidR="00DF466E" w:rsidRPr="00BB73F5" w:rsidRDefault="00DF466E" w:rsidP="004B4D95">
            <w:pPr>
              <w:pStyle w:val="Tabletext"/>
              <w:rPr>
                <w:rFonts w:cstheme="majorBidi"/>
                <w:b/>
                <w:bCs/>
                <w:i/>
                <w:iCs/>
              </w:rPr>
            </w:pPr>
            <w:r w:rsidRPr="00BB73F5">
              <w:rPr>
                <w:rFonts w:cstheme="majorBidi"/>
              </w:rPr>
              <w:t>Produits</w:t>
            </w:r>
          </w:p>
        </w:tc>
        <w:tc>
          <w:tcPr>
            <w:tcW w:w="2819" w:type="dxa"/>
          </w:tcPr>
          <w:p w:rsidR="00DF466E" w:rsidRPr="00BB73F5" w:rsidRDefault="00DF466E" w:rsidP="004B4D95">
            <w:pPr>
              <w:pStyle w:val="Tabletext"/>
              <w:rPr>
                <w:rFonts w:cstheme="majorBidi"/>
                <w:i/>
                <w:iCs/>
              </w:rPr>
            </w:pPr>
            <w:r w:rsidRPr="00BB73F5">
              <w:rPr>
                <w:rFonts w:cstheme="majorBidi"/>
              </w:rPr>
              <w:t>Produits et services finals fournis par l'UIT (par exemple, les résultats d'un programme).</w:t>
            </w:r>
          </w:p>
        </w:tc>
        <w:tc>
          <w:tcPr>
            <w:tcW w:w="4779" w:type="dxa"/>
          </w:tcPr>
          <w:p w:rsidR="00DF466E" w:rsidRPr="00BB73F5" w:rsidRDefault="00DF466E" w:rsidP="004B4D95">
            <w:pPr>
              <w:pStyle w:val="Tabletext"/>
              <w:rPr>
                <w:rFonts w:cstheme="majorBidi"/>
              </w:rPr>
            </w:pPr>
            <w:r w:rsidRPr="00BB73F5">
              <w:rPr>
                <w:rFonts w:cstheme="majorBidi"/>
              </w:rPr>
              <w:t>Produits ou services finals fournis par l'UIT (par exemple, les résultats d'un programme). Ils peuvent correspondre aux produits des différents Secteurs ou aux produits et services intersectoriels de l'Union dans son ensemble. Ils constituent des objets de coût et sont représentés dans le système de comptabilité analytique SAP par des ordres internes.</w:t>
            </w:r>
          </w:p>
        </w:tc>
        <w:tc>
          <w:tcPr>
            <w:tcW w:w="5618" w:type="dxa"/>
          </w:tcPr>
          <w:p w:rsidR="00DF466E" w:rsidRPr="00BB73F5" w:rsidRDefault="00DF466E" w:rsidP="004B4D95">
            <w:pPr>
              <w:pStyle w:val="Tabletext"/>
              <w:rPr>
                <w:rFonts w:cstheme="majorBidi"/>
              </w:rPr>
            </w:pPr>
            <w:r w:rsidRPr="00BB73F5">
              <w:rPr>
                <w:rFonts w:cstheme="majorBidi"/>
              </w:rPr>
              <w:t xml:space="preserve">Résultats, prestations, produits et services concrets finals résultant de la mise en </w:t>
            </w:r>
            <w:proofErr w:type="spellStart"/>
            <w:r w:rsidR="00682BA8">
              <w:rPr>
                <w:rFonts w:cstheme="majorBidi"/>
              </w:rPr>
              <w:t>oe</w:t>
            </w:r>
            <w:r w:rsidRPr="00BB73F5">
              <w:rPr>
                <w:rFonts w:cstheme="majorBidi"/>
              </w:rPr>
              <w:t>uvre</w:t>
            </w:r>
            <w:proofErr w:type="spellEnd"/>
            <w:r w:rsidRPr="00BB73F5">
              <w:rPr>
                <w:rFonts w:cstheme="majorBidi"/>
              </w:rPr>
              <w:t xml:space="preserve"> par l'Union des Plans opérationnels. Les produits constituent des objets de coût et sont représentés dans le système de comptabilité analytique applicable par des ordres internes.</w:t>
            </w:r>
          </w:p>
        </w:tc>
      </w:tr>
      <w:tr w:rsidR="00DF466E" w:rsidRPr="00BB73F5" w:rsidTr="007678DD">
        <w:tc>
          <w:tcPr>
            <w:tcW w:w="1527" w:type="dxa"/>
          </w:tcPr>
          <w:p w:rsidR="00DF466E" w:rsidRPr="00BB73F5" w:rsidRDefault="00DF466E" w:rsidP="00D43C6D">
            <w:pPr>
              <w:pStyle w:val="Tabletext"/>
              <w:rPr>
                <w:rFonts w:cstheme="majorBidi"/>
                <w:b/>
                <w:bCs/>
              </w:rPr>
            </w:pPr>
            <w:r w:rsidRPr="00BB73F5">
              <w:rPr>
                <w:rFonts w:cstheme="majorBidi"/>
              </w:rPr>
              <w:t>Indicateurs de performance (IP)</w:t>
            </w:r>
          </w:p>
        </w:tc>
        <w:tc>
          <w:tcPr>
            <w:tcW w:w="2819" w:type="dxa"/>
          </w:tcPr>
          <w:p w:rsidR="00DF466E" w:rsidRPr="00BB73F5" w:rsidRDefault="00DF466E" w:rsidP="004B4D95">
            <w:pPr>
              <w:pStyle w:val="Tabletext"/>
              <w:keepNext/>
              <w:keepLines/>
              <w:rPr>
                <w:rFonts w:cstheme="majorBidi"/>
              </w:rPr>
            </w:pPr>
          </w:p>
        </w:tc>
        <w:tc>
          <w:tcPr>
            <w:tcW w:w="4779" w:type="dxa"/>
          </w:tcPr>
          <w:p w:rsidR="00DF466E" w:rsidRPr="00BB73F5" w:rsidRDefault="00DF466E" w:rsidP="004B4D95">
            <w:pPr>
              <w:pStyle w:val="Tabletext"/>
              <w:keepNext/>
              <w:keepLines/>
              <w:jc w:val="center"/>
              <w:rPr>
                <w:rFonts w:cstheme="majorBidi"/>
              </w:rPr>
            </w:pPr>
            <w:r w:rsidRPr="00BB73F5">
              <w:rPr>
                <w:rFonts w:cstheme="majorBidi"/>
              </w:rPr>
              <w:t>–</w:t>
            </w:r>
          </w:p>
        </w:tc>
        <w:tc>
          <w:tcPr>
            <w:tcW w:w="5618" w:type="dxa"/>
          </w:tcPr>
          <w:p w:rsidR="00DF466E" w:rsidRPr="00BB73F5" w:rsidRDefault="00DF466E" w:rsidP="004B4D95">
            <w:pPr>
              <w:pStyle w:val="Tabletext"/>
              <w:keepNext/>
              <w:keepLines/>
              <w:rPr>
                <w:rFonts w:cstheme="majorBidi"/>
              </w:rPr>
            </w:pPr>
            <w:r w:rsidRPr="00BB73F5">
              <w:rPr>
                <w:rFonts w:cstheme="majorBidi"/>
              </w:rPr>
              <w:t xml:space="preserve">Les indicateurs de performance sont les critères utilisés pour mesurer la réalisation des objectifs (les résultats) lors de l'évaluation du comportement professionnel ou des activités relevant des plans de travail. Ces indicateurs </w:t>
            </w:r>
            <w:r w:rsidRPr="00BB73F5">
              <w:rPr>
                <w:rFonts w:cstheme="majorBidi"/>
              </w:rPr>
              <w:lastRenderedPageBreak/>
              <w:t>peuvent être quantitatifs ou qualitatifs.</w:t>
            </w:r>
          </w:p>
        </w:tc>
      </w:tr>
      <w:tr w:rsidR="00DF466E" w:rsidRPr="00BB73F5" w:rsidTr="007678DD">
        <w:tc>
          <w:tcPr>
            <w:tcW w:w="1527" w:type="dxa"/>
          </w:tcPr>
          <w:p w:rsidR="00DF466E" w:rsidRPr="00BB73F5" w:rsidRDefault="00DF466E" w:rsidP="004B4D95">
            <w:pPr>
              <w:pStyle w:val="Tabletext"/>
              <w:rPr>
                <w:rFonts w:cstheme="majorBidi"/>
                <w:b/>
                <w:bCs/>
              </w:rPr>
            </w:pPr>
            <w:r w:rsidRPr="00BB73F5">
              <w:rPr>
                <w:rFonts w:cstheme="majorBidi"/>
              </w:rPr>
              <w:lastRenderedPageBreak/>
              <w:t>Processus</w:t>
            </w:r>
          </w:p>
        </w:tc>
        <w:tc>
          <w:tcPr>
            <w:tcW w:w="2819" w:type="dxa"/>
          </w:tcPr>
          <w:p w:rsidR="00DF466E" w:rsidRPr="00BB73F5" w:rsidRDefault="00DF466E" w:rsidP="004B4D95">
            <w:pPr>
              <w:pStyle w:val="Tabletext"/>
              <w:jc w:val="center"/>
              <w:rPr>
                <w:rFonts w:cstheme="majorBidi"/>
              </w:rPr>
            </w:pPr>
            <w:r w:rsidRPr="00BB73F5">
              <w:rPr>
                <w:rFonts w:cstheme="majorBidi"/>
              </w:rPr>
              <w:t>–</w:t>
            </w:r>
          </w:p>
        </w:tc>
        <w:tc>
          <w:tcPr>
            <w:tcW w:w="4779" w:type="dxa"/>
          </w:tcPr>
          <w:p w:rsidR="00DF466E" w:rsidRPr="00BB73F5" w:rsidRDefault="00DF466E" w:rsidP="004B4D95">
            <w:pPr>
              <w:pStyle w:val="Tabletext"/>
              <w:jc w:val="center"/>
              <w:rPr>
                <w:rFonts w:cstheme="majorBidi"/>
              </w:rPr>
            </w:pPr>
            <w:r w:rsidRPr="00BB73F5">
              <w:rPr>
                <w:rFonts w:cstheme="majorBidi"/>
              </w:rPr>
              <w:t>–</w:t>
            </w:r>
          </w:p>
        </w:tc>
        <w:tc>
          <w:tcPr>
            <w:tcW w:w="5618" w:type="dxa"/>
          </w:tcPr>
          <w:p w:rsidR="00DF466E" w:rsidRPr="00BB73F5" w:rsidRDefault="00DF466E" w:rsidP="004B4D95">
            <w:pPr>
              <w:pStyle w:val="Tabletext"/>
              <w:rPr>
                <w:rFonts w:cstheme="majorBidi"/>
              </w:rPr>
            </w:pPr>
            <w:r w:rsidRPr="00BB73F5">
              <w:rPr>
                <w:rFonts w:cstheme="majorBidi"/>
              </w:rPr>
              <w:t>Ensemble d'activités cohérentes destinées à atteindre un objectif</w:t>
            </w:r>
            <w:r w:rsidR="00C5101B">
              <w:rPr>
                <w:rFonts w:cstheme="majorBidi"/>
              </w:rPr>
              <w:t>/but</w:t>
            </w:r>
            <w:r w:rsidRPr="00BB73F5">
              <w:rPr>
                <w:rFonts w:cstheme="majorBidi"/>
              </w:rPr>
              <w:t xml:space="preserve"> prévu.</w:t>
            </w:r>
          </w:p>
        </w:tc>
      </w:tr>
      <w:tr w:rsidR="00DF466E" w:rsidRPr="00BB73F5" w:rsidTr="007678DD">
        <w:tc>
          <w:tcPr>
            <w:tcW w:w="1527" w:type="dxa"/>
          </w:tcPr>
          <w:p w:rsidR="00DF466E" w:rsidRPr="00BB73F5" w:rsidRDefault="00DF466E" w:rsidP="004B4D95">
            <w:pPr>
              <w:pStyle w:val="Tabletext"/>
              <w:rPr>
                <w:rFonts w:cstheme="majorBidi"/>
                <w:b/>
                <w:bCs/>
              </w:rPr>
            </w:pPr>
            <w:r w:rsidRPr="00BB73F5">
              <w:rPr>
                <w:rFonts w:cstheme="majorBidi"/>
              </w:rPr>
              <w:t>Budgétisation axée sur les résultats (BAR)</w:t>
            </w:r>
          </w:p>
        </w:tc>
        <w:tc>
          <w:tcPr>
            <w:tcW w:w="2819" w:type="dxa"/>
          </w:tcPr>
          <w:p w:rsidR="00DF466E" w:rsidRPr="00BB73F5" w:rsidRDefault="00DF466E" w:rsidP="004B4D95">
            <w:pPr>
              <w:pStyle w:val="Tabletext"/>
              <w:jc w:val="center"/>
              <w:rPr>
                <w:rFonts w:cstheme="majorBidi"/>
              </w:rPr>
            </w:pPr>
            <w:r w:rsidRPr="00BB73F5">
              <w:rPr>
                <w:rFonts w:cstheme="majorBidi"/>
              </w:rPr>
              <w:t>–</w:t>
            </w:r>
          </w:p>
        </w:tc>
        <w:tc>
          <w:tcPr>
            <w:tcW w:w="4779" w:type="dxa"/>
          </w:tcPr>
          <w:p w:rsidR="00DF466E" w:rsidRPr="00BB73F5" w:rsidRDefault="00DF466E" w:rsidP="004B4D95">
            <w:pPr>
              <w:pStyle w:val="Tabletext"/>
              <w:rPr>
                <w:rFonts w:cstheme="majorBidi"/>
              </w:rPr>
            </w:pPr>
            <w:r w:rsidRPr="00BB73F5">
              <w:rPr>
                <w:rFonts w:cstheme="majorBidi"/>
              </w:rPr>
              <w:t>La budgétisation axée sur les résultats (BAR) est le processus d'établissement du budget du programme dans le cadre duquel: a) le programme est formulé afin d'atteindre un ensemble d'objectifs prédéfinis et de résultats attendus; b)</w:t>
            </w:r>
            <w:r>
              <w:rPr>
                <w:rFonts w:cstheme="majorBidi"/>
              </w:rPr>
              <w:t> </w:t>
            </w:r>
            <w:r w:rsidRPr="00BB73F5">
              <w:rPr>
                <w:rFonts w:cstheme="majorBidi"/>
              </w:rPr>
              <w:t>les résultats attendus justifient les besoins de ressources qui sont déterminés à partir des produits et rattachés à ces produits qui doivent être fournis en vue d'obtenir les résultats attendus; et c) le niveau effectif de réalisation des résultats est mesuré au moyen d'indicateurs fondamentaux de performance.</w:t>
            </w:r>
          </w:p>
        </w:tc>
        <w:tc>
          <w:tcPr>
            <w:tcW w:w="5618" w:type="dxa"/>
          </w:tcPr>
          <w:p w:rsidR="00DF466E" w:rsidRPr="00BB73F5" w:rsidRDefault="00DF466E" w:rsidP="004B4D95">
            <w:pPr>
              <w:pStyle w:val="Tabletext"/>
              <w:rPr>
                <w:rFonts w:cstheme="majorBidi"/>
              </w:rPr>
            </w:pPr>
            <w:r w:rsidRPr="00BB73F5">
              <w:rPr>
                <w:rFonts w:cstheme="majorBidi"/>
              </w:rPr>
              <w:t>La budgétisation axée sur les résultats (BAR) est le processus d'établissement du budget du programme dans le cadre duquel: a) le programme est formulé afin d'atteindre un ensemble d'objectifs prédéfinis et de résultats attendus; b) les résultats attendus justifient les besoins de ressources qui sont déterminés à partir des produits et rattachés à ces produits qui doivent être fournis en vue d'obtenir les résultats attendus; et c) le niveau effectif de réalisation des résultats est mesuré au moyen d'indicateurs fondamentaux de performance.</w:t>
            </w:r>
          </w:p>
        </w:tc>
      </w:tr>
      <w:tr w:rsidR="00DF466E" w:rsidRPr="00BB73F5" w:rsidTr="007678DD">
        <w:tc>
          <w:tcPr>
            <w:tcW w:w="1527" w:type="dxa"/>
          </w:tcPr>
          <w:p w:rsidR="00DF466E" w:rsidRPr="00BB73F5" w:rsidRDefault="00DF466E" w:rsidP="004B4D95">
            <w:pPr>
              <w:pStyle w:val="Tabletext"/>
              <w:rPr>
                <w:rFonts w:cstheme="majorBidi"/>
                <w:b/>
                <w:bCs/>
              </w:rPr>
            </w:pPr>
            <w:r w:rsidRPr="00BB73F5">
              <w:rPr>
                <w:rFonts w:cstheme="majorBidi"/>
              </w:rPr>
              <w:t>Gestion axée sur les résultats (GAR)</w:t>
            </w:r>
          </w:p>
        </w:tc>
        <w:tc>
          <w:tcPr>
            <w:tcW w:w="2819" w:type="dxa"/>
          </w:tcPr>
          <w:p w:rsidR="00DF466E" w:rsidRPr="00BB73F5" w:rsidRDefault="00DF466E" w:rsidP="004B4D95">
            <w:pPr>
              <w:pStyle w:val="Tabletext"/>
              <w:jc w:val="center"/>
              <w:rPr>
                <w:rFonts w:cstheme="majorBidi"/>
              </w:rPr>
            </w:pPr>
            <w:r w:rsidRPr="00BB73F5">
              <w:rPr>
                <w:rFonts w:cstheme="majorBidi"/>
              </w:rPr>
              <w:t>–</w:t>
            </w:r>
          </w:p>
        </w:tc>
        <w:tc>
          <w:tcPr>
            <w:tcW w:w="4779" w:type="dxa"/>
          </w:tcPr>
          <w:p w:rsidR="00DF466E" w:rsidRPr="00BB73F5" w:rsidRDefault="00DF466E" w:rsidP="004B4D95">
            <w:pPr>
              <w:pStyle w:val="Tabletext"/>
              <w:rPr>
                <w:rFonts w:cstheme="majorBidi"/>
              </w:rPr>
            </w:pPr>
          </w:p>
        </w:tc>
        <w:tc>
          <w:tcPr>
            <w:tcW w:w="5618" w:type="dxa"/>
          </w:tcPr>
          <w:p w:rsidR="00DF466E" w:rsidRPr="00BB73F5" w:rsidRDefault="00DF466E" w:rsidP="004B4D95">
            <w:pPr>
              <w:pStyle w:val="Tabletext"/>
              <w:rPr>
                <w:rFonts w:cstheme="majorBidi"/>
              </w:rPr>
            </w:pPr>
            <w:r w:rsidRPr="00BB73F5">
              <w:rPr>
                <w:rFonts w:cstheme="majorBidi"/>
              </w:rPr>
              <w:t>La gestion axée sur les résultats est une méthode de gestion qui permet d'orienter les processus, les ressources, les produits et les services d'une organisation vers la réalisation de résultats mesurables. Elle définit les cadres et les outils de gestion nécessaires pour la planification stratégique, la gestion des risques, le contrôle et l'évaluation des performances ainsi que le financement des activités sur la base de résultats ciblés.</w:t>
            </w:r>
          </w:p>
        </w:tc>
      </w:tr>
      <w:tr w:rsidR="00DF466E" w:rsidRPr="00BB73F5" w:rsidTr="007678DD">
        <w:tc>
          <w:tcPr>
            <w:tcW w:w="1527" w:type="dxa"/>
          </w:tcPr>
          <w:p w:rsidR="00DF466E" w:rsidRPr="00BB73F5" w:rsidRDefault="00DF466E" w:rsidP="00D43C6D">
            <w:pPr>
              <w:pStyle w:val="Tabletext"/>
              <w:rPr>
                <w:rFonts w:cstheme="majorBidi"/>
                <w:b/>
                <w:bCs/>
                <w:i/>
                <w:iCs/>
              </w:rPr>
            </w:pPr>
            <w:r w:rsidRPr="00BB73F5">
              <w:rPr>
                <w:rFonts w:cstheme="majorBidi"/>
              </w:rPr>
              <w:t>Buts stratégiques</w:t>
            </w:r>
          </w:p>
        </w:tc>
        <w:tc>
          <w:tcPr>
            <w:tcW w:w="2819" w:type="dxa"/>
          </w:tcPr>
          <w:p w:rsidR="00DF466E" w:rsidRPr="00BB73F5" w:rsidRDefault="00DF466E" w:rsidP="00D43C6D">
            <w:pPr>
              <w:pStyle w:val="Tabletext"/>
              <w:rPr>
                <w:rFonts w:cstheme="majorBidi"/>
                <w:i/>
                <w:iCs/>
              </w:rPr>
            </w:pPr>
            <w:r w:rsidRPr="00BB73F5">
              <w:rPr>
                <w:rFonts w:cstheme="majorBidi"/>
              </w:rPr>
              <w:t>Buts de haut niveau de l'Union à la réalisation desquels contribuent directement ou indirectement les objectifs des Secteurs et du Secrétariat général de l'UIT.</w:t>
            </w:r>
          </w:p>
        </w:tc>
        <w:tc>
          <w:tcPr>
            <w:tcW w:w="4779" w:type="dxa"/>
          </w:tcPr>
          <w:p w:rsidR="00DF466E" w:rsidRPr="00BB73F5" w:rsidRDefault="00DF466E" w:rsidP="00D43C6D">
            <w:pPr>
              <w:pStyle w:val="Tabletext"/>
              <w:rPr>
                <w:rFonts w:cstheme="majorBidi"/>
              </w:rPr>
            </w:pPr>
            <w:r w:rsidRPr="00BB73F5">
              <w:rPr>
                <w:rFonts w:cstheme="majorBidi"/>
              </w:rPr>
              <w:t>Correspondent aux buts de haut niveau de l'Union à la réalisation desquels les objectifs des Secteurs et du Secrétariat général de l'UIT contribuent directement ou indirectement. Ils se rapportent à l'ensemble de l'Union.</w:t>
            </w:r>
          </w:p>
        </w:tc>
        <w:tc>
          <w:tcPr>
            <w:tcW w:w="5618" w:type="dxa"/>
          </w:tcPr>
          <w:p w:rsidR="00DF466E" w:rsidRPr="00BB73F5" w:rsidRDefault="00DF466E" w:rsidP="00D43C6D">
            <w:pPr>
              <w:pStyle w:val="Tabletext"/>
              <w:rPr>
                <w:rFonts w:cstheme="majorBidi"/>
              </w:rPr>
            </w:pPr>
            <w:r w:rsidRPr="00BB73F5">
              <w:rPr>
                <w:rFonts w:cstheme="majorBidi"/>
              </w:rPr>
              <w:t>Correspondent aux buts de haut niveau de l'Union, à la réalisation desquels les objectifs contribuent directement ou indirectement. Ils se rapportent à l'ensemble de l'Union.</w:t>
            </w:r>
          </w:p>
        </w:tc>
      </w:tr>
      <w:tr w:rsidR="00DF466E" w:rsidRPr="00BB73F5" w:rsidTr="007678DD">
        <w:tc>
          <w:tcPr>
            <w:tcW w:w="1527" w:type="dxa"/>
          </w:tcPr>
          <w:p w:rsidR="00DF466E" w:rsidRPr="00BB73F5" w:rsidRDefault="00DF466E" w:rsidP="00D43C6D">
            <w:pPr>
              <w:pStyle w:val="Tabletext"/>
              <w:rPr>
                <w:rFonts w:cstheme="majorBidi"/>
                <w:b/>
                <w:bCs/>
              </w:rPr>
            </w:pPr>
            <w:r w:rsidRPr="00BB73F5">
              <w:rPr>
                <w:rFonts w:cstheme="majorBidi"/>
              </w:rPr>
              <w:lastRenderedPageBreak/>
              <w:t>Plan stratégique</w:t>
            </w:r>
          </w:p>
        </w:tc>
        <w:tc>
          <w:tcPr>
            <w:tcW w:w="2819" w:type="dxa"/>
          </w:tcPr>
          <w:p w:rsidR="00DF466E" w:rsidRPr="00BB73F5" w:rsidRDefault="00DF466E" w:rsidP="00D43C6D">
            <w:pPr>
              <w:pStyle w:val="Tabletext"/>
              <w:rPr>
                <w:rFonts w:cstheme="majorBidi"/>
              </w:rPr>
            </w:pPr>
          </w:p>
        </w:tc>
        <w:tc>
          <w:tcPr>
            <w:tcW w:w="4779" w:type="dxa"/>
          </w:tcPr>
          <w:p w:rsidR="00DF466E" w:rsidRPr="00BB73F5" w:rsidRDefault="00DF466E" w:rsidP="00D43C6D">
            <w:pPr>
              <w:pStyle w:val="Tabletext"/>
              <w:rPr>
                <w:rFonts w:cstheme="majorBidi"/>
              </w:rPr>
            </w:pPr>
            <w:r w:rsidRPr="00BB73F5">
              <w:rPr>
                <w:rFonts w:cstheme="majorBidi"/>
              </w:rPr>
              <w:t>Le Plan stratégique de l'Union, établi pour une période de quatre ans, est le principal instrument qui exprime la vision stratégique de l'UIT. Il est approuvé par la Conférence de plénipotentiaires.</w:t>
            </w:r>
          </w:p>
        </w:tc>
        <w:tc>
          <w:tcPr>
            <w:tcW w:w="5618" w:type="dxa"/>
          </w:tcPr>
          <w:p w:rsidR="00DF466E" w:rsidRPr="00BB73F5" w:rsidRDefault="00DF466E" w:rsidP="00D43C6D">
            <w:pPr>
              <w:pStyle w:val="Tabletext"/>
              <w:rPr>
                <w:rFonts w:cstheme="majorBidi"/>
              </w:rPr>
            </w:pPr>
            <w:r w:rsidRPr="00BB73F5">
              <w:rPr>
                <w:rFonts w:cstheme="majorBidi"/>
              </w:rPr>
              <w:t>Le Plan stratégique définit la stratégie de l'Union pour une période de quatre ans afin que cette dernière s'acquitte de sa mission. Il définit les buts et les objectifs stratégiques et constitue le Plan de l'Union pendant cette période. Il est le principal instrument qui exprime la vision stratégique de l'Union.</w:t>
            </w:r>
          </w:p>
        </w:tc>
      </w:tr>
      <w:tr w:rsidR="00DF466E" w:rsidRPr="00BB73F5" w:rsidTr="007678DD">
        <w:tc>
          <w:tcPr>
            <w:tcW w:w="1527" w:type="dxa"/>
          </w:tcPr>
          <w:p w:rsidR="00DF466E" w:rsidRPr="00BB73F5" w:rsidRDefault="00DF466E" w:rsidP="004B4D95">
            <w:pPr>
              <w:pStyle w:val="Tabletext"/>
              <w:rPr>
                <w:rFonts w:cstheme="majorBidi"/>
                <w:b/>
                <w:bCs/>
              </w:rPr>
            </w:pPr>
            <w:r w:rsidRPr="00BB73F5">
              <w:rPr>
                <w:rFonts w:cstheme="majorBidi"/>
              </w:rPr>
              <w:t>Risques stratégiques</w:t>
            </w:r>
          </w:p>
        </w:tc>
        <w:tc>
          <w:tcPr>
            <w:tcW w:w="2819" w:type="dxa"/>
          </w:tcPr>
          <w:p w:rsidR="00DF466E" w:rsidRPr="00BB73F5" w:rsidRDefault="00DF466E" w:rsidP="004B4D95">
            <w:pPr>
              <w:pStyle w:val="Tabletext"/>
              <w:jc w:val="center"/>
              <w:rPr>
                <w:rFonts w:cstheme="majorBidi"/>
                <w:highlight w:val="yellow"/>
              </w:rPr>
            </w:pPr>
            <w:r w:rsidRPr="00BB73F5">
              <w:rPr>
                <w:rFonts w:cstheme="majorBidi"/>
              </w:rPr>
              <w:t>–</w:t>
            </w:r>
          </w:p>
        </w:tc>
        <w:tc>
          <w:tcPr>
            <w:tcW w:w="4779" w:type="dxa"/>
          </w:tcPr>
          <w:p w:rsidR="00DF466E" w:rsidRPr="00BB73F5" w:rsidRDefault="00DF466E" w:rsidP="004B4D95">
            <w:pPr>
              <w:pStyle w:val="Tabletext"/>
              <w:jc w:val="center"/>
              <w:rPr>
                <w:rFonts w:cstheme="majorBidi"/>
                <w:highlight w:val="yellow"/>
              </w:rPr>
            </w:pPr>
            <w:r w:rsidRPr="00BB73F5">
              <w:rPr>
                <w:rFonts w:cstheme="majorBidi"/>
              </w:rPr>
              <w:t>–</w:t>
            </w:r>
          </w:p>
        </w:tc>
        <w:tc>
          <w:tcPr>
            <w:tcW w:w="5618" w:type="dxa"/>
          </w:tcPr>
          <w:p w:rsidR="00DF466E" w:rsidRPr="00BB73F5" w:rsidRDefault="00DF466E" w:rsidP="004B4D95">
            <w:pPr>
              <w:spacing w:before="60" w:after="60"/>
              <w:rPr>
                <w:rFonts w:cstheme="majorBidi"/>
              </w:rPr>
            </w:pPr>
            <w:r w:rsidRPr="00BB73F5">
              <w:rPr>
                <w:rFonts w:cstheme="majorBidi"/>
              </w:rPr>
              <w:t xml:space="preserve">Les risques stratégiques correspondent aux incertitudes et aux possibilités non exploitées qui influent sur la stratégie d'une organisation et sur sa mise en </w:t>
            </w:r>
            <w:proofErr w:type="spellStart"/>
            <w:r w:rsidR="00682BA8">
              <w:rPr>
                <w:rFonts w:cstheme="majorBidi"/>
              </w:rPr>
              <w:t>oe</w:t>
            </w:r>
            <w:r w:rsidRPr="00BB73F5">
              <w:rPr>
                <w:rFonts w:cstheme="majorBidi"/>
              </w:rPr>
              <w:t>uvre</w:t>
            </w:r>
            <w:proofErr w:type="spellEnd"/>
            <w:r w:rsidRPr="00BB73F5">
              <w:rPr>
                <w:rFonts w:cstheme="majorBidi"/>
              </w:rPr>
              <w:t>.</w:t>
            </w:r>
          </w:p>
        </w:tc>
      </w:tr>
      <w:tr w:rsidR="00DF466E" w:rsidRPr="00BB73F5" w:rsidTr="007678DD">
        <w:tc>
          <w:tcPr>
            <w:tcW w:w="1527" w:type="dxa"/>
          </w:tcPr>
          <w:p w:rsidR="00DF466E" w:rsidRPr="00BB73F5" w:rsidRDefault="00DF466E" w:rsidP="004B4D95">
            <w:pPr>
              <w:pStyle w:val="Tabletext"/>
              <w:rPr>
                <w:rFonts w:cstheme="majorBidi"/>
                <w:b/>
                <w:bCs/>
              </w:rPr>
            </w:pPr>
            <w:r w:rsidRPr="00BB73F5">
              <w:rPr>
                <w:rFonts w:cstheme="majorBidi"/>
              </w:rPr>
              <w:t>Gestion des risques stratégiques (SRM)</w:t>
            </w:r>
          </w:p>
        </w:tc>
        <w:tc>
          <w:tcPr>
            <w:tcW w:w="2819" w:type="dxa"/>
          </w:tcPr>
          <w:p w:rsidR="00DF466E" w:rsidRPr="00BB73F5" w:rsidRDefault="00DF466E" w:rsidP="004B4D95">
            <w:pPr>
              <w:pStyle w:val="Tabletext"/>
              <w:jc w:val="center"/>
              <w:rPr>
                <w:rFonts w:cstheme="majorBidi"/>
                <w:highlight w:val="yellow"/>
              </w:rPr>
            </w:pPr>
            <w:r w:rsidRPr="00BB73F5">
              <w:rPr>
                <w:rFonts w:cstheme="majorBidi"/>
              </w:rPr>
              <w:t>–</w:t>
            </w:r>
          </w:p>
        </w:tc>
        <w:tc>
          <w:tcPr>
            <w:tcW w:w="4779" w:type="dxa"/>
          </w:tcPr>
          <w:p w:rsidR="00DF466E" w:rsidRPr="00BB73F5" w:rsidRDefault="00DF466E" w:rsidP="004B4D95">
            <w:pPr>
              <w:pStyle w:val="Tabletext"/>
              <w:jc w:val="center"/>
              <w:rPr>
                <w:rFonts w:cstheme="majorBidi"/>
                <w:highlight w:val="yellow"/>
              </w:rPr>
            </w:pPr>
            <w:r w:rsidRPr="00BB73F5">
              <w:rPr>
                <w:rFonts w:cstheme="majorBidi"/>
              </w:rPr>
              <w:t>–</w:t>
            </w:r>
          </w:p>
        </w:tc>
        <w:tc>
          <w:tcPr>
            <w:tcW w:w="5618" w:type="dxa"/>
          </w:tcPr>
          <w:p w:rsidR="00DF466E" w:rsidRPr="00BB73F5" w:rsidRDefault="00DF466E" w:rsidP="004B4D95">
            <w:pPr>
              <w:pStyle w:val="Tabletext"/>
              <w:rPr>
                <w:rFonts w:cstheme="majorBidi"/>
                <w:highlight w:val="yellow"/>
              </w:rPr>
            </w:pPr>
            <w:r w:rsidRPr="00BB73F5">
              <w:rPr>
                <w:rFonts w:cstheme="majorBidi"/>
              </w:rPr>
              <w:t>La gestion des risques stratégiques est une méthode de gestion qui permet d'identifier et de cibler l'action sur les incertitudes et les possibilités non exploitées qui influent sur l'aptitude d'une organisation à s'acquitter de sa mission.</w:t>
            </w:r>
          </w:p>
        </w:tc>
      </w:tr>
      <w:tr w:rsidR="00DF466E" w:rsidRPr="00BB73F5" w:rsidTr="007678DD">
        <w:tc>
          <w:tcPr>
            <w:tcW w:w="1527" w:type="dxa"/>
          </w:tcPr>
          <w:p w:rsidR="00DF466E" w:rsidRPr="00BB73F5" w:rsidRDefault="00DF466E" w:rsidP="004B4D95">
            <w:pPr>
              <w:pStyle w:val="Tabletext"/>
              <w:rPr>
                <w:rFonts w:cstheme="majorBidi"/>
                <w:b/>
                <w:bCs/>
              </w:rPr>
            </w:pPr>
            <w:r w:rsidRPr="00BB73F5">
              <w:rPr>
                <w:rFonts w:cstheme="majorBidi"/>
              </w:rPr>
              <w:t>Cibles stratégiques</w:t>
            </w:r>
          </w:p>
        </w:tc>
        <w:tc>
          <w:tcPr>
            <w:tcW w:w="2819" w:type="dxa"/>
          </w:tcPr>
          <w:p w:rsidR="00DF466E" w:rsidRPr="00BB73F5" w:rsidRDefault="00DF466E" w:rsidP="004B4D95">
            <w:pPr>
              <w:pStyle w:val="Tabletext"/>
              <w:jc w:val="center"/>
              <w:rPr>
                <w:rFonts w:cstheme="majorBidi"/>
              </w:rPr>
            </w:pPr>
            <w:r w:rsidRPr="00BB73F5">
              <w:rPr>
                <w:rFonts w:cstheme="majorBidi"/>
              </w:rPr>
              <w:t>–</w:t>
            </w:r>
          </w:p>
        </w:tc>
        <w:tc>
          <w:tcPr>
            <w:tcW w:w="4779" w:type="dxa"/>
          </w:tcPr>
          <w:p w:rsidR="00DF466E" w:rsidRPr="00BB73F5" w:rsidRDefault="00DF466E" w:rsidP="004B4D95">
            <w:pPr>
              <w:pStyle w:val="Tabletext"/>
              <w:jc w:val="center"/>
              <w:rPr>
                <w:rFonts w:cstheme="majorBidi"/>
              </w:rPr>
            </w:pPr>
            <w:r w:rsidRPr="00BB73F5">
              <w:rPr>
                <w:rFonts w:cstheme="majorBidi"/>
              </w:rPr>
              <w:t>–</w:t>
            </w:r>
          </w:p>
        </w:tc>
        <w:tc>
          <w:tcPr>
            <w:tcW w:w="5618" w:type="dxa"/>
          </w:tcPr>
          <w:p w:rsidR="00DF466E" w:rsidRPr="00BB73F5" w:rsidRDefault="00DF466E" w:rsidP="004B4D95">
            <w:pPr>
              <w:pStyle w:val="Tabletext"/>
              <w:rPr>
                <w:rFonts w:cstheme="majorBidi"/>
              </w:rPr>
            </w:pPr>
            <w:r w:rsidRPr="00BB73F5">
              <w:rPr>
                <w:rFonts w:cstheme="majorBidi"/>
              </w:rPr>
              <w:t xml:space="preserve">Les cibles stratégiques correspondent aux résultats attendus pendant la période couverte par le Plan stratégique; elles indiquent si le but est atteint. Les cibles ne sont pas toujours atteintes pour des raisons qui sont parfois indépendantes de la volonté de l'Union. </w:t>
            </w:r>
          </w:p>
        </w:tc>
      </w:tr>
      <w:tr w:rsidR="00DF466E" w:rsidRPr="00BB73F5" w:rsidTr="007678DD">
        <w:tc>
          <w:tcPr>
            <w:tcW w:w="1527" w:type="dxa"/>
          </w:tcPr>
          <w:p w:rsidR="00DF466E" w:rsidRPr="00BB73F5" w:rsidRDefault="00DF466E" w:rsidP="00D43C6D">
            <w:pPr>
              <w:pStyle w:val="Tabletext"/>
              <w:rPr>
                <w:rFonts w:cstheme="majorBidi"/>
                <w:b/>
                <w:bCs/>
              </w:rPr>
            </w:pPr>
            <w:r w:rsidRPr="00BB73F5">
              <w:rPr>
                <w:rFonts w:cstheme="majorBidi"/>
              </w:rPr>
              <w:t>Valeurs</w:t>
            </w:r>
          </w:p>
        </w:tc>
        <w:tc>
          <w:tcPr>
            <w:tcW w:w="2819" w:type="dxa"/>
          </w:tcPr>
          <w:p w:rsidR="00DF466E" w:rsidRPr="00BB73F5" w:rsidRDefault="00DF466E" w:rsidP="004B4D95">
            <w:pPr>
              <w:pStyle w:val="Tabletext"/>
              <w:keepNext/>
              <w:keepLines/>
              <w:jc w:val="center"/>
              <w:rPr>
                <w:rFonts w:cstheme="majorBidi"/>
              </w:rPr>
            </w:pPr>
            <w:r w:rsidRPr="00BB73F5">
              <w:rPr>
                <w:rFonts w:cstheme="majorBidi"/>
              </w:rPr>
              <w:t>–</w:t>
            </w:r>
          </w:p>
        </w:tc>
        <w:tc>
          <w:tcPr>
            <w:tcW w:w="4779" w:type="dxa"/>
          </w:tcPr>
          <w:p w:rsidR="00DF466E" w:rsidRPr="00BB73F5" w:rsidRDefault="00DF466E" w:rsidP="004B4D95">
            <w:pPr>
              <w:pStyle w:val="Tabletext"/>
              <w:keepNext/>
              <w:keepLines/>
              <w:jc w:val="center"/>
              <w:rPr>
                <w:rFonts w:cstheme="majorBidi"/>
              </w:rPr>
            </w:pPr>
            <w:r w:rsidRPr="00BB73F5">
              <w:rPr>
                <w:rFonts w:cstheme="majorBidi"/>
              </w:rPr>
              <w:t>–</w:t>
            </w:r>
          </w:p>
        </w:tc>
        <w:tc>
          <w:tcPr>
            <w:tcW w:w="5618" w:type="dxa"/>
          </w:tcPr>
          <w:p w:rsidR="00DF466E" w:rsidRPr="00BB73F5" w:rsidRDefault="00DF466E" w:rsidP="004B4D95">
            <w:pPr>
              <w:pStyle w:val="Tabletext"/>
              <w:keepNext/>
              <w:keepLines/>
              <w:rPr>
                <w:rFonts w:cstheme="majorBidi"/>
              </w:rPr>
            </w:pPr>
            <w:r w:rsidRPr="00BB73F5">
              <w:rPr>
                <w:rFonts w:cstheme="majorBidi"/>
              </w:rPr>
              <w:t>Convictions communes à toute l'UIT qui déterminent ses priorités et guident tous les processus décisionnels.</w:t>
            </w:r>
          </w:p>
        </w:tc>
      </w:tr>
      <w:tr w:rsidR="00DF466E" w:rsidRPr="00BB73F5" w:rsidTr="007678DD">
        <w:tc>
          <w:tcPr>
            <w:tcW w:w="1527" w:type="dxa"/>
          </w:tcPr>
          <w:p w:rsidR="00DF466E" w:rsidRPr="00BB73F5" w:rsidRDefault="00DF466E" w:rsidP="004B4D95">
            <w:pPr>
              <w:pStyle w:val="Tabletext"/>
              <w:rPr>
                <w:rFonts w:cstheme="majorBidi"/>
                <w:b/>
                <w:bCs/>
              </w:rPr>
            </w:pPr>
            <w:r w:rsidRPr="00BB73F5">
              <w:rPr>
                <w:rFonts w:cstheme="majorBidi"/>
              </w:rPr>
              <w:t>Vision</w:t>
            </w:r>
          </w:p>
        </w:tc>
        <w:tc>
          <w:tcPr>
            <w:tcW w:w="2819" w:type="dxa"/>
          </w:tcPr>
          <w:p w:rsidR="00DF466E" w:rsidRPr="00BB73F5" w:rsidRDefault="00DF466E" w:rsidP="004B4D95">
            <w:pPr>
              <w:pStyle w:val="Tabletext"/>
              <w:jc w:val="center"/>
              <w:rPr>
                <w:rFonts w:cstheme="majorBidi"/>
              </w:rPr>
            </w:pPr>
            <w:r w:rsidRPr="00BB73F5">
              <w:rPr>
                <w:rFonts w:cstheme="majorBidi"/>
              </w:rPr>
              <w:t>–</w:t>
            </w:r>
          </w:p>
        </w:tc>
        <w:tc>
          <w:tcPr>
            <w:tcW w:w="4779" w:type="dxa"/>
          </w:tcPr>
          <w:p w:rsidR="00DF466E" w:rsidRPr="00BB73F5" w:rsidRDefault="00DF466E" w:rsidP="004B4D95">
            <w:pPr>
              <w:pStyle w:val="Tabletext"/>
              <w:jc w:val="center"/>
              <w:rPr>
                <w:rFonts w:cstheme="majorBidi"/>
              </w:rPr>
            </w:pPr>
            <w:r w:rsidRPr="00BB73F5">
              <w:rPr>
                <w:rFonts w:cstheme="majorBidi"/>
              </w:rPr>
              <w:t>–</w:t>
            </w:r>
          </w:p>
        </w:tc>
        <w:tc>
          <w:tcPr>
            <w:tcW w:w="5618" w:type="dxa"/>
          </w:tcPr>
          <w:p w:rsidR="00DF466E" w:rsidRPr="00BB73F5" w:rsidRDefault="00DF466E" w:rsidP="004B4D95">
            <w:pPr>
              <w:pStyle w:val="Tabletext"/>
              <w:rPr>
                <w:rFonts w:cstheme="majorBidi"/>
              </w:rPr>
            </w:pPr>
            <w:r w:rsidRPr="00BB73F5">
              <w:rPr>
                <w:rFonts w:cstheme="majorBidi"/>
              </w:rPr>
              <w:t>Le monde meilleur envisagé par l'UIT.</w:t>
            </w:r>
          </w:p>
        </w:tc>
      </w:tr>
    </w:tbl>
    <w:p w:rsidR="00DF466E" w:rsidRDefault="00DF466E" w:rsidP="00DF466E">
      <w:r>
        <w:br w:type="page"/>
      </w:r>
    </w:p>
    <w:p w:rsidR="00DF466E" w:rsidRPr="00D4259E" w:rsidRDefault="00DF466E" w:rsidP="00DF466E">
      <w:pPr>
        <w:pStyle w:val="Annextitle"/>
        <w:spacing w:before="120" w:after="120"/>
        <w:rPr>
          <w:bCs/>
        </w:rPr>
      </w:pPr>
      <w:r w:rsidRPr="00BB73F5">
        <w:lastRenderedPageBreak/>
        <w:t>Liste des termes dans les six langues officielles</w:t>
      </w:r>
    </w:p>
    <w:tbl>
      <w:tblPr>
        <w:tblpPr w:leftFromText="180" w:rightFromText="180" w:vertAnchor="text" w:horzAnchor="margin" w:tblpXSpec="center" w:tblpY="4"/>
        <w:tblW w:w="14885"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2477"/>
        <w:gridCol w:w="2129"/>
        <w:gridCol w:w="2702"/>
        <w:gridCol w:w="2848"/>
        <w:gridCol w:w="2390"/>
        <w:gridCol w:w="2339"/>
      </w:tblGrid>
      <w:tr w:rsidR="00DF466E" w:rsidRPr="00D74A52" w:rsidTr="004B4D95">
        <w:trPr>
          <w:cantSplit/>
          <w:trHeight w:val="144"/>
          <w:tblHeader/>
        </w:trPr>
        <w:tc>
          <w:tcPr>
            <w:tcW w:w="2477" w:type="dxa"/>
            <w:shd w:val="clear" w:color="auto" w:fill="4F81BD"/>
            <w:vAlign w:val="center"/>
          </w:tcPr>
          <w:p w:rsidR="00DF466E" w:rsidRPr="00D74A52" w:rsidRDefault="00DF466E" w:rsidP="004B4D95">
            <w:pPr>
              <w:spacing w:before="0"/>
              <w:jc w:val="center"/>
              <w:rPr>
                <w:rFonts w:eastAsia="SimSun"/>
                <w:bCs/>
                <w:i/>
                <w:iCs/>
                <w:color w:val="FFFFFF"/>
                <w:sz w:val="18"/>
                <w:szCs w:val="18"/>
              </w:rPr>
            </w:pPr>
            <w:r w:rsidRPr="00D74A52">
              <w:rPr>
                <w:rFonts w:eastAsia="SimSun"/>
                <w:b/>
                <w:bCs/>
                <w:color w:val="FFFFFF"/>
                <w:sz w:val="18"/>
                <w:szCs w:val="18"/>
              </w:rPr>
              <w:t>English</w:t>
            </w:r>
          </w:p>
        </w:tc>
        <w:tc>
          <w:tcPr>
            <w:tcW w:w="2129" w:type="dxa"/>
            <w:shd w:val="clear" w:color="auto" w:fill="4F81BD"/>
            <w:vAlign w:val="center"/>
          </w:tcPr>
          <w:p w:rsidR="00DF466E" w:rsidRPr="00D74A52" w:rsidRDefault="00DF466E" w:rsidP="004B4D95">
            <w:pPr>
              <w:overflowPunct/>
              <w:autoSpaceDE/>
              <w:autoSpaceDN/>
              <w:adjustRightInd/>
              <w:spacing w:before="0"/>
              <w:jc w:val="center"/>
              <w:textAlignment w:val="auto"/>
              <w:rPr>
                <w:rFonts w:eastAsia="SimSun"/>
                <w:b/>
                <w:bCs/>
                <w:color w:val="FFFFFF"/>
                <w:sz w:val="18"/>
                <w:szCs w:val="18"/>
                <w:lang w:val="en-US"/>
              </w:rPr>
            </w:pPr>
            <w:r w:rsidRPr="00D74A52">
              <w:rPr>
                <w:rFonts w:eastAsia="SimSun"/>
                <w:b/>
                <w:bCs/>
                <w:color w:val="FFFFFF"/>
                <w:sz w:val="18"/>
                <w:szCs w:val="18"/>
                <w:lang w:val="en-US"/>
              </w:rPr>
              <w:t>Arab</w:t>
            </w:r>
          </w:p>
        </w:tc>
        <w:tc>
          <w:tcPr>
            <w:tcW w:w="2702" w:type="dxa"/>
            <w:shd w:val="clear" w:color="auto" w:fill="4F81BD"/>
            <w:vAlign w:val="center"/>
          </w:tcPr>
          <w:p w:rsidR="00DF466E" w:rsidRPr="00D74A52" w:rsidRDefault="00DF466E" w:rsidP="004B4D95">
            <w:pPr>
              <w:overflowPunct/>
              <w:autoSpaceDE/>
              <w:autoSpaceDN/>
              <w:adjustRightInd/>
              <w:spacing w:before="0"/>
              <w:jc w:val="center"/>
              <w:textAlignment w:val="auto"/>
              <w:rPr>
                <w:rFonts w:eastAsia="SimSun"/>
                <w:b/>
                <w:bCs/>
                <w:color w:val="FFFFFF"/>
                <w:sz w:val="18"/>
                <w:szCs w:val="18"/>
                <w:lang w:val="en-US"/>
              </w:rPr>
            </w:pPr>
            <w:r w:rsidRPr="00D74A52">
              <w:rPr>
                <w:rFonts w:eastAsia="SimSun"/>
                <w:b/>
                <w:bCs/>
                <w:color w:val="FFFFFF"/>
                <w:sz w:val="18"/>
                <w:szCs w:val="18"/>
                <w:lang w:val="en-US"/>
              </w:rPr>
              <w:t>Chinese</w:t>
            </w:r>
          </w:p>
        </w:tc>
        <w:tc>
          <w:tcPr>
            <w:tcW w:w="2848" w:type="dxa"/>
            <w:shd w:val="clear" w:color="auto" w:fill="4F81BD"/>
            <w:vAlign w:val="center"/>
          </w:tcPr>
          <w:p w:rsidR="00DF466E" w:rsidRPr="00CF752D" w:rsidRDefault="00DF466E" w:rsidP="004B4D95">
            <w:pPr>
              <w:overflowPunct/>
              <w:autoSpaceDE/>
              <w:autoSpaceDN/>
              <w:adjustRightInd/>
              <w:spacing w:before="0"/>
              <w:jc w:val="center"/>
              <w:textAlignment w:val="auto"/>
              <w:rPr>
                <w:rFonts w:eastAsia="SimSun"/>
                <w:b/>
                <w:bCs/>
                <w:color w:val="FFFFFF"/>
                <w:sz w:val="18"/>
                <w:szCs w:val="18"/>
                <w:lang w:val="fr-CH"/>
              </w:rPr>
            </w:pPr>
            <w:r w:rsidRPr="00CF752D">
              <w:rPr>
                <w:rFonts w:eastAsia="SimSun"/>
                <w:b/>
                <w:bCs/>
                <w:color w:val="FFFFFF"/>
                <w:sz w:val="18"/>
                <w:szCs w:val="18"/>
                <w:lang w:val="fr-CH"/>
              </w:rPr>
              <w:t>Français</w:t>
            </w:r>
          </w:p>
        </w:tc>
        <w:tc>
          <w:tcPr>
            <w:tcW w:w="2390" w:type="dxa"/>
            <w:shd w:val="clear" w:color="auto" w:fill="4F81BD"/>
            <w:vAlign w:val="center"/>
          </w:tcPr>
          <w:p w:rsidR="00DF466E" w:rsidRPr="00D74A52" w:rsidRDefault="00DF466E" w:rsidP="004B4D95">
            <w:pPr>
              <w:overflowPunct/>
              <w:autoSpaceDE/>
              <w:autoSpaceDN/>
              <w:adjustRightInd/>
              <w:spacing w:before="0"/>
              <w:jc w:val="center"/>
              <w:textAlignment w:val="auto"/>
              <w:rPr>
                <w:rFonts w:eastAsia="SimSun"/>
                <w:b/>
                <w:bCs/>
                <w:color w:val="FFFFFF"/>
                <w:sz w:val="18"/>
                <w:szCs w:val="18"/>
                <w:lang w:val="en-US"/>
              </w:rPr>
            </w:pPr>
            <w:r w:rsidRPr="00D74A52">
              <w:rPr>
                <w:rFonts w:eastAsia="SimSun"/>
                <w:b/>
                <w:bCs/>
                <w:color w:val="FFFFFF"/>
                <w:sz w:val="18"/>
                <w:szCs w:val="18"/>
                <w:lang w:val="en-US"/>
              </w:rPr>
              <w:t>Russian</w:t>
            </w:r>
          </w:p>
        </w:tc>
        <w:tc>
          <w:tcPr>
            <w:tcW w:w="2339" w:type="dxa"/>
            <w:shd w:val="clear" w:color="auto" w:fill="4F81BD"/>
            <w:vAlign w:val="center"/>
          </w:tcPr>
          <w:p w:rsidR="00DF466E" w:rsidRPr="00D74A52" w:rsidRDefault="00DF466E" w:rsidP="004B4D95">
            <w:pPr>
              <w:overflowPunct/>
              <w:autoSpaceDE/>
              <w:autoSpaceDN/>
              <w:adjustRightInd/>
              <w:spacing w:before="0"/>
              <w:jc w:val="center"/>
              <w:textAlignment w:val="auto"/>
              <w:rPr>
                <w:rFonts w:eastAsia="SimSun"/>
                <w:b/>
                <w:bCs/>
                <w:color w:val="FFFFFF"/>
                <w:sz w:val="18"/>
                <w:szCs w:val="18"/>
                <w:lang w:val="en-US"/>
              </w:rPr>
            </w:pPr>
            <w:r w:rsidRPr="00D74A52">
              <w:rPr>
                <w:rFonts w:eastAsia="SimSun"/>
                <w:b/>
                <w:bCs/>
                <w:color w:val="FFFFFF"/>
                <w:sz w:val="18"/>
                <w:szCs w:val="18"/>
                <w:lang w:val="en-US"/>
              </w:rPr>
              <w:t>Spanish</w:t>
            </w:r>
          </w:p>
        </w:tc>
      </w:tr>
      <w:tr w:rsidR="00DF466E" w:rsidRPr="00D74A52" w:rsidTr="004B4D95">
        <w:trPr>
          <w:cantSplit/>
          <w:trHeight w:val="144"/>
        </w:trPr>
        <w:tc>
          <w:tcPr>
            <w:tcW w:w="2477" w:type="dxa"/>
            <w:tcBorders>
              <w:top w:val="single" w:sz="8" w:space="0" w:color="4F81BD"/>
              <w:left w:val="single" w:sz="8" w:space="0" w:color="4F81BD"/>
              <w:bottom w:val="single" w:sz="8" w:space="0" w:color="4F81BD"/>
            </w:tcBorders>
            <w:shd w:val="clear" w:color="auto" w:fill="auto"/>
          </w:tcPr>
          <w:p w:rsidR="00DF466E" w:rsidRPr="00D74A52" w:rsidRDefault="00DF466E" w:rsidP="004B4D95">
            <w:pPr>
              <w:spacing w:before="10" w:after="10"/>
              <w:rPr>
                <w:rFonts w:eastAsia="SimSun"/>
                <w:b/>
                <w:bCs/>
                <w:sz w:val="18"/>
                <w:szCs w:val="18"/>
                <w:lang w:val="en-US"/>
              </w:rPr>
            </w:pPr>
            <w:proofErr w:type="spellStart"/>
            <w:r w:rsidRPr="00D74A52">
              <w:rPr>
                <w:rFonts w:eastAsia="SimSun"/>
                <w:sz w:val="18"/>
                <w:szCs w:val="18"/>
              </w:rPr>
              <w:t>Activities</w:t>
            </w:r>
            <w:proofErr w:type="spellEnd"/>
          </w:p>
        </w:tc>
        <w:tc>
          <w:tcPr>
            <w:tcW w:w="2129" w:type="dxa"/>
            <w:tcBorders>
              <w:top w:val="single" w:sz="8" w:space="0" w:color="4F81BD"/>
              <w:bottom w:val="single" w:sz="8" w:space="0" w:color="4F81BD"/>
            </w:tcBorders>
            <w:shd w:val="clear" w:color="auto" w:fill="auto"/>
          </w:tcPr>
          <w:p w:rsidR="00DF466E" w:rsidRPr="00D74A52" w:rsidRDefault="00DF466E" w:rsidP="004B4D95">
            <w:pPr>
              <w:overflowPunct/>
              <w:autoSpaceDE/>
              <w:autoSpaceDN/>
              <w:bidi/>
              <w:adjustRightInd/>
              <w:spacing w:before="10" w:after="10"/>
              <w:jc w:val="both"/>
              <w:textAlignment w:val="auto"/>
              <w:rPr>
                <w:rFonts w:ascii="Times New Roman" w:eastAsia="SimSun" w:hAnsi="Times New Roman"/>
                <w:sz w:val="18"/>
                <w:szCs w:val="18"/>
                <w:rtl/>
                <w:lang w:val="en-US" w:bidi="ar-EG"/>
              </w:rPr>
            </w:pPr>
            <w:r w:rsidRPr="00D74A52">
              <w:rPr>
                <w:rFonts w:ascii="Times New Roman" w:eastAsia="SimSun" w:hAnsi="Times New Roman"/>
                <w:sz w:val="18"/>
                <w:szCs w:val="18"/>
                <w:rtl/>
                <w:lang w:val="en-US"/>
              </w:rPr>
              <w:t>الأنشطة</w:t>
            </w:r>
          </w:p>
        </w:tc>
        <w:tc>
          <w:tcPr>
            <w:tcW w:w="2702" w:type="dxa"/>
            <w:tcBorders>
              <w:top w:val="single" w:sz="8" w:space="0" w:color="4F81BD"/>
              <w:bottom w:val="single" w:sz="8" w:space="0" w:color="4F81BD"/>
            </w:tcBorders>
            <w:shd w:val="clear" w:color="auto" w:fill="auto"/>
          </w:tcPr>
          <w:p w:rsidR="00DF466E" w:rsidRPr="00D74A52" w:rsidRDefault="00DF466E" w:rsidP="004B4D95">
            <w:pPr>
              <w:overflowPunct/>
              <w:autoSpaceDE/>
              <w:autoSpaceDN/>
              <w:adjustRightInd/>
              <w:spacing w:before="10" w:after="10"/>
              <w:textAlignment w:val="auto"/>
              <w:rPr>
                <w:rFonts w:ascii="Times New Roman" w:eastAsia="SimSun" w:hAnsi="Times New Roman"/>
                <w:sz w:val="18"/>
                <w:szCs w:val="18"/>
                <w:lang w:val="en-US"/>
              </w:rPr>
            </w:pPr>
            <w:proofErr w:type="spellStart"/>
            <w:r w:rsidRPr="00D74A52">
              <w:rPr>
                <w:rFonts w:ascii="Times New Roman" w:eastAsia="SimSun" w:hAnsi="Times New Roman"/>
                <w:sz w:val="18"/>
                <w:szCs w:val="18"/>
                <w:lang w:val="en-US"/>
              </w:rPr>
              <w:t>活动</w:t>
            </w:r>
            <w:proofErr w:type="spellEnd"/>
          </w:p>
        </w:tc>
        <w:tc>
          <w:tcPr>
            <w:tcW w:w="2848" w:type="dxa"/>
            <w:tcBorders>
              <w:top w:val="single" w:sz="8" w:space="0" w:color="4F81BD"/>
              <w:bottom w:val="single" w:sz="8" w:space="0" w:color="4F81BD"/>
            </w:tcBorders>
            <w:shd w:val="clear" w:color="auto" w:fill="auto"/>
          </w:tcPr>
          <w:p w:rsidR="00DF466E" w:rsidRPr="00CF752D" w:rsidRDefault="00DF466E" w:rsidP="004B4D95">
            <w:pPr>
              <w:overflowPunct/>
              <w:autoSpaceDE/>
              <w:autoSpaceDN/>
              <w:adjustRightInd/>
              <w:spacing w:before="10" w:after="10"/>
              <w:textAlignment w:val="auto"/>
              <w:rPr>
                <w:rFonts w:eastAsia="SimSun"/>
                <w:sz w:val="18"/>
                <w:szCs w:val="18"/>
                <w:lang w:val="fr-CH"/>
              </w:rPr>
            </w:pPr>
            <w:r w:rsidRPr="00CF752D">
              <w:rPr>
                <w:rFonts w:eastAsia="SimSun"/>
                <w:sz w:val="18"/>
                <w:szCs w:val="18"/>
                <w:lang w:val="fr-CH"/>
              </w:rPr>
              <w:t>Activités</w:t>
            </w:r>
          </w:p>
        </w:tc>
        <w:tc>
          <w:tcPr>
            <w:tcW w:w="2390" w:type="dxa"/>
            <w:tcBorders>
              <w:top w:val="single" w:sz="8" w:space="0" w:color="4F81BD"/>
              <w:bottom w:val="single" w:sz="8" w:space="0" w:color="4F81BD"/>
            </w:tcBorders>
            <w:shd w:val="clear" w:color="auto" w:fill="auto"/>
          </w:tcPr>
          <w:p w:rsidR="00DF466E" w:rsidRPr="00D74A52" w:rsidRDefault="00DF466E" w:rsidP="004B4D95">
            <w:pPr>
              <w:overflowPunct/>
              <w:autoSpaceDE/>
              <w:autoSpaceDN/>
              <w:adjustRightInd/>
              <w:spacing w:before="10" w:after="10"/>
              <w:textAlignment w:val="auto"/>
              <w:rPr>
                <w:rFonts w:ascii="Times New Roman" w:eastAsia="SimSun" w:hAnsi="Times New Roman"/>
                <w:sz w:val="18"/>
                <w:szCs w:val="18"/>
                <w:lang w:val="ru-RU"/>
              </w:rPr>
            </w:pPr>
            <w:r w:rsidRPr="00D74A52">
              <w:rPr>
                <w:rFonts w:ascii="Times New Roman" w:eastAsia="SimSun" w:hAnsi="Times New Roman"/>
                <w:sz w:val="18"/>
                <w:szCs w:val="18"/>
                <w:lang w:val="ru-RU"/>
              </w:rPr>
              <w:t>Виды деятельности</w:t>
            </w:r>
          </w:p>
        </w:tc>
        <w:tc>
          <w:tcPr>
            <w:tcW w:w="2339" w:type="dxa"/>
            <w:tcBorders>
              <w:top w:val="single" w:sz="8" w:space="0" w:color="4F81BD"/>
              <w:bottom w:val="single" w:sz="8" w:space="0" w:color="4F81BD"/>
              <w:right w:val="single" w:sz="8" w:space="0" w:color="4F81BD"/>
            </w:tcBorders>
            <w:shd w:val="clear" w:color="auto" w:fill="auto"/>
          </w:tcPr>
          <w:p w:rsidR="00DF466E" w:rsidRPr="00D74A52" w:rsidRDefault="00DF466E" w:rsidP="004B4D95">
            <w:pPr>
              <w:overflowPunct/>
              <w:autoSpaceDE/>
              <w:autoSpaceDN/>
              <w:adjustRightInd/>
              <w:spacing w:before="10" w:after="10"/>
              <w:textAlignment w:val="auto"/>
              <w:rPr>
                <w:rFonts w:eastAsia="SimSun"/>
                <w:sz w:val="18"/>
                <w:szCs w:val="18"/>
                <w:lang w:val="es-ES"/>
              </w:rPr>
            </w:pPr>
            <w:r w:rsidRPr="00D74A52">
              <w:rPr>
                <w:rFonts w:eastAsia="SimSun"/>
                <w:sz w:val="18"/>
                <w:szCs w:val="18"/>
                <w:lang w:val="es-ES"/>
              </w:rPr>
              <w:t>Actividades</w:t>
            </w:r>
          </w:p>
        </w:tc>
      </w:tr>
      <w:tr w:rsidR="00DF466E" w:rsidRPr="00D74A52" w:rsidTr="004B4D95">
        <w:trPr>
          <w:cantSplit/>
          <w:trHeight w:val="144"/>
        </w:trPr>
        <w:tc>
          <w:tcPr>
            <w:tcW w:w="2477" w:type="dxa"/>
            <w:shd w:val="clear" w:color="auto" w:fill="auto"/>
          </w:tcPr>
          <w:p w:rsidR="00DF466E" w:rsidRPr="00D74A52" w:rsidRDefault="00DF466E" w:rsidP="004B4D95">
            <w:pPr>
              <w:overflowPunct/>
              <w:autoSpaceDE/>
              <w:autoSpaceDN/>
              <w:adjustRightInd/>
              <w:spacing w:before="10" w:after="10"/>
              <w:textAlignment w:val="auto"/>
              <w:rPr>
                <w:rFonts w:eastAsia="SimSun"/>
                <w:b/>
                <w:bCs/>
                <w:sz w:val="18"/>
                <w:szCs w:val="18"/>
                <w:lang w:val="en-US"/>
              </w:rPr>
            </w:pPr>
            <w:r w:rsidRPr="00D74A52">
              <w:rPr>
                <w:rFonts w:eastAsia="SimSun"/>
                <w:sz w:val="18"/>
                <w:szCs w:val="18"/>
                <w:lang w:val="en-US"/>
              </w:rPr>
              <w:t>Expected results</w:t>
            </w:r>
          </w:p>
        </w:tc>
        <w:tc>
          <w:tcPr>
            <w:tcW w:w="2129" w:type="dxa"/>
            <w:shd w:val="clear" w:color="auto" w:fill="auto"/>
          </w:tcPr>
          <w:p w:rsidR="00DF466E" w:rsidRPr="00D74A52" w:rsidRDefault="00DF466E" w:rsidP="004B4D95">
            <w:pPr>
              <w:overflowPunct/>
              <w:autoSpaceDE/>
              <w:autoSpaceDN/>
              <w:bidi/>
              <w:adjustRightInd/>
              <w:spacing w:before="10" w:after="10"/>
              <w:jc w:val="both"/>
              <w:textAlignment w:val="auto"/>
              <w:rPr>
                <w:rFonts w:ascii="Times New Roman" w:eastAsia="SimSun" w:hAnsi="Times New Roman"/>
                <w:sz w:val="18"/>
                <w:szCs w:val="18"/>
                <w:lang w:val="en-US"/>
              </w:rPr>
            </w:pPr>
            <w:proofErr w:type="gramStart"/>
            <w:r w:rsidRPr="00D74A52">
              <w:rPr>
                <w:rFonts w:ascii="Times New Roman" w:eastAsia="SimSun" w:hAnsi="Times New Roman"/>
                <w:sz w:val="18"/>
                <w:szCs w:val="18"/>
                <w:rtl/>
                <w:lang w:val="en-US"/>
              </w:rPr>
              <w:t>النتائج</w:t>
            </w:r>
            <w:proofErr w:type="gramEnd"/>
            <w:r w:rsidRPr="00D74A52">
              <w:rPr>
                <w:rFonts w:ascii="Times New Roman" w:eastAsia="SimSun" w:hAnsi="Times New Roman"/>
                <w:sz w:val="18"/>
                <w:szCs w:val="18"/>
                <w:rtl/>
                <w:lang w:val="en-US"/>
              </w:rPr>
              <w:t xml:space="preserve"> المتوقعة</w:t>
            </w:r>
          </w:p>
        </w:tc>
        <w:tc>
          <w:tcPr>
            <w:tcW w:w="2702" w:type="dxa"/>
            <w:shd w:val="clear" w:color="auto" w:fill="auto"/>
          </w:tcPr>
          <w:p w:rsidR="00DF466E" w:rsidRPr="00D74A52" w:rsidRDefault="00DF466E" w:rsidP="004B4D95">
            <w:pPr>
              <w:overflowPunct/>
              <w:autoSpaceDE/>
              <w:autoSpaceDN/>
              <w:adjustRightInd/>
              <w:spacing w:before="10" w:after="10"/>
              <w:textAlignment w:val="auto"/>
              <w:rPr>
                <w:rFonts w:ascii="Times New Roman" w:eastAsia="SimSun" w:hAnsi="Times New Roman"/>
                <w:sz w:val="18"/>
                <w:szCs w:val="18"/>
                <w:lang w:val="en-US"/>
              </w:rPr>
            </w:pPr>
            <w:proofErr w:type="spellStart"/>
            <w:r w:rsidRPr="00D74A52">
              <w:rPr>
                <w:rFonts w:ascii="Times New Roman" w:eastAsia="SimSun" w:hAnsi="Times New Roman"/>
                <w:sz w:val="18"/>
                <w:szCs w:val="18"/>
                <w:lang w:val="en-US"/>
              </w:rPr>
              <w:t>预期结果</w:t>
            </w:r>
            <w:proofErr w:type="spellEnd"/>
          </w:p>
        </w:tc>
        <w:tc>
          <w:tcPr>
            <w:tcW w:w="2848" w:type="dxa"/>
            <w:shd w:val="clear" w:color="auto" w:fill="auto"/>
          </w:tcPr>
          <w:p w:rsidR="00DF466E" w:rsidRPr="00CF752D" w:rsidRDefault="00DF466E" w:rsidP="004B4D95">
            <w:pPr>
              <w:overflowPunct/>
              <w:autoSpaceDE/>
              <w:autoSpaceDN/>
              <w:adjustRightInd/>
              <w:spacing w:before="10" w:after="10"/>
              <w:textAlignment w:val="auto"/>
              <w:rPr>
                <w:rFonts w:eastAsia="SimSun"/>
                <w:sz w:val="18"/>
                <w:szCs w:val="18"/>
                <w:lang w:val="fr-CH"/>
              </w:rPr>
            </w:pPr>
            <w:r w:rsidRPr="00CF752D">
              <w:rPr>
                <w:rFonts w:eastAsia="SimSun"/>
                <w:sz w:val="18"/>
                <w:szCs w:val="18"/>
                <w:lang w:val="fr-CH"/>
              </w:rPr>
              <w:t>Résultats attendus</w:t>
            </w:r>
          </w:p>
        </w:tc>
        <w:tc>
          <w:tcPr>
            <w:tcW w:w="2390" w:type="dxa"/>
            <w:shd w:val="clear" w:color="auto" w:fill="auto"/>
          </w:tcPr>
          <w:p w:rsidR="00DF466E" w:rsidRPr="00D74A52" w:rsidRDefault="00DF466E" w:rsidP="004B4D95">
            <w:pPr>
              <w:overflowPunct/>
              <w:autoSpaceDE/>
              <w:autoSpaceDN/>
              <w:adjustRightInd/>
              <w:spacing w:before="10" w:after="10"/>
              <w:textAlignment w:val="auto"/>
              <w:rPr>
                <w:rFonts w:ascii="Times New Roman" w:eastAsia="SimSun" w:hAnsi="Times New Roman"/>
                <w:sz w:val="18"/>
                <w:szCs w:val="18"/>
                <w:lang w:val="ru-RU"/>
              </w:rPr>
            </w:pPr>
            <w:r w:rsidRPr="00D74A52">
              <w:rPr>
                <w:rFonts w:ascii="Times New Roman" w:eastAsia="SimSun" w:hAnsi="Times New Roman"/>
                <w:sz w:val="18"/>
                <w:szCs w:val="18"/>
                <w:lang w:val="ru-RU"/>
              </w:rPr>
              <w:t>Ожидаемые результаты</w:t>
            </w:r>
          </w:p>
        </w:tc>
        <w:tc>
          <w:tcPr>
            <w:tcW w:w="2339" w:type="dxa"/>
            <w:shd w:val="clear" w:color="auto" w:fill="auto"/>
          </w:tcPr>
          <w:p w:rsidR="00DF466E" w:rsidRPr="00D74A52" w:rsidRDefault="00DF466E" w:rsidP="004B4D95">
            <w:pPr>
              <w:overflowPunct/>
              <w:autoSpaceDE/>
              <w:autoSpaceDN/>
              <w:adjustRightInd/>
              <w:spacing w:before="10" w:after="10"/>
              <w:textAlignment w:val="auto"/>
              <w:rPr>
                <w:rFonts w:eastAsia="SimSun"/>
                <w:sz w:val="18"/>
                <w:szCs w:val="18"/>
                <w:lang w:val="es-ES"/>
              </w:rPr>
            </w:pPr>
            <w:r w:rsidRPr="00D74A52">
              <w:rPr>
                <w:rFonts w:eastAsia="SimSun"/>
                <w:sz w:val="18"/>
                <w:szCs w:val="18"/>
                <w:lang w:val="es-ES"/>
              </w:rPr>
              <w:t>Resultados previstos</w:t>
            </w:r>
          </w:p>
        </w:tc>
      </w:tr>
      <w:tr w:rsidR="00DF466E" w:rsidRPr="00D74A52" w:rsidTr="004B4D95">
        <w:trPr>
          <w:cantSplit/>
          <w:trHeight w:val="144"/>
        </w:trPr>
        <w:tc>
          <w:tcPr>
            <w:tcW w:w="2477" w:type="dxa"/>
            <w:tcBorders>
              <w:top w:val="single" w:sz="8" w:space="0" w:color="4F81BD"/>
              <w:left w:val="single" w:sz="8" w:space="0" w:color="4F81BD"/>
              <w:bottom w:val="single" w:sz="8" w:space="0" w:color="4F81BD"/>
            </w:tcBorders>
            <w:shd w:val="clear" w:color="auto" w:fill="auto"/>
          </w:tcPr>
          <w:p w:rsidR="00DF466E" w:rsidRPr="00D74A52" w:rsidRDefault="00DF466E" w:rsidP="004B4D95">
            <w:pPr>
              <w:spacing w:before="10" w:after="10"/>
              <w:rPr>
                <w:rFonts w:eastAsia="SimSun"/>
                <w:b/>
                <w:bCs/>
                <w:sz w:val="18"/>
                <w:szCs w:val="18"/>
              </w:rPr>
            </w:pPr>
            <w:r w:rsidRPr="00D74A52">
              <w:rPr>
                <w:rFonts w:eastAsia="SimSun"/>
                <w:sz w:val="18"/>
                <w:szCs w:val="18"/>
              </w:rPr>
              <w:t>Financial Plan</w:t>
            </w:r>
          </w:p>
        </w:tc>
        <w:tc>
          <w:tcPr>
            <w:tcW w:w="2129" w:type="dxa"/>
            <w:tcBorders>
              <w:top w:val="single" w:sz="8" w:space="0" w:color="4F81BD"/>
              <w:bottom w:val="single" w:sz="8" w:space="0" w:color="4F81BD"/>
            </w:tcBorders>
            <w:shd w:val="clear" w:color="auto" w:fill="auto"/>
          </w:tcPr>
          <w:p w:rsidR="00DF466E" w:rsidRPr="00D74A52" w:rsidRDefault="00DF466E" w:rsidP="004B4D95">
            <w:pPr>
              <w:overflowPunct/>
              <w:autoSpaceDE/>
              <w:autoSpaceDN/>
              <w:bidi/>
              <w:adjustRightInd/>
              <w:spacing w:before="10" w:after="10"/>
              <w:jc w:val="both"/>
              <w:textAlignment w:val="auto"/>
              <w:rPr>
                <w:rFonts w:ascii="Times New Roman" w:eastAsia="SimSun" w:hAnsi="Times New Roman"/>
                <w:sz w:val="18"/>
                <w:szCs w:val="18"/>
                <w:lang w:val="en-US"/>
              </w:rPr>
            </w:pPr>
            <w:r w:rsidRPr="00D74A52">
              <w:rPr>
                <w:rFonts w:ascii="Times New Roman" w:eastAsia="SimSun" w:hAnsi="Times New Roman"/>
                <w:sz w:val="18"/>
                <w:szCs w:val="18"/>
                <w:rtl/>
                <w:lang w:val="en-US"/>
              </w:rPr>
              <w:t>الخطة المالية</w:t>
            </w:r>
          </w:p>
        </w:tc>
        <w:tc>
          <w:tcPr>
            <w:tcW w:w="2702" w:type="dxa"/>
            <w:tcBorders>
              <w:top w:val="single" w:sz="8" w:space="0" w:color="4F81BD"/>
              <w:bottom w:val="single" w:sz="8" w:space="0" w:color="4F81BD"/>
            </w:tcBorders>
            <w:shd w:val="clear" w:color="auto" w:fill="auto"/>
          </w:tcPr>
          <w:p w:rsidR="00DF466E" w:rsidRPr="00D74A52" w:rsidRDefault="00DF466E" w:rsidP="004B4D95">
            <w:pPr>
              <w:overflowPunct/>
              <w:autoSpaceDE/>
              <w:autoSpaceDN/>
              <w:adjustRightInd/>
              <w:spacing w:before="10" w:after="10"/>
              <w:textAlignment w:val="auto"/>
              <w:rPr>
                <w:rFonts w:ascii="Times New Roman" w:eastAsia="SimSun" w:hAnsi="Times New Roman"/>
                <w:sz w:val="18"/>
                <w:szCs w:val="18"/>
                <w:lang w:val="en-US"/>
              </w:rPr>
            </w:pPr>
            <w:proofErr w:type="spellStart"/>
            <w:r w:rsidRPr="00D74A52">
              <w:rPr>
                <w:rFonts w:ascii="Times New Roman" w:eastAsia="SimSun" w:hAnsi="Times New Roman"/>
                <w:sz w:val="18"/>
                <w:szCs w:val="18"/>
                <w:lang w:val="en-US"/>
              </w:rPr>
              <w:t>财务规划</w:t>
            </w:r>
            <w:proofErr w:type="spellEnd"/>
          </w:p>
        </w:tc>
        <w:tc>
          <w:tcPr>
            <w:tcW w:w="2848" w:type="dxa"/>
            <w:tcBorders>
              <w:top w:val="single" w:sz="8" w:space="0" w:color="4F81BD"/>
              <w:bottom w:val="single" w:sz="8" w:space="0" w:color="4F81BD"/>
            </w:tcBorders>
            <w:shd w:val="clear" w:color="auto" w:fill="auto"/>
          </w:tcPr>
          <w:p w:rsidR="00DF466E" w:rsidRPr="00CF752D" w:rsidRDefault="00DF466E" w:rsidP="004B4D95">
            <w:pPr>
              <w:overflowPunct/>
              <w:autoSpaceDE/>
              <w:autoSpaceDN/>
              <w:adjustRightInd/>
              <w:spacing w:before="10" w:after="10"/>
              <w:textAlignment w:val="auto"/>
              <w:rPr>
                <w:rFonts w:eastAsia="SimSun"/>
                <w:sz w:val="18"/>
                <w:szCs w:val="18"/>
                <w:lang w:val="fr-CH"/>
              </w:rPr>
            </w:pPr>
            <w:r w:rsidRPr="00CF752D">
              <w:rPr>
                <w:rFonts w:eastAsia="SimSun"/>
                <w:sz w:val="18"/>
                <w:szCs w:val="18"/>
                <w:lang w:val="fr-CH"/>
              </w:rPr>
              <w:t>Plan financier</w:t>
            </w:r>
          </w:p>
        </w:tc>
        <w:tc>
          <w:tcPr>
            <w:tcW w:w="2390" w:type="dxa"/>
            <w:tcBorders>
              <w:top w:val="single" w:sz="8" w:space="0" w:color="4F81BD"/>
              <w:bottom w:val="single" w:sz="8" w:space="0" w:color="4F81BD"/>
            </w:tcBorders>
            <w:shd w:val="clear" w:color="auto" w:fill="auto"/>
          </w:tcPr>
          <w:p w:rsidR="00DF466E" w:rsidRPr="00D74A52" w:rsidRDefault="00DF466E" w:rsidP="004B4D95">
            <w:pPr>
              <w:overflowPunct/>
              <w:autoSpaceDE/>
              <w:autoSpaceDN/>
              <w:adjustRightInd/>
              <w:spacing w:before="10" w:after="10"/>
              <w:textAlignment w:val="auto"/>
              <w:rPr>
                <w:rFonts w:ascii="Times New Roman" w:eastAsia="SimSun" w:hAnsi="Times New Roman"/>
                <w:sz w:val="18"/>
                <w:szCs w:val="18"/>
                <w:lang w:val="ru-RU"/>
              </w:rPr>
            </w:pPr>
            <w:r w:rsidRPr="00D74A52">
              <w:rPr>
                <w:rFonts w:ascii="Times New Roman" w:eastAsia="SimSun" w:hAnsi="Times New Roman"/>
                <w:sz w:val="18"/>
                <w:szCs w:val="18"/>
                <w:lang w:val="ru-RU"/>
              </w:rPr>
              <w:t>Финансовый план</w:t>
            </w:r>
          </w:p>
        </w:tc>
        <w:tc>
          <w:tcPr>
            <w:tcW w:w="2339" w:type="dxa"/>
            <w:tcBorders>
              <w:top w:val="single" w:sz="8" w:space="0" w:color="4F81BD"/>
              <w:bottom w:val="single" w:sz="8" w:space="0" w:color="4F81BD"/>
              <w:right w:val="single" w:sz="8" w:space="0" w:color="4F81BD"/>
            </w:tcBorders>
            <w:shd w:val="clear" w:color="auto" w:fill="auto"/>
          </w:tcPr>
          <w:p w:rsidR="00DF466E" w:rsidRPr="00D74A52" w:rsidRDefault="00DF466E" w:rsidP="004B4D95">
            <w:pPr>
              <w:overflowPunct/>
              <w:autoSpaceDE/>
              <w:autoSpaceDN/>
              <w:adjustRightInd/>
              <w:spacing w:before="10" w:after="10"/>
              <w:textAlignment w:val="auto"/>
              <w:rPr>
                <w:rFonts w:eastAsia="SimSun"/>
                <w:sz w:val="18"/>
                <w:szCs w:val="18"/>
                <w:lang w:val="es-ES"/>
              </w:rPr>
            </w:pPr>
            <w:r w:rsidRPr="00D74A52">
              <w:rPr>
                <w:rFonts w:eastAsia="SimSun"/>
                <w:sz w:val="18"/>
                <w:szCs w:val="18"/>
                <w:lang w:val="es-ES"/>
              </w:rPr>
              <w:t>Plan Financiero</w:t>
            </w:r>
          </w:p>
        </w:tc>
      </w:tr>
      <w:tr w:rsidR="00DF466E" w:rsidRPr="00D74A52" w:rsidTr="004B4D95">
        <w:trPr>
          <w:cantSplit/>
          <w:trHeight w:val="144"/>
        </w:trPr>
        <w:tc>
          <w:tcPr>
            <w:tcW w:w="2477" w:type="dxa"/>
            <w:tcBorders>
              <w:top w:val="single" w:sz="8" w:space="0" w:color="4F81BD"/>
              <w:left w:val="single" w:sz="8" w:space="0" w:color="4F81BD"/>
              <w:bottom w:val="single" w:sz="8" w:space="0" w:color="4F81BD"/>
            </w:tcBorders>
            <w:shd w:val="clear" w:color="auto" w:fill="auto"/>
          </w:tcPr>
          <w:p w:rsidR="00DF466E" w:rsidRPr="00D74A52" w:rsidRDefault="00DF466E" w:rsidP="004B4D95">
            <w:pPr>
              <w:spacing w:before="10" w:after="10"/>
              <w:rPr>
                <w:rFonts w:eastAsia="SimSun"/>
                <w:b/>
                <w:bCs/>
                <w:sz w:val="18"/>
                <w:szCs w:val="18"/>
              </w:rPr>
            </w:pPr>
            <w:r w:rsidRPr="00D74A52">
              <w:rPr>
                <w:rFonts w:eastAsia="SimSun"/>
                <w:sz w:val="18"/>
                <w:szCs w:val="18"/>
              </w:rPr>
              <w:t>Inputs</w:t>
            </w:r>
          </w:p>
        </w:tc>
        <w:tc>
          <w:tcPr>
            <w:tcW w:w="2129" w:type="dxa"/>
            <w:tcBorders>
              <w:top w:val="single" w:sz="8" w:space="0" w:color="4F81BD"/>
              <w:bottom w:val="single" w:sz="8" w:space="0" w:color="4F81BD"/>
            </w:tcBorders>
            <w:shd w:val="clear" w:color="auto" w:fill="auto"/>
          </w:tcPr>
          <w:p w:rsidR="00DF466E" w:rsidRPr="00D74A52" w:rsidRDefault="00DF466E" w:rsidP="004B4D95">
            <w:pPr>
              <w:overflowPunct/>
              <w:autoSpaceDE/>
              <w:autoSpaceDN/>
              <w:bidi/>
              <w:adjustRightInd/>
              <w:spacing w:before="10" w:after="10"/>
              <w:jc w:val="both"/>
              <w:textAlignment w:val="auto"/>
              <w:rPr>
                <w:rFonts w:ascii="Times New Roman" w:eastAsia="SimSun" w:hAnsi="Times New Roman"/>
                <w:sz w:val="18"/>
                <w:szCs w:val="18"/>
                <w:lang w:val="en-US"/>
              </w:rPr>
            </w:pPr>
            <w:r w:rsidRPr="00D74A52">
              <w:rPr>
                <w:rFonts w:ascii="Times New Roman" w:eastAsia="SimSun" w:hAnsi="Times New Roman"/>
                <w:sz w:val="18"/>
                <w:szCs w:val="18"/>
                <w:rtl/>
                <w:lang w:val="en-US"/>
              </w:rPr>
              <w:t>المدخلات</w:t>
            </w:r>
          </w:p>
        </w:tc>
        <w:tc>
          <w:tcPr>
            <w:tcW w:w="2702" w:type="dxa"/>
            <w:tcBorders>
              <w:top w:val="single" w:sz="8" w:space="0" w:color="4F81BD"/>
              <w:bottom w:val="single" w:sz="8" w:space="0" w:color="4F81BD"/>
            </w:tcBorders>
            <w:shd w:val="clear" w:color="auto" w:fill="auto"/>
          </w:tcPr>
          <w:p w:rsidR="00DF466E" w:rsidRPr="00D74A52" w:rsidRDefault="00DF466E" w:rsidP="004B4D95">
            <w:pPr>
              <w:overflowPunct/>
              <w:autoSpaceDE/>
              <w:autoSpaceDN/>
              <w:adjustRightInd/>
              <w:spacing w:before="10" w:after="10"/>
              <w:textAlignment w:val="auto"/>
              <w:rPr>
                <w:rFonts w:ascii="Times New Roman" w:eastAsia="SimSun" w:hAnsi="Times New Roman"/>
                <w:sz w:val="18"/>
                <w:szCs w:val="18"/>
                <w:lang w:val="en-US" w:eastAsia="zh-CN"/>
              </w:rPr>
            </w:pPr>
            <w:r w:rsidRPr="00D74A52">
              <w:rPr>
                <w:rFonts w:ascii="Times New Roman" w:eastAsia="SimSun" w:hAnsi="Times New Roman"/>
                <w:sz w:val="18"/>
                <w:szCs w:val="18"/>
                <w:lang w:val="en-US" w:eastAsia="zh-CN"/>
              </w:rPr>
              <w:t>投入，输入意见（取决于上下文）</w:t>
            </w:r>
          </w:p>
        </w:tc>
        <w:tc>
          <w:tcPr>
            <w:tcW w:w="2848" w:type="dxa"/>
            <w:tcBorders>
              <w:top w:val="single" w:sz="8" w:space="0" w:color="4F81BD"/>
              <w:bottom w:val="single" w:sz="8" w:space="0" w:color="4F81BD"/>
            </w:tcBorders>
            <w:shd w:val="clear" w:color="auto" w:fill="auto"/>
          </w:tcPr>
          <w:p w:rsidR="00DF466E" w:rsidRPr="00CF752D" w:rsidRDefault="00DF466E" w:rsidP="004B4D95">
            <w:pPr>
              <w:overflowPunct/>
              <w:autoSpaceDE/>
              <w:autoSpaceDN/>
              <w:adjustRightInd/>
              <w:spacing w:before="10" w:after="10"/>
              <w:textAlignment w:val="auto"/>
              <w:rPr>
                <w:rFonts w:eastAsia="SimSun"/>
                <w:sz w:val="18"/>
                <w:szCs w:val="18"/>
                <w:lang w:val="fr-CH"/>
              </w:rPr>
            </w:pPr>
            <w:r w:rsidRPr="00CF752D">
              <w:rPr>
                <w:rFonts w:eastAsia="SimSun"/>
                <w:sz w:val="18"/>
                <w:szCs w:val="18"/>
                <w:lang w:val="fr-CH"/>
              </w:rPr>
              <w:t>Contributions</w:t>
            </w:r>
          </w:p>
        </w:tc>
        <w:tc>
          <w:tcPr>
            <w:tcW w:w="2390" w:type="dxa"/>
            <w:tcBorders>
              <w:top w:val="single" w:sz="8" w:space="0" w:color="4F81BD"/>
              <w:bottom w:val="single" w:sz="8" w:space="0" w:color="4F81BD"/>
            </w:tcBorders>
            <w:shd w:val="clear" w:color="auto" w:fill="auto"/>
          </w:tcPr>
          <w:p w:rsidR="00DF466E" w:rsidRPr="00D74A52" w:rsidRDefault="00DF466E" w:rsidP="004B4D95">
            <w:pPr>
              <w:overflowPunct/>
              <w:autoSpaceDE/>
              <w:autoSpaceDN/>
              <w:adjustRightInd/>
              <w:spacing w:before="10" w:after="10"/>
              <w:textAlignment w:val="auto"/>
              <w:rPr>
                <w:rFonts w:ascii="Times New Roman" w:eastAsia="SimSun" w:hAnsi="Times New Roman"/>
                <w:sz w:val="18"/>
                <w:szCs w:val="18"/>
                <w:lang w:val="en-US"/>
              </w:rPr>
            </w:pPr>
            <w:r w:rsidRPr="00D74A52">
              <w:rPr>
                <w:rFonts w:ascii="Times New Roman" w:eastAsia="SimSun" w:hAnsi="Times New Roman"/>
                <w:sz w:val="18"/>
                <w:szCs w:val="18"/>
                <w:lang w:val="ru-RU"/>
              </w:rPr>
              <w:t>Исходные ресурсы</w:t>
            </w:r>
          </w:p>
        </w:tc>
        <w:tc>
          <w:tcPr>
            <w:tcW w:w="2339" w:type="dxa"/>
            <w:tcBorders>
              <w:top w:val="single" w:sz="8" w:space="0" w:color="4F81BD"/>
              <w:bottom w:val="single" w:sz="8" w:space="0" w:color="4F81BD"/>
              <w:right w:val="single" w:sz="8" w:space="0" w:color="4F81BD"/>
            </w:tcBorders>
            <w:shd w:val="clear" w:color="auto" w:fill="auto"/>
          </w:tcPr>
          <w:p w:rsidR="00DF466E" w:rsidRPr="00D74A52" w:rsidRDefault="00DF466E" w:rsidP="004B4D95">
            <w:pPr>
              <w:overflowPunct/>
              <w:autoSpaceDE/>
              <w:autoSpaceDN/>
              <w:adjustRightInd/>
              <w:spacing w:before="10" w:after="10"/>
              <w:textAlignment w:val="auto"/>
              <w:rPr>
                <w:rFonts w:eastAsia="SimSun"/>
                <w:sz w:val="18"/>
                <w:szCs w:val="18"/>
                <w:lang w:val="es-ES"/>
              </w:rPr>
            </w:pPr>
            <w:r w:rsidRPr="00D74A52">
              <w:rPr>
                <w:rFonts w:eastAsia="SimSun"/>
                <w:sz w:val="18"/>
                <w:szCs w:val="18"/>
                <w:lang w:val="es-ES"/>
              </w:rPr>
              <w:t>Insumos</w:t>
            </w:r>
          </w:p>
        </w:tc>
      </w:tr>
      <w:tr w:rsidR="00DF466E" w:rsidRPr="00D74A52" w:rsidTr="004B4D95">
        <w:trPr>
          <w:cantSplit/>
          <w:trHeight w:val="144"/>
        </w:trPr>
        <w:tc>
          <w:tcPr>
            <w:tcW w:w="2477" w:type="dxa"/>
            <w:shd w:val="clear" w:color="auto" w:fill="auto"/>
          </w:tcPr>
          <w:p w:rsidR="00DF466E" w:rsidRPr="00D74A52" w:rsidRDefault="00DF466E" w:rsidP="004B4D95">
            <w:pPr>
              <w:spacing w:before="10" w:after="10"/>
              <w:rPr>
                <w:rFonts w:eastAsia="SimSun"/>
                <w:b/>
                <w:bCs/>
                <w:sz w:val="18"/>
                <w:szCs w:val="18"/>
              </w:rPr>
            </w:pPr>
            <w:r w:rsidRPr="00D74A52">
              <w:rPr>
                <w:rFonts w:eastAsia="SimSun"/>
                <w:bCs/>
                <w:sz w:val="18"/>
                <w:szCs w:val="18"/>
              </w:rPr>
              <w:t>Key P</w:t>
            </w:r>
            <w:r w:rsidRPr="00D74A52">
              <w:rPr>
                <w:rFonts w:eastAsia="SimSun"/>
                <w:sz w:val="18"/>
                <w:szCs w:val="18"/>
              </w:rPr>
              <w:t xml:space="preserve">erformance </w:t>
            </w:r>
            <w:proofErr w:type="spellStart"/>
            <w:r w:rsidRPr="00D74A52">
              <w:rPr>
                <w:rFonts w:eastAsia="SimSun"/>
                <w:bCs/>
                <w:sz w:val="18"/>
                <w:szCs w:val="18"/>
              </w:rPr>
              <w:t>I</w:t>
            </w:r>
            <w:r w:rsidRPr="00D74A52">
              <w:rPr>
                <w:rFonts w:eastAsia="SimSun"/>
                <w:sz w:val="18"/>
                <w:szCs w:val="18"/>
              </w:rPr>
              <w:t>ndicators</w:t>
            </w:r>
            <w:proofErr w:type="spellEnd"/>
            <w:r w:rsidRPr="00D74A52">
              <w:rPr>
                <w:rFonts w:eastAsia="SimSun"/>
                <w:sz w:val="18"/>
                <w:szCs w:val="18"/>
              </w:rPr>
              <w:t xml:space="preserve"> </w:t>
            </w:r>
          </w:p>
        </w:tc>
        <w:tc>
          <w:tcPr>
            <w:tcW w:w="2129" w:type="dxa"/>
            <w:shd w:val="clear" w:color="auto" w:fill="auto"/>
          </w:tcPr>
          <w:p w:rsidR="00DF466E" w:rsidRPr="00D74A52" w:rsidRDefault="00DF466E" w:rsidP="004B4D95">
            <w:pPr>
              <w:overflowPunct/>
              <w:autoSpaceDE/>
              <w:autoSpaceDN/>
              <w:bidi/>
              <w:adjustRightInd/>
              <w:spacing w:before="10" w:after="10"/>
              <w:jc w:val="both"/>
              <w:textAlignment w:val="auto"/>
              <w:rPr>
                <w:rFonts w:ascii="Times New Roman" w:eastAsia="SimSun" w:hAnsi="Times New Roman"/>
                <w:sz w:val="18"/>
                <w:szCs w:val="18"/>
                <w:rtl/>
                <w:lang w:val="en-US" w:bidi="ar-EG"/>
              </w:rPr>
            </w:pPr>
            <w:proofErr w:type="gramStart"/>
            <w:r w:rsidRPr="00D74A52">
              <w:rPr>
                <w:rFonts w:ascii="Times New Roman" w:eastAsia="SimSun" w:hAnsi="Times New Roman"/>
                <w:sz w:val="18"/>
                <w:szCs w:val="18"/>
                <w:rtl/>
                <w:lang w:val="en-US"/>
              </w:rPr>
              <w:t>مؤشرات</w:t>
            </w:r>
            <w:proofErr w:type="gramEnd"/>
            <w:r w:rsidRPr="00D74A52">
              <w:rPr>
                <w:rFonts w:ascii="Times New Roman" w:eastAsia="SimSun" w:hAnsi="Times New Roman"/>
                <w:sz w:val="18"/>
                <w:szCs w:val="18"/>
                <w:rtl/>
                <w:lang w:val="en-US"/>
              </w:rPr>
              <w:t xml:space="preserve"> الأداء الأساسية</w:t>
            </w:r>
          </w:p>
        </w:tc>
        <w:tc>
          <w:tcPr>
            <w:tcW w:w="2702" w:type="dxa"/>
            <w:shd w:val="clear" w:color="auto" w:fill="auto"/>
          </w:tcPr>
          <w:p w:rsidR="00DF466E" w:rsidRPr="00D74A52" w:rsidRDefault="00DF466E" w:rsidP="004B4D95">
            <w:pPr>
              <w:overflowPunct/>
              <w:autoSpaceDE/>
              <w:autoSpaceDN/>
              <w:adjustRightInd/>
              <w:spacing w:before="10" w:after="10"/>
              <w:textAlignment w:val="auto"/>
              <w:rPr>
                <w:rFonts w:ascii="Times New Roman" w:eastAsia="SimSun" w:hAnsi="Times New Roman"/>
                <w:sz w:val="18"/>
                <w:szCs w:val="18"/>
                <w:lang w:val="en-US"/>
              </w:rPr>
            </w:pPr>
            <w:proofErr w:type="spellStart"/>
            <w:r w:rsidRPr="00D74A52">
              <w:rPr>
                <w:rFonts w:ascii="Times New Roman" w:eastAsia="SimSun" w:hAnsi="Times New Roman"/>
                <w:sz w:val="18"/>
                <w:szCs w:val="18"/>
                <w:lang w:val="en-US"/>
              </w:rPr>
              <w:t>关键业绩指标</w:t>
            </w:r>
            <w:proofErr w:type="spellEnd"/>
          </w:p>
        </w:tc>
        <w:tc>
          <w:tcPr>
            <w:tcW w:w="2848" w:type="dxa"/>
            <w:shd w:val="clear" w:color="auto" w:fill="auto"/>
          </w:tcPr>
          <w:p w:rsidR="00DF466E" w:rsidRPr="00CF752D" w:rsidRDefault="00DF466E" w:rsidP="004B4D95">
            <w:pPr>
              <w:overflowPunct/>
              <w:autoSpaceDE/>
              <w:autoSpaceDN/>
              <w:adjustRightInd/>
              <w:spacing w:before="10" w:after="10"/>
              <w:textAlignment w:val="auto"/>
              <w:rPr>
                <w:rFonts w:eastAsia="SimSun"/>
                <w:sz w:val="18"/>
                <w:szCs w:val="18"/>
                <w:lang w:val="fr-CH"/>
              </w:rPr>
            </w:pPr>
            <w:r w:rsidRPr="00CF752D">
              <w:rPr>
                <w:rFonts w:eastAsia="SimSun"/>
                <w:sz w:val="18"/>
                <w:szCs w:val="18"/>
                <w:lang w:val="fr-CH"/>
              </w:rPr>
              <w:t>Indicateurs fondamentaux de performance</w:t>
            </w:r>
          </w:p>
        </w:tc>
        <w:tc>
          <w:tcPr>
            <w:tcW w:w="2390" w:type="dxa"/>
            <w:shd w:val="clear" w:color="auto" w:fill="auto"/>
          </w:tcPr>
          <w:p w:rsidR="00DF466E" w:rsidRPr="00D74A52" w:rsidRDefault="00DF466E" w:rsidP="004B4D95">
            <w:pPr>
              <w:overflowPunct/>
              <w:autoSpaceDE/>
              <w:autoSpaceDN/>
              <w:adjustRightInd/>
              <w:spacing w:before="10" w:after="10"/>
              <w:textAlignment w:val="auto"/>
              <w:rPr>
                <w:rFonts w:ascii="Times New Roman" w:eastAsia="SimSun" w:hAnsi="Times New Roman"/>
                <w:sz w:val="18"/>
                <w:szCs w:val="18"/>
                <w:lang w:val="en-US"/>
              </w:rPr>
            </w:pPr>
            <w:r w:rsidRPr="00D74A52">
              <w:rPr>
                <w:rFonts w:ascii="Times New Roman" w:eastAsia="SimSun" w:hAnsi="Times New Roman"/>
                <w:sz w:val="18"/>
                <w:szCs w:val="18"/>
                <w:lang w:val="ru-RU"/>
              </w:rPr>
              <w:t>Ключевые показатели деятельности (KPI)</w:t>
            </w:r>
          </w:p>
        </w:tc>
        <w:tc>
          <w:tcPr>
            <w:tcW w:w="2339" w:type="dxa"/>
            <w:shd w:val="clear" w:color="auto" w:fill="auto"/>
          </w:tcPr>
          <w:p w:rsidR="00DF466E" w:rsidRPr="00D74A52" w:rsidRDefault="00DF466E" w:rsidP="004B4D95">
            <w:pPr>
              <w:overflowPunct/>
              <w:autoSpaceDE/>
              <w:autoSpaceDN/>
              <w:adjustRightInd/>
              <w:spacing w:before="10" w:after="10"/>
              <w:textAlignment w:val="auto"/>
              <w:rPr>
                <w:rFonts w:eastAsia="SimSun"/>
                <w:sz w:val="18"/>
                <w:szCs w:val="18"/>
                <w:lang w:val="es-ES"/>
              </w:rPr>
            </w:pPr>
            <w:r w:rsidRPr="00D74A52">
              <w:rPr>
                <w:rFonts w:eastAsia="SimSun"/>
                <w:sz w:val="18"/>
                <w:szCs w:val="18"/>
                <w:lang w:val="es-ES"/>
              </w:rPr>
              <w:t>Indicadores fundamentales de rendimiento</w:t>
            </w:r>
          </w:p>
        </w:tc>
      </w:tr>
      <w:tr w:rsidR="00DF466E" w:rsidRPr="00D74A52" w:rsidTr="004B4D95">
        <w:trPr>
          <w:cantSplit/>
          <w:trHeight w:val="144"/>
        </w:trPr>
        <w:tc>
          <w:tcPr>
            <w:tcW w:w="2477" w:type="dxa"/>
            <w:tcBorders>
              <w:top w:val="single" w:sz="8" w:space="0" w:color="4F81BD"/>
              <w:left w:val="single" w:sz="8" w:space="0" w:color="4F81BD"/>
              <w:bottom w:val="single" w:sz="8" w:space="0" w:color="4F81BD"/>
            </w:tcBorders>
            <w:shd w:val="clear" w:color="auto" w:fill="auto"/>
          </w:tcPr>
          <w:p w:rsidR="00DF466E" w:rsidRPr="00D74A52" w:rsidRDefault="00DF466E" w:rsidP="004B4D95">
            <w:pPr>
              <w:spacing w:before="10" w:after="10"/>
              <w:rPr>
                <w:rFonts w:eastAsia="SimSun"/>
                <w:b/>
                <w:bCs/>
                <w:i/>
                <w:iCs/>
                <w:sz w:val="18"/>
                <w:szCs w:val="18"/>
              </w:rPr>
            </w:pPr>
            <w:r w:rsidRPr="00D74A52">
              <w:rPr>
                <w:rFonts w:eastAsia="SimSun"/>
                <w:sz w:val="18"/>
                <w:szCs w:val="18"/>
              </w:rPr>
              <w:t>Mission</w:t>
            </w:r>
          </w:p>
        </w:tc>
        <w:tc>
          <w:tcPr>
            <w:tcW w:w="2129" w:type="dxa"/>
            <w:tcBorders>
              <w:top w:val="single" w:sz="8" w:space="0" w:color="4F81BD"/>
              <w:bottom w:val="single" w:sz="8" w:space="0" w:color="4F81BD"/>
            </w:tcBorders>
            <w:shd w:val="clear" w:color="auto" w:fill="auto"/>
          </w:tcPr>
          <w:p w:rsidR="00DF466E" w:rsidRPr="00D74A52" w:rsidRDefault="00DF466E" w:rsidP="004B4D95">
            <w:pPr>
              <w:overflowPunct/>
              <w:autoSpaceDE/>
              <w:autoSpaceDN/>
              <w:bidi/>
              <w:adjustRightInd/>
              <w:spacing w:before="10" w:after="10"/>
              <w:jc w:val="both"/>
              <w:textAlignment w:val="auto"/>
              <w:rPr>
                <w:rFonts w:ascii="Times New Roman" w:eastAsia="SimSun" w:hAnsi="Times New Roman"/>
                <w:sz w:val="18"/>
                <w:szCs w:val="18"/>
                <w:lang w:val="en-US"/>
              </w:rPr>
            </w:pPr>
            <w:r w:rsidRPr="00D74A52">
              <w:rPr>
                <w:rFonts w:ascii="Times New Roman" w:eastAsia="SimSun" w:hAnsi="Times New Roman"/>
                <w:sz w:val="18"/>
                <w:szCs w:val="18"/>
                <w:rtl/>
                <w:lang w:val="en-US"/>
              </w:rPr>
              <w:t>الرسالة</w:t>
            </w:r>
          </w:p>
        </w:tc>
        <w:tc>
          <w:tcPr>
            <w:tcW w:w="2702" w:type="dxa"/>
            <w:tcBorders>
              <w:top w:val="single" w:sz="8" w:space="0" w:color="4F81BD"/>
              <w:bottom w:val="single" w:sz="8" w:space="0" w:color="4F81BD"/>
            </w:tcBorders>
            <w:shd w:val="clear" w:color="auto" w:fill="auto"/>
          </w:tcPr>
          <w:p w:rsidR="00DF466E" w:rsidRPr="00D74A52" w:rsidRDefault="00DF466E" w:rsidP="004B4D95">
            <w:pPr>
              <w:overflowPunct/>
              <w:autoSpaceDE/>
              <w:autoSpaceDN/>
              <w:adjustRightInd/>
              <w:spacing w:before="10" w:after="10"/>
              <w:textAlignment w:val="auto"/>
              <w:rPr>
                <w:rFonts w:ascii="Times New Roman" w:eastAsia="SimSun" w:hAnsi="Times New Roman"/>
                <w:sz w:val="18"/>
                <w:szCs w:val="18"/>
                <w:lang w:val="en-US"/>
              </w:rPr>
            </w:pPr>
            <w:proofErr w:type="spellStart"/>
            <w:r w:rsidRPr="00D74A52">
              <w:rPr>
                <w:rFonts w:ascii="Times New Roman" w:eastAsia="SimSun" w:hAnsi="Times New Roman"/>
                <w:sz w:val="18"/>
                <w:szCs w:val="18"/>
                <w:lang w:val="en-US"/>
              </w:rPr>
              <w:t>使命</w:t>
            </w:r>
            <w:proofErr w:type="spellEnd"/>
          </w:p>
        </w:tc>
        <w:tc>
          <w:tcPr>
            <w:tcW w:w="2848" w:type="dxa"/>
            <w:tcBorders>
              <w:top w:val="single" w:sz="8" w:space="0" w:color="4F81BD"/>
              <w:bottom w:val="single" w:sz="8" w:space="0" w:color="4F81BD"/>
            </w:tcBorders>
            <w:shd w:val="clear" w:color="auto" w:fill="auto"/>
          </w:tcPr>
          <w:p w:rsidR="00DF466E" w:rsidRPr="00CF752D" w:rsidRDefault="00DF466E" w:rsidP="004B4D95">
            <w:pPr>
              <w:overflowPunct/>
              <w:autoSpaceDE/>
              <w:autoSpaceDN/>
              <w:adjustRightInd/>
              <w:spacing w:before="10" w:after="10"/>
              <w:textAlignment w:val="auto"/>
              <w:rPr>
                <w:rFonts w:eastAsia="SimSun"/>
                <w:sz w:val="18"/>
                <w:szCs w:val="18"/>
                <w:lang w:val="fr-CH"/>
              </w:rPr>
            </w:pPr>
            <w:r w:rsidRPr="00CF752D">
              <w:rPr>
                <w:rFonts w:eastAsia="SimSun"/>
                <w:sz w:val="18"/>
                <w:szCs w:val="18"/>
                <w:lang w:val="fr-CH"/>
              </w:rPr>
              <w:t>Mission</w:t>
            </w:r>
          </w:p>
        </w:tc>
        <w:tc>
          <w:tcPr>
            <w:tcW w:w="2390" w:type="dxa"/>
            <w:tcBorders>
              <w:top w:val="single" w:sz="8" w:space="0" w:color="4F81BD"/>
              <w:bottom w:val="single" w:sz="8" w:space="0" w:color="4F81BD"/>
            </w:tcBorders>
            <w:shd w:val="clear" w:color="auto" w:fill="auto"/>
          </w:tcPr>
          <w:p w:rsidR="00DF466E" w:rsidRPr="00D74A52" w:rsidRDefault="00DF466E" w:rsidP="004B4D95">
            <w:pPr>
              <w:overflowPunct/>
              <w:autoSpaceDE/>
              <w:autoSpaceDN/>
              <w:adjustRightInd/>
              <w:spacing w:before="10" w:after="10"/>
              <w:textAlignment w:val="auto"/>
              <w:rPr>
                <w:rFonts w:ascii="Times New Roman" w:eastAsia="SimSun" w:hAnsi="Times New Roman"/>
                <w:sz w:val="18"/>
                <w:szCs w:val="18"/>
                <w:lang w:val="en-US"/>
              </w:rPr>
            </w:pPr>
            <w:r w:rsidRPr="00D74A52">
              <w:rPr>
                <w:rFonts w:ascii="Times New Roman" w:eastAsia="SimSun" w:hAnsi="Times New Roman"/>
                <w:sz w:val="18"/>
                <w:szCs w:val="18"/>
                <w:lang w:val="ru-RU"/>
              </w:rPr>
              <w:t>Миссия</w:t>
            </w:r>
          </w:p>
        </w:tc>
        <w:tc>
          <w:tcPr>
            <w:tcW w:w="2339" w:type="dxa"/>
            <w:tcBorders>
              <w:top w:val="single" w:sz="8" w:space="0" w:color="4F81BD"/>
              <w:bottom w:val="single" w:sz="8" w:space="0" w:color="4F81BD"/>
              <w:right w:val="single" w:sz="8" w:space="0" w:color="4F81BD"/>
            </w:tcBorders>
            <w:shd w:val="clear" w:color="auto" w:fill="auto"/>
          </w:tcPr>
          <w:p w:rsidR="00DF466E" w:rsidRPr="00D74A52" w:rsidRDefault="00DF466E" w:rsidP="004B4D95">
            <w:pPr>
              <w:overflowPunct/>
              <w:autoSpaceDE/>
              <w:autoSpaceDN/>
              <w:adjustRightInd/>
              <w:spacing w:before="10" w:after="10"/>
              <w:textAlignment w:val="auto"/>
              <w:rPr>
                <w:rFonts w:eastAsia="SimSun"/>
                <w:sz w:val="18"/>
                <w:szCs w:val="18"/>
                <w:lang w:val="es-ES"/>
              </w:rPr>
            </w:pPr>
            <w:r w:rsidRPr="00D74A52">
              <w:rPr>
                <w:rFonts w:eastAsia="SimSun"/>
                <w:sz w:val="18"/>
                <w:szCs w:val="18"/>
                <w:lang w:val="es-ES"/>
              </w:rPr>
              <w:t>Misión</w:t>
            </w:r>
          </w:p>
        </w:tc>
      </w:tr>
      <w:tr w:rsidR="00DF466E" w:rsidRPr="00D74A52" w:rsidTr="004B4D95">
        <w:trPr>
          <w:cantSplit/>
          <w:trHeight w:val="144"/>
        </w:trPr>
        <w:tc>
          <w:tcPr>
            <w:tcW w:w="2477" w:type="dxa"/>
            <w:shd w:val="clear" w:color="auto" w:fill="auto"/>
          </w:tcPr>
          <w:p w:rsidR="00DF466E" w:rsidRPr="00D74A52" w:rsidRDefault="00DF466E" w:rsidP="004B4D95">
            <w:pPr>
              <w:spacing w:before="10" w:after="10"/>
              <w:rPr>
                <w:rFonts w:eastAsia="SimSun"/>
                <w:b/>
                <w:bCs/>
                <w:sz w:val="18"/>
                <w:szCs w:val="18"/>
              </w:rPr>
            </w:pPr>
            <w:proofErr w:type="gramStart"/>
            <w:r w:rsidRPr="00D74A52">
              <w:rPr>
                <w:rFonts w:eastAsia="SimSun"/>
                <w:sz w:val="18"/>
                <w:szCs w:val="18"/>
              </w:rPr>
              <w:t>Objectives</w:t>
            </w:r>
            <w:proofErr w:type="gramEnd"/>
          </w:p>
        </w:tc>
        <w:tc>
          <w:tcPr>
            <w:tcW w:w="2129" w:type="dxa"/>
            <w:shd w:val="clear" w:color="auto" w:fill="auto"/>
          </w:tcPr>
          <w:p w:rsidR="00DF466E" w:rsidRPr="00D74A52" w:rsidRDefault="00DF466E" w:rsidP="004B4D95">
            <w:pPr>
              <w:overflowPunct/>
              <w:autoSpaceDE/>
              <w:autoSpaceDN/>
              <w:bidi/>
              <w:adjustRightInd/>
              <w:spacing w:before="10" w:after="10"/>
              <w:jc w:val="both"/>
              <w:textAlignment w:val="auto"/>
              <w:rPr>
                <w:rFonts w:ascii="Times New Roman" w:eastAsia="SimSun" w:hAnsi="Times New Roman"/>
                <w:sz w:val="18"/>
                <w:szCs w:val="18"/>
                <w:rtl/>
                <w:lang w:val="en-US" w:bidi="ar-EG"/>
              </w:rPr>
            </w:pPr>
            <w:r w:rsidRPr="00D74A52">
              <w:rPr>
                <w:rFonts w:ascii="Times New Roman" w:eastAsia="SimSun" w:hAnsi="Times New Roman"/>
                <w:sz w:val="18"/>
                <w:szCs w:val="18"/>
                <w:rtl/>
                <w:lang w:val="en-US"/>
              </w:rPr>
              <w:t>الغايات [ / أهداف]</w:t>
            </w:r>
          </w:p>
        </w:tc>
        <w:tc>
          <w:tcPr>
            <w:tcW w:w="2702" w:type="dxa"/>
            <w:shd w:val="clear" w:color="auto" w:fill="auto"/>
          </w:tcPr>
          <w:p w:rsidR="00DF466E" w:rsidRPr="00D74A52" w:rsidRDefault="00DF466E" w:rsidP="004B4D95">
            <w:pPr>
              <w:overflowPunct/>
              <w:autoSpaceDE/>
              <w:autoSpaceDN/>
              <w:adjustRightInd/>
              <w:spacing w:before="10" w:after="10"/>
              <w:textAlignment w:val="auto"/>
              <w:rPr>
                <w:rFonts w:ascii="Times New Roman" w:eastAsia="SimSun" w:hAnsi="Times New Roman"/>
                <w:sz w:val="18"/>
                <w:szCs w:val="18"/>
                <w:lang w:val="en-US"/>
              </w:rPr>
            </w:pPr>
            <w:proofErr w:type="spellStart"/>
            <w:r w:rsidRPr="00D74A52">
              <w:rPr>
                <w:rFonts w:ascii="Times New Roman" w:eastAsia="SimSun" w:hAnsi="Times New Roman"/>
                <w:sz w:val="18"/>
                <w:szCs w:val="18"/>
                <w:lang w:val="en-US"/>
              </w:rPr>
              <w:t>部门目标</w:t>
            </w:r>
            <w:proofErr w:type="spellEnd"/>
          </w:p>
        </w:tc>
        <w:tc>
          <w:tcPr>
            <w:tcW w:w="2848" w:type="dxa"/>
            <w:shd w:val="clear" w:color="auto" w:fill="auto"/>
          </w:tcPr>
          <w:p w:rsidR="00DF466E" w:rsidRPr="00CF752D" w:rsidRDefault="00DF466E" w:rsidP="004B4D95">
            <w:pPr>
              <w:overflowPunct/>
              <w:autoSpaceDE/>
              <w:autoSpaceDN/>
              <w:adjustRightInd/>
              <w:spacing w:before="10" w:after="10"/>
              <w:textAlignment w:val="auto"/>
              <w:rPr>
                <w:rFonts w:eastAsia="SimSun"/>
                <w:sz w:val="18"/>
                <w:szCs w:val="18"/>
                <w:lang w:val="fr-CH"/>
              </w:rPr>
            </w:pPr>
            <w:r w:rsidRPr="00CF752D">
              <w:rPr>
                <w:rFonts w:eastAsia="SimSun"/>
                <w:sz w:val="18"/>
                <w:szCs w:val="18"/>
                <w:lang w:val="fr-CH"/>
              </w:rPr>
              <w:t>Objectifs</w:t>
            </w:r>
          </w:p>
        </w:tc>
        <w:tc>
          <w:tcPr>
            <w:tcW w:w="2390" w:type="dxa"/>
            <w:shd w:val="clear" w:color="auto" w:fill="auto"/>
          </w:tcPr>
          <w:p w:rsidR="00DF466E" w:rsidRPr="00D74A52" w:rsidRDefault="00DF466E" w:rsidP="004B4D95">
            <w:pPr>
              <w:overflowPunct/>
              <w:autoSpaceDE/>
              <w:autoSpaceDN/>
              <w:adjustRightInd/>
              <w:spacing w:before="10" w:after="10"/>
              <w:textAlignment w:val="auto"/>
              <w:rPr>
                <w:rFonts w:ascii="Times New Roman" w:eastAsia="SimSun" w:hAnsi="Times New Roman"/>
                <w:sz w:val="18"/>
                <w:szCs w:val="18"/>
                <w:lang w:val="en-US"/>
              </w:rPr>
            </w:pPr>
            <w:r w:rsidRPr="00D74A52">
              <w:rPr>
                <w:rFonts w:ascii="Times New Roman" w:eastAsia="SimSun" w:hAnsi="Times New Roman"/>
                <w:sz w:val="18"/>
                <w:szCs w:val="18"/>
                <w:lang w:val="ru-RU"/>
              </w:rPr>
              <w:t>Задачи</w:t>
            </w:r>
          </w:p>
        </w:tc>
        <w:tc>
          <w:tcPr>
            <w:tcW w:w="2339" w:type="dxa"/>
            <w:shd w:val="clear" w:color="auto" w:fill="auto"/>
          </w:tcPr>
          <w:p w:rsidR="00DF466E" w:rsidRPr="00D74A52" w:rsidRDefault="00DF466E" w:rsidP="004B4D95">
            <w:pPr>
              <w:overflowPunct/>
              <w:autoSpaceDE/>
              <w:autoSpaceDN/>
              <w:adjustRightInd/>
              <w:spacing w:before="10" w:after="10"/>
              <w:textAlignment w:val="auto"/>
              <w:rPr>
                <w:rFonts w:eastAsia="SimSun"/>
                <w:sz w:val="18"/>
                <w:szCs w:val="18"/>
                <w:lang w:val="es-ES"/>
              </w:rPr>
            </w:pPr>
            <w:r w:rsidRPr="00D74A52">
              <w:rPr>
                <w:rFonts w:eastAsia="SimSun"/>
                <w:sz w:val="18"/>
                <w:szCs w:val="18"/>
                <w:lang w:val="es-ES"/>
              </w:rPr>
              <w:t>Objetivos</w:t>
            </w:r>
          </w:p>
        </w:tc>
      </w:tr>
      <w:tr w:rsidR="00DF466E" w:rsidRPr="00D74A52" w:rsidTr="004B4D95">
        <w:trPr>
          <w:cantSplit/>
          <w:trHeight w:val="144"/>
        </w:trPr>
        <w:tc>
          <w:tcPr>
            <w:tcW w:w="2477" w:type="dxa"/>
            <w:tcBorders>
              <w:top w:val="single" w:sz="8" w:space="0" w:color="4F81BD"/>
              <w:left w:val="single" w:sz="8" w:space="0" w:color="4F81BD"/>
              <w:bottom w:val="single" w:sz="8" w:space="0" w:color="4F81BD"/>
            </w:tcBorders>
            <w:shd w:val="clear" w:color="auto" w:fill="auto"/>
          </w:tcPr>
          <w:p w:rsidR="00DF466E" w:rsidRPr="00D74A52" w:rsidRDefault="00DF466E" w:rsidP="004B4D95">
            <w:pPr>
              <w:spacing w:before="10" w:after="10"/>
              <w:rPr>
                <w:rFonts w:eastAsia="SimSun"/>
                <w:b/>
                <w:bCs/>
                <w:sz w:val="18"/>
                <w:szCs w:val="18"/>
              </w:rPr>
            </w:pPr>
            <w:proofErr w:type="spellStart"/>
            <w:r w:rsidRPr="00D74A52">
              <w:rPr>
                <w:rFonts w:eastAsia="SimSun"/>
                <w:sz w:val="18"/>
                <w:szCs w:val="18"/>
              </w:rPr>
              <w:t>Operational</w:t>
            </w:r>
            <w:proofErr w:type="spellEnd"/>
            <w:r w:rsidRPr="00D74A52">
              <w:rPr>
                <w:rFonts w:eastAsia="SimSun"/>
                <w:sz w:val="18"/>
                <w:szCs w:val="18"/>
              </w:rPr>
              <w:t xml:space="preserve"> Plan</w:t>
            </w:r>
          </w:p>
        </w:tc>
        <w:tc>
          <w:tcPr>
            <w:tcW w:w="2129" w:type="dxa"/>
            <w:tcBorders>
              <w:top w:val="single" w:sz="8" w:space="0" w:color="4F81BD"/>
              <w:bottom w:val="single" w:sz="8" w:space="0" w:color="4F81BD"/>
            </w:tcBorders>
            <w:shd w:val="clear" w:color="auto" w:fill="auto"/>
          </w:tcPr>
          <w:p w:rsidR="00DF466E" w:rsidRPr="00D74A52" w:rsidRDefault="00DF466E" w:rsidP="004B4D95">
            <w:pPr>
              <w:overflowPunct/>
              <w:autoSpaceDE/>
              <w:autoSpaceDN/>
              <w:bidi/>
              <w:adjustRightInd/>
              <w:spacing w:before="10" w:after="10"/>
              <w:jc w:val="both"/>
              <w:textAlignment w:val="auto"/>
              <w:rPr>
                <w:rFonts w:ascii="Times New Roman" w:eastAsia="SimSun" w:hAnsi="Times New Roman"/>
                <w:sz w:val="18"/>
                <w:szCs w:val="18"/>
                <w:lang w:val="en-US"/>
              </w:rPr>
            </w:pPr>
            <w:r w:rsidRPr="00D74A52">
              <w:rPr>
                <w:rFonts w:ascii="Times New Roman" w:eastAsia="SimSun" w:hAnsi="Times New Roman"/>
                <w:sz w:val="18"/>
                <w:szCs w:val="18"/>
                <w:rtl/>
                <w:lang w:val="en-US"/>
              </w:rPr>
              <w:t>الخطة التشغيلية</w:t>
            </w:r>
          </w:p>
        </w:tc>
        <w:tc>
          <w:tcPr>
            <w:tcW w:w="2702" w:type="dxa"/>
            <w:tcBorders>
              <w:top w:val="single" w:sz="8" w:space="0" w:color="4F81BD"/>
              <w:bottom w:val="single" w:sz="8" w:space="0" w:color="4F81BD"/>
            </w:tcBorders>
            <w:shd w:val="clear" w:color="auto" w:fill="auto"/>
          </w:tcPr>
          <w:p w:rsidR="00DF466E" w:rsidRPr="00D74A52" w:rsidRDefault="00DF466E" w:rsidP="004B4D95">
            <w:pPr>
              <w:overflowPunct/>
              <w:autoSpaceDE/>
              <w:autoSpaceDN/>
              <w:adjustRightInd/>
              <w:spacing w:before="10" w:after="10"/>
              <w:textAlignment w:val="auto"/>
              <w:rPr>
                <w:rFonts w:ascii="Times New Roman" w:eastAsia="SimSun" w:hAnsi="Times New Roman"/>
                <w:sz w:val="18"/>
                <w:szCs w:val="18"/>
                <w:lang w:val="en-US"/>
              </w:rPr>
            </w:pPr>
            <w:proofErr w:type="spellStart"/>
            <w:r w:rsidRPr="00D74A52">
              <w:rPr>
                <w:rFonts w:ascii="Times New Roman" w:eastAsia="SimSun" w:hAnsi="Times New Roman"/>
                <w:sz w:val="18"/>
                <w:szCs w:val="18"/>
                <w:lang w:val="en-US"/>
              </w:rPr>
              <w:t>运作规划</w:t>
            </w:r>
            <w:proofErr w:type="spellEnd"/>
          </w:p>
        </w:tc>
        <w:tc>
          <w:tcPr>
            <w:tcW w:w="2848" w:type="dxa"/>
            <w:tcBorders>
              <w:top w:val="single" w:sz="8" w:space="0" w:color="4F81BD"/>
              <w:bottom w:val="single" w:sz="8" w:space="0" w:color="4F81BD"/>
            </w:tcBorders>
            <w:shd w:val="clear" w:color="auto" w:fill="auto"/>
          </w:tcPr>
          <w:p w:rsidR="00DF466E" w:rsidRPr="00CF752D" w:rsidRDefault="00DF466E" w:rsidP="004B4D95">
            <w:pPr>
              <w:overflowPunct/>
              <w:autoSpaceDE/>
              <w:autoSpaceDN/>
              <w:adjustRightInd/>
              <w:spacing w:before="10" w:after="10"/>
              <w:textAlignment w:val="auto"/>
              <w:rPr>
                <w:rFonts w:eastAsia="SimSun"/>
                <w:sz w:val="18"/>
                <w:szCs w:val="18"/>
                <w:lang w:val="fr-CH"/>
              </w:rPr>
            </w:pPr>
            <w:r w:rsidRPr="00CF752D">
              <w:rPr>
                <w:rFonts w:eastAsia="SimSun"/>
                <w:sz w:val="18"/>
                <w:szCs w:val="18"/>
                <w:lang w:val="fr-CH"/>
              </w:rPr>
              <w:t>Plan opérationnel</w:t>
            </w:r>
          </w:p>
        </w:tc>
        <w:tc>
          <w:tcPr>
            <w:tcW w:w="2390" w:type="dxa"/>
            <w:tcBorders>
              <w:top w:val="single" w:sz="8" w:space="0" w:color="4F81BD"/>
              <w:bottom w:val="single" w:sz="8" w:space="0" w:color="4F81BD"/>
            </w:tcBorders>
            <w:shd w:val="clear" w:color="auto" w:fill="auto"/>
          </w:tcPr>
          <w:p w:rsidR="00DF466E" w:rsidRPr="00D74A52" w:rsidRDefault="00DF466E" w:rsidP="004B4D95">
            <w:pPr>
              <w:overflowPunct/>
              <w:autoSpaceDE/>
              <w:autoSpaceDN/>
              <w:adjustRightInd/>
              <w:spacing w:before="10" w:after="10"/>
              <w:textAlignment w:val="auto"/>
              <w:rPr>
                <w:rFonts w:ascii="Times New Roman" w:eastAsia="SimSun" w:hAnsi="Times New Roman"/>
                <w:sz w:val="18"/>
                <w:szCs w:val="18"/>
                <w:lang w:val="en-US"/>
              </w:rPr>
            </w:pPr>
            <w:r w:rsidRPr="00D74A52">
              <w:rPr>
                <w:rFonts w:ascii="Times New Roman" w:eastAsia="SimSun" w:hAnsi="Times New Roman"/>
                <w:sz w:val="18"/>
                <w:szCs w:val="18"/>
                <w:lang w:val="ru-RU"/>
              </w:rPr>
              <w:t>Оперативный план</w:t>
            </w:r>
          </w:p>
        </w:tc>
        <w:tc>
          <w:tcPr>
            <w:tcW w:w="2339" w:type="dxa"/>
            <w:tcBorders>
              <w:top w:val="single" w:sz="8" w:space="0" w:color="4F81BD"/>
              <w:bottom w:val="single" w:sz="8" w:space="0" w:color="4F81BD"/>
              <w:right w:val="single" w:sz="8" w:space="0" w:color="4F81BD"/>
            </w:tcBorders>
            <w:shd w:val="clear" w:color="auto" w:fill="auto"/>
          </w:tcPr>
          <w:p w:rsidR="00DF466E" w:rsidRPr="00D74A52" w:rsidRDefault="00DF466E" w:rsidP="004B4D95">
            <w:pPr>
              <w:overflowPunct/>
              <w:autoSpaceDE/>
              <w:autoSpaceDN/>
              <w:adjustRightInd/>
              <w:spacing w:before="10" w:after="10"/>
              <w:textAlignment w:val="auto"/>
              <w:rPr>
                <w:rFonts w:eastAsia="SimSun"/>
                <w:sz w:val="18"/>
                <w:szCs w:val="18"/>
                <w:lang w:val="es-ES"/>
              </w:rPr>
            </w:pPr>
            <w:r w:rsidRPr="00D74A52">
              <w:rPr>
                <w:rFonts w:eastAsia="SimSun"/>
                <w:sz w:val="18"/>
                <w:szCs w:val="18"/>
                <w:lang w:val="es-ES"/>
              </w:rPr>
              <w:t>Plan Operacional</w:t>
            </w:r>
          </w:p>
        </w:tc>
      </w:tr>
      <w:tr w:rsidR="00DF466E" w:rsidRPr="00D74A52" w:rsidTr="004B4D95">
        <w:trPr>
          <w:cantSplit/>
          <w:trHeight w:val="144"/>
        </w:trPr>
        <w:tc>
          <w:tcPr>
            <w:tcW w:w="2477" w:type="dxa"/>
            <w:shd w:val="clear" w:color="auto" w:fill="auto"/>
          </w:tcPr>
          <w:p w:rsidR="00DF466E" w:rsidRPr="00D74A52" w:rsidRDefault="00DF466E" w:rsidP="004B4D95">
            <w:pPr>
              <w:spacing w:before="10" w:after="10"/>
              <w:rPr>
                <w:rFonts w:eastAsia="SimSun"/>
                <w:b/>
                <w:bCs/>
                <w:sz w:val="18"/>
                <w:szCs w:val="18"/>
              </w:rPr>
            </w:pPr>
            <w:proofErr w:type="spellStart"/>
            <w:r w:rsidRPr="00D74A52">
              <w:rPr>
                <w:rFonts w:eastAsia="SimSun"/>
                <w:sz w:val="18"/>
                <w:szCs w:val="18"/>
              </w:rPr>
              <w:t>Outcomes</w:t>
            </w:r>
            <w:proofErr w:type="spellEnd"/>
          </w:p>
        </w:tc>
        <w:tc>
          <w:tcPr>
            <w:tcW w:w="2129" w:type="dxa"/>
            <w:shd w:val="clear" w:color="auto" w:fill="auto"/>
          </w:tcPr>
          <w:p w:rsidR="00DF466E" w:rsidRPr="00D74A52" w:rsidRDefault="00DF466E" w:rsidP="004B4D95">
            <w:pPr>
              <w:overflowPunct/>
              <w:autoSpaceDE/>
              <w:autoSpaceDN/>
              <w:bidi/>
              <w:adjustRightInd/>
              <w:spacing w:before="10" w:after="10"/>
              <w:jc w:val="both"/>
              <w:textAlignment w:val="auto"/>
              <w:rPr>
                <w:rFonts w:ascii="Times New Roman" w:eastAsia="SimSun" w:hAnsi="Times New Roman"/>
                <w:sz w:val="18"/>
                <w:szCs w:val="18"/>
                <w:lang w:val="en-US"/>
              </w:rPr>
            </w:pPr>
            <w:r w:rsidRPr="00D74A52">
              <w:rPr>
                <w:rFonts w:ascii="Times New Roman" w:eastAsia="SimSun" w:hAnsi="Times New Roman"/>
                <w:sz w:val="18"/>
                <w:szCs w:val="18"/>
                <w:rtl/>
                <w:lang w:val="en-US"/>
              </w:rPr>
              <w:t>النتائج</w:t>
            </w:r>
          </w:p>
        </w:tc>
        <w:tc>
          <w:tcPr>
            <w:tcW w:w="2702" w:type="dxa"/>
            <w:shd w:val="clear" w:color="auto" w:fill="auto"/>
          </w:tcPr>
          <w:p w:rsidR="00DF466E" w:rsidRPr="00D74A52" w:rsidRDefault="00DF466E" w:rsidP="004B4D95">
            <w:pPr>
              <w:overflowPunct/>
              <w:autoSpaceDE/>
              <w:autoSpaceDN/>
              <w:adjustRightInd/>
              <w:spacing w:before="10" w:after="10"/>
              <w:textAlignment w:val="auto"/>
              <w:rPr>
                <w:rFonts w:ascii="Times New Roman" w:eastAsia="SimSun" w:hAnsi="Times New Roman"/>
                <w:sz w:val="18"/>
                <w:szCs w:val="18"/>
                <w:lang w:val="en-US"/>
              </w:rPr>
            </w:pPr>
            <w:proofErr w:type="spellStart"/>
            <w:r w:rsidRPr="00D74A52">
              <w:rPr>
                <w:rFonts w:ascii="Times New Roman" w:eastAsia="SimSun" w:hAnsi="Times New Roman"/>
                <w:sz w:val="18"/>
                <w:szCs w:val="18"/>
                <w:lang w:val="en-US"/>
              </w:rPr>
              <w:t>结果</w:t>
            </w:r>
            <w:proofErr w:type="spellEnd"/>
          </w:p>
        </w:tc>
        <w:tc>
          <w:tcPr>
            <w:tcW w:w="2848" w:type="dxa"/>
            <w:shd w:val="clear" w:color="auto" w:fill="auto"/>
          </w:tcPr>
          <w:p w:rsidR="00DF466E" w:rsidRPr="00CF752D" w:rsidRDefault="00DF466E" w:rsidP="004B4D95">
            <w:pPr>
              <w:overflowPunct/>
              <w:autoSpaceDE/>
              <w:autoSpaceDN/>
              <w:adjustRightInd/>
              <w:spacing w:before="10" w:after="10"/>
              <w:textAlignment w:val="auto"/>
              <w:rPr>
                <w:rFonts w:eastAsia="SimSun"/>
                <w:sz w:val="18"/>
                <w:szCs w:val="18"/>
                <w:lang w:val="fr-CH"/>
              </w:rPr>
            </w:pPr>
            <w:r w:rsidRPr="00CF752D">
              <w:rPr>
                <w:rFonts w:eastAsia="SimSun"/>
                <w:sz w:val="18"/>
                <w:szCs w:val="18"/>
                <w:lang w:val="fr-CH"/>
              </w:rPr>
              <w:t>Résultats</w:t>
            </w:r>
          </w:p>
        </w:tc>
        <w:tc>
          <w:tcPr>
            <w:tcW w:w="2390" w:type="dxa"/>
            <w:shd w:val="clear" w:color="auto" w:fill="auto"/>
          </w:tcPr>
          <w:p w:rsidR="00DF466E" w:rsidRPr="00D74A52" w:rsidRDefault="00DF466E" w:rsidP="004B4D95">
            <w:pPr>
              <w:overflowPunct/>
              <w:autoSpaceDE/>
              <w:autoSpaceDN/>
              <w:adjustRightInd/>
              <w:spacing w:before="10" w:after="10"/>
              <w:textAlignment w:val="auto"/>
              <w:rPr>
                <w:rFonts w:ascii="Times New Roman" w:eastAsia="SimSun" w:hAnsi="Times New Roman"/>
                <w:sz w:val="18"/>
                <w:szCs w:val="18"/>
                <w:lang w:val="en-US"/>
              </w:rPr>
            </w:pPr>
            <w:r w:rsidRPr="00D74A52">
              <w:rPr>
                <w:rFonts w:ascii="Times New Roman" w:eastAsia="SimSun" w:hAnsi="Times New Roman"/>
                <w:sz w:val="18"/>
                <w:szCs w:val="18"/>
                <w:lang w:val="ru-RU"/>
              </w:rPr>
              <w:t>Конечные результаты</w:t>
            </w:r>
          </w:p>
        </w:tc>
        <w:tc>
          <w:tcPr>
            <w:tcW w:w="2339" w:type="dxa"/>
            <w:shd w:val="clear" w:color="auto" w:fill="auto"/>
          </w:tcPr>
          <w:p w:rsidR="00DF466E" w:rsidRPr="00D74A52" w:rsidRDefault="00DF466E" w:rsidP="004B4D95">
            <w:pPr>
              <w:overflowPunct/>
              <w:autoSpaceDE/>
              <w:autoSpaceDN/>
              <w:adjustRightInd/>
              <w:spacing w:before="10" w:after="10"/>
              <w:textAlignment w:val="auto"/>
              <w:rPr>
                <w:rFonts w:eastAsia="SimSun"/>
                <w:sz w:val="18"/>
                <w:szCs w:val="18"/>
                <w:lang w:val="es-ES"/>
              </w:rPr>
            </w:pPr>
            <w:r w:rsidRPr="00D74A52">
              <w:rPr>
                <w:rFonts w:eastAsia="SimSun"/>
                <w:sz w:val="18"/>
                <w:szCs w:val="18"/>
                <w:lang w:val="es-ES"/>
              </w:rPr>
              <w:t>Resultados</w:t>
            </w:r>
          </w:p>
        </w:tc>
      </w:tr>
      <w:tr w:rsidR="00DF466E" w:rsidRPr="00D74A52" w:rsidTr="004B4D95">
        <w:trPr>
          <w:cantSplit/>
          <w:trHeight w:val="144"/>
        </w:trPr>
        <w:tc>
          <w:tcPr>
            <w:tcW w:w="2477" w:type="dxa"/>
            <w:tcBorders>
              <w:top w:val="single" w:sz="8" w:space="0" w:color="4F81BD"/>
              <w:left w:val="single" w:sz="8" w:space="0" w:color="4F81BD"/>
              <w:bottom w:val="single" w:sz="8" w:space="0" w:color="4F81BD"/>
            </w:tcBorders>
            <w:shd w:val="clear" w:color="auto" w:fill="auto"/>
          </w:tcPr>
          <w:p w:rsidR="00DF466E" w:rsidRPr="00D74A52" w:rsidRDefault="00DF466E" w:rsidP="004B4D95">
            <w:pPr>
              <w:spacing w:before="10" w:after="10"/>
              <w:rPr>
                <w:rFonts w:eastAsia="SimSun"/>
                <w:b/>
                <w:bCs/>
                <w:i/>
                <w:iCs/>
                <w:sz w:val="18"/>
                <w:szCs w:val="18"/>
              </w:rPr>
            </w:pPr>
            <w:r w:rsidRPr="00D74A52">
              <w:rPr>
                <w:rFonts w:eastAsia="SimSun"/>
                <w:sz w:val="18"/>
                <w:szCs w:val="18"/>
              </w:rPr>
              <w:t>Outputs</w:t>
            </w:r>
            <w:bookmarkStart w:id="8" w:name="_GoBack"/>
            <w:bookmarkEnd w:id="8"/>
          </w:p>
        </w:tc>
        <w:tc>
          <w:tcPr>
            <w:tcW w:w="2129" w:type="dxa"/>
            <w:tcBorders>
              <w:top w:val="single" w:sz="8" w:space="0" w:color="4F81BD"/>
              <w:bottom w:val="single" w:sz="8" w:space="0" w:color="4F81BD"/>
            </w:tcBorders>
            <w:shd w:val="clear" w:color="auto" w:fill="auto"/>
          </w:tcPr>
          <w:p w:rsidR="00DF466E" w:rsidRPr="00D74A52" w:rsidRDefault="00DF466E" w:rsidP="004B4D95">
            <w:pPr>
              <w:overflowPunct/>
              <w:autoSpaceDE/>
              <w:autoSpaceDN/>
              <w:bidi/>
              <w:adjustRightInd/>
              <w:spacing w:before="10" w:after="10"/>
              <w:jc w:val="both"/>
              <w:textAlignment w:val="auto"/>
              <w:rPr>
                <w:rFonts w:ascii="Times New Roman" w:eastAsia="SimSun" w:hAnsi="Times New Roman"/>
                <w:sz w:val="18"/>
                <w:szCs w:val="18"/>
                <w:lang w:val="en-US"/>
              </w:rPr>
            </w:pPr>
            <w:r w:rsidRPr="00D74A52">
              <w:rPr>
                <w:rFonts w:ascii="Times New Roman" w:eastAsia="SimSun" w:hAnsi="Times New Roman"/>
                <w:sz w:val="18"/>
                <w:szCs w:val="18"/>
                <w:rtl/>
                <w:lang w:val="en-US"/>
              </w:rPr>
              <w:t>النواتج</w:t>
            </w:r>
          </w:p>
        </w:tc>
        <w:tc>
          <w:tcPr>
            <w:tcW w:w="2702" w:type="dxa"/>
            <w:tcBorders>
              <w:top w:val="single" w:sz="8" w:space="0" w:color="4F81BD"/>
              <w:bottom w:val="single" w:sz="8" w:space="0" w:color="4F81BD"/>
            </w:tcBorders>
            <w:shd w:val="clear" w:color="auto" w:fill="auto"/>
          </w:tcPr>
          <w:p w:rsidR="00DF466E" w:rsidRPr="00D74A52" w:rsidRDefault="00DF466E" w:rsidP="004B4D95">
            <w:pPr>
              <w:overflowPunct/>
              <w:autoSpaceDE/>
              <w:autoSpaceDN/>
              <w:adjustRightInd/>
              <w:spacing w:before="10" w:after="10"/>
              <w:textAlignment w:val="auto"/>
              <w:rPr>
                <w:rFonts w:ascii="Times New Roman" w:eastAsia="SimSun" w:hAnsi="Times New Roman"/>
                <w:sz w:val="18"/>
                <w:szCs w:val="18"/>
                <w:lang w:val="en-US"/>
              </w:rPr>
            </w:pPr>
            <w:proofErr w:type="spellStart"/>
            <w:r w:rsidRPr="00D74A52">
              <w:rPr>
                <w:rFonts w:ascii="Times New Roman" w:eastAsia="SimSun" w:hAnsi="Times New Roman"/>
                <w:sz w:val="18"/>
                <w:szCs w:val="18"/>
                <w:lang w:val="en-US"/>
              </w:rPr>
              <w:t>输出成果</w:t>
            </w:r>
            <w:proofErr w:type="spellEnd"/>
          </w:p>
        </w:tc>
        <w:tc>
          <w:tcPr>
            <w:tcW w:w="2848" w:type="dxa"/>
            <w:tcBorders>
              <w:top w:val="single" w:sz="8" w:space="0" w:color="4F81BD"/>
              <w:bottom w:val="single" w:sz="8" w:space="0" w:color="4F81BD"/>
            </w:tcBorders>
            <w:shd w:val="clear" w:color="auto" w:fill="auto"/>
          </w:tcPr>
          <w:p w:rsidR="00DF466E" w:rsidRPr="00CF752D" w:rsidRDefault="00DF466E" w:rsidP="004B4D95">
            <w:pPr>
              <w:overflowPunct/>
              <w:autoSpaceDE/>
              <w:autoSpaceDN/>
              <w:adjustRightInd/>
              <w:spacing w:before="10" w:after="10"/>
              <w:textAlignment w:val="auto"/>
              <w:rPr>
                <w:rFonts w:eastAsia="SimSun"/>
                <w:sz w:val="18"/>
                <w:szCs w:val="18"/>
                <w:lang w:val="fr-CH"/>
              </w:rPr>
            </w:pPr>
            <w:r w:rsidRPr="00CF752D">
              <w:rPr>
                <w:rFonts w:eastAsia="SimSun"/>
                <w:sz w:val="18"/>
                <w:szCs w:val="18"/>
                <w:lang w:val="fr-CH"/>
              </w:rPr>
              <w:t>Produits</w:t>
            </w:r>
          </w:p>
        </w:tc>
        <w:tc>
          <w:tcPr>
            <w:tcW w:w="2390" w:type="dxa"/>
            <w:tcBorders>
              <w:top w:val="single" w:sz="8" w:space="0" w:color="4F81BD"/>
              <w:bottom w:val="single" w:sz="8" w:space="0" w:color="4F81BD"/>
            </w:tcBorders>
            <w:shd w:val="clear" w:color="auto" w:fill="auto"/>
          </w:tcPr>
          <w:p w:rsidR="00DF466E" w:rsidRPr="00D74A52" w:rsidRDefault="00DF466E" w:rsidP="004B4D95">
            <w:pPr>
              <w:overflowPunct/>
              <w:autoSpaceDE/>
              <w:autoSpaceDN/>
              <w:adjustRightInd/>
              <w:spacing w:before="10" w:after="10"/>
              <w:textAlignment w:val="auto"/>
              <w:rPr>
                <w:rFonts w:ascii="Times New Roman" w:eastAsia="SimSun" w:hAnsi="Times New Roman"/>
                <w:sz w:val="18"/>
                <w:szCs w:val="18"/>
                <w:lang w:val="en-US"/>
              </w:rPr>
            </w:pPr>
            <w:r w:rsidRPr="00D74A52">
              <w:rPr>
                <w:rFonts w:ascii="Times New Roman" w:eastAsia="SimSun" w:hAnsi="Times New Roman"/>
                <w:sz w:val="18"/>
                <w:szCs w:val="18"/>
                <w:lang w:val="ru-RU"/>
              </w:rPr>
              <w:t>Намеченные результаты деятельности</w:t>
            </w:r>
          </w:p>
        </w:tc>
        <w:tc>
          <w:tcPr>
            <w:tcW w:w="2339" w:type="dxa"/>
            <w:tcBorders>
              <w:top w:val="single" w:sz="8" w:space="0" w:color="4F81BD"/>
              <w:bottom w:val="single" w:sz="8" w:space="0" w:color="4F81BD"/>
              <w:right w:val="single" w:sz="8" w:space="0" w:color="4F81BD"/>
            </w:tcBorders>
            <w:shd w:val="clear" w:color="auto" w:fill="auto"/>
          </w:tcPr>
          <w:p w:rsidR="00DF466E" w:rsidRPr="00D74A52" w:rsidRDefault="00DF466E" w:rsidP="004B4D95">
            <w:pPr>
              <w:overflowPunct/>
              <w:autoSpaceDE/>
              <w:autoSpaceDN/>
              <w:adjustRightInd/>
              <w:spacing w:before="10" w:after="10"/>
              <w:textAlignment w:val="auto"/>
              <w:rPr>
                <w:rFonts w:eastAsia="SimSun"/>
                <w:sz w:val="18"/>
                <w:szCs w:val="18"/>
                <w:lang w:val="es-ES"/>
              </w:rPr>
            </w:pPr>
            <w:r w:rsidRPr="00D74A52">
              <w:rPr>
                <w:rFonts w:eastAsia="SimSun"/>
                <w:sz w:val="18"/>
                <w:szCs w:val="18"/>
                <w:lang w:val="es-ES"/>
              </w:rPr>
              <w:t>Productos</w:t>
            </w:r>
          </w:p>
        </w:tc>
      </w:tr>
      <w:tr w:rsidR="00DF466E" w:rsidRPr="00D74A52" w:rsidTr="004B4D95">
        <w:trPr>
          <w:cantSplit/>
          <w:trHeight w:val="144"/>
        </w:trPr>
        <w:tc>
          <w:tcPr>
            <w:tcW w:w="2477" w:type="dxa"/>
            <w:shd w:val="clear" w:color="auto" w:fill="auto"/>
          </w:tcPr>
          <w:p w:rsidR="00DF466E" w:rsidRPr="00D74A52" w:rsidRDefault="00DF466E" w:rsidP="004B4D95">
            <w:pPr>
              <w:spacing w:before="10" w:after="10"/>
              <w:rPr>
                <w:rFonts w:eastAsia="SimSun"/>
                <w:b/>
                <w:bCs/>
                <w:sz w:val="18"/>
                <w:szCs w:val="18"/>
              </w:rPr>
            </w:pPr>
            <w:r w:rsidRPr="00D74A52">
              <w:rPr>
                <w:rFonts w:eastAsia="SimSun"/>
                <w:sz w:val="18"/>
                <w:szCs w:val="18"/>
              </w:rPr>
              <w:t xml:space="preserve">Performance </w:t>
            </w:r>
            <w:proofErr w:type="spellStart"/>
            <w:r w:rsidRPr="00D74A52">
              <w:rPr>
                <w:rFonts w:eastAsia="SimSun"/>
                <w:sz w:val="18"/>
                <w:szCs w:val="18"/>
              </w:rPr>
              <w:t>indicators</w:t>
            </w:r>
            <w:proofErr w:type="spellEnd"/>
          </w:p>
        </w:tc>
        <w:tc>
          <w:tcPr>
            <w:tcW w:w="2129" w:type="dxa"/>
            <w:shd w:val="clear" w:color="auto" w:fill="auto"/>
          </w:tcPr>
          <w:p w:rsidR="00DF466E" w:rsidRPr="00D74A52" w:rsidRDefault="00DF466E" w:rsidP="004B4D95">
            <w:pPr>
              <w:overflowPunct/>
              <w:autoSpaceDE/>
              <w:autoSpaceDN/>
              <w:bidi/>
              <w:adjustRightInd/>
              <w:spacing w:before="10" w:after="10"/>
              <w:jc w:val="both"/>
              <w:textAlignment w:val="auto"/>
              <w:rPr>
                <w:rFonts w:ascii="Times New Roman" w:eastAsia="SimSun" w:hAnsi="Times New Roman"/>
                <w:sz w:val="18"/>
                <w:szCs w:val="18"/>
                <w:lang w:val="en-US"/>
              </w:rPr>
            </w:pPr>
            <w:proofErr w:type="gramStart"/>
            <w:r w:rsidRPr="00D74A52">
              <w:rPr>
                <w:rFonts w:ascii="Times New Roman" w:eastAsia="SimSun" w:hAnsi="Times New Roman"/>
                <w:sz w:val="18"/>
                <w:szCs w:val="18"/>
                <w:rtl/>
                <w:lang w:val="en-US"/>
              </w:rPr>
              <w:t>مؤشرات</w:t>
            </w:r>
            <w:proofErr w:type="gramEnd"/>
            <w:r w:rsidRPr="00D74A52">
              <w:rPr>
                <w:rFonts w:ascii="Times New Roman" w:eastAsia="SimSun" w:hAnsi="Times New Roman"/>
                <w:sz w:val="18"/>
                <w:szCs w:val="18"/>
                <w:rtl/>
                <w:lang w:val="en-US"/>
              </w:rPr>
              <w:t xml:space="preserve"> الأداء</w:t>
            </w:r>
          </w:p>
        </w:tc>
        <w:tc>
          <w:tcPr>
            <w:tcW w:w="2702" w:type="dxa"/>
            <w:shd w:val="clear" w:color="auto" w:fill="auto"/>
          </w:tcPr>
          <w:p w:rsidR="00DF466E" w:rsidRPr="00D74A52" w:rsidRDefault="00DF466E" w:rsidP="004B4D95">
            <w:pPr>
              <w:overflowPunct/>
              <w:autoSpaceDE/>
              <w:autoSpaceDN/>
              <w:adjustRightInd/>
              <w:spacing w:before="10" w:after="10"/>
              <w:textAlignment w:val="auto"/>
              <w:rPr>
                <w:rFonts w:ascii="Times New Roman" w:eastAsia="SimSun" w:hAnsi="Times New Roman"/>
                <w:sz w:val="18"/>
                <w:szCs w:val="18"/>
                <w:lang w:val="en-US"/>
              </w:rPr>
            </w:pPr>
            <w:proofErr w:type="spellStart"/>
            <w:r w:rsidRPr="00D74A52">
              <w:rPr>
                <w:rFonts w:ascii="Times New Roman" w:eastAsia="SimSun" w:hAnsi="Times New Roman"/>
                <w:sz w:val="18"/>
                <w:szCs w:val="18"/>
                <w:lang w:val="en-US"/>
              </w:rPr>
              <w:t>业绩指标</w:t>
            </w:r>
            <w:proofErr w:type="spellEnd"/>
          </w:p>
        </w:tc>
        <w:tc>
          <w:tcPr>
            <w:tcW w:w="2848" w:type="dxa"/>
            <w:shd w:val="clear" w:color="auto" w:fill="auto"/>
          </w:tcPr>
          <w:p w:rsidR="00DF466E" w:rsidRPr="00CF752D" w:rsidRDefault="00DF466E" w:rsidP="004B4D95">
            <w:pPr>
              <w:overflowPunct/>
              <w:autoSpaceDE/>
              <w:autoSpaceDN/>
              <w:adjustRightInd/>
              <w:spacing w:before="10" w:after="10"/>
              <w:textAlignment w:val="auto"/>
              <w:rPr>
                <w:rFonts w:eastAsia="SimSun"/>
                <w:sz w:val="18"/>
                <w:szCs w:val="18"/>
                <w:lang w:val="fr-CH"/>
              </w:rPr>
            </w:pPr>
            <w:r w:rsidRPr="00CF752D">
              <w:rPr>
                <w:rFonts w:eastAsia="SimSun"/>
                <w:sz w:val="18"/>
                <w:szCs w:val="18"/>
                <w:lang w:val="fr-CH"/>
              </w:rPr>
              <w:t>Indicateurs de performance</w:t>
            </w:r>
          </w:p>
        </w:tc>
        <w:tc>
          <w:tcPr>
            <w:tcW w:w="2390" w:type="dxa"/>
            <w:shd w:val="clear" w:color="auto" w:fill="auto"/>
          </w:tcPr>
          <w:p w:rsidR="00DF466E" w:rsidRPr="00D74A52" w:rsidRDefault="00DF466E" w:rsidP="004B4D95">
            <w:pPr>
              <w:overflowPunct/>
              <w:autoSpaceDE/>
              <w:autoSpaceDN/>
              <w:adjustRightInd/>
              <w:spacing w:before="10" w:after="10"/>
              <w:textAlignment w:val="auto"/>
              <w:rPr>
                <w:rFonts w:ascii="Times New Roman" w:eastAsia="SimSun" w:hAnsi="Times New Roman"/>
                <w:sz w:val="18"/>
                <w:szCs w:val="18"/>
                <w:lang w:val="en-US"/>
              </w:rPr>
            </w:pPr>
            <w:r w:rsidRPr="00D74A52">
              <w:rPr>
                <w:rFonts w:ascii="Times New Roman" w:eastAsia="SimSun" w:hAnsi="Times New Roman"/>
                <w:sz w:val="18"/>
                <w:szCs w:val="18"/>
                <w:lang w:val="ru-RU"/>
              </w:rPr>
              <w:t>Показатели деятельности (PI)</w:t>
            </w:r>
          </w:p>
        </w:tc>
        <w:tc>
          <w:tcPr>
            <w:tcW w:w="2339" w:type="dxa"/>
            <w:shd w:val="clear" w:color="auto" w:fill="auto"/>
          </w:tcPr>
          <w:p w:rsidR="00DF466E" w:rsidRPr="00D74A52" w:rsidRDefault="00DF466E" w:rsidP="004B4D95">
            <w:pPr>
              <w:overflowPunct/>
              <w:autoSpaceDE/>
              <w:autoSpaceDN/>
              <w:adjustRightInd/>
              <w:spacing w:before="10" w:after="10"/>
              <w:textAlignment w:val="auto"/>
              <w:rPr>
                <w:rFonts w:eastAsia="SimSun"/>
                <w:sz w:val="18"/>
                <w:szCs w:val="18"/>
                <w:lang w:val="es-ES"/>
              </w:rPr>
            </w:pPr>
            <w:r w:rsidRPr="00D74A52">
              <w:rPr>
                <w:rFonts w:eastAsia="SimSun"/>
                <w:sz w:val="18"/>
                <w:szCs w:val="18"/>
                <w:lang w:val="es-ES"/>
              </w:rPr>
              <w:t>Indicadores de rendimiento</w:t>
            </w:r>
          </w:p>
        </w:tc>
      </w:tr>
      <w:tr w:rsidR="00DF466E" w:rsidRPr="00D74A52" w:rsidTr="004B4D95">
        <w:trPr>
          <w:cantSplit/>
          <w:trHeight w:val="144"/>
        </w:trPr>
        <w:tc>
          <w:tcPr>
            <w:tcW w:w="2477" w:type="dxa"/>
            <w:tcBorders>
              <w:top w:val="single" w:sz="8" w:space="0" w:color="4F81BD"/>
              <w:left w:val="single" w:sz="8" w:space="0" w:color="4F81BD"/>
              <w:bottom w:val="single" w:sz="8" w:space="0" w:color="4F81BD"/>
            </w:tcBorders>
            <w:shd w:val="clear" w:color="auto" w:fill="auto"/>
          </w:tcPr>
          <w:p w:rsidR="00DF466E" w:rsidRPr="00D74A52" w:rsidRDefault="00DF466E" w:rsidP="004B4D95">
            <w:pPr>
              <w:spacing w:before="10" w:after="10"/>
              <w:rPr>
                <w:rFonts w:eastAsia="SimSun"/>
                <w:b/>
                <w:bCs/>
                <w:sz w:val="18"/>
                <w:szCs w:val="18"/>
              </w:rPr>
            </w:pPr>
            <w:proofErr w:type="spellStart"/>
            <w:r w:rsidRPr="00D74A52">
              <w:rPr>
                <w:rFonts w:eastAsia="SimSun"/>
                <w:sz w:val="18"/>
                <w:szCs w:val="18"/>
              </w:rPr>
              <w:t>Processes</w:t>
            </w:r>
            <w:proofErr w:type="spellEnd"/>
          </w:p>
        </w:tc>
        <w:tc>
          <w:tcPr>
            <w:tcW w:w="2129" w:type="dxa"/>
            <w:tcBorders>
              <w:top w:val="single" w:sz="8" w:space="0" w:color="4F81BD"/>
              <w:bottom w:val="single" w:sz="8" w:space="0" w:color="4F81BD"/>
            </w:tcBorders>
            <w:shd w:val="clear" w:color="auto" w:fill="auto"/>
          </w:tcPr>
          <w:p w:rsidR="00DF466E" w:rsidRPr="00D74A52" w:rsidRDefault="00DF466E" w:rsidP="004B4D95">
            <w:pPr>
              <w:overflowPunct/>
              <w:autoSpaceDE/>
              <w:autoSpaceDN/>
              <w:bidi/>
              <w:adjustRightInd/>
              <w:spacing w:before="10" w:after="10"/>
              <w:jc w:val="both"/>
              <w:textAlignment w:val="auto"/>
              <w:rPr>
                <w:rFonts w:ascii="Times New Roman" w:eastAsia="SimSun" w:hAnsi="Times New Roman"/>
                <w:sz w:val="18"/>
                <w:szCs w:val="18"/>
                <w:lang w:val="en-US"/>
              </w:rPr>
            </w:pPr>
            <w:r w:rsidRPr="00D74A52">
              <w:rPr>
                <w:rFonts w:ascii="Times New Roman" w:eastAsia="SimSun" w:hAnsi="Times New Roman"/>
                <w:sz w:val="18"/>
                <w:szCs w:val="18"/>
                <w:rtl/>
                <w:lang w:val="en-US"/>
              </w:rPr>
              <w:t>العمليات</w:t>
            </w:r>
          </w:p>
        </w:tc>
        <w:tc>
          <w:tcPr>
            <w:tcW w:w="2702" w:type="dxa"/>
            <w:tcBorders>
              <w:top w:val="single" w:sz="8" w:space="0" w:color="4F81BD"/>
              <w:bottom w:val="single" w:sz="8" w:space="0" w:color="4F81BD"/>
            </w:tcBorders>
            <w:shd w:val="clear" w:color="auto" w:fill="auto"/>
          </w:tcPr>
          <w:p w:rsidR="00DF466E" w:rsidRPr="00D74A52" w:rsidRDefault="00DF466E" w:rsidP="004B4D95">
            <w:pPr>
              <w:overflowPunct/>
              <w:autoSpaceDE/>
              <w:autoSpaceDN/>
              <w:adjustRightInd/>
              <w:spacing w:before="10" w:after="10"/>
              <w:textAlignment w:val="auto"/>
              <w:rPr>
                <w:rFonts w:ascii="Times New Roman" w:eastAsia="SimSun" w:hAnsi="Times New Roman"/>
                <w:sz w:val="18"/>
                <w:szCs w:val="18"/>
                <w:lang w:val="en-US"/>
              </w:rPr>
            </w:pPr>
            <w:proofErr w:type="spellStart"/>
            <w:r w:rsidRPr="00D74A52">
              <w:rPr>
                <w:rFonts w:ascii="Times New Roman" w:eastAsia="SimSun" w:hAnsi="Times New Roman"/>
                <w:sz w:val="18"/>
                <w:szCs w:val="18"/>
                <w:lang w:val="en-US"/>
              </w:rPr>
              <w:t>进程</w:t>
            </w:r>
            <w:proofErr w:type="spellEnd"/>
          </w:p>
        </w:tc>
        <w:tc>
          <w:tcPr>
            <w:tcW w:w="2848" w:type="dxa"/>
            <w:tcBorders>
              <w:top w:val="single" w:sz="8" w:space="0" w:color="4F81BD"/>
              <w:bottom w:val="single" w:sz="8" w:space="0" w:color="4F81BD"/>
            </w:tcBorders>
            <w:shd w:val="clear" w:color="auto" w:fill="auto"/>
          </w:tcPr>
          <w:p w:rsidR="00DF466E" w:rsidRPr="00CF752D" w:rsidRDefault="00DF466E" w:rsidP="004B4D95">
            <w:pPr>
              <w:overflowPunct/>
              <w:autoSpaceDE/>
              <w:autoSpaceDN/>
              <w:adjustRightInd/>
              <w:spacing w:before="10" w:after="10"/>
              <w:textAlignment w:val="auto"/>
              <w:rPr>
                <w:rFonts w:eastAsia="SimSun"/>
                <w:sz w:val="18"/>
                <w:szCs w:val="18"/>
                <w:lang w:val="fr-CH"/>
              </w:rPr>
            </w:pPr>
            <w:r w:rsidRPr="00CF752D">
              <w:rPr>
                <w:rFonts w:eastAsia="SimSun"/>
                <w:sz w:val="18"/>
                <w:szCs w:val="18"/>
                <w:lang w:val="fr-CH"/>
              </w:rPr>
              <w:t>Processus</w:t>
            </w:r>
          </w:p>
        </w:tc>
        <w:tc>
          <w:tcPr>
            <w:tcW w:w="2390" w:type="dxa"/>
            <w:tcBorders>
              <w:top w:val="single" w:sz="8" w:space="0" w:color="4F81BD"/>
              <w:bottom w:val="single" w:sz="8" w:space="0" w:color="4F81BD"/>
            </w:tcBorders>
            <w:shd w:val="clear" w:color="auto" w:fill="auto"/>
          </w:tcPr>
          <w:p w:rsidR="00DF466E" w:rsidRPr="00D74A52" w:rsidRDefault="00DF466E" w:rsidP="004B4D95">
            <w:pPr>
              <w:overflowPunct/>
              <w:autoSpaceDE/>
              <w:autoSpaceDN/>
              <w:adjustRightInd/>
              <w:spacing w:before="10" w:after="10"/>
              <w:textAlignment w:val="auto"/>
              <w:rPr>
                <w:rFonts w:ascii="Times New Roman" w:eastAsia="SimSun" w:hAnsi="Times New Roman"/>
                <w:sz w:val="18"/>
                <w:szCs w:val="18"/>
                <w:lang w:val="ru-RU"/>
              </w:rPr>
            </w:pPr>
            <w:r w:rsidRPr="00D74A52">
              <w:rPr>
                <w:rFonts w:ascii="Times New Roman" w:eastAsia="SimSun" w:hAnsi="Times New Roman"/>
                <w:sz w:val="18"/>
                <w:szCs w:val="18"/>
                <w:lang w:val="ru-RU"/>
              </w:rPr>
              <w:t>Процессы</w:t>
            </w:r>
          </w:p>
        </w:tc>
        <w:tc>
          <w:tcPr>
            <w:tcW w:w="2339" w:type="dxa"/>
            <w:tcBorders>
              <w:top w:val="single" w:sz="8" w:space="0" w:color="4F81BD"/>
              <w:bottom w:val="single" w:sz="8" w:space="0" w:color="4F81BD"/>
              <w:right w:val="single" w:sz="8" w:space="0" w:color="4F81BD"/>
            </w:tcBorders>
            <w:shd w:val="clear" w:color="auto" w:fill="auto"/>
          </w:tcPr>
          <w:p w:rsidR="00DF466E" w:rsidRPr="00D74A52" w:rsidRDefault="00DF466E" w:rsidP="004B4D95">
            <w:pPr>
              <w:overflowPunct/>
              <w:autoSpaceDE/>
              <w:autoSpaceDN/>
              <w:adjustRightInd/>
              <w:spacing w:before="10" w:after="10"/>
              <w:textAlignment w:val="auto"/>
              <w:rPr>
                <w:rFonts w:eastAsia="SimSun"/>
                <w:sz w:val="18"/>
                <w:szCs w:val="18"/>
                <w:lang w:val="es-ES"/>
              </w:rPr>
            </w:pPr>
            <w:r w:rsidRPr="00D74A52">
              <w:rPr>
                <w:rFonts w:eastAsia="SimSun"/>
                <w:sz w:val="18"/>
                <w:szCs w:val="18"/>
                <w:lang w:val="es-ES"/>
              </w:rPr>
              <w:t>Procesos</w:t>
            </w:r>
          </w:p>
        </w:tc>
      </w:tr>
      <w:tr w:rsidR="00DF466E" w:rsidRPr="00400D40" w:rsidTr="004B4D95">
        <w:trPr>
          <w:cantSplit/>
          <w:trHeight w:val="144"/>
        </w:trPr>
        <w:tc>
          <w:tcPr>
            <w:tcW w:w="2477" w:type="dxa"/>
            <w:shd w:val="clear" w:color="auto" w:fill="auto"/>
          </w:tcPr>
          <w:p w:rsidR="00DF466E" w:rsidRPr="00D74A52" w:rsidRDefault="00DF466E" w:rsidP="004B4D95">
            <w:pPr>
              <w:spacing w:before="10" w:after="10"/>
              <w:rPr>
                <w:rFonts w:eastAsia="SimSun"/>
                <w:b/>
                <w:bCs/>
                <w:sz w:val="18"/>
                <w:szCs w:val="18"/>
              </w:rPr>
            </w:pPr>
            <w:proofErr w:type="spellStart"/>
            <w:r w:rsidRPr="00D74A52">
              <w:rPr>
                <w:rFonts w:eastAsia="SimSun"/>
                <w:sz w:val="18"/>
                <w:szCs w:val="18"/>
              </w:rPr>
              <w:t>Results-based</w:t>
            </w:r>
            <w:proofErr w:type="spellEnd"/>
            <w:r w:rsidRPr="00D74A52">
              <w:rPr>
                <w:rFonts w:eastAsia="SimSun"/>
                <w:sz w:val="18"/>
                <w:szCs w:val="18"/>
              </w:rPr>
              <w:t xml:space="preserve"> </w:t>
            </w:r>
            <w:proofErr w:type="spellStart"/>
            <w:r w:rsidRPr="00D74A52">
              <w:rPr>
                <w:rFonts w:eastAsia="SimSun"/>
                <w:sz w:val="18"/>
                <w:szCs w:val="18"/>
              </w:rPr>
              <w:t>budgeting</w:t>
            </w:r>
            <w:proofErr w:type="spellEnd"/>
          </w:p>
        </w:tc>
        <w:tc>
          <w:tcPr>
            <w:tcW w:w="2129" w:type="dxa"/>
            <w:shd w:val="clear" w:color="auto" w:fill="auto"/>
          </w:tcPr>
          <w:p w:rsidR="00DF466E" w:rsidRPr="00D74A52" w:rsidRDefault="00DF466E" w:rsidP="004B4D95">
            <w:pPr>
              <w:overflowPunct/>
              <w:autoSpaceDE/>
              <w:autoSpaceDN/>
              <w:bidi/>
              <w:adjustRightInd/>
              <w:spacing w:before="10" w:after="10"/>
              <w:jc w:val="both"/>
              <w:textAlignment w:val="auto"/>
              <w:rPr>
                <w:rFonts w:ascii="Times New Roman" w:eastAsia="SimSun" w:hAnsi="Times New Roman"/>
                <w:sz w:val="18"/>
                <w:szCs w:val="18"/>
                <w:lang w:val="en-US"/>
              </w:rPr>
            </w:pPr>
            <w:proofErr w:type="spellStart"/>
            <w:r w:rsidRPr="00D74A52">
              <w:rPr>
                <w:rFonts w:ascii="Times New Roman" w:eastAsia="SimSun" w:hAnsi="Times New Roman"/>
                <w:sz w:val="18"/>
                <w:szCs w:val="18"/>
                <w:rtl/>
                <w:lang w:val="en-US"/>
              </w:rPr>
              <w:t>الميزنة</w:t>
            </w:r>
            <w:proofErr w:type="spellEnd"/>
            <w:r w:rsidRPr="00D74A52">
              <w:rPr>
                <w:rFonts w:ascii="Times New Roman" w:eastAsia="SimSun" w:hAnsi="Times New Roman"/>
                <w:sz w:val="18"/>
                <w:szCs w:val="18"/>
                <w:rtl/>
                <w:lang w:val="en-US"/>
              </w:rPr>
              <w:t xml:space="preserve"> على أساس النتائج</w:t>
            </w:r>
          </w:p>
        </w:tc>
        <w:tc>
          <w:tcPr>
            <w:tcW w:w="2702" w:type="dxa"/>
            <w:shd w:val="clear" w:color="auto" w:fill="auto"/>
          </w:tcPr>
          <w:p w:rsidR="00DF466E" w:rsidRPr="00D74A52" w:rsidRDefault="00DF466E" w:rsidP="004B4D95">
            <w:pPr>
              <w:overflowPunct/>
              <w:autoSpaceDE/>
              <w:autoSpaceDN/>
              <w:adjustRightInd/>
              <w:spacing w:before="10" w:after="10"/>
              <w:textAlignment w:val="auto"/>
              <w:rPr>
                <w:rFonts w:ascii="Times New Roman" w:eastAsia="SimSun" w:hAnsi="Times New Roman"/>
                <w:sz w:val="18"/>
                <w:szCs w:val="18"/>
                <w:lang w:val="en-US"/>
              </w:rPr>
            </w:pPr>
            <w:proofErr w:type="spellStart"/>
            <w:r w:rsidRPr="00D74A52">
              <w:rPr>
                <w:rFonts w:ascii="Times New Roman" w:eastAsia="SimSun" w:hAnsi="Times New Roman"/>
                <w:sz w:val="18"/>
                <w:szCs w:val="18"/>
                <w:lang w:val="en-US"/>
              </w:rPr>
              <w:t>基于结果的预算制定</w:t>
            </w:r>
            <w:proofErr w:type="spellEnd"/>
          </w:p>
        </w:tc>
        <w:tc>
          <w:tcPr>
            <w:tcW w:w="2848" w:type="dxa"/>
            <w:shd w:val="clear" w:color="auto" w:fill="auto"/>
          </w:tcPr>
          <w:p w:rsidR="00DF466E" w:rsidRPr="00CF752D" w:rsidRDefault="00DF466E" w:rsidP="004B4D95">
            <w:pPr>
              <w:overflowPunct/>
              <w:autoSpaceDE/>
              <w:autoSpaceDN/>
              <w:adjustRightInd/>
              <w:spacing w:before="10" w:after="10"/>
              <w:textAlignment w:val="auto"/>
              <w:rPr>
                <w:rFonts w:eastAsia="SimSun"/>
                <w:sz w:val="18"/>
                <w:szCs w:val="18"/>
                <w:lang w:val="fr-CH"/>
              </w:rPr>
            </w:pPr>
            <w:r w:rsidRPr="00CF752D">
              <w:rPr>
                <w:rFonts w:eastAsia="SimSun"/>
                <w:sz w:val="18"/>
                <w:szCs w:val="18"/>
                <w:lang w:val="fr-CH"/>
              </w:rPr>
              <w:t>Budgétisation axée sur les résultats</w:t>
            </w:r>
          </w:p>
        </w:tc>
        <w:tc>
          <w:tcPr>
            <w:tcW w:w="2390" w:type="dxa"/>
            <w:shd w:val="clear" w:color="auto" w:fill="auto"/>
          </w:tcPr>
          <w:p w:rsidR="00DF466E" w:rsidRPr="00D74A52" w:rsidRDefault="00DF466E" w:rsidP="004B4D95">
            <w:pPr>
              <w:overflowPunct/>
              <w:autoSpaceDE/>
              <w:autoSpaceDN/>
              <w:adjustRightInd/>
              <w:spacing w:before="10" w:after="10"/>
              <w:textAlignment w:val="auto"/>
              <w:rPr>
                <w:rFonts w:ascii="Times New Roman" w:eastAsia="SimSun" w:hAnsi="Times New Roman"/>
                <w:sz w:val="18"/>
                <w:szCs w:val="18"/>
                <w:lang w:val="ru-RU"/>
              </w:rPr>
            </w:pPr>
            <w:r w:rsidRPr="00D74A52">
              <w:rPr>
                <w:rFonts w:ascii="Times New Roman" w:eastAsia="SimSun" w:hAnsi="Times New Roman"/>
                <w:sz w:val="18"/>
                <w:szCs w:val="18"/>
                <w:lang w:val="ru-RU"/>
              </w:rPr>
              <w:t>Составление бюджета, ориентированного на результаты (БОР)</w:t>
            </w:r>
          </w:p>
        </w:tc>
        <w:tc>
          <w:tcPr>
            <w:tcW w:w="2339" w:type="dxa"/>
            <w:shd w:val="clear" w:color="auto" w:fill="auto"/>
          </w:tcPr>
          <w:p w:rsidR="00DF466E" w:rsidRPr="00D74A52" w:rsidRDefault="00DF466E" w:rsidP="004B4D95">
            <w:pPr>
              <w:overflowPunct/>
              <w:autoSpaceDE/>
              <w:autoSpaceDN/>
              <w:adjustRightInd/>
              <w:spacing w:before="10" w:after="10"/>
              <w:textAlignment w:val="auto"/>
              <w:rPr>
                <w:rFonts w:eastAsia="SimSun"/>
                <w:sz w:val="18"/>
                <w:szCs w:val="18"/>
                <w:lang w:val="es-ES"/>
              </w:rPr>
            </w:pPr>
            <w:r w:rsidRPr="00D74A52">
              <w:rPr>
                <w:rFonts w:eastAsia="SimSun"/>
                <w:sz w:val="18"/>
                <w:szCs w:val="18"/>
                <w:lang w:val="es-ES"/>
              </w:rPr>
              <w:t>[Elaboración del] Presupuesto basado en los resultados</w:t>
            </w:r>
          </w:p>
        </w:tc>
      </w:tr>
      <w:tr w:rsidR="00DF466E" w:rsidRPr="00400D40" w:rsidTr="004B4D95">
        <w:trPr>
          <w:cantSplit/>
          <w:trHeight w:val="144"/>
        </w:trPr>
        <w:tc>
          <w:tcPr>
            <w:tcW w:w="2477" w:type="dxa"/>
            <w:tcBorders>
              <w:top w:val="single" w:sz="8" w:space="0" w:color="4F81BD"/>
              <w:left w:val="single" w:sz="8" w:space="0" w:color="4F81BD"/>
              <w:bottom w:val="single" w:sz="8" w:space="0" w:color="4F81BD"/>
            </w:tcBorders>
            <w:shd w:val="clear" w:color="auto" w:fill="auto"/>
          </w:tcPr>
          <w:p w:rsidR="00DF466E" w:rsidRPr="00D74A52" w:rsidRDefault="00DF466E" w:rsidP="004B4D95">
            <w:pPr>
              <w:spacing w:before="10" w:after="10"/>
              <w:rPr>
                <w:rFonts w:eastAsia="SimSun"/>
                <w:b/>
                <w:bCs/>
                <w:sz w:val="18"/>
                <w:szCs w:val="18"/>
              </w:rPr>
            </w:pPr>
            <w:proofErr w:type="spellStart"/>
            <w:r w:rsidRPr="00D74A52">
              <w:rPr>
                <w:rFonts w:eastAsia="SimSun"/>
                <w:sz w:val="18"/>
                <w:szCs w:val="18"/>
              </w:rPr>
              <w:t>Results-based</w:t>
            </w:r>
            <w:proofErr w:type="spellEnd"/>
            <w:r w:rsidRPr="00D74A52">
              <w:rPr>
                <w:rFonts w:eastAsia="SimSun"/>
                <w:sz w:val="18"/>
                <w:szCs w:val="18"/>
              </w:rPr>
              <w:t xml:space="preserve"> Management </w:t>
            </w:r>
          </w:p>
        </w:tc>
        <w:tc>
          <w:tcPr>
            <w:tcW w:w="2129" w:type="dxa"/>
            <w:tcBorders>
              <w:top w:val="single" w:sz="8" w:space="0" w:color="4F81BD"/>
              <w:bottom w:val="single" w:sz="8" w:space="0" w:color="4F81BD"/>
            </w:tcBorders>
            <w:shd w:val="clear" w:color="auto" w:fill="auto"/>
          </w:tcPr>
          <w:p w:rsidR="00DF466E" w:rsidRPr="00D74A52" w:rsidRDefault="00DF466E" w:rsidP="004B4D95">
            <w:pPr>
              <w:overflowPunct/>
              <w:autoSpaceDE/>
              <w:autoSpaceDN/>
              <w:bidi/>
              <w:adjustRightInd/>
              <w:spacing w:before="10" w:after="10"/>
              <w:jc w:val="both"/>
              <w:textAlignment w:val="auto"/>
              <w:rPr>
                <w:rFonts w:ascii="Times New Roman" w:eastAsia="SimSun" w:hAnsi="Times New Roman"/>
                <w:sz w:val="18"/>
                <w:szCs w:val="18"/>
                <w:lang w:val="en-US"/>
              </w:rPr>
            </w:pPr>
            <w:r w:rsidRPr="00D74A52">
              <w:rPr>
                <w:rFonts w:ascii="Times New Roman" w:eastAsia="SimSun" w:hAnsi="Times New Roman"/>
                <w:sz w:val="18"/>
                <w:szCs w:val="18"/>
                <w:rtl/>
                <w:lang w:val="en-US"/>
              </w:rPr>
              <w:t>الإدارة على أساس النتائج</w:t>
            </w:r>
          </w:p>
        </w:tc>
        <w:tc>
          <w:tcPr>
            <w:tcW w:w="2702" w:type="dxa"/>
            <w:tcBorders>
              <w:top w:val="single" w:sz="8" w:space="0" w:color="4F81BD"/>
              <w:bottom w:val="single" w:sz="8" w:space="0" w:color="4F81BD"/>
            </w:tcBorders>
            <w:shd w:val="clear" w:color="auto" w:fill="auto"/>
          </w:tcPr>
          <w:p w:rsidR="00DF466E" w:rsidRPr="00D74A52" w:rsidRDefault="00DF466E" w:rsidP="004B4D95">
            <w:pPr>
              <w:overflowPunct/>
              <w:autoSpaceDE/>
              <w:autoSpaceDN/>
              <w:adjustRightInd/>
              <w:spacing w:before="10" w:after="10"/>
              <w:textAlignment w:val="auto"/>
              <w:rPr>
                <w:rFonts w:ascii="Times New Roman" w:eastAsia="SimSun" w:hAnsi="Times New Roman"/>
                <w:sz w:val="18"/>
                <w:szCs w:val="18"/>
                <w:lang w:val="en-US"/>
              </w:rPr>
            </w:pPr>
            <w:proofErr w:type="spellStart"/>
            <w:r w:rsidRPr="00D74A52">
              <w:rPr>
                <w:rFonts w:ascii="Times New Roman" w:eastAsia="SimSun" w:hAnsi="Times New Roman"/>
                <w:sz w:val="18"/>
                <w:szCs w:val="18"/>
                <w:lang w:val="en-US"/>
              </w:rPr>
              <w:t>基于结果的管理</w:t>
            </w:r>
            <w:proofErr w:type="spellEnd"/>
          </w:p>
        </w:tc>
        <w:tc>
          <w:tcPr>
            <w:tcW w:w="2848" w:type="dxa"/>
            <w:tcBorders>
              <w:top w:val="single" w:sz="8" w:space="0" w:color="4F81BD"/>
              <w:bottom w:val="single" w:sz="8" w:space="0" w:color="4F81BD"/>
            </w:tcBorders>
            <w:shd w:val="clear" w:color="auto" w:fill="auto"/>
          </w:tcPr>
          <w:p w:rsidR="00DF466E" w:rsidRPr="00CF752D" w:rsidRDefault="00DF466E" w:rsidP="004B4D95">
            <w:pPr>
              <w:overflowPunct/>
              <w:autoSpaceDE/>
              <w:autoSpaceDN/>
              <w:adjustRightInd/>
              <w:spacing w:before="10" w:after="10"/>
              <w:textAlignment w:val="auto"/>
              <w:rPr>
                <w:rFonts w:eastAsia="SimSun"/>
                <w:sz w:val="18"/>
                <w:szCs w:val="18"/>
                <w:lang w:val="fr-CH"/>
              </w:rPr>
            </w:pPr>
            <w:r w:rsidRPr="00CF752D">
              <w:rPr>
                <w:rFonts w:eastAsia="SimSun"/>
                <w:sz w:val="18"/>
                <w:szCs w:val="18"/>
                <w:lang w:val="fr-CH"/>
              </w:rPr>
              <w:t>Gestion axée sur les résultats</w:t>
            </w:r>
          </w:p>
        </w:tc>
        <w:tc>
          <w:tcPr>
            <w:tcW w:w="2390" w:type="dxa"/>
            <w:tcBorders>
              <w:top w:val="single" w:sz="8" w:space="0" w:color="4F81BD"/>
              <w:bottom w:val="single" w:sz="8" w:space="0" w:color="4F81BD"/>
            </w:tcBorders>
            <w:shd w:val="clear" w:color="auto" w:fill="auto"/>
          </w:tcPr>
          <w:p w:rsidR="00DF466E" w:rsidRPr="00D74A52" w:rsidRDefault="00DF466E" w:rsidP="004B4D95">
            <w:pPr>
              <w:overflowPunct/>
              <w:autoSpaceDE/>
              <w:autoSpaceDN/>
              <w:adjustRightInd/>
              <w:spacing w:before="10" w:after="10"/>
              <w:textAlignment w:val="auto"/>
              <w:rPr>
                <w:rFonts w:ascii="Times New Roman" w:eastAsia="SimSun" w:hAnsi="Times New Roman"/>
                <w:sz w:val="18"/>
                <w:szCs w:val="18"/>
                <w:lang w:val="ru-RU"/>
              </w:rPr>
            </w:pPr>
            <w:r w:rsidRPr="00D74A52">
              <w:rPr>
                <w:rFonts w:ascii="Times New Roman" w:eastAsia="SimSun" w:hAnsi="Times New Roman"/>
                <w:sz w:val="18"/>
                <w:szCs w:val="18"/>
                <w:lang w:val="ru-RU"/>
              </w:rPr>
              <w:t>Управление, ориентированное на результаты (УОР)</w:t>
            </w:r>
          </w:p>
        </w:tc>
        <w:tc>
          <w:tcPr>
            <w:tcW w:w="2339" w:type="dxa"/>
            <w:tcBorders>
              <w:top w:val="single" w:sz="8" w:space="0" w:color="4F81BD"/>
              <w:bottom w:val="single" w:sz="8" w:space="0" w:color="4F81BD"/>
              <w:right w:val="single" w:sz="8" w:space="0" w:color="4F81BD"/>
            </w:tcBorders>
            <w:shd w:val="clear" w:color="auto" w:fill="auto"/>
          </w:tcPr>
          <w:p w:rsidR="00DF466E" w:rsidRPr="00D74A52" w:rsidRDefault="00DF466E" w:rsidP="004B4D95">
            <w:pPr>
              <w:overflowPunct/>
              <w:autoSpaceDE/>
              <w:autoSpaceDN/>
              <w:adjustRightInd/>
              <w:spacing w:before="10" w:after="10"/>
              <w:textAlignment w:val="auto"/>
              <w:rPr>
                <w:rFonts w:eastAsia="SimSun"/>
                <w:sz w:val="18"/>
                <w:szCs w:val="18"/>
                <w:lang w:val="es-ES"/>
              </w:rPr>
            </w:pPr>
            <w:r w:rsidRPr="00D74A52">
              <w:rPr>
                <w:rFonts w:eastAsia="SimSun"/>
                <w:sz w:val="18"/>
                <w:szCs w:val="18"/>
                <w:lang w:val="es-ES"/>
              </w:rPr>
              <w:t>Gestión basada en los resultados</w:t>
            </w:r>
          </w:p>
        </w:tc>
      </w:tr>
      <w:tr w:rsidR="00DF466E" w:rsidRPr="00D74A52" w:rsidTr="004B4D95">
        <w:trPr>
          <w:cantSplit/>
          <w:trHeight w:val="144"/>
        </w:trPr>
        <w:tc>
          <w:tcPr>
            <w:tcW w:w="2477" w:type="dxa"/>
            <w:shd w:val="clear" w:color="auto" w:fill="auto"/>
          </w:tcPr>
          <w:p w:rsidR="00DF466E" w:rsidRPr="00D74A52" w:rsidRDefault="00DF466E" w:rsidP="004B4D95">
            <w:pPr>
              <w:spacing w:before="10" w:after="10"/>
              <w:rPr>
                <w:rFonts w:eastAsia="SimSun"/>
                <w:b/>
                <w:bCs/>
                <w:i/>
                <w:iCs/>
                <w:sz w:val="18"/>
                <w:szCs w:val="18"/>
                <w:lang w:val="en-US"/>
              </w:rPr>
            </w:pPr>
            <w:proofErr w:type="spellStart"/>
            <w:r w:rsidRPr="00D74A52">
              <w:rPr>
                <w:rFonts w:eastAsia="SimSun"/>
                <w:sz w:val="18"/>
                <w:szCs w:val="18"/>
              </w:rPr>
              <w:t>Strategic</w:t>
            </w:r>
            <w:proofErr w:type="spellEnd"/>
            <w:r w:rsidRPr="00D74A52">
              <w:rPr>
                <w:rFonts w:eastAsia="SimSun"/>
                <w:sz w:val="18"/>
                <w:szCs w:val="18"/>
              </w:rPr>
              <w:t xml:space="preserve"> Goals</w:t>
            </w:r>
          </w:p>
        </w:tc>
        <w:tc>
          <w:tcPr>
            <w:tcW w:w="2129" w:type="dxa"/>
            <w:shd w:val="clear" w:color="auto" w:fill="auto"/>
          </w:tcPr>
          <w:p w:rsidR="00DF466E" w:rsidRPr="00D74A52" w:rsidRDefault="00DF466E" w:rsidP="004B4D95">
            <w:pPr>
              <w:overflowPunct/>
              <w:autoSpaceDE/>
              <w:autoSpaceDN/>
              <w:bidi/>
              <w:adjustRightInd/>
              <w:spacing w:before="10" w:after="10"/>
              <w:jc w:val="both"/>
              <w:textAlignment w:val="auto"/>
              <w:rPr>
                <w:rFonts w:ascii="Times New Roman" w:eastAsia="SimSun" w:hAnsi="Times New Roman"/>
                <w:sz w:val="18"/>
                <w:szCs w:val="18"/>
                <w:lang w:val="en-US"/>
              </w:rPr>
            </w:pPr>
            <w:r w:rsidRPr="00D74A52">
              <w:rPr>
                <w:rFonts w:ascii="Times New Roman" w:eastAsia="SimSun" w:hAnsi="Times New Roman"/>
                <w:sz w:val="18"/>
                <w:szCs w:val="18"/>
                <w:rtl/>
                <w:lang w:val="en-US"/>
              </w:rPr>
              <w:t>الأهداف الاستراتيجية</w:t>
            </w:r>
          </w:p>
        </w:tc>
        <w:tc>
          <w:tcPr>
            <w:tcW w:w="2702" w:type="dxa"/>
            <w:shd w:val="clear" w:color="auto" w:fill="auto"/>
          </w:tcPr>
          <w:p w:rsidR="00DF466E" w:rsidRPr="00D74A52" w:rsidRDefault="00DF466E" w:rsidP="004B4D95">
            <w:pPr>
              <w:overflowPunct/>
              <w:autoSpaceDE/>
              <w:autoSpaceDN/>
              <w:adjustRightInd/>
              <w:spacing w:before="10" w:after="10"/>
              <w:textAlignment w:val="auto"/>
              <w:rPr>
                <w:rFonts w:ascii="Times New Roman" w:eastAsia="SimSun" w:hAnsi="Times New Roman"/>
                <w:sz w:val="18"/>
                <w:szCs w:val="18"/>
                <w:lang w:val="en-US"/>
              </w:rPr>
            </w:pPr>
            <w:proofErr w:type="spellStart"/>
            <w:r w:rsidRPr="00D74A52">
              <w:rPr>
                <w:rFonts w:ascii="Times New Roman" w:eastAsia="SimSun" w:hAnsi="Times New Roman"/>
                <w:sz w:val="18"/>
                <w:szCs w:val="18"/>
                <w:lang w:val="en-US"/>
              </w:rPr>
              <w:t>总体战略目标</w:t>
            </w:r>
            <w:proofErr w:type="spellEnd"/>
          </w:p>
        </w:tc>
        <w:tc>
          <w:tcPr>
            <w:tcW w:w="2848" w:type="dxa"/>
            <w:shd w:val="clear" w:color="auto" w:fill="auto"/>
          </w:tcPr>
          <w:p w:rsidR="00DF466E" w:rsidRPr="00CF752D" w:rsidRDefault="00DF466E" w:rsidP="004B4D95">
            <w:pPr>
              <w:overflowPunct/>
              <w:autoSpaceDE/>
              <w:autoSpaceDN/>
              <w:adjustRightInd/>
              <w:spacing w:before="10" w:after="10"/>
              <w:textAlignment w:val="auto"/>
              <w:rPr>
                <w:rFonts w:eastAsia="SimSun"/>
                <w:sz w:val="18"/>
                <w:szCs w:val="18"/>
                <w:lang w:val="fr-CH"/>
              </w:rPr>
            </w:pPr>
            <w:r w:rsidRPr="00CF752D">
              <w:rPr>
                <w:rFonts w:eastAsia="SimSun"/>
                <w:sz w:val="18"/>
                <w:szCs w:val="18"/>
                <w:lang w:val="fr-CH"/>
              </w:rPr>
              <w:t>Buts stratégiques</w:t>
            </w:r>
          </w:p>
        </w:tc>
        <w:tc>
          <w:tcPr>
            <w:tcW w:w="2390" w:type="dxa"/>
            <w:shd w:val="clear" w:color="auto" w:fill="auto"/>
          </w:tcPr>
          <w:p w:rsidR="00DF466E" w:rsidRPr="00D74A52" w:rsidRDefault="00DF466E" w:rsidP="004B4D95">
            <w:pPr>
              <w:overflowPunct/>
              <w:autoSpaceDE/>
              <w:autoSpaceDN/>
              <w:adjustRightInd/>
              <w:spacing w:before="10" w:after="10"/>
              <w:textAlignment w:val="auto"/>
              <w:rPr>
                <w:rFonts w:ascii="Times New Roman" w:eastAsia="SimSun" w:hAnsi="Times New Roman"/>
                <w:sz w:val="18"/>
                <w:szCs w:val="18"/>
                <w:lang w:val="en-US"/>
              </w:rPr>
            </w:pPr>
            <w:r w:rsidRPr="00D74A52">
              <w:rPr>
                <w:rFonts w:ascii="Times New Roman" w:eastAsia="SimSun" w:hAnsi="Times New Roman"/>
                <w:sz w:val="18"/>
                <w:szCs w:val="18"/>
                <w:lang w:val="ru-RU"/>
              </w:rPr>
              <w:t>Стратегические цели</w:t>
            </w:r>
          </w:p>
        </w:tc>
        <w:tc>
          <w:tcPr>
            <w:tcW w:w="2339" w:type="dxa"/>
            <w:shd w:val="clear" w:color="auto" w:fill="auto"/>
          </w:tcPr>
          <w:p w:rsidR="00DF466E" w:rsidRPr="00D74A52" w:rsidRDefault="00DF466E" w:rsidP="004B4D95">
            <w:pPr>
              <w:overflowPunct/>
              <w:autoSpaceDE/>
              <w:autoSpaceDN/>
              <w:adjustRightInd/>
              <w:spacing w:before="10" w:after="10"/>
              <w:textAlignment w:val="auto"/>
              <w:rPr>
                <w:rFonts w:eastAsia="SimSun"/>
                <w:sz w:val="18"/>
                <w:szCs w:val="18"/>
                <w:lang w:val="es-ES"/>
              </w:rPr>
            </w:pPr>
            <w:r w:rsidRPr="00D74A52">
              <w:rPr>
                <w:rFonts w:eastAsia="SimSun"/>
                <w:sz w:val="18"/>
                <w:szCs w:val="18"/>
                <w:lang w:val="es-ES"/>
              </w:rPr>
              <w:t>Metas estratégicas</w:t>
            </w:r>
          </w:p>
        </w:tc>
      </w:tr>
      <w:tr w:rsidR="00DF466E" w:rsidRPr="00D74A52" w:rsidTr="004B4D95">
        <w:trPr>
          <w:cantSplit/>
          <w:trHeight w:val="144"/>
        </w:trPr>
        <w:tc>
          <w:tcPr>
            <w:tcW w:w="2477" w:type="dxa"/>
            <w:tcBorders>
              <w:top w:val="single" w:sz="8" w:space="0" w:color="4F81BD"/>
              <w:left w:val="single" w:sz="8" w:space="0" w:color="4F81BD"/>
              <w:bottom w:val="single" w:sz="8" w:space="0" w:color="4F81BD"/>
            </w:tcBorders>
            <w:shd w:val="clear" w:color="auto" w:fill="auto"/>
          </w:tcPr>
          <w:p w:rsidR="00DF466E" w:rsidRPr="00D74A52" w:rsidRDefault="00DF466E" w:rsidP="004B4D95">
            <w:pPr>
              <w:spacing w:before="10" w:after="10"/>
              <w:rPr>
                <w:rFonts w:eastAsia="SimSun"/>
                <w:b/>
                <w:bCs/>
                <w:sz w:val="18"/>
                <w:szCs w:val="18"/>
              </w:rPr>
            </w:pPr>
            <w:proofErr w:type="spellStart"/>
            <w:r w:rsidRPr="00D74A52">
              <w:rPr>
                <w:rFonts w:eastAsia="SimSun"/>
                <w:sz w:val="18"/>
                <w:szCs w:val="18"/>
              </w:rPr>
              <w:t>Strategic</w:t>
            </w:r>
            <w:proofErr w:type="spellEnd"/>
            <w:r w:rsidRPr="00D74A52">
              <w:rPr>
                <w:rFonts w:eastAsia="SimSun"/>
                <w:sz w:val="18"/>
                <w:szCs w:val="18"/>
              </w:rPr>
              <w:t xml:space="preserve"> Plan</w:t>
            </w:r>
          </w:p>
        </w:tc>
        <w:tc>
          <w:tcPr>
            <w:tcW w:w="2129" w:type="dxa"/>
            <w:tcBorders>
              <w:top w:val="single" w:sz="8" w:space="0" w:color="4F81BD"/>
              <w:bottom w:val="single" w:sz="8" w:space="0" w:color="4F81BD"/>
            </w:tcBorders>
            <w:shd w:val="clear" w:color="auto" w:fill="auto"/>
          </w:tcPr>
          <w:p w:rsidR="00DF466E" w:rsidRPr="00D74A52" w:rsidRDefault="00DF466E" w:rsidP="004B4D95">
            <w:pPr>
              <w:overflowPunct/>
              <w:autoSpaceDE/>
              <w:autoSpaceDN/>
              <w:bidi/>
              <w:adjustRightInd/>
              <w:spacing w:before="10" w:after="10"/>
              <w:jc w:val="both"/>
              <w:textAlignment w:val="auto"/>
              <w:rPr>
                <w:rFonts w:ascii="Times New Roman" w:eastAsia="SimSun" w:hAnsi="Times New Roman"/>
                <w:sz w:val="18"/>
                <w:szCs w:val="18"/>
                <w:lang w:val="en-US"/>
              </w:rPr>
            </w:pPr>
            <w:r w:rsidRPr="00D74A52">
              <w:rPr>
                <w:rFonts w:ascii="Times New Roman" w:eastAsia="SimSun" w:hAnsi="Times New Roman"/>
                <w:sz w:val="18"/>
                <w:szCs w:val="18"/>
                <w:rtl/>
                <w:lang w:val="en-US"/>
              </w:rPr>
              <w:t>الخطة الاستراتيجية</w:t>
            </w:r>
          </w:p>
        </w:tc>
        <w:tc>
          <w:tcPr>
            <w:tcW w:w="2702" w:type="dxa"/>
            <w:tcBorders>
              <w:top w:val="single" w:sz="8" w:space="0" w:color="4F81BD"/>
              <w:bottom w:val="single" w:sz="8" w:space="0" w:color="4F81BD"/>
            </w:tcBorders>
            <w:shd w:val="clear" w:color="auto" w:fill="auto"/>
          </w:tcPr>
          <w:p w:rsidR="00DF466E" w:rsidRPr="00D74A52" w:rsidRDefault="00DF466E" w:rsidP="004B4D95">
            <w:pPr>
              <w:overflowPunct/>
              <w:autoSpaceDE/>
              <w:autoSpaceDN/>
              <w:adjustRightInd/>
              <w:spacing w:before="10" w:after="10"/>
              <w:textAlignment w:val="auto"/>
              <w:rPr>
                <w:rFonts w:ascii="Times New Roman" w:eastAsia="SimSun" w:hAnsi="Times New Roman"/>
                <w:sz w:val="18"/>
                <w:szCs w:val="18"/>
                <w:lang w:val="en-US"/>
              </w:rPr>
            </w:pPr>
            <w:proofErr w:type="spellStart"/>
            <w:r w:rsidRPr="00D74A52">
              <w:rPr>
                <w:rFonts w:ascii="Times New Roman" w:eastAsia="SimSun" w:hAnsi="Times New Roman"/>
                <w:sz w:val="18"/>
                <w:szCs w:val="18"/>
                <w:lang w:val="en-US"/>
              </w:rPr>
              <w:t>战略规划</w:t>
            </w:r>
            <w:proofErr w:type="spellEnd"/>
          </w:p>
        </w:tc>
        <w:tc>
          <w:tcPr>
            <w:tcW w:w="2848" w:type="dxa"/>
            <w:tcBorders>
              <w:top w:val="single" w:sz="8" w:space="0" w:color="4F81BD"/>
              <w:bottom w:val="single" w:sz="8" w:space="0" w:color="4F81BD"/>
            </w:tcBorders>
            <w:shd w:val="clear" w:color="auto" w:fill="auto"/>
          </w:tcPr>
          <w:p w:rsidR="00DF466E" w:rsidRPr="00CF752D" w:rsidRDefault="00DF466E" w:rsidP="004B4D95">
            <w:pPr>
              <w:overflowPunct/>
              <w:autoSpaceDE/>
              <w:autoSpaceDN/>
              <w:adjustRightInd/>
              <w:spacing w:before="10" w:after="10"/>
              <w:textAlignment w:val="auto"/>
              <w:rPr>
                <w:rFonts w:eastAsia="SimSun"/>
                <w:sz w:val="18"/>
                <w:szCs w:val="18"/>
                <w:lang w:val="fr-CH"/>
              </w:rPr>
            </w:pPr>
            <w:r w:rsidRPr="00CF752D">
              <w:rPr>
                <w:rFonts w:eastAsia="SimSun"/>
                <w:sz w:val="18"/>
                <w:szCs w:val="18"/>
                <w:lang w:val="fr-CH"/>
              </w:rPr>
              <w:t>Plan stratégique</w:t>
            </w:r>
          </w:p>
        </w:tc>
        <w:tc>
          <w:tcPr>
            <w:tcW w:w="2390" w:type="dxa"/>
            <w:tcBorders>
              <w:top w:val="single" w:sz="8" w:space="0" w:color="4F81BD"/>
              <w:bottom w:val="single" w:sz="8" w:space="0" w:color="4F81BD"/>
            </w:tcBorders>
            <w:shd w:val="clear" w:color="auto" w:fill="auto"/>
          </w:tcPr>
          <w:p w:rsidR="00DF466E" w:rsidRPr="00D74A52" w:rsidRDefault="00DF466E" w:rsidP="004B4D95">
            <w:pPr>
              <w:overflowPunct/>
              <w:autoSpaceDE/>
              <w:autoSpaceDN/>
              <w:adjustRightInd/>
              <w:spacing w:before="10" w:after="10"/>
              <w:textAlignment w:val="auto"/>
              <w:rPr>
                <w:rFonts w:ascii="Times New Roman" w:eastAsia="SimSun" w:hAnsi="Times New Roman"/>
                <w:sz w:val="18"/>
                <w:szCs w:val="18"/>
                <w:lang w:val="en-US"/>
              </w:rPr>
            </w:pPr>
            <w:r w:rsidRPr="00D74A52">
              <w:rPr>
                <w:rFonts w:ascii="Times New Roman" w:eastAsia="SimSun" w:hAnsi="Times New Roman"/>
                <w:sz w:val="18"/>
                <w:szCs w:val="18"/>
                <w:lang w:val="ru-RU"/>
              </w:rPr>
              <w:t>Стратегический план</w:t>
            </w:r>
          </w:p>
        </w:tc>
        <w:tc>
          <w:tcPr>
            <w:tcW w:w="2339" w:type="dxa"/>
            <w:tcBorders>
              <w:top w:val="single" w:sz="8" w:space="0" w:color="4F81BD"/>
              <w:bottom w:val="single" w:sz="8" w:space="0" w:color="4F81BD"/>
              <w:right w:val="single" w:sz="8" w:space="0" w:color="4F81BD"/>
            </w:tcBorders>
            <w:shd w:val="clear" w:color="auto" w:fill="auto"/>
          </w:tcPr>
          <w:p w:rsidR="00DF466E" w:rsidRPr="00D74A52" w:rsidRDefault="00DF466E" w:rsidP="004B4D95">
            <w:pPr>
              <w:overflowPunct/>
              <w:autoSpaceDE/>
              <w:autoSpaceDN/>
              <w:adjustRightInd/>
              <w:spacing w:before="10" w:after="10"/>
              <w:textAlignment w:val="auto"/>
              <w:rPr>
                <w:rFonts w:eastAsia="SimSun"/>
                <w:sz w:val="18"/>
                <w:szCs w:val="18"/>
                <w:lang w:val="es-ES"/>
              </w:rPr>
            </w:pPr>
            <w:r w:rsidRPr="00D74A52">
              <w:rPr>
                <w:rFonts w:eastAsia="SimSun"/>
                <w:sz w:val="18"/>
                <w:szCs w:val="18"/>
                <w:lang w:val="es-ES"/>
              </w:rPr>
              <w:t>Plan Estratégico</w:t>
            </w:r>
          </w:p>
        </w:tc>
      </w:tr>
      <w:tr w:rsidR="00DF466E" w:rsidRPr="00D74A52" w:rsidTr="004B4D95">
        <w:trPr>
          <w:cantSplit/>
          <w:trHeight w:val="144"/>
        </w:trPr>
        <w:tc>
          <w:tcPr>
            <w:tcW w:w="2477" w:type="dxa"/>
            <w:shd w:val="clear" w:color="auto" w:fill="auto"/>
          </w:tcPr>
          <w:p w:rsidR="00DF466E" w:rsidRPr="00D74A52" w:rsidRDefault="00DF466E" w:rsidP="004B4D95">
            <w:pPr>
              <w:spacing w:before="10" w:after="10"/>
              <w:rPr>
                <w:rFonts w:eastAsia="SimSun"/>
                <w:b/>
                <w:bCs/>
                <w:sz w:val="18"/>
                <w:szCs w:val="18"/>
              </w:rPr>
            </w:pPr>
            <w:proofErr w:type="spellStart"/>
            <w:r w:rsidRPr="00D74A52">
              <w:rPr>
                <w:rFonts w:eastAsia="SimSun"/>
                <w:sz w:val="18"/>
                <w:szCs w:val="18"/>
              </w:rPr>
              <w:t>Strategic</w:t>
            </w:r>
            <w:proofErr w:type="spellEnd"/>
            <w:r w:rsidRPr="00D74A52">
              <w:rPr>
                <w:rFonts w:eastAsia="SimSun"/>
                <w:sz w:val="18"/>
                <w:szCs w:val="18"/>
              </w:rPr>
              <w:t xml:space="preserve"> </w:t>
            </w:r>
            <w:proofErr w:type="spellStart"/>
            <w:r w:rsidRPr="00D74A52">
              <w:rPr>
                <w:rFonts w:eastAsia="SimSun"/>
                <w:sz w:val="18"/>
                <w:szCs w:val="18"/>
              </w:rPr>
              <w:t>Risks</w:t>
            </w:r>
            <w:proofErr w:type="spellEnd"/>
          </w:p>
        </w:tc>
        <w:tc>
          <w:tcPr>
            <w:tcW w:w="2129" w:type="dxa"/>
            <w:shd w:val="clear" w:color="auto" w:fill="auto"/>
          </w:tcPr>
          <w:p w:rsidR="00DF466E" w:rsidRPr="00D74A52" w:rsidRDefault="00DF466E" w:rsidP="004B4D95">
            <w:pPr>
              <w:overflowPunct/>
              <w:autoSpaceDE/>
              <w:autoSpaceDN/>
              <w:bidi/>
              <w:adjustRightInd/>
              <w:spacing w:before="10" w:after="10"/>
              <w:jc w:val="both"/>
              <w:textAlignment w:val="auto"/>
              <w:rPr>
                <w:rFonts w:ascii="Times New Roman" w:eastAsia="SimSun" w:hAnsi="Times New Roman"/>
                <w:sz w:val="18"/>
                <w:szCs w:val="18"/>
                <w:lang w:val="en-US"/>
              </w:rPr>
            </w:pPr>
            <w:r w:rsidRPr="00D74A52">
              <w:rPr>
                <w:rFonts w:ascii="Times New Roman" w:eastAsia="SimSun" w:hAnsi="Times New Roman"/>
                <w:sz w:val="18"/>
                <w:szCs w:val="18"/>
                <w:rtl/>
                <w:lang w:val="en-US"/>
              </w:rPr>
              <w:t>المخاطر الاستراتيجية</w:t>
            </w:r>
          </w:p>
        </w:tc>
        <w:tc>
          <w:tcPr>
            <w:tcW w:w="2702" w:type="dxa"/>
            <w:shd w:val="clear" w:color="auto" w:fill="auto"/>
          </w:tcPr>
          <w:p w:rsidR="00DF466E" w:rsidRPr="00D74A52" w:rsidRDefault="00DF466E" w:rsidP="004B4D95">
            <w:pPr>
              <w:overflowPunct/>
              <w:autoSpaceDE/>
              <w:autoSpaceDN/>
              <w:adjustRightInd/>
              <w:spacing w:before="10" w:after="10"/>
              <w:textAlignment w:val="auto"/>
              <w:rPr>
                <w:rFonts w:ascii="Times New Roman" w:eastAsia="SimSun" w:hAnsi="Times New Roman"/>
                <w:sz w:val="18"/>
                <w:szCs w:val="18"/>
                <w:lang w:val="en-US"/>
              </w:rPr>
            </w:pPr>
            <w:proofErr w:type="spellStart"/>
            <w:r w:rsidRPr="00D74A52">
              <w:rPr>
                <w:rFonts w:ascii="Times New Roman" w:eastAsia="SimSun" w:hAnsi="Times New Roman"/>
                <w:sz w:val="18"/>
                <w:szCs w:val="18"/>
                <w:lang w:val="en-US"/>
              </w:rPr>
              <w:t>战略风险</w:t>
            </w:r>
            <w:proofErr w:type="spellEnd"/>
          </w:p>
        </w:tc>
        <w:tc>
          <w:tcPr>
            <w:tcW w:w="2848" w:type="dxa"/>
            <w:shd w:val="clear" w:color="auto" w:fill="auto"/>
          </w:tcPr>
          <w:p w:rsidR="00DF466E" w:rsidRPr="00CF752D" w:rsidRDefault="00DF466E" w:rsidP="004B4D95">
            <w:pPr>
              <w:overflowPunct/>
              <w:autoSpaceDE/>
              <w:autoSpaceDN/>
              <w:adjustRightInd/>
              <w:spacing w:before="10" w:after="10"/>
              <w:textAlignment w:val="auto"/>
              <w:rPr>
                <w:rFonts w:eastAsia="SimSun"/>
                <w:sz w:val="18"/>
                <w:szCs w:val="18"/>
                <w:lang w:val="fr-CH"/>
              </w:rPr>
            </w:pPr>
            <w:r w:rsidRPr="00CF752D">
              <w:rPr>
                <w:rFonts w:eastAsia="SimSun"/>
                <w:sz w:val="18"/>
                <w:szCs w:val="18"/>
                <w:lang w:val="fr-CH"/>
              </w:rPr>
              <w:t>Risques stratégiques</w:t>
            </w:r>
          </w:p>
        </w:tc>
        <w:tc>
          <w:tcPr>
            <w:tcW w:w="2390" w:type="dxa"/>
            <w:shd w:val="clear" w:color="auto" w:fill="auto"/>
          </w:tcPr>
          <w:p w:rsidR="00DF466E" w:rsidRPr="00D74A52" w:rsidRDefault="00DF466E" w:rsidP="004B4D95">
            <w:pPr>
              <w:overflowPunct/>
              <w:autoSpaceDE/>
              <w:autoSpaceDN/>
              <w:adjustRightInd/>
              <w:spacing w:before="10" w:after="10"/>
              <w:textAlignment w:val="auto"/>
              <w:rPr>
                <w:rFonts w:ascii="Times New Roman" w:eastAsia="SimSun" w:hAnsi="Times New Roman"/>
                <w:sz w:val="18"/>
                <w:szCs w:val="18"/>
                <w:lang w:val="en-US"/>
              </w:rPr>
            </w:pPr>
            <w:r w:rsidRPr="00D74A52">
              <w:rPr>
                <w:rFonts w:ascii="Times New Roman" w:eastAsia="SimSun" w:hAnsi="Times New Roman"/>
                <w:sz w:val="18"/>
                <w:szCs w:val="18"/>
                <w:lang w:val="ru-RU"/>
              </w:rPr>
              <w:t>Стратегические риски</w:t>
            </w:r>
          </w:p>
        </w:tc>
        <w:tc>
          <w:tcPr>
            <w:tcW w:w="2339" w:type="dxa"/>
            <w:shd w:val="clear" w:color="auto" w:fill="auto"/>
          </w:tcPr>
          <w:p w:rsidR="00DF466E" w:rsidRPr="00D74A52" w:rsidRDefault="00DF466E" w:rsidP="004B4D95">
            <w:pPr>
              <w:overflowPunct/>
              <w:autoSpaceDE/>
              <w:autoSpaceDN/>
              <w:adjustRightInd/>
              <w:spacing w:before="10" w:after="10"/>
              <w:textAlignment w:val="auto"/>
              <w:rPr>
                <w:rFonts w:eastAsia="SimSun"/>
                <w:sz w:val="18"/>
                <w:szCs w:val="18"/>
                <w:lang w:val="es-ES"/>
              </w:rPr>
            </w:pPr>
            <w:r w:rsidRPr="00D74A52">
              <w:rPr>
                <w:rFonts w:eastAsia="SimSun"/>
                <w:sz w:val="18"/>
                <w:szCs w:val="18"/>
                <w:lang w:val="es-ES"/>
              </w:rPr>
              <w:t>Riesgos estratégicos</w:t>
            </w:r>
          </w:p>
        </w:tc>
      </w:tr>
      <w:tr w:rsidR="00DF466E" w:rsidRPr="00D74A52" w:rsidTr="004B4D95">
        <w:trPr>
          <w:cantSplit/>
          <w:trHeight w:val="144"/>
        </w:trPr>
        <w:tc>
          <w:tcPr>
            <w:tcW w:w="2477" w:type="dxa"/>
            <w:tcBorders>
              <w:top w:val="single" w:sz="8" w:space="0" w:color="4F81BD"/>
              <w:left w:val="single" w:sz="8" w:space="0" w:color="4F81BD"/>
              <w:bottom w:val="single" w:sz="8" w:space="0" w:color="4F81BD"/>
            </w:tcBorders>
            <w:shd w:val="clear" w:color="auto" w:fill="auto"/>
          </w:tcPr>
          <w:p w:rsidR="00DF466E" w:rsidRPr="00D74A52" w:rsidRDefault="00DF466E" w:rsidP="004B4D95">
            <w:pPr>
              <w:spacing w:before="10" w:after="10"/>
              <w:rPr>
                <w:rFonts w:eastAsia="SimSun"/>
                <w:b/>
                <w:bCs/>
                <w:sz w:val="18"/>
                <w:szCs w:val="18"/>
              </w:rPr>
            </w:pPr>
            <w:proofErr w:type="spellStart"/>
            <w:r w:rsidRPr="00D74A52">
              <w:rPr>
                <w:rFonts w:eastAsia="SimSun"/>
                <w:sz w:val="18"/>
                <w:szCs w:val="18"/>
              </w:rPr>
              <w:t>Strategic</w:t>
            </w:r>
            <w:proofErr w:type="spellEnd"/>
            <w:r w:rsidRPr="00D74A52">
              <w:rPr>
                <w:rFonts w:eastAsia="SimSun"/>
                <w:sz w:val="18"/>
                <w:szCs w:val="18"/>
              </w:rPr>
              <w:t xml:space="preserve"> </w:t>
            </w:r>
            <w:proofErr w:type="spellStart"/>
            <w:r w:rsidRPr="00D74A52">
              <w:rPr>
                <w:rFonts w:eastAsia="SimSun"/>
                <w:sz w:val="18"/>
                <w:szCs w:val="18"/>
              </w:rPr>
              <w:t>Risk</w:t>
            </w:r>
            <w:proofErr w:type="spellEnd"/>
            <w:r w:rsidRPr="00D74A52">
              <w:rPr>
                <w:rFonts w:eastAsia="SimSun"/>
                <w:sz w:val="18"/>
                <w:szCs w:val="18"/>
              </w:rPr>
              <w:t xml:space="preserve"> Management </w:t>
            </w:r>
          </w:p>
        </w:tc>
        <w:tc>
          <w:tcPr>
            <w:tcW w:w="2129" w:type="dxa"/>
            <w:tcBorders>
              <w:top w:val="single" w:sz="8" w:space="0" w:color="4F81BD"/>
              <w:bottom w:val="single" w:sz="8" w:space="0" w:color="4F81BD"/>
            </w:tcBorders>
            <w:shd w:val="clear" w:color="auto" w:fill="auto"/>
          </w:tcPr>
          <w:p w:rsidR="00DF466E" w:rsidRPr="00D74A52" w:rsidRDefault="00DF466E" w:rsidP="004B4D95">
            <w:pPr>
              <w:overflowPunct/>
              <w:autoSpaceDE/>
              <w:autoSpaceDN/>
              <w:bidi/>
              <w:adjustRightInd/>
              <w:spacing w:before="10" w:after="10"/>
              <w:jc w:val="both"/>
              <w:textAlignment w:val="auto"/>
              <w:rPr>
                <w:rFonts w:ascii="Times New Roman" w:eastAsia="SimSun" w:hAnsi="Times New Roman"/>
                <w:sz w:val="18"/>
                <w:szCs w:val="18"/>
                <w:lang w:val="en-US"/>
              </w:rPr>
            </w:pPr>
            <w:r w:rsidRPr="00D74A52">
              <w:rPr>
                <w:rFonts w:ascii="Times New Roman" w:eastAsia="SimSun" w:hAnsi="Times New Roman"/>
                <w:sz w:val="18"/>
                <w:szCs w:val="18"/>
                <w:rtl/>
                <w:lang w:val="en-US"/>
              </w:rPr>
              <w:t>إدارة المخاطر الاستراتيجية</w:t>
            </w:r>
          </w:p>
        </w:tc>
        <w:tc>
          <w:tcPr>
            <w:tcW w:w="2702" w:type="dxa"/>
            <w:tcBorders>
              <w:top w:val="single" w:sz="8" w:space="0" w:color="4F81BD"/>
              <w:bottom w:val="single" w:sz="8" w:space="0" w:color="4F81BD"/>
            </w:tcBorders>
            <w:shd w:val="clear" w:color="auto" w:fill="auto"/>
          </w:tcPr>
          <w:p w:rsidR="00DF466E" w:rsidRPr="00D74A52" w:rsidRDefault="00DF466E" w:rsidP="004B4D95">
            <w:pPr>
              <w:overflowPunct/>
              <w:autoSpaceDE/>
              <w:autoSpaceDN/>
              <w:adjustRightInd/>
              <w:spacing w:before="10" w:after="10"/>
              <w:textAlignment w:val="auto"/>
              <w:rPr>
                <w:rFonts w:ascii="Times New Roman" w:eastAsia="SimSun" w:hAnsi="Times New Roman"/>
                <w:sz w:val="18"/>
                <w:szCs w:val="18"/>
                <w:lang w:val="en-US"/>
              </w:rPr>
            </w:pPr>
            <w:proofErr w:type="spellStart"/>
            <w:r w:rsidRPr="00D74A52">
              <w:rPr>
                <w:rFonts w:ascii="Times New Roman" w:eastAsia="SimSun" w:hAnsi="Times New Roman"/>
                <w:sz w:val="18"/>
                <w:szCs w:val="18"/>
                <w:lang w:val="en-US"/>
              </w:rPr>
              <w:t>战略风险管理</w:t>
            </w:r>
            <w:proofErr w:type="spellEnd"/>
          </w:p>
        </w:tc>
        <w:tc>
          <w:tcPr>
            <w:tcW w:w="2848" w:type="dxa"/>
            <w:tcBorders>
              <w:top w:val="single" w:sz="8" w:space="0" w:color="4F81BD"/>
              <w:bottom w:val="single" w:sz="8" w:space="0" w:color="4F81BD"/>
            </w:tcBorders>
            <w:shd w:val="clear" w:color="auto" w:fill="auto"/>
          </w:tcPr>
          <w:p w:rsidR="00DF466E" w:rsidRPr="00CF752D" w:rsidRDefault="00DF466E" w:rsidP="004B4D95">
            <w:pPr>
              <w:overflowPunct/>
              <w:autoSpaceDE/>
              <w:autoSpaceDN/>
              <w:adjustRightInd/>
              <w:spacing w:before="10" w:after="10"/>
              <w:textAlignment w:val="auto"/>
              <w:rPr>
                <w:rFonts w:eastAsia="SimSun"/>
                <w:sz w:val="18"/>
                <w:szCs w:val="18"/>
                <w:lang w:val="fr-CH"/>
              </w:rPr>
            </w:pPr>
            <w:r w:rsidRPr="00CF752D">
              <w:rPr>
                <w:rFonts w:eastAsia="SimSun"/>
                <w:sz w:val="18"/>
                <w:szCs w:val="18"/>
                <w:lang w:val="fr-CH"/>
              </w:rPr>
              <w:t>Gestion des risques stratégiques</w:t>
            </w:r>
          </w:p>
        </w:tc>
        <w:tc>
          <w:tcPr>
            <w:tcW w:w="2390" w:type="dxa"/>
            <w:tcBorders>
              <w:top w:val="single" w:sz="8" w:space="0" w:color="4F81BD"/>
              <w:bottom w:val="single" w:sz="8" w:space="0" w:color="4F81BD"/>
            </w:tcBorders>
            <w:shd w:val="clear" w:color="auto" w:fill="auto"/>
          </w:tcPr>
          <w:p w:rsidR="00DF466E" w:rsidRPr="00D74A52" w:rsidRDefault="00DF466E" w:rsidP="004B4D95">
            <w:pPr>
              <w:overflowPunct/>
              <w:autoSpaceDE/>
              <w:autoSpaceDN/>
              <w:adjustRightInd/>
              <w:spacing w:before="10" w:after="10"/>
              <w:textAlignment w:val="auto"/>
              <w:rPr>
                <w:rFonts w:ascii="Times New Roman" w:eastAsia="SimSun" w:hAnsi="Times New Roman"/>
                <w:sz w:val="18"/>
                <w:szCs w:val="18"/>
                <w:lang w:val="en-US"/>
              </w:rPr>
            </w:pPr>
            <w:r w:rsidRPr="00D74A52">
              <w:rPr>
                <w:rFonts w:ascii="Times New Roman" w:eastAsia="SimSun" w:hAnsi="Times New Roman"/>
                <w:sz w:val="18"/>
                <w:szCs w:val="18"/>
                <w:lang w:val="ru-RU"/>
              </w:rPr>
              <w:t>Управление стратегическими рисками (УСР)</w:t>
            </w:r>
          </w:p>
        </w:tc>
        <w:tc>
          <w:tcPr>
            <w:tcW w:w="2339" w:type="dxa"/>
            <w:tcBorders>
              <w:top w:val="single" w:sz="8" w:space="0" w:color="4F81BD"/>
              <w:bottom w:val="single" w:sz="8" w:space="0" w:color="4F81BD"/>
              <w:right w:val="single" w:sz="8" w:space="0" w:color="4F81BD"/>
            </w:tcBorders>
            <w:shd w:val="clear" w:color="auto" w:fill="auto"/>
          </w:tcPr>
          <w:p w:rsidR="00DF466E" w:rsidRPr="00D74A52" w:rsidRDefault="00DF466E" w:rsidP="004B4D95">
            <w:pPr>
              <w:overflowPunct/>
              <w:autoSpaceDE/>
              <w:autoSpaceDN/>
              <w:adjustRightInd/>
              <w:spacing w:before="10" w:after="10"/>
              <w:textAlignment w:val="auto"/>
              <w:rPr>
                <w:rFonts w:eastAsia="SimSun"/>
                <w:sz w:val="18"/>
                <w:szCs w:val="18"/>
                <w:lang w:val="es-ES"/>
              </w:rPr>
            </w:pPr>
            <w:r w:rsidRPr="00D74A52">
              <w:rPr>
                <w:rFonts w:eastAsia="SimSun"/>
                <w:sz w:val="18"/>
                <w:szCs w:val="18"/>
                <w:lang w:val="es-ES"/>
              </w:rPr>
              <w:t>Gestión de riesgos estratégicos</w:t>
            </w:r>
          </w:p>
        </w:tc>
      </w:tr>
      <w:tr w:rsidR="00DF466E" w:rsidRPr="00D74A52" w:rsidTr="004B4D95">
        <w:trPr>
          <w:cantSplit/>
          <w:trHeight w:val="144"/>
        </w:trPr>
        <w:tc>
          <w:tcPr>
            <w:tcW w:w="2477" w:type="dxa"/>
            <w:shd w:val="clear" w:color="auto" w:fill="auto"/>
          </w:tcPr>
          <w:p w:rsidR="00DF466E" w:rsidRPr="00D74A52" w:rsidRDefault="00DF466E" w:rsidP="004B4D95">
            <w:pPr>
              <w:spacing w:before="10" w:after="10"/>
              <w:rPr>
                <w:rFonts w:eastAsia="SimSun"/>
                <w:b/>
                <w:bCs/>
                <w:sz w:val="18"/>
                <w:szCs w:val="18"/>
              </w:rPr>
            </w:pPr>
            <w:proofErr w:type="spellStart"/>
            <w:r w:rsidRPr="00D74A52">
              <w:rPr>
                <w:rFonts w:eastAsia="SimSun"/>
                <w:sz w:val="18"/>
                <w:szCs w:val="18"/>
              </w:rPr>
              <w:t>Strategic</w:t>
            </w:r>
            <w:proofErr w:type="spellEnd"/>
            <w:r w:rsidRPr="00D74A52">
              <w:rPr>
                <w:rFonts w:eastAsia="SimSun"/>
                <w:sz w:val="18"/>
                <w:szCs w:val="18"/>
              </w:rPr>
              <w:t xml:space="preserve"> Target</w:t>
            </w:r>
          </w:p>
        </w:tc>
        <w:tc>
          <w:tcPr>
            <w:tcW w:w="2129" w:type="dxa"/>
            <w:shd w:val="clear" w:color="auto" w:fill="auto"/>
          </w:tcPr>
          <w:p w:rsidR="00DF466E" w:rsidRPr="00D74A52" w:rsidRDefault="00DF466E" w:rsidP="004B4D95">
            <w:pPr>
              <w:overflowPunct/>
              <w:autoSpaceDE/>
              <w:autoSpaceDN/>
              <w:bidi/>
              <w:adjustRightInd/>
              <w:spacing w:before="10" w:after="10"/>
              <w:jc w:val="both"/>
              <w:textAlignment w:val="auto"/>
              <w:rPr>
                <w:rFonts w:ascii="Times New Roman" w:eastAsia="SimSun" w:hAnsi="Times New Roman"/>
                <w:sz w:val="18"/>
                <w:szCs w:val="18"/>
                <w:lang w:val="en-US"/>
              </w:rPr>
            </w:pPr>
            <w:r w:rsidRPr="00D74A52">
              <w:rPr>
                <w:rFonts w:ascii="Times New Roman" w:eastAsia="SimSun" w:hAnsi="Times New Roman"/>
                <w:sz w:val="18"/>
                <w:szCs w:val="18"/>
                <w:rtl/>
                <w:lang w:val="en-US"/>
              </w:rPr>
              <w:t>المقاصد الاستراتيجية</w:t>
            </w:r>
          </w:p>
        </w:tc>
        <w:tc>
          <w:tcPr>
            <w:tcW w:w="2702" w:type="dxa"/>
            <w:shd w:val="clear" w:color="auto" w:fill="auto"/>
          </w:tcPr>
          <w:p w:rsidR="00DF466E" w:rsidRPr="00D74A52" w:rsidRDefault="00DF466E" w:rsidP="004B4D95">
            <w:pPr>
              <w:overflowPunct/>
              <w:autoSpaceDE/>
              <w:autoSpaceDN/>
              <w:adjustRightInd/>
              <w:spacing w:before="10" w:after="10"/>
              <w:textAlignment w:val="auto"/>
              <w:rPr>
                <w:rFonts w:ascii="Times New Roman" w:eastAsia="SimSun" w:hAnsi="Times New Roman"/>
                <w:sz w:val="18"/>
                <w:szCs w:val="18"/>
                <w:lang w:val="en-US"/>
              </w:rPr>
            </w:pPr>
            <w:proofErr w:type="spellStart"/>
            <w:r w:rsidRPr="00D74A52">
              <w:rPr>
                <w:rFonts w:ascii="Times New Roman" w:eastAsia="SimSun" w:hAnsi="Times New Roman"/>
                <w:sz w:val="18"/>
                <w:szCs w:val="18"/>
                <w:lang w:val="en-US"/>
              </w:rPr>
              <w:t>具体战略目标</w:t>
            </w:r>
            <w:proofErr w:type="spellEnd"/>
          </w:p>
        </w:tc>
        <w:tc>
          <w:tcPr>
            <w:tcW w:w="2848" w:type="dxa"/>
            <w:shd w:val="clear" w:color="auto" w:fill="auto"/>
          </w:tcPr>
          <w:p w:rsidR="00DF466E" w:rsidRPr="00CF752D" w:rsidRDefault="00DF466E" w:rsidP="004B4D95">
            <w:pPr>
              <w:overflowPunct/>
              <w:autoSpaceDE/>
              <w:autoSpaceDN/>
              <w:adjustRightInd/>
              <w:spacing w:before="10" w:after="10"/>
              <w:textAlignment w:val="auto"/>
              <w:rPr>
                <w:rFonts w:eastAsia="SimSun"/>
                <w:sz w:val="18"/>
                <w:szCs w:val="18"/>
                <w:lang w:val="fr-CH"/>
              </w:rPr>
            </w:pPr>
            <w:r w:rsidRPr="00CF752D">
              <w:rPr>
                <w:rFonts w:eastAsia="SimSun"/>
                <w:sz w:val="18"/>
                <w:szCs w:val="18"/>
                <w:lang w:val="fr-CH"/>
              </w:rPr>
              <w:t>Cible stratégique</w:t>
            </w:r>
          </w:p>
        </w:tc>
        <w:tc>
          <w:tcPr>
            <w:tcW w:w="2390" w:type="dxa"/>
            <w:shd w:val="clear" w:color="auto" w:fill="auto"/>
          </w:tcPr>
          <w:p w:rsidR="00DF466E" w:rsidRPr="00D74A52" w:rsidRDefault="00DF466E" w:rsidP="004B4D95">
            <w:pPr>
              <w:overflowPunct/>
              <w:autoSpaceDE/>
              <w:autoSpaceDN/>
              <w:adjustRightInd/>
              <w:spacing w:before="10" w:after="10"/>
              <w:textAlignment w:val="auto"/>
              <w:rPr>
                <w:rFonts w:ascii="Times New Roman" w:eastAsia="SimSun" w:hAnsi="Times New Roman"/>
                <w:sz w:val="18"/>
                <w:szCs w:val="18"/>
                <w:lang w:val="en-US"/>
              </w:rPr>
            </w:pPr>
            <w:r w:rsidRPr="00D74A52">
              <w:rPr>
                <w:rFonts w:ascii="Times New Roman" w:eastAsia="SimSun" w:hAnsi="Times New Roman"/>
                <w:sz w:val="18"/>
                <w:szCs w:val="18"/>
                <w:lang w:val="ru-RU"/>
              </w:rPr>
              <w:t>Стратегический целевой показатель</w:t>
            </w:r>
          </w:p>
        </w:tc>
        <w:tc>
          <w:tcPr>
            <w:tcW w:w="2339" w:type="dxa"/>
            <w:shd w:val="clear" w:color="auto" w:fill="auto"/>
          </w:tcPr>
          <w:p w:rsidR="00DF466E" w:rsidRPr="00D74A52" w:rsidRDefault="00DF466E" w:rsidP="004B4D95">
            <w:pPr>
              <w:overflowPunct/>
              <w:autoSpaceDE/>
              <w:autoSpaceDN/>
              <w:adjustRightInd/>
              <w:spacing w:before="10" w:after="10"/>
              <w:textAlignment w:val="auto"/>
              <w:rPr>
                <w:rFonts w:eastAsia="SimSun"/>
                <w:sz w:val="18"/>
                <w:szCs w:val="18"/>
                <w:lang w:val="es-ES"/>
              </w:rPr>
            </w:pPr>
            <w:r w:rsidRPr="00D74A52">
              <w:rPr>
                <w:rFonts w:eastAsia="SimSun"/>
                <w:sz w:val="18"/>
                <w:szCs w:val="18"/>
                <w:lang w:val="es-ES"/>
              </w:rPr>
              <w:t>Finalidad estratégica</w:t>
            </w:r>
          </w:p>
        </w:tc>
      </w:tr>
      <w:tr w:rsidR="00DF466E" w:rsidRPr="00D74A52" w:rsidTr="004B4D95">
        <w:trPr>
          <w:cantSplit/>
          <w:trHeight w:val="144"/>
        </w:trPr>
        <w:tc>
          <w:tcPr>
            <w:tcW w:w="2477" w:type="dxa"/>
            <w:tcBorders>
              <w:top w:val="single" w:sz="8" w:space="0" w:color="4F81BD"/>
              <w:left w:val="single" w:sz="8" w:space="0" w:color="4F81BD"/>
              <w:bottom w:val="single" w:sz="8" w:space="0" w:color="4F81BD"/>
            </w:tcBorders>
            <w:shd w:val="clear" w:color="auto" w:fill="auto"/>
          </w:tcPr>
          <w:p w:rsidR="00DF466E" w:rsidRPr="00D74A52" w:rsidRDefault="00DF466E" w:rsidP="004B4D95">
            <w:pPr>
              <w:spacing w:before="10" w:after="10"/>
              <w:rPr>
                <w:rFonts w:eastAsia="SimSun"/>
                <w:b/>
                <w:bCs/>
                <w:sz w:val="18"/>
                <w:szCs w:val="18"/>
              </w:rPr>
            </w:pPr>
            <w:r w:rsidRPr="00D74A52">
              <w:rPr>
                <w:rFonts w:eastAsia="SimSun"/>
                <w:sz w:val="18"/>
                <w:szCs w:val="18"/>
              </w:rPr>
              <w:t>Values</w:t>
            </w:r>
          </w:p>
        </w:tc>
        <w:tc>
          <w:tcPr>
            <w:tcW w:w="2129" w:type="dxa"/>
            <w:tcBorders>
              <w:top w:val="single" w:sz="8" w:space="0" w:color="4F81BD"/>
              <w:bottom w:val="single" w:sz="8" w:space="0" w:color="4F81BD"/>
            </w:tcBorders>
            <w:shd w:val="clear" w:color="auto" w:fill="auto"/>
          </w:tcPr>
          <w:p w:rsidR="00DF466E" w:rsidRPr="00D74A52" w:rsidRDefault="00DF466E" w:rsidP="004B4D95">
            <w:pPr>
              <w:overflowPunct/>
              <w:autoSpaceDE/>
              <w:autoSpaceDN/>
              <w:bidi/>
              <w:adjustRightInd/>
              <w:spacing w:before="10" w:after="10"/>
              <w:jc w:val="both"/>
              <w:textAlignment w:val="auto"/>
              <w:rPr>
                <w:rFonts w:ascii="Times New Roman" w:eastAsia="SimSun" w:hAnsi="Times New Roman"/>
                <w:sz w:val="18"/>
                <w:szCs w:val="18"/>
                <w:lang w:val="en-US"/>
              </w:rPr>
            </w:pPr>
            <w:r w:rsidRPr="00D74A52">
              <w:rPr>
                <w:rFonts w:ascii="Times New Roman" w:eastAsia="SimSun" w:hAnsi="Times New Roman"/>
                <w:sz w:val="18"/>
                <w:szCs w:val="18"/>
                <w:rtl/>
                <w:lang w:val="en-US"/>
              </w:rPr>
              <w:t>القيم</w:t>
            </w:r>
          </w:p>
        </w:tc>
        <w:tc>
          <w:tcPr>
            <w:tcW w:w="2702" w:type="dxa"/>
            <w:tcBorders>
              <w:top w:val="single" w:sz="8" w:space="0" w:color="4F81BD"/>
              <w:bottom w:val="single" w:sz="8" w:space="0" w:color="4F81BD"/>
            </w:tcBorders>
            <w:shd w:val="clear" w:color="auto" w:fill="auto"/>
          </w:tcPr>
          <w:p w:rsidR="00DF466E" w:rsidRPr="00D74A52" w:rsidRDefault="00DF466E" w:rsidP="004B4D95">
            <w:pPr>
              <w:overflowPunct/>
              <w:autoSpaceDE/>
              <w:autoSpaceDN/>
              <w:adjustRightInd/>
              <w:spacing w:before="10" w:after="10"/>
              <w:textAlignment w:val="auto"/>
              <w:rPr>
                <w:rFonts w:ascii="Times New Roman" w:eastAsia="SimSun" w:hAnsi="Times New Roman"/>
                <w:sz w:val="18"/>
                <w:szCs w:val="18"/>
                <w:lang w:val="en-US"/>
              </w:rPr>
            </w:pPr>
            <w:proofErr w:type="spellStart"/>
            <w:r w:rsidRPr="00D74A52">
              <w:rPr>
                <w:rFonts w:ascii="Times New Roman" w:eastAsia="SimSun" w:hAnsi="Times New Roman"/>
                <w:sz w:val="18"/>
                <w:szCs w:val="18"/>
                <w:lang w:val="en-US"/>
              </w:rPr>
              <w:t>价值</w:t>
            </w:r>
            <w:proofErr w:type="spellEnd"/>
            <w:r w:rsidRPr="00D74A52">
              <w:rPr>
                <w:rFonts w:ascii="Times New Roman" w:eastAsia="SimSun" w:hAnsi="Times New Roman"/>
                <w:sz w:val="18"/>
                <w:szCs w:val="18"/>
                <w:lang w:val="en-US"/>
              </w:rPr>
              <w:t>/</w:t>
            </w:r>
            <w:proofErr w:type="spellStart"/>
            <w:r w:rsidRPr="00D74A52">
              <w:rPr>
                <w:rFonts w:ascii="Times New Roman" w:eastAsia="SimSun" w:hAnsi="Times New Roman"/>
                <w:sz w:val="18"/>
                <w:szCs w:val="18"/>
                <w:lang w:val="en-US"/>
              </w:rPr>
              <w:t>价值观</w:t>
            </w:r>
            <w:proofErr w:type="spellEnd"/>
          </w:p>
        </w:tc>
        <w:tc>
          <w:tcPr>
            <w:tcW w:w="2848" w:type="dxa"/>
            <w:tcBorders>
              <w:top w:val="single" w:sz="8" w:space="0" w:color="4F81BD"/>
              <w:bottom w:val="single" w:sz="8" w:space="0" w:color="4F81BD"/>
            </w:tcBorders>
            <w:shd w:val="clear" w:color="auto" w:fill="auto"/>
          </w:tcPr>
          <w:p w:rsidR="00DF466E" w:rsidRPr="00CF752D" w:rsidRDefault="00DF466E" w:rsidP="004B4D95">
            <w:pPr>
              <w:overflowPunct/>
              <w:autoSpaceDE/>
              <w:autoSpaceDN/>
              <w:adjustRightInd/>
              <w:spacing w:before="10" w:after="10"/>
              <w:textAlignment w:val="auto"/>
              <w:rPr>
                <w:rFonts w:eastAsia="SimSun"/>
                <w:sz w:val="18"/>
                <w:szCs w:val="18"/>
                <w:lang w:val="fr-CH"/>
              </w:rPr>
            </w:pPr>
            <w:r w:rsidRPr="00CF752D">
              <w:rPr>
                <w:rFonts w:eastAsia="SimSun"/>
                <w:sz w:val="18"/>
                <w:szCs w:val="18"/>
                <w:lang w:val="fr-CH"/>
              </w:rPr>
              <w:t>Valeurs</w:t>
            </w:r>
          </w:p>
        </w:tc>
        <w:tc>
          <w:tcPr>
            <w:tcW w:w="2390" w:type="dxa"/>
            <w:tcBorders>
              <w:top w:val="single" w:sz="8" w:space="0" w:color="4F81BD"/>
              <w:bottom w:val="single" w:sz="8" w:space="0" w:color="4F81BD"/>
            </w:tcBorders>
            <w:shd w:val="clear" w:color="auto" w:fill="auto"/>
          </w:tcPr>
          <w:p w:rsidR="00DF466E" w:rsidRPr="00D74A52" w:rsidRDefault="00DF466E" w:rsidP="004B4D95">
            <w:pPr>
              <w:overflowPunct/>
              <w:autoSpaceDE/>
              <w:autoSpaceDN/>
              <w:adjustRightInd/>
              <w:spacing w:before="10" w:after="10"/>
              <w:textAlignment w:val="auto"/>
              <w:rPr>
                <w:rFonts w:ascii="Times New Roman" w:eastAsia="SimSun" w:hAnsi="Times New Roman"/>
                <w:sz w:val="18"/>
                <w:szCs w:val="18"/>
                <w:lang w:val="en-US"/>
              </w:rPr>
            </w:pPr>
            <w:r w:rsidRPr="00D74A52">
              <w:rPr>
                <w:rFonts w:ascii="Times New Roman" w:eastAsia="SimSun" w:hAnsi="Times New Roman"/>
                <w:sz w:val="18"/>
                <w:szCs w:val="18"/>
                <w:lang w:val="ru-RU"/>
              </w:rPr>
              <w:t>Ценности</w:t>
            </w:r>
          </w:p>
        </w:tc>
        <w:tc>
          <w:tcPr>
            <w:tcW w:w="2339" w:type="dxa"/>
            <w:tcBorders>
              <w:top w:val="single" w:sz="8" w:space="0" w:color="4F81BD"/>
              <w:bottom w:val="single" w:sz="8" w:space="0" w:color="4F81BD"/>
              <w:right w:val="single" w:sz="8" w:space="0" w:color="4F81BD"/>
            </w:tcBorders>
            <w:shd w:val="clear" w:color="auto" w:fill="auto"/>
          </w:tcPr>
          <w:p w:rsidR="00DF466E" w:rsidRPr="00D74A52" w:rsidRDefault="00DF466E" w:rsidP="004B4D95">
            <w:pPr>
              <w:overflowPunct/>
              <w:autoSpaceDE/>
              <w:autoSpaceDN/>
              <w:adjustRightInd/>
              <w:spacing w:before="10" w:after="10"/>
              <w:textAlignment w:val="auto"/>
              <w:rPr>
                <w:rFonts w:eastAsia="SimSun"/>
                <w:sz w:val="18"/>
                <w:szCs w:val="18"/>
                <w:lang w:val="es-ES"/>
              </w:rPr>
            </w:pPr>
            <w:r w:rsidRPr="00D74A52">
              <w:rPr>
                <w:rFonts w:eastAsia="SimSun"/>
                <w:sz w:val="18"/>
                <w:szCs w:val="18"/>
                <w:lang w:val="es-ES"/>
              </w:rPr>
              <w:t>Valores</w:t>
            </w:r>
          </w:p>
        </w:tc>
      </w:tr>
      <w:tr w:rsidR="00DF466E" w:rsidRPr="00D74A52" w:rsidTr="004B4D95">
        <w:trPr>
          <w:cantSplit/>
          <w:trHeight w:val="277"/>
        </w:trPr>
        <w:tc>
          <w:tcPr>
            <w:tcW w:w="2477" w:type="dxa"/>
            <w:shd w:val="clear" w:color="auto" w:fill="auto"/>
          </w:tcPr>
          <w:p w:rsidR="00DF466E" w:rsidRPr="00D74A52" w:rsidRDefault="00DF466E" w:rsidP="004B4D95">
            <w:pPr>
              <w:spacing w:before="10" w:after="10"/>
              <w:rPr>
                <w:rFonts w:eastAsia="SimSun"/>
                <w:b/>
                <w:bCs/>
                <w:sz w:val="18"/>
                <w:szCs w:val="18"/>
              </w:rPr>
            </w:pPr>
            <w:r w:rsidRPr="00D74A52">
              <w:rPr>
                <w:rFonts w:eastAsia="SimSun"/>
                <w:sz w:val="18"/>
                <w:szCs w:val="18"/>
              </w:rPr>
              <w:t>Vision</w:t>
            </w:r>
          </w:p>
        </w:tc>
        <w:tc>
          <w:tcPr>
            <w:tcW w:w="2129" w:type="dxa"/>
            <w:shd w:val="clear" w:color="auto" w:fill="auto"/>
          </w:tcPr>
          <w:p w:rsidR="00DF466E" w:rsidRPr="00D74A52" w:rsidRDefault="00DF466E" w:rsidP="004B4D95">
            <w:pPr>
              <w:overflowPunct/>
              <w:autoSpaceDE/>
              <w:autoSpaceDN/>
              <w:bidi/>
              <w:adjustRightInd/>
              <w:spacing w:before="10" w:after="10"/>
              <w:jc w:val="both"/>
              <w:textAlignment w:val="auto"/>
              <w:rPr>
                <w:rFonts w:ascii="Times New Roman" w:eastAsia="SimSun" w:hAnsi="Times New Roman"/>
                <w:sz w:val="18"/>
                <w:szCs w:val="18"/>
                <w:lang w:val="en-US"/>
              </w:rPr>
            </w:pPr>
            <w:r w:rsidRPr="00D74A52">
              <w:rPr>
                <w:rFonts w:ascii="Times New Roman" w:eastAsia="SimSun" w:hAnsi="Times New Roman"/>
                <w:sz w:val="18"/>
                <w:szCs w:val="18"/>
                <w:rtl/>
                <w:lang w:val="en-US"/>
              </w:rPr>
              <w:t>الرؤية</w:t>
            </w:r>
          </w:p>
        </w:tc>
        <w:tc>
          <w:tcPr>
            <w:tcW w:w="2702" w:type="dxa"/>
            <w:shd w:val="clear" w:color="auto" w:fill="auto"/>
          </w:tcPr>
          <w:p w:rsidR="00DF466E" w:rsidRPr="00D74A52" w:rsidRDefault="00DF466E" w:rsidP="004B4D95">
            <w:pPr>
              <w:overflowPunct/>
              <w:autoSpaceDE/>
              <w:autoSpaceDN/>
              <w:adjustRightInd/>
              <w:spacing w:before="10" w:after="10"/>
              <w:textAlignment w:val="auto"/>
              <w:rPr>
                <w:rFonts w:ascii="Times New Roman" w:eastAsia="SimSun" w:hAnsi="Times New Roman"/>
                <w:sz w:val="18"/>
                <w:szCs w:val="18"/>
                <w:lang w:val="en-US"/>
              </w:rPr>
            </w:pPr>
            <w:proofErr w:type="spellStart"/>
            <w:r w:rsidRPr="00D74A52">
              <w:rPr>
                <w:rFonts w:ascii="Times New Roman" w:eastAsia="SimSun" w:hAnsi="Times New Roman"/>
                <w:sz w:val="18"/>
                <w:szCs w:val="18"/>
                <w:lang w:val="en-US"/>
              </w:rPr>
              <w:t>愿景</w:t>
            </w:r>
            <w:proofErr w:type="spellEnd"/>
          </w:p>
        </w:tc>
        <w:tc>
          <w:tcPr>
            <w:tcW w:w="2848" w:type="dxa"/>
            <w:shd w:val="clear" w:color="auto" w:fill="auto"/>
          </w:tcPr>
          <w:p w:rsidR="00DF466E" w:rsidRPr="00D4259E" w:rsidRDefault="00DF466E" w:rsidP="004B4D95">
            <w:pPr>
              <w:overflowPunct/>
              <w:autoSpaceDE/>
              <w:autoSpaceDN/>
              <w:adjustRightInd/>
              <w:spacing w:before="10" w:after="10"/>
              <w:textAlignment w:val="auto"/>
              <w:rPr>
                <w:rFonts w:eastAsia="SimSun"/>
                <w:sz w:val="18"/>
                <w:szCs w:val="18"/>
                <w:lang w:val="en-US"/>
              </w:rPr>
            </w:pPr>
            <w:r w:rsidRPr="00D4259E">
              <w:rPr>
                <w:rFonts w:eastAsia="SimSun"/>
                <w:sz w:val="18"/>
                <w:szCs w:val="18"/>
                <w:lang w:val="en-US"/>
              </w:rPr>
              <w:t>Vision</w:t>
            </w:r>
          </w:p>
        </w:tc>
        <w:tc>
          <w:tcPr>
            <w:tcW w:w="2390" w:type="dxa"/>
            <w:shd w:val="clear" w:color="auto" w:fill="auto"/>
          </w:tcPr>
          <w:p w:rsidR="00DF466E" w:rsidRPr="00D74A52" w:rsidRDefault="00DF466E" w:rsidP="004B4D95">
            <w:pPr>
              <w:overflowPunct/>
              <w:autoSpaceDE/>
              <w:autoSpaceDN/>
              <w:adjustRightInd/>
              <w:spacing w:before="10" w:after="10"/>
              <w:textAlignment w:val="auto"/>
              <w:rPr>
                <w:rFonts w:ascii="Times New Roman" w:eastAsia="SimSun" w:hAnsi="Times New Roman"/>
                <w:sz w:val="18"/>
                <w:szCs w:val="18"/>
                <w:lang w:val="en-US"/>
              </w:rPr>
            </w:pPr>
            <w:r w:rsidRPr="00D74A52">
              <w:rPr>
                <w:rFonts w:ascii="Times New Roman" w:eastAsia="SimSun" w:hAnsi="Times New Roman"/>
                <w:sz w:val="18"/>
                <w:szCs w:val="18"/>
                <w:lang w:val="ru-RU"/>
              </w:rPr>
              <w:t>Концепция</w:t>
            </w:r>
          </w:p>
        </w:tc>
        <w:tc>
          <w:tcPr>
            <w:tcW w:w="2339" w:type="dxa"/>
            <w:shd w:val="clear" w:color="auto" w:fill="auto"/>
          </w:tcPr>
          <w:p w:rsidR="00DF466E" w:rsidRPr="00D74A52" w:rsidRDefault="00DF466E" w:rsidP="004B4D95">
            <w:pPr>
              <w:overflowPunct/>
              <w:autoSpaceDE/>
              <w:autoSpaceDN/>
              <w:adjustRightInd/>
              <w:spacing w:before="10" w:after="10"/>
              <w:textAlignment w:val="auto"/>
              <w:rPr>
                <w:rFonts w:eastAsia="SimSun"/>
                <w:sz w:val="18"/>
                <w:szCs w:val="18"/>
                <w:lang w:val="es-ES"/>
              </w:rPr>
            </w:pPr>
            <w:r w:rsidRPr="00D74A52">
              <w:rPr>
                <w:rFonts w:eastAsia="SimSun"/>
                <w:sz w:val="18"/>
                <w:szCs w:val="18"/>
                <w:lang w:val="es-ES"/>
              </w:rPr>
              <w:t>Visión</w:t>
            </w:r>
          </w:p>
        </w:tc>
      </w:tr>
    </w:tbl>
    <w:p w:rsidR="00DF466E" w:rsidRDefault="00DF466E" w:rsidP="00DF466E">
      <w:pPr>
        <w:pStyle w:val="Reasons"/>
        <w:sectPr w:rsidR="00DF466E" w:rsidSect="00CF752D">
          <w:headerReference w:type="first" r:id="rId16"/>
          <w:footerReference w:type="first" r:id="rId17"/>
          <w:pgSz w:w="16834" w:h="11913" w:orient="landscape"/>
          <w:pgMar w:top="1134" w:right="1418" w:bottom="1134" w:left="1418" w:header="720" w:footer="720" w:gutter="0"/>
          <w:paperSrc w:first="15" w:other="15"/>
          <w:cols w:space="720"/>
          <w:titlePg/>
          <w:docGrid w:linePitch="326"/>
        </w:sectPr>
      </w:pPr>
    </w:p>
    <w:p w:rsidR="00567BC1" w:rsidRPr="00567BC1" w:rsidRDefault="00567BC1" w:rsidP="00567BC1">
      <w:pPr>
        <w:pStyle w:val="Reasons"/>
        <w:rPr>
          <w:sz w:val="4"/>
          <w:szCs w:val="4"/>
        </w:rPr>
      </w:pPr>
    </w:p>
    <w:p w:rsidR="004A1EA0" w:rsidRDefault="004A1EA0" w:rsidP="004A1EA0">
      <w:pPr>
        <w:pStyle w:val="Headingb"/>
        <w:ind w:left="1134" w:hanging="1134"/>
      </w:pPr>
      <w:r w:rsidRPr="004A1EA0">
        <w:t>IAP-2:</w:t>
      </w:r>
      <w:r w:rsidRPr="004A1EA0">
        <w:tab/>
        <w:t>PROPOSITION RELATIVE À LA STRUCTURE DU PLAN STRATÉGIQUE DE L'UIT POUR LA PÉRIODE 2016-2019</w:t>
      </w:r>
    </w:p>
    <w:p w:rsidR="004A1EA0" w:rsidRDefault="004A1EA0" w:rsidP="004A1EA0">
      <w:pPr>
        <w:pStyle w:val="Headingb"/>
      </w:pPr>
      <w:r>
        <w:t>Introduction</w:t>
      </w:r>
    </w:p>
    <w:p w:rsidR="004A1EA0" w:rsidRPr="004166B9" w:rsidRDefault="004A1EA0" w:rsidP="004A1EA0">
      <w:r>
        <w:t>A</w:t>
      </w:r>
      <w:r w:rsidRPr="004166B9">
        <w:t xml:space="preserve"> sa deuxième réunion tenue à Genève (Suisse), les 13 et 14 novembre 2013, le </w:t>
      </w:r>
      <w:r w:rsidRPr="005275C0">
        <w:rPr>
          <w:i/>
          <w:iCs/>
        </w:rPr>
        <w:t>Groupe de travail du Conseil de l'UIT chargé d'élaborer le projet de Plan stratégique et le projet de Plan financier de l'Union pour la période 2016-2019 (GTC-SPFP)</w:t>
      </w:r>
      <w:r>
        <w:t xml:space="preserve"> </w:t>
      </w:r>
      <w:r w:rsidRPr="004166B9">
        <w:t xml:space="preserve">a examiné et approuvé un </w:t>
      </w:r>
      <w:r>
        <w:t>avant-</w:t>
      </w:r>
      <w:r w:rsidRPr="004166B9">
        <w:t>projet de structure pour le Plan stratégique de l</w:t>
      </w:r>
      <w:r>
        <w:t>'</w:t>
      </w:r>
      <w:r w:rsidRPr="004166B9">
        <w:t>UIT.</w:t>
      </w:r>
      <w:r w:rsidRPr="004166B9">
        <w:rPr>
          <w:lang w:val="fr-CH"/>
        </w:rPr>
        <w:t xml:space="preserve"> </w:t>
      </w:r>
    </w:p>
    <w:p w:rsidR="004A1EA0" w:rsidRDefault="004A1EA0" w:rsidP="004A1EA0">
      <w:pPr>
        <w:jc w:val="both"/>
        <w:rPr>
          <w:lang w:val="fr-CH"/>
        </w:rPr>
      </w:pPr>
      <w:r w:rsidRPr="004166B9">
        <w:t>Au cours des débats</w:t>
      </w:r>
      <w:r w:rsidRPr="00B06660">
        <w:t>,</w:t>
      </w:r>
      <w:r w:rsidRPr="004166B9">
        <w:t xml:space="preserve"> les</w:t>
      </w:r>
      <w:r w:rsidRPr="00B06660">
        <w:t xml:space="preserve"> </w:t>
      </w:r>
      <w:r w:rsidRPr="004166B9">
        <w:t>Etats Membres sont convenus d</w:t>
      </w:r>
      <w:r>
        <w:t>'</w:t>
      </w:r>
      <w:r w:rsidRPr="004166B9">
        <w:t xml:space="preserve">un ensemble de principes à </w:t>
      </w:r>
      <w:r>
        <w:t>observer lors de</w:t>
      </w:r>
      <w:r w:rsidRPr="004166B9">
        <w:t xml:space="preserve"> l'élaboration </w:t>
      </w:r>
      <w:r>
        <w:t xml:space="preserve">de la Résolution 71 et </w:t>
      </w:r>
      <w:r w:rsidRPr="004166B9">
        <w:t>du Plan stratégiqu</w:t>
      </w:r>
      <w:r>
        <w:t xml:space="preserve">e lui-même. </w:t>
      </w:r>
      <w:r>
        <w:rPr>
          <w:lang w:val="fr-CH"/>
        </w:rPr>
        <w:t xml:space="preserve">Le </w:t>
      </w:r>
      <w:r w:rsidRPr="00B06660">
        <w:rPr>
          <w:lang w:val="fr-CH"/>
        </w:rPr>
        <w:t xml:space="preserve">Plan stratégique de </w:t>
      </w:r>
      <w:r>
        <w:rPr>
          <w:lang w:val="fr-CH"/>
        </w:rPr>
        <w:t>l'UIT</w:t>
      </w:r>
      <w:r w:rsidRPr="00B06660">
        <w:rPr>
          <w:lang w:val="fr-CH"/>
        </w:rPr>
        <w:t xml:space="preserve"> pour la période 2016-2019</w:t>
      </w:r>
      <w:r>
        <w:rPr>
          <w:lang w:val="fr-CH"/>
        </w:rPr>
        <w:t xml:space="preserve"> devrait:</w:t>
      </w:r>
    </w:p>
    <w:p w:rsidR="004A1EA0" w:rsidRPr="00B06660" w:rsidRDefault="004A1EA0" w:rsidP="004A1EA0">
      <w:pPr>
        <w:pStyle w:val="enumlev1"/>
      </w:pPr>
      <w:r>
        <w:t>•</w:t>
      </w:r>
      <w:r>
        <w:tab/>
      </w:r>
      <w:r w:rsidRPr="004166B9">
        <w:t>être plus concis et plus efficace que le plan actuel</w:t>
      </w:r>
      <w:r w:rsidRPr="00B06660">
        <w:t>;</w:t>
      </w:r>
    </w:p>
    <w:p w:rsidR="004A1EA0" w:rsidRPr="00B06660" w:rsidRDefault="004A1EA0" w:rsidP="004A1EA0">
      <w:pPr>
        <w:pStyle w:val="enumlev1"/>
      </w:pPr>
      <w:r>
        <w:t>•</w:t>
      </w:r>
      <w:r>
        <w:tab/>
        <w:t>éviter tout chevauchement de compétences entre le Secrétariat général et les trois Secteurs de l'UIT</w:t>
      </w:r>
      <w:r w:rsidRPr="00B06660">
        <w:t>;</w:t>
      </w:r>
    </w:p>
    <w:p w:rsidR="004A1EA0" w:rsidRPr="00B06660" w:rsidRDefault="004A1EA0" w:rsidP="004A1EA0">
      <w:pPr>
        <w:pStyle w:val="enumlev1"/>
      </w:pPr>
      <w:r>
        <w:t>•</w:t>
      </w:r>
      <w:r>
        <w:tab/>
        <w:t>proposer</w:t>
      </w:r>
      <w:r w:rsidRPr="00B06660">
        <w:t xml:space="preserve"> </w:t>
      </w:r>
      <w:r>
        <w:t xml:space="preserve">une </w:t>
      </w:r>
      <w:r w:rsidRPr="00435110">
        <w:t xml:space="preserve">vision, </w:t>
      </w:r>
      <w:r>
        <w:t>une</w:t>
      </w:r>
      <w:r w:rsidRPr="00435110">
        <w:t xml:space="preserve"> mission et </w:t>
      </w:r>
      <w:r>
        <w:t>d</w:t>
      </w:r>
      <w:r w:rsidRPr="00435110">
        <w:t xml:space="preserve">es buts et cibles stratégiques </w:t>
      </w:r>
      <w:r>
        <w:t>à l'échelle</w:t>
      </w:r>
      <w:r w:rsidRPr="00435110">
        <w:t xml:space="preserve"> de l'UIT</w:t>
      </w:r>
      <w:r w:rsidRPr="00B06660">
        <w:t>;</w:t>
      </w:r>
    </w:p>
    <w:p w:rsidR="004A1EA0" w:rsidRPr="00B06660" w:rsidRDefault="004A1EA0" w:rsidP="004A1EA0">
      <w:pPr>
        <w:pStyle w:val="enumlev1"/>
      </w:pPr>
      <w:r>
        <w:t>•</w:t>
      </w:r>
      <w:r>
        <w:tab/>
        <w:t>contenir des</w:t>
      </w:r>
      <w:r w:rsidRPr="00B06660">
        <w:t xml:space="preserve"> </w:t>
      </w:r>
      <w:r w:rsidRPr="00435110">
        <w:t>objectifs/processus/résultats sectoriels et intersectoriels</w:t>
      </w:r>
      <w:r w:rsidRPr="00B06660">
        <w:t>;</w:t>
      </w:r>
    </w:p>
    <w:p w:rsidR="004A1EA0" w:rsidRPr="00B06660" w:rsidRDefault="004A1EA0" w:rsidP="004A1EA0">
      <w:pPr>
        <w:pStyle w:val="enumlev1"/>
      </w:pPr>
      <w:r>
        <w:t>•</w:t>
      </w:r>
      <w:r>
        <w:tab/>
        <w:t xml:space="preserve">prévoir les modalités de mise en </w:t>
      </w:r>
      <w:proofErr w:type="spellStart"/>
      <w:r>
        <w:t>oeuvre</w:t>
      </w:r>
      <w:proofErr w:type="spellEnd"/>
      <w:r>
        <w:t xml:space="preserve"> et les méthodes d'évaluation du Plan stratégique</w:t>
      </w:r>
      <w:r w:rsidRPr="00B06660">
        <w:t>.</w:t>
      </w:r>
    </w:p>
    <w:p w:rsidR="004A1EA0" w:rsidRPr="00B06660" w:rsidRDefault="004A1EA0" w:rsidP="004A1EA0">
      <w:r>
        <w:t>En outre</w:t>
      </w:r>
      <w:r w:rsidRPr="00B06660">
        <w:t>,</w:t>
      </w:r>
      <w:r>
        <w:t xml:space="preserve"> le</w:t>
      </w:r>
      <w:r w:rsidRPr="00B06660">
        <w:t xml:space="preserve"> </w:t>
      </w:r>
      <w:r w:rsidRPr="00435110">
        <w:t xml:space="preserve">GTC-SPFP </w:t>
      </w:r>
      <w:r>
        <w:t>a décidé que la Résolution</w:t>
      </w:r>
      <w:r w:rsidRPr="00B06660">
        <w:t xml:space="preserve"> 71 </w:t>
      </w:r>
      <w:r>
        <w:t>contiendrait trois</w:t>
      </w:r>
      <w:r w:rsidRPr="00B06660">
        <w:t xml:space="preserve"> annexes:</w:t>
      </w:r>
    </w:p>
    <w:p w:rsidR="004A1EA0" w:rsidRPr="007F693D" w:rsidRDefault="004A1EA0" w:rsidP="004A1EA0">
      <w:pPr>
        <w:pStyle w:val="enumlev1"/>
      </w:pPr>
      <w:r>
        <w:t>•</w:t>
      </w:r>
      <w:r>
        <w:tab/>
      </w:r>
      <w:r w:rsidRPr="007F693D">
        <w:t>l</w:t>
      </w:r>
      <w:r>
        <w:t>'</w:t>
      </w:r>
      <w:r w:rsidRPr="007F693D">
        <w:t>Annexe I contiendra une introduction concernant le rôle des Secteurs ainsi qu</w:t>
      </w:r>
      <w:r>
        <w:t>'</w:t>
      </w:r>
      <w:r w:rsidRPr="007F693D">
        <w:t>une analyse de la situation dans le domaine des télécommunications/TIC;</w:t>
      </w:r>
    </w:p>
    <w:p w:rsidR="004A1EA0" w:rsidRPr="007F693D" w:rsidRDefault="004A1EA0" w:rsidP="004A1EA0">
      <w:pPr>
        <w:pStyle w:val="enumlev1"/>
      </w:pPr>
      <w:r>
        <w:t>•</w:t>
      </w:r>
      <w:r>
        <w:tab/>
      </w:r>
      <w:r w:rsidRPr="007F693D">
        <w:t>l</w:t>
      </w:r>
      <w:r>
        <w:t>'</w:t>
      </w:r>
      <w:r w:rsidRPr="007F693D">
        <w:t>Annexe II contiendra le Plan stratégique lui-même;</w:t>
      </w:r>
    </w:p>
    <w:p w:rsidR="004A1EA0" w:rsidRDefault="004A1EA0" w:rsidP="004A1EA0">
      <w:pPr>
        <w:pStyle w:val="enumlev1"/>
      </w:pPr>
      <w:r>
        <w:t>•</w:t>
      </w:r>
      <w:r>
        <w:tab/>
      </w:r>
      <w:r w:rsidRPr="007F693D">
        <w:t>l</w:t>
      </w:r>
      <w:r>
        <w:t>'</w:t>
      </w:r>
      <w:r w:rsidRPr="007F693D">
        <w:t>Annexe III contiendra le Glossaire des termes utilisés dans l</w:t>
      </w:r>
      <w:r>
        <w:t>'</w:t>
      </w:r>
      <w:r w:rsidRPr="007F693D">
        <w:t>élaboration du Plan stratégique.</w:t>
      </w:r>
    </w:p>
    <w:p w:rsidR="004A1EA0" w:rsidRPr="004A1EA0" w:rsidRDefault="004A1EA0" w:rsidP="004A1EA0">
      <w:pPr>
        <w:pStyle w:val="Headingb"/>
      </w:pPr>
      <w:r>
        <w:t>Proposition</w:t>
      </w:r>
    </w:p>
    <w:p w:rsidR="00291216" w:rsidRPr="00DF466E" w:rsidRDefault="00795BD7" w:rsidP="00682BA8">
      <w:pPr>
        <w:pStyle w:val="Proposal"/>
        <w:spacing w:before="160"/>
        <w:rPr>
          <w:lang w:val="fr-CH"/>
        </w:rPr>
      </w:pPr>
      <w:r w:rsidRPr="00DF466E">
        <w:rPr>
          <w:lang w:val="fr-CH"/>
        </w:rPr>
        <w:tab/>
        <w:t>IAP/34A1/2</w:t>
      </w:r>
    </w:p>
    <w:p w:rsidR="00291216" w:rsidRDefault="004A1EA0" w:rsidP="004A1EA0">
      <w:r>
        <w:t>Les Etats Membres de la</w:t>
      </w:r>
      <w:r w:rsidRPr="001D1B41">
        <w:t xml:space="preserve"> CITEL </w:t>
      </w:r>
      <w:r>
        <w:t xml:space="preserve">présentent la proposition de </w:t>
      </w:r>
      <w:r w:rsidRPr="00B06660">
        <w:rPr>
          <w:lang w:val="fr-CH"/>
        </w:rPr>
        <w:t xml:space="preserve">structure </w:t>
      </w:r>
      <w:r>
        <w:rPr>
          <w:lang w:val="fr-CH"/>
        </w:rPr>
        <w:t>pour le Plan stratégique de l'UIT</w:t>
      </w:r>
      <w:r w:rsidRPr="00B06660">
        <w:rPr>
          <w:lang w:val="fr-CH"/>
        </w:rPr>
        <w:t xml:space="preserve"> pour la période 2016-2019</w:t>
      </w:r>
      <w:r>
        <w:rPr>
          <w:lang w:val="fr-CH"/>
        </w:rPr>
        <w:t xml:space="preserve"> reproduite dans l'Annexe II</w:t>
      </w:r>
      <w:r>
        <w:t>.</w:t>
      </w:r>
      <w:r w:rsidRPr="001D1B41">
        <w:t xml:space="preserve"> </w:t>
      </w:r>
      <w:r>
        <w:t>Cette</w:t>
      </w:r>
      <w:r w:rsidRPr="001D1B41">
        <w:t xml:space="preserve"> proposition interaméricaine </w:t>
      </w:r>
      <w:r>
        <w:t xml:space="preserve">sera soumise </w:t>
      </w:r>
      <w:r w:rsidRPr="001D1B41">
        <w:t xml:space="preserve">à la </w:t>
      </w:r>
      <w:r w:rsidRPr="001D1B41">
        <w:rPr>
          <w:bCs/>
        </w:rPr>
        <w:t xml:space="preserve">Conférence mondiale de développement des télécommunications </w:t>
      </w:r>
      <w:r>
        <w:rPr>
          <w:bCs/>
        </w:rPr>
        <w:t xml:space="preserve">de 2014 </w:t>
      </w:r>
      <w:r w:rsidRPr="001D1B41">
        <w:rPr>
          <w:bCs/>
        </w:rPr>
        <w:t>(CMDT-14)</w:t>
      </w:r>
      <w:r w:rsidRPr="001D1B41">
        <w:rPr>
          <w:b/>
        </w:rPr>
        <w:t xml:space="preserve"> </w:t>
      </w:r>
      <w:r w:rsidRPr="001D1B41">
        <w:t>et à la Conférence de plénipotentiaires de l'UIT de 2014 (PP-14).</w:t>
      </w:r>
    </w:p>
    <w:p w:rsidR="004A1EA0" w:rsidRDefault="004A1EA0" w:rsidP="004A1EA0">
      <w:pPr>
        <w:spacing w:before="720"/>
        <w:ind w:left="1134" w:hanging="1134"/>
      </w:pPr>
      <w:r w:rsidRPr="004A1EA0">
        <w:rPr>
          <w:b/>
          <w:bCs/>
        </w:rPr>
        <w:t>Annexe II</w:t>
      </w:r>
      <w:r w:rsidRPr="001D1B41">
        <w:t>:</w:t>
      </w:r>
      <w:r>
        <w:tab/>
      </w:r>
      <w:r w:rsidRPr="00B06660">
        <w:rPr>
          <w:lang w:val="fr-CH"/>
        </w:rPr>
        <w:t>Avant-projet de structure convenue pour le Plan stratég</w:t>
      </w:r>
      <w:r w:rsidR="005A4B1B">
        <w:rPr>
          <w:lang w:val="fr-CH"/>
        </w:rPr>
        <w:t>ique de l'Union pour la période </w:t>
      </w:r>
      <w:r w:rsidRPr="00B06660">
        <w:rPr>
          <w:lang w:val="fr-CH"/>
        </w:rPr>
        <w:t>2016-2019</w:t>
      </w:r>
      <w:r w:rsidRPr="001D1B41">
        <w:t>.</w:t>
      </w:r>
      <w:r>
        <w:br w:type="page"/>
      </w:r>
    </w:p>
    <w:p w:rsidR="004A1EA0" w:rsidRPr="000D022C" w:rsidRDefault="004A1EA0" w:rsidP="004A1EA0">
      <w:pPr>
        <w:spacing w:before="240" w:after="200"/>
        <w:jc w:val="center"/>
        <w:rPr>
          <w:bCs/>
          <w:sz w:val="28"/>
          <w:szCs w:val="28"/>
        </w:rPr>
      </w:pPr>
      <w:r>
        <w:rPr>
          <w:bCs/>
          <w:sz w:val="28"/>
          <w:szCs w:val="28"/>
        </w:rPr>
        <w:lastRenderedPageBreak/>
        <w:t xml:space="preserve">ANNEXE </w:t>
      </w:r>
      <w:r w:rsidRPr="000D022C">
        <w:rPr>
          <w:bCs/>
          <w:sz w:val="28"/>
          <w:szCs w:val="28"/>
        </w:rPr>
        <w:t>II</w:t>
      </w:r>
    </w:p>
    <w:p w:rsidR="004A1EA0" w:rsidRPr="00B00E82" w:rsidRDefault="004A1EA0" w:rsidP="004A1EA0">
      <w:pPr>
        <w:pStyle w:val="Heading1"/>
        <w:jc w:val="center"/>
        <w:rPr>
          <w:bCs/>
          <w:szCs w:val="28"/>
        </w:rPr>
      </w:pPr>
      <w:r w:rsidRPr="00B00E82">
        <w:rPr>
          <w:szCs w:val="28"/>
        </w:rPr>
        <w:t>Structure proposée pour le Plan stratégique</w:t>
      </w:r>
    </w:p>
    <w:p w:rsidR="004A1EA0" w:rsidRPr="00202427" w:rsidRDefault="004A1EA0" w:rsidP="00682BA8">
      <w:pPr>
        <w:pStyle w:val="Headingb"/>
        <w:spacing w:before="360"/>
      </w:pPr>
      <w:r w:rsidRPr="00202427">
        <w:t>Annexe 1 de la Résolution 71: Informations générales</w:t>
      </w:r>
    </w:p>
    <w:p w:rsidR="004A1EA0" w:rsidRPr="00202427" w:rsidRDefault="004A1EA0" w:rsidP="004A1EA0">
      <w:pPr>
        <w:pStyle w:val="enumlev1"/>
      </w:pPr>
      <w:r>
        <w:t>–</w:t>
      </w:r>
      <w:r>
        <w:tab/>
      </w:r>
      <w:r w:rsidRPr="00202427">
        <w:t>Introduction</w:t>
      </w:r>
    </w:p>
    <w:p w:rsidR="004A1EA0" w:rsidRPr="00202427" w:rsidRDefault="004A1EA0" w:rsidP="004A1EA0">
      <w:pPr>
        <w:pStyle w:val="enumlev2"/>
      </w:pPr>
      <w:r>
        <w:t>•</w:t>
      </w:r>
      <w:r>
        <w:tab/>
      </w:r>
      <w:r w:rsidRPr="00202427">
        <w:t xml:space="preserve">Rôle </w:t>
      </w:r>
      <w:r>
        <w:t>des Secteurs/Organes directeurs</w:t>
      </w:r>
    </w:p>
    <w:p w:rsidR="004A1EA0" w:rsidRPr="000D5CC4" w:rsidRDefault="004A1EA0" w:rsidP="004A1EA0">
      <w:pPr>
        <w:pStyle w:val="enumlev1"/>
      </w:pPr>
      <w:r>
        <w:t>–</w:t>
      </w:r>
      <w:r>
        <w:tab/>
      </w:r>
      <w:r w:rsidRPr="000D5CC4">
        <w:t xml:space="preserve">Analyse de la situation </w:t>
      </w:r>
    </w:p>
    <w:p w:rsidR="004A1EA0" w:rsidRPr="000D5CC4" w:rsidRDefault="004A1EA0" w:rsidP="004A1EA0">
      <w:pPr>
        <w:pStyle w:val="enumlev2"/>
      </w:pPr>
      <w:r>
        <w:t>•</w:t>
      </w:r>
      <w:r>
        <w:tab/>
      </w:r>
      <w:r w:rsidRPr="000D5CC4">
        <w:t xml:space="preserve">Bref examen de la mise en </w:t>
      </w:r>
      <w:proofErr w:type="spellStart"/>
      <w:r>
        <w:t>oe</w:t>
      </w:r>
      <w:r w:rsidRPr="000D5CC4">
        <w:t>uvre</w:t>
      </w:r>
      <w:proofErr w:type="spellEnd"/>
      <w:r w:rsidRPr="000D5CC4">
        <w:t xml:space="preserve"> du Plan stratégique </w:t>
      </w:r>
      <w:r w:rsidR="005A4B1B">
        <w:t>de l'Union pour la période </w:t>
      </w:r>
      <w:r>
        <w:t>2012</w:t>
      </w:r>
      <w:r>
        <w:noBreakHyphen/>
      </w:r>
      <w:r w:rsidRPr="000D5CC4">
        <w:t xml:space="preserve">2015 </w:t>
      </w:r>
    </w:p>
    <w:p w:rsidR="004A1EA0" w:rsidRPr="000D5CC4" w:rsidRDefault="004A1EA0" w:rsidP="004A1EA0">
      <w:pPr>
        <w:pStyle w:val="enumlev2"/>
      </w:pPr>
      <w:r>
        <w:t>•</w:t>
      </w:r>
      <w:r>
        <w:tab/>
      </w:r>
      <w:r w:rsidRPr="000D5CC4">
        <w:t>L'environnement des télécommunications/TIC</w:t>
      </w:r>
    </w:p>
    <w:p w:rsidR="004A1EA0" w:rsidRPr="00202427" w:rsidRDefault="004A1EA0" w:rsidP="00682BA8">
      <w:pPr>
        <w:pStyle w:val="Headingb"/>
      </w:pPr>
      <w:r w:rsidRPr="00202427">
        <w:t>Annexe 2 de la Résolution 71: Plan stratégique de l'Union pour la période 2016</w:t>
      </w:r>
      <w:r w:rsidRPr="00202427">
        <w:noBreakHyphen/>
        <w:t xml:space="preserve">2019 </w:t>
      </w:r>
    </w:p>
    <w:p w:rsidR="004A1EA0" w:rsidRPr="000D5CC4" w:rsidRDefault="004A1EA0" w:rsidP="004A1EA0">
      <w:pPr>
        <w:pStyle w:val="enumlev1"/>
      </w:pPr>
      <w:r>
        <w:t>–</w:t>
      </w:r>
      <w:r>
        <w:tab/>
      </w:r>
      <w:r w:rsidRPr="000D5CC4">
        <w:t>Vision, Mission [et Valeurs] de l'UIT</w:t>
      </w:r>
    </w:p>
    <w:p w:rsidR="004A1EA0" w:rsidRPr="000D5CC4" w:rsidRDefault="004A1EA0" w:rsidP="004A1EA0">
      <w:pPr>
        <w:pStyle w:val="enumlev1"/>
      </w:pPr>
      <w:r>
        <w:t>–</w:t>
      </w:r>
      <w:r>
        <w:tab/>
      </w:r>
      <w:r w:rsidRPr="000D5CC4">
        <w:t>Buts et cibles stratégiques de l'Union</w:t>
      </w:r>
    </w:p>
    <w:p w:rsidR="004A1EA0" w:rsidRPr="000D5CC4" w:rsidRDefault="004A1EA0" w:rsidP="004A1EA0">
      <w:pPr>
        <w:pStyle w:val="enumlev1"/>
      </w:pPr>
      <w:r>
        <w:t>–</w:t>
      </w:r>
      <w:r>
        <w:tab/>
      </w:r>
      <w:r w:rsidRPr="000D5CC4">
        <w:t xml:space="preserve">Gestion des risques stratégiques et atténuation des risques </w:t>
      </w:r>
    </w:p>
    <w:p w:rsidR="004A1EA0" w:rsidRPr="000D5CC4" w:rsidRDefault="004A1EA0" w:rsidP="004A1EA0">
      <w:pPr>
        <w:pStyle w:val="enumlev1"/>
      </w:pPr>
      <w:r>
        <w:t>–</w:t>
      </w:r>
      <w:r>
        <w:tab/>
      </w:r>
      <w:r w:rsidRPr="000D5CC4">
        <w:t xml:space="preserve">Objectifs/Processus/Résultats sectoriels et intersectoriels </w:t>
      </w:r>
    </w:p>
    <w:p w:rsidR="004A1EA0" w:rsidRPr="000D5CC4" w:rsidRDefault="004A1EA0" w:rsidP="004A1EA0">
      <w:pPr>
        <w:pStyle w:val="enumlev1"/>
      </w:pPr>
      <w:r>
        <w:t>–</w:t>
      </w:r>
      <w:r>
        <w:tab/>
      </w:r>
      <w:r w:rsidRPr="000D5CC4">
        <w:t xml:space="preserve">Mise en </w:t>
      </w:r>
      <w:proofErr w:type="spellStart"/>
      <w:r>
        <w:t>oe</w:t>
      </w:r>
      <w:r w:rsidRPr="000D5CC4">
        <w:t>uvre</w:t>
      </w:r>
      <w:proofErr w:type="spellEnd"/>
      <w:r w:rsidRPr="000D5CC4">
        <w:t xml:space="preserve"> et évaluation</w:t>
      </w:r>
    </w:p>
    <w:p w:rsidR="004A1EA0" w:rsidRPr="00202427" w:rsidRDefault="004A1EA0" w:rsidP="00682BA8">
      <w:pPr>
        <w:pStyle w:val="Headingb"/>
      </w:pPr>
      <w:r w:rsidRPr="00202427">
        <w:t>Annexe 3 de la Résolution 71: Glossaire</w:t>
      </w:r>
    </w:p>
    <w:p w:rsidR="004A1EA0" w:rsidRPr="00682BA8" w:rsidRDefault="004A1EA0" w:rsidP="00682BA8">
      <w:pPr>
        <w:pStyle w:val="Headingb"/>
        <w:rPr>
          <w:i/>
          <w:iCs/>
        </w:rPr>
      </w:pPr>
      <w:r w:rsidRPr="00682BA8">
        <w:rPr>
          <w:i/>
          <w:iCs/>
        </w:rPr>
        <w:t>Actuelle Annexe 1 de la Résolution 71</w:t>
      </w:r>
    </w:p>
    <w:p w:rsidR="004A1EA0" w:rsidRPr="000D5CC4" w:rsidRDefault="004A1EA0" w:rsidP="004A1EA0">
      <w:pPr>
        <w:pStyle w:val="enumlev1"/>
      </w:pPr>
      <w:r>
        <w:t>1)</w:t>
      </w:r>
      <w:r>
        <w:tab/>
      </w:r>
      <w:r w:rsidRPr="000D5CC4">
        <w:t>Introduction</w:t>
      </w:r>
    </w:p>
    <w:p w:rsidR="004A1EA0" w:rsidRPr="000D5CC4" w:rsidRDefault="004A1EA0" w:rsidP="004A1EA0">
      <w:pPr>
        <w:pStyle w:val="enumlev1"/>
      </w:pPr>
      <w:r>
        <w:t>2)</w:t>
      </w:r>
      <w:r>
        <w:tab/>
      </w:r>
      <w:r w:rsidRPr="000D5CC4">
        <w:t xml:space="preserve">L'évolution de l'environnement des télécommunications/TIC et ses incidences pour l'Union </w:t>
      </w:r>
    </w:p>
    <w:p w:rsidR="004A1EA0" w:rsidRPr="000D5CC4" w:rsidRDefault="004A1EA0" w:rsidP="004A1EA0">
      <w:pPr>
        <w:pStyle w:val="enumlev1"/>
      </w:pPr>
      <w:r>
        <w:t>3)</w:t>
      </w:r>
      <w:r>
        <w:tab/>
      </w:r>
      <w:r w:rsidRPr="000D5CC4">
        <w:t>Orientations et buts stratégiques</w:t>
      </w:r>
    </w:p>
    <w:p w:rsidR="004A1EA0" w:rsidRPr="000D5CC4" w:rsidRDefault="004A1EA0" w:rsidP="004A1EA0">
      <w:pPr>
        <w:pStyle w:val="enumlev1"/>
      </w:pPr>
      <w:r>
        <w:t>4)</w:t>
      </w:r>
      <w:r>
        <w:tab/>
      </w:r>
      <w:r w:rsidRPr="000D5CC4">
        <w:t>Partie I – O</w:t>
      </w:r>
      <w:r>
        <w:t>bjectifs et produits sectoriels</w:t>
      </w:r>
    </w:p>
    <w:p w:rsidR="004A1EA0" w:rsidRPr="000D5CC4" w:rsidRDefault="004A1EA0" w:rsidP="004A1EA0">
      <w:pPr>
        <w:pStyle w:val="enumlev1"/>
      </w:pPr>
      <w:r>
        <w:t>5)</w:t>
      </w:r>
      <w:r>
        <w:tab/>
      </w:r>
      <w:r w:rsidRPr="000D5CC4">
        <w:t>Partie II – Rattachement des objectifs sectoriels et des objectifs du Secrétariat général aux orientations et a</w:t>
      </w:r>
      <w:r>
        <w:t>ux buts stratégiques de l'Union</w:t>
      </w:r>
    </w:p>
    <w:p w:rsidR="004A1EA0" w:rsidRDefault="004A1EA0" w:rsidP="004A1EA0">
      <w:pPr>
        <w:pStyle w:val="enumlev1"/>
      </w:pPr>
      <w:r>
        <w:t>6)</w:t>
      </w:r>
      <w:r>
        <w:tab/>
      </w:r>
      <w:r w:rsidRPr="000D5CC4">
        <w:t>Partie III – Description générale des termes utilisés dans la Résolution 71</w:t>
      </w:r>
    </w:p>
    <w:p w:rsidR="004A1EA0" w:rsidRDefault="004A1EA0" w:rsidP="0032202E">
      <w:pPr>
        <w:pStyle w:val="Reasons"/>
      </w:pPr>
    </w:p>
    <w:p w:rsidR="004A1EA0" w:rsidRDefault="004A1EA0">
      <w:pPr>
        <w:jc w:val="center"/>
      </w:pPr>
      <w:r>
        <w:t>______________</w:t>
      </w:r>
    </w:p>
    <w:p w:rsidR="004A1EA0" w:rsidRDefault="004A1EA0" w:rsidP="004A1EA0">
      <w:pPr>
        <w:pStyle w:val="enumlev1"/>
      </w:pPr>
    </w:p>
    <w:sectPr w:rsidR="004A1EA0" w:rsidSect="00DF466E">
      <w:footerReference w:type="first" r:id="rId18"/>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94C" w:rsidRDefault="00DA694C">
      <w:r>
        <w:separator/>
      </w:r>
    </w:p>
  </w:endnote>
  <w:endnote w:type="continuationSeparator" w:id="0">
    <w:p w:rsidR="00DA694C" w:rsidRDefault="00DA6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314" w:rsidRPr="004A1EA0" w:rsidRDefault="00F00314" w:rsidP="00F00314">
    <w:pPr>
      <w:pStyle w:val="Footer"/>
      <w:tabs>
        <w:tab w:val="clear" w:pos="5954"/>
        <w:tab w:val="clear" w:pos="9639"/>
        <w:tab w:val="left" w:pos="7655"/>
        <w:tab w:val="right" w:pos="9498"/>
      </w:tabs>
      <w:rPr>
        <w:lang w:val="en-US"/>
      </w:rPr>
    </w:pPr>
    <w:r>
      <w:fldChar w:fldCharType="begin"/>
    </w:r>
    <w:r w:rsidRPr="004A1EA0">
      <w:rPr>
        <w:lang w:val="en-US"/>
      </w:rPr>
      <w:instrText xml:space="preserve"> FILENAME \p \* MERGEFORMAT </w:instrText>
    </w:r>
    <w:r>
      <w:fldChar w:fldCharType="separate"/>
    </w:r>
    <w:r w:rsidR="00081676">
      <w:rPr>
        <w:lang w:val="en-US"/>
      </w:rPr>
      <w:t>P:\FRA\SG\CONF-SG\PP14\000\034ADD01F.docx</w:t>
    </w:r>
    <w:r>
      <w:fldChar w:fldCharType="end"/>
    </w:r>
    <w:r>
      <w:t xml:space="preserve"> (360176)</w:t>
    </w:r>
    <w:r w:rsidRPr="004A1EA0">
      <w:rPr>
        <w:lang w:val="en-US"/>
      </w:rPr>
      <w:tab/>
    </w:r>
    <w:r>
      <w:fldChar w:fldCharType="begin"/>
    </w:r>
    <w:r>
      <w:instrText xml:space="preserve"> savedate \@ dd.MM.yy </w:instrText>
    </w:r>
    <w:r>
      <w:fldChar w:fldCharType="separate"/>
    </w:r>
    <w:r w:rsidR="007678DD">
      <w:t>12.05.14</w:t>
    </w:r>
    <w:r>
      <w:fldChar w:fldCharType="end"/>
    </w:r>
    <w:r w:rsidRPr="004A1EA0">
      <w:rPr>
        <w:lang w:val="en-US"/>
      </w:rPr>
      <w:tab/>
    </w:r>
    <w:r>
      <w:fldChar w:fldCharType="begin"/>
    </w:r>
    <w:r>
      <w:instrText xml:space="preserve"> printdate \@ dd.MM.yy </w:instrText>
    </w:r>
    <w:r>
      <w:fldChar w:fldCharType="separate"/>
    </w:r>
    <w:r w:rsidR="00081676">
      <w:t>00.00.00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Default="000C467B" w:rsidP="00CF752D">
    <w:pPr>
      <w:pStyle w:val="FirstFooter"/>
      <w:jc w:val="center"/>
    </w:pPr>
  </w:p>
  <w:p w:rsidR="00F00314" w:rsidRPr="00F00314" w:rsidRDefault="00F00314" w:rsidP="00F00314">
    <w:pPr>
      <w:pStyle w:val="Footer"/>
      <w:tabs>
        <w:tab w:val="clear" w:pos="5954"/>
        <w:tab w:val="clear" w:pos="9639"/>
        <w:tab w:val="left" w:pos="7655"/>
        <w:tab w:val="right" w:pos="9498"/>
      </w:tabs>
    </w:pPr>
    <w:r>
      <w:fldChar w:fldCharType="begin"/>
    </w:r>
    <w:r w:rsidRPr="00F00314">
      <w:instrText xml:space="preserve"> FILENAME \p \* MERGEFORMAT </w:instrText>
    </w:r>
    <w:r>
      <w:fldChar w:fldCharType="separate"/>
    </w:r>
    <w:r w:rsidR="00081676">
      <w:t>P:\FRA\SG\CONF-SG\PP14\000\034ADD01F.docx</w:t>
    </w:r>
    <w:r>
      <w:fldChar w:fldCharType="end"/>
    </w:r>
    <w:r>
      <w:t xml:space="preserve"> (360176)</w:t>
    </w:r>
    <w:r w:rsidRPr="00F00314">
      <w:tab/>
    </w:r>
    <w:r>
      <w:fldChar w:fldCharType="begin"/>
    </w:r>
    <w:r>
      <w:instrText xml:space="preserve"> savedate \@ dd.MM.yy </w:instrText>
    </w:r>
    <w:r>
      <w:fldChar w:fldCharType="separate"/>
    </w:r>
    <w:r w:rsidR="007678DD">
      <w:t>12.05.14</w:t>
    </w:r>
    <w:r>
      <w:fldChar w:fldCharType="end"/>
    </w:r>
    <w:r w:rsidRPr="00F00314">
      <w:tab/>
    </w:r>
    <w:r>
      <w:fldChar w:fldCharType="begin"/>
    </w:r>
    <w:r>
      <w:instrText xml:space="preserve"> printdate \@ dd.MM.yy </w:instrText>
    </w:r>
    <w:r>
      <w:fldChar w:fldCharType="separate"/>
    </w:r>
    <w:r w:rsidR="00081676">
      <w:t>00.00.00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314" w:rsidRPr="004A1EA0" w:rsidRDefault="00F00314" w:rsidP="00F00314">
    <w:pPr>
      <w:pStyle w:val="Footer"/>
      <w:tabs>
        <w:tab w:val="clear" w:pos="5954"/>
        <w:tab w:val="clear" w:pos="9639"/>
        <w:tab w:val="left" w:pos="7655"/>
        <w:tab w:val="right" w:pos="9498"/>
      </w:tabs>
      <w:rPr>
        <w:lang w:val="en-US"/>
      </w:rPr>
    </w:pPr>
    <w:r>
      <w:fldChar w:fldCharType="begin"/>
    </w:r>
    <w:r w:rsidRPr="004A1EA0">
      <w:rPr>
        <w:lang w:val="en-US"/>
      </w:rPr>
      <w:instrText xml:space="preserve"> FILENAME \p \* MERGEFORMAT </w:instrText>
    </w:r>
    <w:r>
      <w:fldChar w:fldCharType="separate"/>
    </w:r>
    <w:r w:rsidR="00081676">
      <w:rPr>
        <w:lang w:val="en-US"/>
      </w:rPr>
      <w:t>P:\FRA\SG\CONF-SG\PP14\000\034ADD01F.docx</w:t>
    </w:r>
    <w:r>
      <w:fldChar w:fldCharType="end"/>
    </w:r>
    <w:r>
      <w:t xml:space="preserve"> (360176)</w:t>
    </w:r>
    <w:r w:rsidRPr="004A1EA0">
      <w:rPr>
        <w:lang w:val="en-US"/>
      </w:rPr>
      <w:tab/>
    </w:r>
    <w:r>
      <w:fldChar w:fldCharType="begin"/>
    </w:r>
    <w:r>
      <w:instrText xml:space="preserve"> savedate \@ dd.MM.yy </w:instrText>
    </w:r>
    <w:r>
      <w:fldChar w:fldCharType="separate"/>
    </w:r>
    <w:r w:rsidR="007678DD">
      <w:t>12.05.14</w:t>
    </w:r>
    <w:r>
      <w:fldChar w:fldCharType="end"/>
    </w:r>
    <w:r w:rsidRPr="004A1EA0">
      <w:rPr>
        <w:lang w:val="en-US"/>
      </w:rPr>
      <w:tab/>
    </w:r>
    <w:r>
      <w:fldChar w:fldCharType="begin"/>
    </w:r>
    <w:r>
      <w:instrText xml:space="preserve"> printdate \@ dd.MM.yy </w:instrText>
    </w:r>
    <w:r>
      <w:fldChar w:fldCharType="separate"/>
    </w:r>
    <w:r w:rsidR="00081676">
      <w:t>00.00.00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314" w:rsidRPr="004A1EA0" w:rsidRDefault="00F00314" w:rsidP="00F00314">
    <w:pPr>
      <w:pStyle w:val="Footer"/>
      <w:tabs>
        <w:tab w:val="clear" w:pos="5954"/>
        <w:tab w:val="clear" w:pos="9639"/>
        <w:tab w:val="left" w:pos="7655"/>
        <w:tab w:val="right" w:pos="9498"/>
      </w:tabs>
      <w:rPr>
        <w:lang w:val="en-US"/>
      </w:rPr>
    </w:pPr>
    <w:r>
      <w:fldChar w:fldCharType="begin"/>
    </w:r>
    <w:r w:rsidRPr="004A1EA0">
      <w:rPr>
        <w:lang w:val="en-US"/>
      </w:rPr>
      <w:instrText xml:space="preserve"> FILENAME \p \* MERGEFORMAT </w:instrText>
    </w:r>
    <w:r>
      <w:fldChar w:fldCharType="separate"/>
    </w:r>
    <w:r w:rsidR="00081676">
      <w:rPr>
        <w:lang w:val="en-US"/>
      </w:rPr>
      <w:t>P:\FRA\SG\CONF-SG\PP14\000\034ADD01F.docx</w:t>
    </w:r>
    <w:r>
      <w:fldChar w:fldCharType="end"/>
    </w:r>
    <w:r>
      <w:t xml:space="preserve"> (360176)</w:t>
    </w:r>
    <w:r w:rsidRPr="004A1EA0">
      <w:rPr>
        <w:lang w:val="en-US"/>
      </w:rPr>
      <w:tab/>
    </w:r>
    <w:r>
      <w:fldChar w:fldCharType="begin"/>
    </w:r>
    <w:r>
      <w:instrText xml:space="preserve"> savedate \@ dd.MM.yy </w:instrText>
    </w:r>
    <w:r>
      <w:fldChar w:fldCharType="separate"/>
    </w:r>
    <w:r w:rsidR="007678DD">
      <w:t>12.05.14</w:t>
    </w:r>
    <w:r>
      <w:fldChar w:fldCharType="end"/>
    </w:r>
    <w:r w:rsidRPr="004A1EA0">
      <w:rPr>
        <w:lang w:val="en-US"/>
      </w:rPr>
      <w:tab/>
    </w:r>
    <w:r>
      <w:fldChar w:fldCharType="begin"/>
    </w:r>
    <w:r>
      <w:instrText xml:space="preserve"> printdate \@ dd.MM.yy </w:instrText>
    </w:r>
    <w:r>
      <w:fldChar w:fldCharType="separate"/>
    </w:r>
    <w:r w:rsidR="00081676">
      <w:t>00.00.00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94C" w:rsidRDefault="00DA694C">
      <w:r>
        <w:t>____________________</w:t>
      </w:r>
    </w:p>
  </w:footnote>
  <w:footnote w:type="continuationSeparator" w:id="0">
    <w:p w:rsidR="00DA694C" w:rsidRDefault="00DA6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614" w:rsidRDefault="00BD1614" w:rsidP="00BD1614">
    <w:pPr>
      <w:pStyle w:val="Header"/>
    </w:pPr>
    <w:r>
      <w:fldChar w:fldCharType="begin"/>
    </w:r>
    <w:r>
      <w:instrText xml:space="preserve"> PAGE </w:instrText>
    </w:r>
    <w:r>
      <w:fldChar w:fldCharType="separate"/>
    </w:r>
    <w:r w:rsidR="007678DD">
      <w:rPr>
        <w:noProof/>
      </w:rPr>
      <w:t>7</w:t>
    </w:r>
    <w:r>
      <w:fldChar w:fldCharType="end"/>
    </w:r>
  </w:p>
  <w:p w:rsidR="00BD1614" w:rsidRDefault="00BD1614" w:rsidP="00CF752D">
    <w:pPr>
      <w:pStyle w:val="Header"/>
      <w:spacing w:after="120"/>
    </w:pPr>
    <w:r>
      <w:t>PP14/34(Add.1)-</w:t>
    </w:r>
    <w:r w:rsidRPr="00010B43">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52D" w:rsidRDefault="00CF752D" w:rsidP="00CF752D">
    <w:pPr>
      <w:pStyle w:val="Header"/>
    </w:pPr>
    <w:r>
      <w:fldChar w:fldCharType="begin"/>
    </w:r>
    <w:r>
      <w:instrText xml:space="preserve"> PAGE </w:instrText>
    </w:r>
    <w:r>
      <w:fldChar w:fldCharType="separate"/>
    </w:r>
    <w:r w:rsidR="007678DD">
      <w:rPr>
        <w:noProof/>
      </w:rPr>
      <w:t>2</w:t>
    </w:r>
    <w:r>
      <w:fldChar w:fldCharType="end"/>
    </w:r>
  </w:p>
  <w:p w:rsidR="00CF752D" w:rsidRPr="00CF752D" w:rsidRDefault="00CF752D" w:rsidP="00CF752D">
    <w:pPr>
      <w:pStyle w:val="Header"/>
      <w:spacing w:after="120"/>
    </w:pPr>
    <w:r>
      <w:t>PP14/34(Add.1)-</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A7A4D46"/>
    <w:lvl w:ilvl="0">
      <w:start w:val="1"/>
      <w:numFmt w:val="decimal"/>
      <w:lvlText w:val="%1."/>
      <w:lvlJc w:val="left"/>
      <w:pPr>
        <w:tabs>
          <w:tab w:val="num" w:pos="1492"/>
        </w:tabs>
        <w:ind w:left="1492" w:hanging="360"/>
      </w:pPr>
    </w:lvl>
  </w:abstractNum>
  <w:abstractNum w:abstractNumId="1">
    <w:nsid w:val="FFFFFF7D"/>
    <w:multiLevelType w:val="singleLevel"/>
    <w:tmpl w:val="921A91A2"/>
    <w:lvl w:ilvl="0">
      <w:start w:val="1"/>
      <w:numFmt w:val="decimal"/>
      <w:lvlText w:val="%1."/>
      <w:lvlJc w:val="left"/>
      <w:pPr>
        <w:tabs>
          <w:tab w:val="num" w:pos="1209"/>
        </w:tabs>
        <w:ind w:left="1209" w:hanging="360"/>
      </w:pPr>
    </w:lvl>
  </w:abstractNum>
  <w:abstractNum w:abstractNumId="2">
    <w:nsid w:val="FFFFFF7E"/>
    <w:multiLevelType w:val="singleLevel"/>
    <w:tmpl w:val="646E6E0E"/>
    <w:lvl w:ilvl="0">
      <w:start w:val="1"/>
      <w:numFmt w:val="decimal"/>
      <w:lvlText w:val="%1."/>
      <w:lvlJc w:val="left"/>
      <w:pPr>
        <w:tabs>
          <w:tab w:val="num" w:pos="926"/>
        </w:tabs>
        <w:ind w:left="926" w:hanging="360"/>
      </w:pPr>
    </w:lvl>
  </w:abstractNum>
  <w:abstractNum w:abstractNumId="3">
    <w:nsid w:val="FFFFFF7F"/>
    <w:multiLevelType w:val="singleLevel"/>
    <w:tmpl w:val="18C46440"/>
    <w:lvl w:ilvl="0">
      <w:start w:val="1"/>
      <w:numFmt w:val="decimal"/>
      <w:lvlText w:val="%1."/>
      <w:lvlJc w:val="left"/>
      <w:pPr>
        <w:tabs>
          <w:tab w:val="num" w:pos="643"/>
        </w:tabs>
        <w:ind w:left="643" w:hanging="360"/>
      </w:pPr>
    </w:lvl>
  </w:abstractNum>
  <w:abstractNum w:abstractNumId="4">
    <w:nsid w:val="FFFFFF80"/>
    <w:multiLevelType w:val="singleLevel"/>
    <w:tmpl w:val="463257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5945F5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D032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B94F3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E08508"/>
    <w:lvl w:ilvl="0">
      <w:start w:val="1"/>
      <w:numFmt w:val="decimal"/>
      <w:lvlText w:val="%1."/>
      <w:lvlJc w:val="left"/>
      <w:pPr>
        <w:tabs>
          <w:tab w:val="num" w:pos="360"/>
        </w:tabs>
        <w:ind w:left="360" w:hanging="360"/>
      </w:pPr>
    </w:lvl>
  </w:abstractNum>
  <w:abstractNum w:abstractNumId="9">
    <w:nsid w:val="FFFFFF89"/>
    <w:multiLevelType w:val="singleLevel"/>
    <w:tmpl w:val="99D4BF1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D5E"/>
    <w:rsid w:val="000054D8"/>
    <w:rsid w:val="00060D74"/>
    <w:rsid w:val="00072D5C"/>
    <w:rsid w:val="00081676"/>
    <w:rsid w:val="0008398C"/>
    <w:rsid w:val="00084308"/>
    <w:rsid w:val="000B14B6"/>
    <w:rsid w:val="000C467B"/>
    <w:rsid w:val="000D15FB"/>
    <w:rsid w:val="000F58F7"/>
    <w:rsid w:val="001051E4"/>
    <w:rsid w:val="00124D2B"/>
    <w:rsid w:val="001354EA"/>
    <w:rsid w:val="00136FCE"/>
    <w:rsid w:val="00153BA4"/>
    <w:rsid w:val="001941AD"/>
    <w:rsid w:val="001A0682"/>
    <w:rsid w:val="001B33AC"/>
    <w:rsid w:val="001B4D8D"/>
    <w:rsid w:val="001D31B2"/>
    <w:rsid w:val="001E1B9B"/>
    <w:rsid w:val="001F6233"/>
    <w:rsid w:val="002355CD"/>
    <w:rsid w:val="00270B2F"/>
    <w:rsid w:val="00291216"/>
    <w:rsid w:val="002A0E1B"/>
    <w:rsid w:val="002C1059"/>
    <w:rsid w:val="002C2F9C"/>
    <w:rsid w:val="0032270F"/>
    <w:rsid w:val="00322DEA"/>
    <w:rsid w:val="003A0B7D"/>
    <w:rsid w:val="003A45C2"/>
    <w:rsid w:val="003C4BE2"/>
    <w:rsid w:val="003D147D"/>
    <w:rsid w:val="003D637A"/>
    <w:rsid w:val="00400D40"/>
    <w:rsid w:val="00430015"/>
    <w:rsid w:val="004678D0"/>
    <w:rsid w:val="00482954"/>
    <w:rsid w:val="004A1EA0"/>
    <w:rsid w:val="00524001"/>
    <w:rsid w:val="00564B63"/>
    <w:rsid w:val="00567BC1"/>
    <w:rsid w:val="00575DC7"/>
    <w:rsid w:val="005836C2"/>
    <w:rsid w:val="005A4B1B"/>
    <w:rsid w:val="005A4EFD"/>
    <w:rsid w:val="005A5ABE"/>
    <w:rsid w:val="005C2ECC"/>
    <w:rsid w:val="005E419E"/>
    <w:rsid w:val="005F63BD"/>
    <w:rsid w:val="00611CF1"/>
    <w:rsid w:val="006201D9"/>
    <w:rsid w:val="006277DB"/>
    <w:rsid w:val="00635B7B"/>
    <w:rsid w:val="00655B98"/>
    <w:rsid w:val="006710E6"/>
    <w:rsid w:val="00682BA8"/>
    <w:rsid w:val="00686973"/>
    <w:rsid w:val="006A6342"/>
    <w:rsid w:val="006B6C9C"/>
    <w:rsid w:val="006C7AE3"/>
    <w:rsid w:val="006D55E8"/>
    <w:rsid w:val="006E1921"/>
    <w:rsid w:val="006F36F9"/>
    <w:rsid w:val="0070576B"/>
    <w:rsid w:val="00713335"/>
    <w:rsid w:val="00727C2F"/>
    <w:rsid w:val="00735F13"/>
    <w:rsid w:val="007678DD"/>
    <w:rsid w:val="007717F2"/>
    <w:rsid w:val="00772E3B"/>
    <w:rsid w:val="0078134C"/>
    <w:rsid w:val="00795BD7"/>
    <w:rsid w:val="007A5830"/>
    <w:rsid w:val="00801256"/>
    <w:rsid w:val="00823ED9"/>
    <w:rsid w:val="0085001C"/>
    <w:rsid w:val="008703CB"/>
    <w:rsid w:val="008C33C2"/>
    <w:rsid w:val="008C6137"/>
    <w:rsid w:val="008E2DB4"/>
    <w:rsid w:val="00901DD5"/>
    <w:rsid w:val="0090735B"/>
    <w:rsid w:val="00912D5E"/>
    <w:rsid w:val="00934340"/>
    <w:rsid w:val="00956DC7"/>
    <w:rsid w:val="00966CD3"/>
    <w:rsid w:val="00987A20"/>
    <w:rsid w:val="009A0E15"/>
    <w:rsid w:val="009A5BA4"/>
    <w:rsid w:val="009D4037"/>
    <w:rsid w:val="009F0592"/>
    <w:rsid w:val="00A175B2"/>
    <w:rsid w:val="00A20E72"/>
    <w:rsid w:val="00A246DC"/>
    <w:rsid w:val="00A47BAF"/>
    <w:rsid w:val="00A542D3"/>
    <w:rsid w:val="00A5784F"/>
    <w:rsid w:val="00A8436E"/>
    <w:rsid w:val="00A95B66"/>
    <w:rsid w:val="00AE0667"/>
    <w:rsid w:val="00B41E0A"/>
    <w:rsid w:val="00B56DE0"/>
    <w:rsid w:val="00B71F12"/>
    <w:rsid w:val="00B96B1E"/>
    <w:rsid w:val="00BB2A6F"/>
    <w:rsid w:val="00BD1614"/>
    <w:rsid w:val="00BF7D25"/>
    <w:rsid w:val="00C010C0"/>
    <w:rsid w:val="00C40CB5"/>
    <w:rsid w:val="00C5101B"/>
    <w:rsid w:val="00C54CE6"/>
    <w:rsid w:val="00C575E2"/>
    <w:rsid w:val="00C7368B"/>
    <w:rsid w:val="00C92746"/>
    <w:rsid w:val="00CC4DC5"/>
    <w:rsid w:val="00CE1A7C"/>
    <w:rsid w:val="00CF752D"/>
    <w:rsid w:val="00D0464B"/>
    <w:rsid w:val="00D12C74"/>
    <w:rsid w:val="00D2263F"/>
    <w:rsid w:val="00D43C6D"/>
    <w:rsid w:val="00D56483"/>
    <w:rsid w:val="00D5658F"/>
    <w:rsid w:val="00D56AD6"/>
    <w:rsid w:val="00D70019"/>
    <w:rsid w:val="00D7033F"/>
    <w:rsid w:val="00D74B58"/>
    <w:rsid w:val="00D82ABE"/>
    <w:rsid w:val="00DA4ABA"/>
    <w:rsid w:val="00DA685B"/>
    <w:rsid w:val="00DA694C"/>
    <w:rsid w:val="00DA742B"/>
    <w:rsid w:val="00DF25C1"/>
    <w:rsid w:val="00DF466E"/>
    <w:rsid w:val="00DF48F7"/>
    <w:rsid w:val="00DF4964"/>
    <w:rsid w:val="00DF4D73"/>
    <w:rsid w:val="00DF79B0"/>
    <w:rsid w:val="00E1047D"/>
    <w:rsid w:val="00E443FA"/>
    <w:rsid w:val="00E54FCE"/>
    <w:rsid w:val="00E60DA1"/>
    <w:rsid w:val="00E93D35"/>
    <w:rsid w:val="00EA45DB"/>
    <w:rsid w:val="00ED2CD9"/>
    <w:rsid w:val="00F00314"/>
    <w:rsid w:val="00F07DA7"/>
    <w:rsid w:val="00F564C1"/>
    <w:rsid w:val="00F77FA2"/>
    <w:rsid w:val="00F8357A"/>
    <w:rsid w:val="00FA1821"/>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link w:val="FooterChar"/>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uiPriority w:val="99"/>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AE0667"/>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table" w:styleId="LightList-Accent1">
    <w:name w:val="Light List Accent 1"/>
    <w:basedOn w:val="TableNormal"/>
    <w:uiPriority w:val="61"/>
    <w:rsid w:val="00DF466E"/>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1Char">
    <w:name w:val="Heading 1 Char"/>
    <w:basedOn w:val="DefaultParagraphFont"/>
    <w:link w:val="Heading1"/>
    <w:rsid w:val="004A1EA0"/>
    <w:rPr>
      <w:rFonts w:ascii="Calibri" w:hAnsi="Calibri"/>
      <w:b/>
      <w:sz w:val="28"/>
      <w:lang w:val="fr-FR" w:eastAsia="en-US"/>
    </w:rPr>
  </w:style>
  <w:style w:type="character" w:customStyle="1" w:styleId="FooterChar">
    <w:name w:val="Footer Char"/>
    <w:basedOn w:val="DefaultParagraphFont"/>
    <w:link w:val="Footer"/>
    <w:rsid w:val="00F00314"/>
    <w:rPr>
      <w:rFonts w:ascii="Calibri" w:hAnsi="Calibri"/>
      <w:caps/>
      <w:noProof/>
      <w:sz w:val="16"/>
      <w:lang w:val="fr-FR" w:eastAsia="en-US"/>
    </w:rPr>
  </w:style>
  <w:style w:type="table" w:styleId="TableGrid">
    <w:name w:val="Table Grid"/>
    <w:basedOn w:val="TableNormal"/>
    <w:rsid w:val="00767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link w:val="FooterChar"/>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uiPriority w:val="99"/>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AE0667"/>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table" w:styleId="LightList-Accent1">
    <w:name w:val="Light List Accent 1"/>
    <w:basedOn w:val="TableNormal"/>
    <w:uiPriority w:val="61"/>
    <w:rsid w:val="00DF466E"/>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1Char">
    <w:name w:val="Heading 1 Char"/>
    <w:basedOn w:val="DefaultParagraphFont"/>
    <w:link w:val="Heading1"/>
    <w:rsid w:val="004A1EA0"/>
    <w:rPr>
      <w:rFonts w:ascii="Calibri" w:hAnsi="Calibri"/>
      <w:b/>
      <w:sz w:val="28"/>
      <w:lang w:val="fr-FR" w:eastAsia="en-US"/>
    </w:rPr>
  </w:style>
  <w:style w:type="character" w:customStyle="1" w:styleId="FooterChar">
    <w:name w:val="Footer Char"/>
    <w:basedOn w:val="DefaultParagraphFont"/>
    <w:link w:val="Footer"/>
    <w:rsid w:val="00F00314"/>
    <w:rPr>
      <w:rFonts w:ascii="Calibri" w:hAnsi="Calibri"/>
      <w:caps/>
      <w:noProof/>
      <w:sz w:val="16"/>
      <w:lang w:val="fr-FR" w:eastAsia="en-US"/>
    </w:rPr>
  </w:style>
  <w:style w:type="table" w:styleId="TableGrid">
    <w:name w:val="Table Grid"/>
    <w:basedOn w:val="TableNormal"/>
    <w:rsid w:val="00767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2.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e0a75aa-6a6b-4089-a0a9-23c200df27c6">Documents Proposals Manager (DPM)</DPM_x0020_Author>
    <DPM_x0020_File_x0020_name xmlns="0e0a75aa-6a6b-4089-a0a9-23c200df27c6">S14-PP-C-0034!A1!MSW-F</DPM_x0020_File_x0020_name>
    <DPM_x0020_Version xmlns="0e0a75aa-6a6b-4089-a0a9-23c200df27c6">DPM_v5.7.0.12_prod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e0a75aa-6a6b-4089-a0a9-23c200df27c6" targetNamespace="http://schemas.microsoft.com/office/2006/metadata/properties" ma:root="true" ma:fieldsID="d41af5c836d734370eb92e7ee5f83852" ns2:_="" ns3:_="">
    <xsd:import namespace="996b2e75-67fd-4955-a3b0-5ab9934cb50b"/>
    <xsd:import namespace="0e0a75aa-6a6b-4089-a0a9-23c200df27c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e0a75aa-6a6b-4089-a0a9-23c200df27c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0e0a75aa-6a6b-4089-a0a9-23c200df27c6"/>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e0a75aa-6a6b-4089-a0a9-23c200df27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FF653C-3C10-4CBC-A850-16B35520F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2443</Words>
  <Characters>13927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S14-PP-C-0034!A1!MSW-F</vt:lpstr>
    </vt:vector>
  </TitlesOfParts>
  <Manager/>
  <Company/>
  <LinksUpToDate>false</LinksUpToDate>
  <CharactersWithSpaces>16338</CharactersWithSpaces>
  <SharedDoc>false</SharedDoc>
  <HyperlinkBase>http://www.itu.int/en/plenipotentiary/2014/Pages/about.aspx</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S14-PP-C-0034!A1!MSW-F</dc:title>
  <dc:subject>Plenipotentiary Conference (PP-14)</dc:subject>
  <dc:creator/>
  <cp:keywords>DPM_v5.7.0.12_prod</cp:keywords>
  <dc:description/>
  <cp:lastModifiedBy/>
  <cp:revision>1</cp:revision>
  <dcterms:created xsi:type="dcterms:W3CDTF">2014-05-12T10:26:00Z</dcterms:created>
  <dcterms:modified xsi:type="dcterms:W3CDTF">2014-07-07T15:45:00Z</dcterms:modified>
  <cp:category>Conference document</cp:category>
</cp:coreProperties>
</file>