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971" w:rsidRPr="007F6CEF">
        <w:trPr>
          <w:cantSplit/>
        </w:trPr>
        <w:tc>
          <w:tcPr>
            <w:tcW w:w="6911" w:type="dxa"/>
          </w:tcPr>
          <w:p w:rsidR="00BC7971" w:rsidRPr="00C95B67" w:rsidRDefault="00BC7971" w:rsidP="00C95B67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F6CEF">
              <w:rPr>
                <w:b/>
                <w:smallCaps/>
                <w:sz w:val="28"/>
                <w:szCs w:val="28"/>
                <w:lang w:val="ru-RU"/>
              </w:rPr>
              <w:t>СОВЕТ 2014</w:t>
            </w:r>
            <w:r w:rsidRPr="007F6CE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767D7" w:rsidRPr="00C21591">
              <w:rPr>
                <w:rFonts w:cs="Arial"/>
                <w:b/>
                <w:bCs/>
                <w:szCs w:val="22"/>
                <w:lang w:val="ru-RU"/>
              </w:rPr>
              <w:t xml:space="preserve">Заключительное </w:t>
            </w:r>
            <w:r w:rsidR="00A85FCD" w:rsidRPr="007F6CEF">
              <w:rPr>
                <w:rFonts w:cs="Arial"/>
                <w:b/>
                <w:bCs/>
                <w:szCs w:val="22"/>
                <w:lang w:val="ru-RU"/>
              </w:rPr>
              <w:t>собрание</w:t>
            </w:r>
            <w:r w:rsidR="001767D7" w:rsidRPr="007F6CEF">
              <w:rPr>
                <w:rFonts w:cs="Arial"/>
                <w:b/>
                <w:bCs/>
                <w:szCs w:val="22"/>
                <w:lang w:val="ru-RU"/>
              </w:rPr>
              <w:t>, Пусан</w:t>
            </w:r>
            <w:r w:rsidR="00C95B67">
              <w:rPr>
                <w:b/>
                <w:bCs/>
                <w:szCs w:val="22"/>
                <w:lang w:val="ru-RU"/>
              </w:rPr>
              <w:t>, 18 октября 2014 года</w:t>
            </w:r>
          </w:p>
        </w:tc>
        <w:tc>
          <w:tcPr>
            <w:tcW w:w="3120" w:type="dxa"/>
          </w:tcPr>
          <w:p w:rsidR="00BC7971" w:rsidRPr="007F6CEF" w:rsidRDefault="00BC7971" w:rsidP="00170B2C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7F6CEF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0671121C" wp14:editId="3AD06276">
                  <wp:extent cx="1310640" cy="701040"/>
                  <wp:effectExtent l="19050" t="0" r="381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971" w:rsidRPr="007F6CE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971" w:rsidRPr="007F6CEF" w:rsidRDefault="00BC7971" w:rsidP="00170B2C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971" w:rsidRPr="007F6CEF" w:rsidRDefault="00BC7971" w:rsidP="00170B2C">
            <w:pPr>
              <w:spacing w:before="0"/>
              <w:rPr>
                <w:szCs w:val="22"/>
                <w:lang w:val="ru-RU"/>
              </w:rPr>
            </w:pPr>
          </w:p>
        </w:tc>
      </w:tr>
      <w:tr w:rsidR="00BC7971" w:rsidRPr="007F6CE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971" w:rsidRPr="007F6CEF" w:rsidRDefault="00BC7971" w:rsidP="00170B2C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971" w:rsidRPr="007F6CEF" w:rsidRDefault="00BC7971" w:rsidP="00170B2C">
            <w:pPr>
              <w:spacing w:before="0"/>
              <w:rPr>
                <w:szCs w:val="22"/>
                <w:lang w:val="ru-RU"/>
              </w:rPr>
            </w:pPr>
          </w:p>
        </w:tc>
      </w:tr>
      <w:tr w:rsidR="00BC7971" w:rsidRPr="007F6CEF">
        <w:trPr>
          <w:cantSplit/>
          <w:trHeight w:val="23"/>
        </w:trPr>
        <w:tc>
          <w:tcPr>
            <w:tcW w:w="6911" w:type="dxa"/>
            <w:vMerge w:val="restart"/>
          </w:tcPr>
          <w:p w:rsidR="00BC7971" w:rsidRPr="007F6CEF" w:rsidRDefault="00BC7971" w:rsidP="00170B2C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971" w:rsidRPr="007F6CEF" w:rsidRDefault="001767D7" w:rsidP="00170B2C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F6CEF">
              <w:rPr>
                <w:b/>
                <w:bCs/>
                <w:szCs w:val="22"/>
                <w:lang w:val="ru-RU"/>
              </w:rPr>
              <w:t>Документ C14/105</w:t>
            </w:r>
            <w:r w:rsidR="00BC7971" w:rsidRPr="007F6CE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971" w:rsidRPr="007F6CEF">
        <w:trPr>
          <w:cantSplit/>
          <w:trHeight w:val="23"/>
        </w:trPr>
        <w:tc>
          <w:tcPr>
            <w:tcW w:w="6911" w:type="dxa"/>
            <w:vMerge/>
          </w:tcPr>
          <w:p w:rsidR="00BC7971" w:rsidRPr="007F6CEF" w:rsidRDefault="00BC7971" w:rsidP="00170B2C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971" w:rsidRPr="007F6CEF" w:rsidRDefault="00BC7971" w:rsidP="00170B2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F6CEF">
              <w:rPr>
                <w:b/>
                <w:bCs/>
                <w:szCs w:val="22"/>
                <w:lang w:val="ru-RU"/>
              </w:rPr>
              <w:t>29 июля 201</w:t>
            </w:r>
            <w:r w:rsidR="001767D7" w:rsidRPr="007F6CEF">
              <w:rPr>
                <w:b/>
                <w:bCs/>
                <w:szCs w:val="22"/>
                <w:lang w:val="ru-RU"/>
              </w:rPr>
              <w:t>4</w:t>
            </w:r>
            <w:r w:rsidRPr="007F6CE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971" w:rsidRPr="007F6CEF">
        <w:trPr>
          <w:cantSplit/>
          <w:trHeight w:val="23"/>
        </w:trPr>
        <w:tc>
          <w:tcPr>
            <w:tcW w:w="6911" w:type="dxa"/>
            <w:vMerge/>
          </w:tcPr>
          <w:p w:rsidR="00BC7971" w:rsidRPr="007F6CEF" w:rsidRDefault="00BC7971" w:rsidP="00170B2C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971" w:rsidRPr="007F6CEF" w:rsidRDefault="00BC7971" w:rsidP="00170B2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F6CE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971" w:rsidRPr="007F6CEF">
        <w:trPr>
          <w:cantSplit/>
        </w:trPr>
        <w:tc>
          <w:tcPr>
            <w:tcW w:w="10031" w:type="dxa"/>
            <w:gridSpan w:val="2"/>
          </w:tcPr>
          <w:p w:rsidR="00BC7971" w:rsidRPr="007F6CEF" w:rsidRDefault="00BC7971" w:rsidP="00170B2C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7F6CEF">
              <w:rPr>
                <w:lang w:val="ru-RU"/>
              </w:rPr>
              <w:t>Отчет Генерального секретаря</w:t>
            </w:r>
          </w:p>
        </w:tc>
      </w:tr>
      <w:tr w:rsidR="00BC7971" w:rsidRPr="007F6CEF">
        <w:trPr>
          <w:cantSplit/>
        </w:trPr>
        <w:tc>
          <w:tcPr>
            <w:tcW w:w="10031" w:type="dxa"/>
            <w:gridSpan w:val="2"/>
          </w:tcPr>
          <w:p w:rsidR="00BC7971" w:rsidRPr="007F6CEF" w:rsidRDefault="00BC7971" w:rsidP="00170B2C">
            <w:pPr>
              <w:pStyle w:val="Title1"/>
              <w:rPr>
                <w:szCs w:val="22"/>
                <w:lang w:val="ru-RU"/>
              </w:rPr>
            </w:pPr>
            <w:bookmarkStart w:id="2" w:name="_Toc358129140"/>
            <w:bookmarkStart w:id="3" w:name="_Toc358192645"/>
            <w:bookmarkStart w:id="4" w:name="_Toc358192806"/>
            <w:bookmarkStart w:id="5" w:name="_Toc398125291"/>
            <w:bookmarkStart w:id="6" w:name="_Toc398125770"/>
            <w:bookmarkStart w:id="7" w:name="dtitle3" w:colFirst="0" w:colLast="0"/>
            <w:bookmarkEnd w:id="1"/>
            <w:r w:rsidRPr="007F6CEF">
              <w:rPr>
                <w:lang w:val="ru-RU"/>
              </w:rPr>
              <w:t>ВНЕШНЯЯ АУДИТОРСКАЯ ПРОВЕРКА</w:t>
            </w:r>
            <w:bookmarkEnd w:id="2"/>
            <w:bookmarkEnd w:id="3"/>
            <w:bookmarkEnd w:id="4"/>
            <w:bookmarkEnd w:id="5"/>
            <w:bookmarkEnd w:id="6"/>
          </w:p>
        </w:tc>
      </w:tr>
    </w:tbl>
    <w:p w:rsidR="002D2F57" w:rsidRPr="007F6CEF" w:rsidRDefault="002D2F57" w:rsidP="008E41F3">
      <w:pPr>
        <w:spacing w:before="240"/>
        <w:rPr>
          <w:lang w:val="ru-RU"/>
        </w:rPr>
      </w:pPr>
      <w:bookmarkStart w:id="8" w:name="_GoBack"/>
      <w:bookmarkEnd w:id="7"/>
      <w:bookmarkEnd w:id="8"/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C21591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7F6CEF" w:rsidRDefault="002D2F57" w:rsidP="00170B2C">
            <w:pPr>
              <w:pStyle w:val="Headingb"/>
              <w:rPr>
                <w:lang w:val="ru-RU"/>
              </w:rPr>
            </w:pPr>
            <w:bookmarkStart w:id="9" w:name="_Toc358129141"/>
            <w:bookmarkStart w:id="10" w:name="_Toc358192646"/>
            <w:bookmarkStart w:id="11" w:name="_Toc358192807"/>
            <w:bookmarkStart w:id="12" w:name="_Toc398125292"/>
            <w:bookmarkStart w:id="13" w:name="_Toc398125771"/>
            <w:bookmarkStart w:id="14" w:name="_Toc398127074"/>
            <w:r w:rsidRPr="007F6CEF">
              <w:rPr>
                <w:lang w:val="ru-RU"/>
              </w:rPr>
              <w:t>Резюме</w:t>
            </w:r>
            <w:bookmarkEnd w:id="9"/>
            <w:bookmarkEnd w:id="10"/>
            <w:bookmarkEnd w:id="11"/>
            <w:bookmarkEnd w:id="12"/>
            <w:bookmarkEnd w:id="13"/>
            <w:bookmarkEnd w:id="14"/>
          </w:p>
          <w:p w:rsidR="00AA0135" w:rsidRPr="007F6CEF" w:rsidRDefault="00585C42" w:rsidP="00170B2C">
            <w:pPr>
              <w:rPr>
                <w:lang w:val="ru-RU"/>
              </w:rPr>
            </w:pPr>
            <w:r w:rsidRPr="007F6CEF">
              <w:rPr>
                <w:lang w:val="ru-RU"/>
              </w:rPr>
              <w:t>Отчеты Внешнего аудитора касаются</w:t>
            </w:r>
            <w:r w:rsidR="00AA0135" w:rsidRPr="007F6CEF">
              <w:rPr>
                <w:lang w:val="ru-RU"/>
              </w:rPr>
              <w:t>:</w:t>
            </w:r>
          </w:p>
          <w:p w:rsidR="00AA0135" w:rsidRPr="007F6CEF" w:rsidRDefault="00AA0135" w:rsidP="00170B2C">
            <w:pPr>
              <w:pStyle w:val="enumlev1"/>
              <w:rPr>
                <w:lang w:val="ru-RU"/>
              </w:rPr>
            </w:pPr>
            <w:r w:rsidRPr="007F6CEF">
              <w:rPr>
                <w:lang w:val="ru-RU"/>
              </w:rPr>
              <w:tab/>
            </w:r>
            <w:r w:rsidR="00585C42" w:rsidRPr="007F6CEF">
              <w:rPr>
                <w:lang w:val="ru-RU"/>
              </w:rPr>
              <w:t>проверенных счетов за 201</w:t>
            </w:r>
            <w:r w:rsidR="00BC7971" w:rsidRPr="007F6CEF">
              <w:rPr>
                <w:lang w:val="ru-RU"/>
              </w:rPr>
              <w:t>3</w:t>
            </w:r>
            <w:r w:rsidR="00585C42" w:rsidRPr="007F6CEF">
              <w:rPr>
                <w:lang w:val="ru-RU"/>
              </w:rPr>
              <w:t xml:space="preserve"> год в отношении</w:t>
            </w:r>
            <w:r w:rsidRPr="007F6CEF">
              <w:rPr>
                <w:lang w:val="ru-RU"/>
              </w:rPr>
              <w:t>:</w:t>
            </w:r>
          </w:p>
          <w:p w:rsidR="00AA0135" w:rsidRPr="007F6CEF" w:rsidRDefault="00AA0135" w:rsidP="00170B2C">
            <w:pPr>
              <w:pStyle w:val="enumlev2"/>
              <w:rPr>
                <w:lang w:val="ru-RU"/>
              </w:rPr>
            </w:pPr>
            <w:r w:rsidRPr="007F6CEF">
              <w:rPr>
                <w:lang w:val="ru-RU"/>
              </w:rPr>
              <w:t>1</w:t>
            </w:r>
            <w:r w:rsidR="00535B14" w:rsidRPr="007F6CEF">
              <w:rPr>
                <w:lang w:val="ru-RU"/>
              </w:rPr>
              <w:t>)</w:t>
            </w:r>
            <w:r w:rsidRPr="007F6CEF">
              <w:rPr>
                <w:lang w:val="ru-RU"/>
              </w:rPr>
              <w:tab/>
            </w:r>
            <w:r w:rsidR="00585C42" w:rsidRPr="007F6CEF">
              <w:rPr>
                <w:lang w:val="ru-RU"/>
              </w:rPr>
              <w:t>аудита финансовой отчетности за 201</w:t>
            </w:r>
            <w:r w:rsidR="00BC7971" w:rsidRPr="007F6CEF">
              <w:rPr>
                <w:lang w:val="ru-RU"/>
              </w:rPr>
              <w:t>3</w:t>
            </w:r>
            <w:r w:rsidR="00585C42" w:rsidRPr="007F6CEF">
              <w:rPr>
                <w:lang w:val="ru-RU"/>
              </w:rPr>
              <w:t xml:space="preserve"> год</w:t>
            </w:r>
            <w:r w:rsidR="00A96D76" w:rsidRPr="007F6CEF">
              <w:rPr>
                <w:lang w:val="ru-RU"/>
              </w:rPr>
              <w:t>;</w:t>
            </w:r>
          </w:p>
          <w:p w:rsidR="002D2F57" w:rsidRPr="007F6CEF" w:rsidRDefault="00AA0135" w:rsidP="00170B2C">
            <w:pPr>
              <w:pStyle w:val="enumlev2"/>
              <w:rPr>
                <w:szCs w:val="22"/>
                <w:lang w:val="ru-RU"/>
              </w:rPr>
            </w:pPr>
            <w:r w:rsidRPr="007F6CEF">
              <w:rPr>
                <w:lang w:val="ru-RU"/>
              </w:rPr>
              <w:t>2</w:t>
            </w:r>
            <w:r w:rsidR="00535B14" w:rsidRPr="007F6CEF">
              <w:rPr>
                <w:lang w:val="ru-RU"/>
              </w:rPr>
              <w:t>)</w:t>
            </w:r>
            <w:r w:rsidRPr="007F6CEF">
              <w:rPr>
                <w:lang w:val="ru-RU"/>
              </w:rPr>
              <w:tab/>
            </w:r>
            <w:r w:rsidR="00585C42" w:rsidRPr="007F6CEF">
              <w:rPr>
                <w:lang w:val="ru-RU"/>
              </w:rPr>
              <w:t>Страховой кассы персонала МСЭ</w:t>
            </w:r>
            <w:r w:rsidR="002D2F57" w:rsidRPr="007F6CEF">
              <w:rPr>
                <w:szCs w:val="22"/>
                <w:lang w:val="ru-RU"/>
              </w:rPr>
              <w:t>.</w:t>
            </w:r>
          </w:p>
          <w:p w:rsidR="002D2F57" w:rsidRPr="007F6CEF" w:rsidRDefault="002D2F57" w:rsidP="00170B2C">
            <w:pPr>
              <w:pStyle w:val="Headingb"/>
              <w:rPr>
                <w:lang w:val="ru-RU"/>
              </w:rPr>
            </w:pPr>
            <w:bookmarkStart w:id="15" w:name="_Toc358129142"/>
            <w:bookmarkStart w:id="16" w:name="_Toc358192647"/>
            <w:bookmarkStart w:id="17" w:name="_Toc358192808"/>
            <w:bookmarkStart w:id="18" w:name="_Toc398125293"/>
            <w:bookmarkStart w:id="19" w:name="_Toc398125772"/>
            <w:bookmarkStart w:id="20" w:name="_Toc398127075"/>
            <w:r w:rsidRPr="007F6CEF">
              <w:rPr>
                <w:lang w:val="ru-RU"/>
              </w:rPr>
              <w:t xml:space="preserve">Необходимые </w:t>
            </w:r>
            <w:r w:rsidR="00F5225B" w:rsidRPr="007F6CEF">
              <w:rPr>
                <w:lang w:val="ru-RU"/>
              </w:rPr>
              <w:t>действия</w:t>
            </w:r>
            <w:bookmarkEnd w:id="15"/>
            <w:bookmarkEnd w:id="16"/>
            <w:bookmarkEnd w:id="17"/>
            <w:bookmarkEnd w:id="18"/>
            <w:bookmarkEnd w:id="19"/>
            <w:bookmarkEnd w:id="20"/>
          </w:p>
          <w:p w:rsidR="002D2F57" w:rsidRPr="007F6CEF" w:rsidRDefault="00BE72AB" w:rsidP="00170B2C">
            <w:pPr>
              <w:rPr>
                <w:szCs w:val="22"/>
                <w:lang w:val="ru-RU"/>
              </w:rPr>
            </w:pPr>
            <w:r w:rsidRPr="007F6CEF">
              <w:rPr>
                <w:lang w:val="ru-RU"/>
              </w:rPr>
              <w:t>Совету предлагается рассмотреть отчеты Внешнего аудитора по счетам за 201</w:t>
            </w:r>
            <w:r w:rsidR="00BC7971" w:rsidRPr="007F6CEF">
              <w:rPr>
                <w:lang w:val="ru-RU"/>
              </w:rPr>
              <w:t>3</w:t>
            </w:r>
            <w:r w:rsidR="00E1603F" w:rsidRPr="007F6CEF">
              <w:rPr>
                <w:lang w:val="ru-RU"/>
              </w:rPr>
              <w:t xml:space="preserve"> </w:t>
            </w:r>
            <w:r w:rsidRPr="007F6CEF">
              <w:rPr>
                <w:lang w:val="ru-RU"/>
              </w:rPr>
              <w:t xml:space="preserve">год и </w:t>
            </w:r>
            <w:r w:rsidRPr="007F6CEF">
              <w:rPr>
                <w:b/>
                <w:bCs/>
                <w:lang w:val="ru-RU"/>
              </w:rPr>
              <w:t>утвердить</w:t>
            </w:r>
            <w:r w:rsidRPr="007F6CEF">
              <w:rPr>
                <w:lang w:val="ru-RU"/>
              </w:rPr>
              <w:t xml:space="preserve"> счета в том виде, в каком они были проверены</w:t>
            </w:r>
            <w:r w:rsidR="006E04E1" w:rsidRPr="007F6CEF">
              <w:rPr>
                <w:rFonts w:asciiTheme="minorHAnsi" w:hAnsiTheme="minorHAnsi" w:cstheme="minorHAnsi"/>
                <w:lang w:val="ru-RU"/>
              </w:rPr>
              <w:t xml:space="preserve">. </w:t>
            </w:r>
          </w:p>
          <w:p w:rsidR="002D2F57" w:rsidRPr="007F6CEF" w:rsidRDefault="002D2F57" w:rsidP="00170B2C">
            <w:pPr>
              <w:spacing w:after="120"/>
              <w:jc w:val="center"/>
              <w:rPr>
                <w:caps/>
                <w:szCs w:val="22"/>
                <w:lang w:val="ru-RU"/>
              </w:rPr>
            </w:pPr>
            <w:r w:rsidRPr="007F6CEF">
              <w:rPr>
                <w:caps/>
                <w:szCs w:val="22"/>
                <w:lang w:val="ru-RU"/>
              </w:rPr>
              <w:t>____________</w:t>
            </w:r>
          </w:p>
          <w:p w:rsidR="002D2F57" w:rsidRPr="007F6CEF" w:rsidRDefault="002D2F57" w:rsidP="00170B2C">
            <w:pPr>
              <w:pStyle w:val="Headingb"/>
              <w:rPr>
                <w:lang w:val="ru-RU"/>
              </w:rPr>
            </w:pPr>
            <w:bookmarkStart w:id="21" w:name="_Toc358129143"/>
            <w:bookmarkStart w:id="22" w:name="_Toc358192648"/>
            <w:bookmarkStart w:id="23" w:name="_Toc358192809"/>
            <w:bookmarkStart w:id="24" w:name="_Toc398125294"/>
            <w:bookmarkStart w:id="25" w:name="_Toc398125773"/>
            <w:bookmarkStart w:id="26" w:name="_Toc398127076"/>
            <w:r w:rsidRPr="007F6CEF">
              <w:rPr>
                <w:lang w:val="ru-RU"/>
              </w:rPr>
              <w:t>Справочные материалы</w:t>
            </w:r>
            <w:bookmarkEnd w:id="21"/>
            <w:bookmarkEnd w:id="22"/>
            <w:bookmarkEnd w:id="23"/>
            <w:bookmarkEnd w:id="24"/>
            <w:bookmarkEnd w:id="25"/>
            <w:bookmarkEnd w:id="26"/>
          </w:p>
          <w:p w:rsidR="002D2F57" w:rsidRPr="007F6CEF" w:rsidRDefault="00C21591" w:rsidP="00170B2C">
            <w:pPr>
              <w:spacing w:after="120"/>
              <w:rPr>
                <w:i/>
                <w:iCs/>
                <w:lang w:val="ru-RU"/>
              </w:rPr>
            </w:pPr>
            <w:hyperlink r:id="rId10" w:history="1">
              <w:r w:rsidR="00137119" w:rsidRPr="007F6CEF">
                <w:rPr>
                  <w:rStyle w:val="Hyperlink"/>
                  <w:i/>
                  <w:iCs/>
                  <w:lang w:val="ru-RU"/>
                </w:rPr>
                <w:t>Финансовый регламент (издание 2010 г.)</w:t>
              </w:r>
            </w:hyperlink>
            <w:r w:rsidR="00137119" w:rsidRPr="007F6CEF">
              <w:rPr>
                <w:i/>
                <w:iCs/>
                <w:lang w:val="ru-RU"/>
              </w:rPr>
              <w:t xml:space="preserve">: Статья 28 и </w:t>
            </w:r>
            <w:r w:rsidR="00032103" w:rsidRPr="007F6CEF">
              <w:rPr>
                <w:i/>
                <w:iCs/>
                <w:lang w:val="ru-RU"/>
              </w:rPr>
              <w:t xml:space="preserve">Дополнительные </w:t>
            </w:r>
            <w:r w:rsidR="00137119" w:rsidRPr="007F6CEF">
              <w:rPr>
                <w:i/>
                <w:iCs/>
                <w:lang w:val="ru-RU"/>
              </w:rPr>
              <w:t>полномочия</w:t>
            </w:r>
          </w:p>
        </w:tc>
      </w:tr>
    </w:tbl>
    <w:p w:rsidR="00F8678D" w:rsidRPr="007F6CEF" w:rsidRDefault="00F8678D" w:rsidP="00170B2C">
      <w:pPr>
        <w:rPr>
          <w:lang w:val="ru-RU"/>
        </w:rPr>
      </w:pPr>
    </w:p>
    <w:p w:rsidR="00F8678D" w:rsidRPr="007F6CEF" w:rsidRDefault="00F8678D" w:rsidP="00170B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F6CEF">
        <w:rPr>
          <w:lang w:val="ru-RU"/>
        </w:rPr>
        <w:br w:type="page"/>
      </w:r>
    </w:p>
    <w:p w:rsidR="003C45CB" w:rsidRPr="00866795" w:rsidRDefault="003C45CB" w:rsidP="003C45CB">
      <w:pPr>
        <w:ind w:left="4253" w:right="108"/>
      </w:pPr>
      <w:r w:rsidRPr="008870D6">
        <w:rPr>
          <w:noProof/>
          <w:lang w:val="en-US" w:eastAsia="zh-CN"/>
        </w:rPr>
        <w:lastRenderedPageBreak/>
        <w:drawing>
          <wp:inline distT="0" distB="0" distL="0" distR="0" wp14:anchorId="07E1D193" wp14:editId="7D31B836">
            <wp:extent cx="796060" cy="895082"/>
            <wp:effectExtent l="0" t="0" r="4445" b="635"/>
            <wp:docPr id="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_repubblic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162" cy="89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5CB" w:rsidRPr="003C45CB" w:rsidRDefault="003C45CB" w:rsidP="003C45CB">
      <w:pPr>
        <w:ind w:right="107"/>
        <w:jc w:val="center"/>
        <w:rPr>
          <w:rFonts w:ascii="Kunstler Script" w:hAnsi="Kunstler Script"/>
          <w:sz w:val="72"/>
          <w:szCs w:val="72"/>
          <w:lang w:val="ru-RU"/>
        </w:rPr>
      </w:pPr>
      <w:r w:rsidRPr="00866795">
        <w:rPr>
          <w:rFonts w:ascii="Kunstler Script" w:hAnsi="Kunstler Script"/>
          <w:sz w:val="72"/>
          <w:szCs w:val="72"/>
        </w:rPr>
        <w:t>Corte</w:t>
      </w:r>
      <w:r w:rsidRPr="003C45CB">
        <w:rPr>
          <w:rFonts w:ascii="Kunstler Script" w:hAnsi="Kunstler Script"/>
          <w:sz w:val="72"/>
          <w:szCs w:val="72"/>
          <w:lang w:val="ru-RU"/>
        </w:rPr>
        <w:t xml:space="preserve"> </w:t>
      </w:r>
      <w:r w:rsidRPr="00866795">
        <w:rPr>
          <w:rFonts w:ascii="Kunstler Script" w:hAnsi="Kunstler Script"/>
          <w:sz w:val="72"/>
          <w:szCs w:val="72"/>
        </w:rPr>
        <w:t>dei</w:t>
      </w:r>
      <w:r w:rsidRPr="003C45CB">
        <w:rPr>
          <w:rFonts w:ascii="Kunstler Script" w:hAnsi="Kunstler Script"/>
          <w:sz w:val="72"/>
          <w:szCs w:val="72"/>
          <w:lang w:val="ru-RU"/>
        </w:rPr>
        <w:t xml:space="preserve"> </w:t>
      </w:r>
      <w:proofErr w:type="gramStart"/>
      <w:r w:rsidRPr="00866795">
        <w:rPr>
          <w:rFonts w:ascii="Kunstler Script" w:hAnsi="Kunstler Script"/>
          <w:sz w:val="72"/>
          <w:szCs w:val="72"/>
        </w:rPr>
        <w:t>conti</w:t>
      </w:r>
      <w:proofErr w:type="gramEnd"/>
    </w:p>
    <w:p w:rsidR="002C7FB3" w:rsidRPr="007F6CEF" w:rsidRDefault="002C7FB3" w:rsidP="00170B2C">
      <w:pPr>
        <w:pStyle w:val="Title1"/>
        <w:spacing w:before="4000"/>
        <w:rPr>
          <w:lang w:val="ru-RU"/>
        </w:rPr>
      </w:pPr>
      <w:bookmarkStart w:id="27" w:name="_Toc358129144"/>
      <w:bookmarkStart w:id="28" w:name="_Toc358192649"/>
      <w:bookmarkStart w:id="29" w:name="_Toc358192810"/>
      <w:bookmarkStart w:id="30" w:name="_Toc398125295"/>
      <w:bookmarkStart w:id="31" w:name="_Toc398125774"/>
      <w:r w:rsidRPr="007F6CEF">
        <w:rPr>
          <w:lang w:val="ru-RU"/>
        </w:rPr>
        <w:t>ОТЧЕТ ВНЕШНЕГО АУДИТОРА</w:t>
      </w:r>
      <w:bookmarkEnd w:id="27"/>
      <w:bookmarkEnd w:id="28"/>
      <w:bookmarkEnd w:id="29"/>
      <w:bookmarkEnd w:id="30"/>
      <w:bookmarkEnd w:id="31"/>
    </w:p>
    <w:p w:rsidR="00CA5377" w:rsidRPr="007F6CEF" w:rsidRDefault="00CA5377" w:rsidP="00170B2C">
      <w:pPr>
        <w:spacing w:before="5040"/>
        <w:jc w:val="center"/>
        <w:rPr>
          <w:b/>
          <w:bCs/>
          <w:lang w:val="ru-RU"/>
        </w:rPr>
      </w:pPr>
      <w:r w:rsidRPr="007F6CEF">
        <w:rPr>
          <w:b/>
          <w:bCs/>
          <w:lang w:val="ru-RU"/>
        </w:rPr>
        <w:t xml:space="preserve">МЕЖДУНАРОДНЫЙ </w:t>
      </w:r>
      <w:r w:rsidRPr="007F6CEF">
        <w:rPr>
          <w:b/>
          <w:bCs/>
          <w:lang w:val="ru-RU"/>
        </w:rPr>
        <w:br/>
        <w:t>СОЮЗ ЭЛЕКТРОСВЯЗИ</w:t>
      </w:r>
    </w:p>
    <w:p w:rsidR="00571600" w:rsidRPr="007F6CEF" w:rsidRDefault="00CA5377" w:rsidP="00170B2C">
      <w:pPr>
        <w:spacing w:before="240"/>
        <w:jc w:val="center"/>
        <w:rPr>
          <w:lang w:val="ru-RU"/>
        </w:rPr>
      </w:pPr>
      <w:r w:rsidRPr="007F6CEF">
        <w:rPr>
          <w:lang w:val="ru-RU"/>
        </w:rPr>
        <w:t>Аудит</w:t>
      </w:r>
      <w:r w:rsidR="00586A4D" w:rsidRPr="007F6CEF">
        <w:rPr>
          <w:lang w:val="ru-RU"/>
        </w:rPr>
        <w:t>орская проверка</w:t>
      </w:r>
      <w:r w:rsidRPr="007F6CEF">
        <w:rPr>
          <w:lang w:val="ru-RU"/>
        </w:rPr>
        <w:t xml:space="preserve"> финансовой отчетности за 201</w:t>
      </w:r>
      <w:r w:rsidR="002C7FB3" w:rsidRPr="007F6CEF">
        <w:rPr>
          <w:lang w:val="ru-RU"/>
        </w:rPr>
        <w:t>3</w:t>
      </w:r>
      <w:r w:rsidRPr="007F6CEF">
        <w:rPr>
          <w:lang w:val="ru-RU"/>
        </w:rPr>
        <w:t xml:space="preserve"> год</w:t>
      </w:r>
    </w:p>
    <w:p w:rsidR="00CA5377" w:rsidRPr="007F6CEF" w:rsidRDefault="002C7FB3" w:rsidP="00170B2C">
      <w:pPr>
        <w:spacing w:before="360"/>
        <w:jc w:val="center"/>
        <w:rPr>
          <w:lang w:val="ru-RU"/>
        </w:rPr>
      </w:pPr>
      <w:r w:rsidRPr="007F6CEF">
        <w:rPr>
          <w:lang w:val="ru-RU"/>
        </w:rPr>
        <w:t>28</w:t>
      </w:r>
      <w:r w:rsidR="00CA5377" w:rsidRPr="007F6CEF">
        <w:rPr>
          <w:lang w:val="ru-RU"/>
        </w:rPr>
        <w:t>.0</w:t>
      </w:r>
      <w:r w:rsidRPr="007F6CEF">
        <w:rPr>
          <w:lang w:val="ru-RU"/>
        </w:rPr>
        <w:t>7</w:t>
      </w:r>
      <w:r w:rsidR="00CA5377" w:rsidRPr="007F6CEF">
        <w:rPr>
          <w:lang w:val="ru-RU"/>
        </w:rPr>
        <w:t>.201</w:t>
      </w:r>
      <w:r w:rsidRPr="007F6CEF">
        <w:rPr>
          <w:lang w:val="ru-RU"/>
        </w:rPr>
        <w:t>4</w:t>
      </w:r>
      <w:r w:rsidR="00AD5445" w:rsidRPr="007F6CEF">
        <w:rPr>
          <w:lang w:val="ru-RU"/>
        </w:rPr>
        <w:t xml:space="preserve"> г.</w:t>
      </w:r>
    </w:p>
    <w:p w:rsidR="00CA5377" w:rsidRPr="007F6CEF" w:rsidRDefault="00CA5377" w:rsidP="00170B2C">
      <w:pPr>
        <w:rPr>
          <w:lang w:val="ru-RU"/>
        </w:rPr>
      </w:pPr>
      <w:r w:rsidRPr="007F6CEF">
        <w:rPr>
          <w:lang w:val="ru-RU"/>
        </w:rPr>
        <w:br w:type="page"/>
      </w:r>
    </w:p>
    <w:p w:rsidR="000E2980" w:rsidRPr="007F6CEF" w:rsidRDefault="006416BF" w:rsidP="006416BF">
      <w:pPr>
        <w:jc w:val="center"/>
        <w:rPr>
          <w:lang w:val="ru-RU"/>
        </w:rPr>
      </w:pPr>
      <w:bookmarkStart w:id="32" w:name="_Toc358192650"/>
      <w:bookmarkStart w:id="33" w:name="_Toc358192811"/>
      <w:bookmarkStart w:id="34" w:name="_Toc398125296"/>
      <w:bookmarkStart w:id="35" w:name="_Toc398125775"/>
      <w:r w:rsidRPr="007F6CEF">
        <w:rPr>
          <w:lang w:val="ru-RU"/>
        </w:rPr>
        <w:lastRenderedPageBreak/>
        <w:t>СОДЕРЖАНИЕ</w:t>
      </w:r>
      <w:bookmarkEnd w:id="32"/>
      <w:bookmarkEnd w:id="33"/>
      <w:bookmarkEnd w:id="34"/>
      <w:bookmarkEnd w:id="35"/>
    </w:p>
    <w:p w:rsidR="0091029E" w:rsidRPr="007F6CEF" w:rsidRDefault="000E2980" w:rsidP="00865AC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  <w:jc w:val="right"/>
        <w:rPr>
          <w:lang w:val="ru-RU"/>
        </w:rPr>
      </w:pPr>
      <w:r w:rsidRPr="007F6CEF">
        <w:rPr>
          <w:b/>
          <w:bCs/>
          <w:lang w:val="ru-RU"/>
        </w:rPr>
        <w:t>Стр</w:t>
      </w:r>
      <w:r w:rsidRPr="007F6CEF">
        <w:rPr>
          <w:lang w:val="ru-RU"/>
        </w:rPr>
        <w:t>.</w:t>
      </w:r>
      <w:r w:rsidR="0091029E" w:rsidRPr="007F6CEF">
        <w:rPr>
          <w:lang w:val="ru-RU"/>
        </w:rPr>
        <w:t xml:space="preserve"> </w:t>
      </w:r>
    </w:p>
    <w:p w:rsidR="008E41F3" w:rsidRPr="007F6CEF" w:rsidRDefault="008E41F3" w:rsidP="00865ACB">
      <w:pPr>
        <w:pStyle w:val="TOC1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TOC \t "Heading_b,2,Title 1,1,Annex_No,1,Annex_title,2,Heading_i,3" </w:instrText>
      </w:r>
      <w:r w:rsidRPr="007F6CEF">
        <w:rPr>
          <w:lang w:val="ru-RU"/>
        </w:rPr>
        <w:fldChar w:fldCharType="separate"/>
      </w:r>
      <w:r w:rsidRPr="007F6CEF">
        <w:rPr>
          <w:lang w:val="ru-RU"/>
        </w:rPr>
        <w:t>ВВЕДЕНИЕ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_Toc398125776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5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1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АУДИТОРСКОЕ ЗАКЛЮЧЕНИЕ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_Toc398125777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7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1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СТРУКТУРА БУХГАЛТЕРСКОЙ ОТЧЕТНОСТИ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_Toc398125783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9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1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ОТЧЕТ О ФИНАНСОВОМ ПОЛОЖЕНИИ ЗА 2013 ГОД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_Toc398125784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9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Активы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_Toc398125785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9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Текущие активы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_Toc398125786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9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Денежные средства и эквиваленты денежных средств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_Toc398125787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10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3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i/>
          <w:iCs/>
          <w:lang w:val="ru-RU"/>
        </w:rPr>
        <w:t>Право подписи ограничено суммами менее 5000 швейцарских франков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_Toc398125788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10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3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i/>
          <w:iCs/>
          <w:lang w:val="ru-RU"/>
        </w:rPr>
        <w:t>Обновление списка разрешенных подписей в банках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_Toc398125789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10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3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i/>
          <w:iCs/>
          <w:lang w:val="ru-RU"/>
        </w:rPr>
        <w:t>Процедура закрытия счетов и открытия новых счетов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_Toc398125790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11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3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i/>
          <w:iCs/>
          <w:lang w:val="ru-RU"/>
        </w:rPr>
        <w:t>Наличные денежные средства в отделениях на местах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_Toc398125791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12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Вклады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_Toc398125792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12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Долговые обязательства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_Toc398125793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12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Прочие текущие долговые обязательства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_Toc398125794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13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Запасы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_Toc398125795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13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Нетекущие активы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_Toc398125796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13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Материальные активы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_Toc398125797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13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Нематериальные активы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_Toc398125798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15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Пассивы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_Toc398125799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16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Текущие пассивы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_Toc398125800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16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Поставщики и прочие кредиторы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_Toc398125801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16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Доходы будущих периодов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_Toc398125802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16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Резервные фонды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_Toc398125803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16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Займы и финансовая задолженность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_Toc398125804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16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Прочие текущие пассивы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_Toc398125805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17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Нетекущие пассивы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_Toc398125806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17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Вознаграждение сотрудников (долгосрочные выплаты)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_Toc398125807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17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Вознаграждение сотрудников: Подъемные пособия и субсидии на репатриацию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_Toc398125808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17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3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i/>
          <w:iCs/>
          <w:lang w:val="ru-RU"/>
        </w:rPr>
        <w:t>Согласование ключевых допущений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_Toc398125809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18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Вознаграждение сотрудников: АСХИ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_Toc398125810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18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3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i/>
          <w:iCs/>
          <w:lang w:val="ru-RU"/>
        </w:rPr>
        <w:t xml:space="preserve">Ключевые актуарные и экономические допущения сопоставимы </w:t>
      </w:r>
      <w:r w:rsidR="006416BF" w:rsidRPr="007F6CEF">
        <w:rPr>
          <w:i/>
          <w:iCs/>
          <w:lang w:val="ru-RU"/>
        </w:rPr>
        <w:br/>
      </w:r>
      <w:r w:rsidRPr="007F6CEF">
        <w:rPr>
          <w:i/>
          <w:iCs/>
          <w:lang w:val="ru-RU"/>
        </w:rPr>
        <w:t>с предыдущим годом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_Toc398125811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18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3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i/>
          <w:iCs/>
          <w:lang w:val="ru-RU"/>
        </w:rPr>
        <w:t xml:space="preserve">Финансовая стабильность обеспечивается в краткосрочной перспективе, </w:t>
      </w:r>
      <w:r w:rsidR="006416BF" w:rsidRPr="007F6CEF">
        <w:rPr>
          <w:i/>
          <w:iCs/>
          <w:lang w:val="ru-RU"/>
        </w:rPr>
        <w:br/>
      </w:r>
      <w:r w:rsidRPr="007F6CEF">
        <w:rPr>
          <w:i/>
          <w:iCs/>
          <w:lang w:val="ru-RU"/>
        </w:rPr>
        <w:t>но необходимы корректирующие меры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_Toc398125812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19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3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i/>
          <w:iCs/>
          <w:lang w:val="ru-RU"/>
        </w:rPr>
        <w:t>Изученные и внедренные альтернативные решения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_Toc398125813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19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 xml:space="preserve">Проведен аудит ФМСП Высшим контрольным органом Канады: серьезных </w:t>
      </w:r>
      <w:r w:rsidR="006416BF" w:rsidRPr="007F6CEF">
        <w:rPr>
          <w:lang w:val="ru-RU"/>
        </w:rPr>
        <w:br/>
      </w:r>
      <w:r w:rsidRPr="007F6CEF">
        <w:rPr>
          <w:lang w:val="ru-RU"/>
        </w:rPr>
        <w:t>проблем не отмечено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_Toc398125814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20</w:t>
      </w:r>
      <w:r w:rsidRPr="007F6CEF">
        <w:rPr>
          <w:lang w:val="ru-RU"/>
        </w:rPr>
        <w:fldChar w:fldCharType="end"/>
      </w:r>
    </w:p>
    <w:p w:rsidR="00865ACB" w:rsidRPr="007F6CEF" w:rsidRDefault="00865ACB" w:rsidP="00865AC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  <w:jc w:val="right"/>
        <w:rPr>
          <w:lang w:val="ru-RU"/>
        </w:rPr>
      </w:pPr>
      <w:r w:rsidRPr="007F6CEF">
        <w:rPr>
          <w:b/>
          <w:bCs/>
          <w:lang w:val="ru-RU"/>
        </w:rPr>
        <w:t>Стр</w:t>
      </w:r>
      <w:r w:rsidRPr="007F6CEF">
        <w:rPr>
          <w:lang w:val="ru-RU"/>
        </w:rPr>
        <w:t xml:space="preserve">. </w:t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ФМСП: рост возмещенных сумм на медицинское обслуживание в 2013 году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_Toc398125815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20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3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i/>
          <w:iCs/>
          <w:lang w:val="ru-RU"/>
        </w:rPr>
        <w:t>Выборка и сбор документов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_Toc398125816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21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3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i/>
          <w:iCs/>
          <w:lang w:val="ru-RU"/>
        </w:rPr>
        <w:t>Статистический анализ возмещенных сумм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_Toc398125817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22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Вознаграждение сотрудников: пенсии (старые фонды)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_Toc398125818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22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Чистые активы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_Toc398125819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22</w:t>
      </w:r>
      <w:r w:rsidRPr="007F6CEF">
        <w:rPr>
          <w:lang w:val="ru-RU"/>
        </w:rPr>
        <w:fldChar w:fldCharType="end"/>
      </w:r>
    </w:p>
    <w:p w:rsidR="008E41F3" w:rsidRPr="007F6CEF" w:rsidRDefault="00865ACB" w:rsidP="006416BF">
      <w:pPr>
        <w:pStyle w:val="TOC1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 xml:space="preserve">ОБЪЕДИНЕННЫЙ ПЕНСИОННЫЙ ФОНД ПЕРСОНАЛА ОРГАНИЗАЦИИ </w:t>
      </w:r>
      <w:r w:rsidRPr="007F6CEF">
        <w:rPr>
          <w:lang w:val="ru-RU"/>
        </w:rPr>
        <w:br/>
        <w:t>ОБЪЕДИНЕННЫХ НАЦИЙ</w:t>
      </w:r>
      <w:r w:rsidR="008E41F3"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="008E41F3" w:rsidRPr="007F6CEF">
        <w:rPr>
          <w:lang w:val="ru-RU"/>
        </w:rPr>
        <w:fldChar w:fldCharType="begin"/>
      </w:r>
      <w:r w:rsidR="008E41F3" w:rsidRPr="007F6CEF">
        <w:rPr>
          <w:lang w:val="ru-RU"/>
        </w:rPr>
        <w:instrText xml:space="preserve"> PAGEREF _Toc398125820 \h </w:instrText>
      </w:r>
      <w:r w:rsidR="008E41F3" w:rsidRPr="007F6CEF">
        <w:rPr>
          <w:lang w:val="ru-RU"/>
        </w:rPr>
      </w:r>
      <w:r w:rsidR="008E41F3"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23</w:t>
      </w:r>
      <w:r w:rsidR="008E41F3"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1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ОТЧЕТ О РЕЗУЛЬТАТАХ ФИНАНСОВОЙ ДЕЯТЕЛЬНОСТИ за 2013 ГОД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_Toc398125821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23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Доходы и расходы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_Toc398125822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23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Представление отчетов по сегментам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_Toc398125823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24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3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i/>
          <w:iCs/>
          <w:lang w:val="ru-RU"/>
        </w:rPr>
        <w:t>Перевод в цифровую форму досье сотрудников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_Toc398125824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24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1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 xml:space="preserve">ОТЧЕТ ОБ ИЗМЕНЕНИЯХ В ЧИСТЫХ АКТИВАХ ЗА ФИНАНСОВЫЙ ПЕРИОД, </w:t>
      </w:r>
      <w:r w:rsidR="006416BF" w:rsidRPr="007F6CEF">
        <w:rPr>
          <w:lang w:val="ru-RU"/>
        </w:rPr>
        <w:br/>
      </w:r>
      <w:r w:rsidRPr="007F6CEF">
        <w:rPr>
          <w:lang w:val="ru-RU"/>
        </w:rPr>
        <w:t>ЗАВЕРШИВШИЙСЯ 31 ДЕКАБРЯ 2013 ГОДА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_Toc398125825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24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1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 xml:space="preserve">СРАВНИТЕЛЬНАЯ ТАБЛИЦА ПРЕДУСМОТРЕННЫХ В БЮДЖЕТЕ СУММ </w:t>
      </w:r>
      <w:r w:rsidR="006416BF" w:rsidRPr="007F6CEF">
        <w:rPr>
          <w:lang w:val="ru-RU"/>
        </w:rPr>
        <w:br/>
      </w:r>
      <w:r w:rsidRPr="007F6CEF">
        <w:rPr>
          <w:lang w:val="ru-RU"/>
        </w:rPr>
        <w:t>И ФАКТИЧЕСКИХ СУММ ЗА 2013 ФИНАНСОВЫЙ ГОД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_Toc398125826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25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1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 xml:space="preserve">ТАБЛИЦА ДВИЖЕНИЯ ДЕНЕЖНЫХ СРЕДСТВ ЗА ФИНАНСОВЫЙ ПЕРИОД, </w:t>
      </w:r>
      <w:r w:rsidR="006416BF" w:rsidRPr="007F6CEF">
        <w:rPr>
          <w:lang w:val="ru-RU"/>
        </w:rPr>
        <w:br/>
      </w:r>
      <w:r w:rsidRPr="007F6CEF">
        <w:rPr>
          <w:lang w:val="ru-RU"/>
        </w:rPr>
        <w:t>ЗАВЕРШИВШИЙСЯ 31 ДЕКАБРЯ 2013 ГОДА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_Toc398125827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25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1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СТРАХОВАЯ КАССА ПЕРСОНАЛА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_Toc398125828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25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1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 xml:space="preserve">ПРОГРАММА РАЗВИТИЯ ОРГАНИЗАЦИИ ОБЪЕДИНЕННЫХ НАЦИЙ (ПРООН), </w:t>
      </w:r>
      <w:r w:rsidR="006416BF" w:rsidRPr="007F6CEF">
        <w:rPr>
          <w:lang w:val="ru-RU"/>
        </w:rPr>
        <w:br/>
      </w:r>
      <w:r w:rsidRPr="007F6CEF">
        <w:rPr>
          <w:lang w:val="ru-RU"/>
        </w:rPr>
        <w:t>ФРИКТ И ЦЕЛЕВЫЕ ФОНДЫ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_Toc398125829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26</w:t>
      </w:r>
      <w:r w:rsidRPr="007F6CEF">
        <w:rPr>
          <w:lang w:val="ru-RU"/>
        </w:rPr>
        <w:fldChar w:fldCharType="end"/>
      </w:r>
    </w:p>
    <w:p w:rsidR="008E41F3" w:rsidRPr="007F6CEF" w:rsidRDefault="00FD09B4" w:rsidP="006416BF">
      <w:pPr>
        <w:pStyle w:val="TOC1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ОЦЕНКА ДЕЯТЕЛЬНОСТИ ПО</w:t>
      </w:r>
      <w:r w:rsidR="007F6CEF">
        <w:rPr>
          <w:lang w:val="ru-RU"/>
        </w:rPr>
        <w:t>Д</w:t>
      </w:r>
      <w:r w:rsidRPr="007F6CEF">
        <w:rPr>
          <w:lang w:val="ru-RU"/>
        </w:rPr>
        <w:t>РАЗДЕЛЕНИЯ ВНУТРЕННЕГО АУДИТА</w:t>
      </w:r>
      <w:r w:rsidR="008E41F3"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="008E41F3" w:rsidRPr="007F6CEF">
        <w:rPr>
          <w:lang w:val="ru-RU"/>
        </w:rPr>
        <w:fldChar w:fldCharType="begin"/>
      </w:r>
      <w:r w:rsidR="008E41F3" w:rsidRPr="007F6CEF">
        <w:rPr>
          <w:lang w:val="ru-RU"/>
        </w:rPr>
        <w:instrText xml:space="preserve"> PAGEREF _Toc398125830 \h </w:instrText>
      </w:r>
      <w:r w:rsidR="008E41F3" w:rsidRPr="007F6CEF">
        <w:rPr>
          <w:lang w:val="ru-RU"/>
        </w:rPr>
      </w:r>
      <w:r w:rsidR="008E41F3"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27</w:t>
      </w:r>
      <w:r w:rsidR="008E41F3"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 xml:space="preserve">Отсутствие плана внутренней аудиторской проверки, рассчитанного </w:t>
      </w:r>
      <w:r w:rsidR="00FD09B4" w:rsidRPr="007F6CEF">
        <w:rPr>
          <w:lang w:val="ru-RU"/>
        </w:rPr>
        <w:br/>
      </w:r>
      <w:r w:rsidRPr="007F6CEF">
        <w:rPr>
          <w:lang w:val="ru-RU"/>
        </w:rPr>
        <w:t>на несколько лет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_Toc398125831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29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Хотя управление рисками предприятия еще не внедрено, необходим план, основанный на оценке рисков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_Toc398125832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30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Охватывает ли план работы на год достаточным образом все риски?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_Toc398125833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30</w:t>
      </w:r>
      <w:r w:rsidRPr="007F6CEF">
        <w:rPr>
          <w:lang w:val="ru-RU"/>
        </w:rPr>
        <w:fldChar w:fldCharType="end"/>
      </w:r>
    </w:p>
    <w:p w:rsidR="007F6CEF" w:rsidRPr="007F6CEF" w:rsidRDefault="00C21591" w:rsidP="007F6CE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398127112" w:history="1">
        <w:r w:rsidR="007F6CEF" w:rsidRPr="007F6CEF">
          <w:rPr>
            <w:rStyle w:val="Hyperlink"/>
            <w:lang w:val="ru-RU"/>
          </w:rPr>
          <w:t>Являются ли выделенные IAU ресурсы достаточными?</w:t>
        </w:r>
        <w:r w:rsidR="007F6CEF" w:rsidRPr="007F6CEF">
          <w:rPr>
            <w:webHidden/>
            <w:lang w:val="ru-RU"/>
          </w:rPr>
          <w:tab/>
        </w:r>
        <w:r w:rsidR="007F6CEF" w:rsidRPr="007F6CEF">
          <w:rPr>
            <w:webHidden/>
            <w:lang w:val="ru-RU"/>
          </w:rPr>
          <w:tab/>
        </w:r>
        <w:r w:rsidR="007F6CEF" w:rsidRPr="007F6CEF">
          <w:rPr>
            <w:webHidden/>
            <w:lang w:val="ru-RU"/>
          </w:rPr>
          <w:fldChar w:fldCharType="begin"/>
        </w:r>
        <w:r w:rsidR="007F6CEF" w:rsidRPr="007F6CEF">
          <w:rPr>
            <w:webHidden/>
            <w:lang w:val="ru-RU"/>
          </w:rPr>
          <w:instrText xml:space="preserve"> PAGEREF _Toc398127112 \h </w:instrText>
        </w:r>
        <w:r w:rsidR="007F6CEF" w:rsidRPr="007F6CEF">
          <w:rPr>
            <w:webHidden/>
            <w:lang w:val="ru-RU"/>
          </w:rPr>
        </w:r>
        <w:r w:rsidR="007F6CEF" w:rsidRPr="007F6CEF">
          <w:rPr>
            <w:webHidden/>
            <w:lang w:val="ru-RU"/>
          </w:rPr>
          <w:fldChar w:fldCharType="separate"/>
        </w:r>
        <w:r w:rsidR="00347E52">
          <w:rPr>
            <w:noProof/>
            <w:webHidden/>
            <w:lang w:val="ru-RU"/>
          </w:rPr>
          <w:t>31</w:t>
        </w:r>
        <w:r w:rsidR="007F6CEF" w:rsidRPr="007F6CEF">
          <w:rPr>
            <w:webHidden/>
            <w:lang w:val="ru-RU"/>
          </w:rPr>
          <w:fldChar w:fldCharType="end"/>
        </w:r>
      </w:hyperlink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Автономия и независимость Подразделения внутреннего аудита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_Toc398125834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32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Сотрудничество между внутренним аудитором и внешним аудитором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_Toc398125835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32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1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ПРИЛОЖЕНИЕ 1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_Toc398125836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33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 w:eastAsia="it-IT"/>
        </w:rPr>
        <w:t>Меры в связи с рекомендациями, содержащимися в нашем предыдущем отчете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_Toc398125837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33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 w:eastAsia="it-IT"/>
        </w:rPr>
        <w:t>Меры в связи с рекомендациями, представленными ШФАБ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_Toc398125838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40</w:t>
      </w:r>
      <w:r w:rsidRPr="007F6CEF">
        <w:rPr>
          <w:lang w:val="ru-RU"/>
        </w:rPr>
        <w:fldChar w:fldCharType="end"/>
      </w:r>
    </w:p>
    <w:p w:rsidR="008E41F3" w:rsidRPr="007F6CEF" w:rsidRDefault="008E41F3" w:rsidP="006416BF">
      <w:pPr>
        <w:pStyle w:val="TOC2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 w:eastAsia="it-IT"/>
        </w:rPr>
        <w:t>Меры в связи с предложениями, содержащимися в нашем предыдущем отчете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_Toc398125839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44</w:t>
      </w:r>
      <w:r w:rsidRPr="007F6CEF">
        <w:rPr>
          <w:lang w:val="ru-RU"/>
        </w:rPr>
        <w:fldChar w:fldCharType="end"/>
      </w:r>
    </w:p>
    <w:p w:rsidR="008E41F3" w:rsidRPr="007F6CEF" w:rsidRDefault="008E41F3" w:rsidP="00FD09B4">
      <w:pPr>
        <w:pStyle w:val="TOC1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7F6CEF">
        <w:rPr>
          <w:lang w:val="ru-RU"/>
        </w:rPr>
        <w:t>ПРИЛОЖЕНИЕ</w:t>
      </w:r>
      <w:r w:rsidRPr="007F6CEF">
        <w:rPr>
          <w:lang w:val="ru-RU" w:eastAsia="zh-CN"/>
        </w:rPr>
        <w:t xml:space="preserve"> 2</w:t>
      </w:r>
      <w:r w:rsidR="00FD09B4" w:rsidRPr="007F6CEF">
        <w:rPr>
          <w:lang w:val="ru-RU" w:eastAsia="zh-CN"/>
        </w:rPr>
        <w:t xml:space="preserve"> − </w:t>
      </w:r>
      <w:r w:rsidRPr="007F6CEF">
        <w:rPr>
          <w:lang w:val="ru-RU" w:eastAsia="zh-CN"/>
        </w:rPr>
        <w:t>Гистограммы выплат ФМСП</w:t>
      </w:r>
      <w:r w:rsidRPr="007F6CEF">
        <w:rPr>
          <w:lang w:val="ru-RU"/>
        </w:rPr>
        <w:tab/>
      </w:r>
      <w:r w:rsidR="006416BF" w:rsidRPr="007F6CEF">
        <w:rPr>
          <w:lang w:val="ru-RU"/>
        </w:rPr>
        <w:tab/>
      </w:r>
      <w:r w:rsidRPr="007F6CEF">
        <w:rPr>
          <w:lang w:val="ru-RU"/>
        </w:rPr>
        <w:fldChar w:fldCharType="begin"/>
      </w:r>
      <w:r w:rsidRPr="007F6CEF">
        <w:rPr>
          <w:lang w:val="ru-RU"/>
        </w:rPr>
        <w:instrText xml:space="preserve"> PAGEREF _Toc398125841 \h </w:instrText>
      </w:r>
      <w:r w:rsidRPr="007F6CEF">
        <w:rPr>
          <w:lang w:val="ru-RU"/>
        </w:rPr>
      </w:r>
      <w:r w:rsidRPr="007F6CEF">
        <w:rPr>
          <w:lang w:val="ru-RU"/>
        </w:rPr>
        <w:fldChar w:fldCharType="separate"/>
      </w:r>
      <w:r w:rsidR="00347E52">
        <w:rPr>
          <w:noProof/>
          <w:lang w:val="ru-RU"/>
        </w:rPr>
        <w:t>47</w:t>
      </w:r>
      <w:r w:rsidRPr="007F6CEF">
        <w:rPr>
          <w:lang w:val="ru-RU"/>
        </w:rPr>
        <w:fldChar w:fldCharType="end"/>
      </w:r>
    </w:p>
    <w:p w:rsidR="00124AB9" w:rsidRPr="007F6CEF" w:rsidRDefault="008E41F3" w:rsidP="006416BF">
      <w:pPr>
        <w:rPr>
          <w:lang w:val="ru-RU"/>
        </w:rPr>
      </w:pPr>
      <w:r w:rsidRPr="007F6CEF">
        <w:rPr>
          <w:lang w:val="ru-RU"/>
        </w:rPr>
        <w:fldChar w:fldCharType="end"/>
      </w:r>
      <w:r w:rsidR="00124AB9" w:rsidRPr="007F6CEF">
        <w:rPr>
          <w:lang w:val="ru-RU"/>
        </w:rPr>
        <w:br w:type="page"/>
      </w:r>
    </w:p>
    <w:p w:rsidR="00AA0135" w:rsidRPr="007F6CEF" w:rsidRDefault="005F1F70" w:rsidP="00170B2C">
      <w:pPr>
        <w:pStyle w:val="Title1"/>
        <w:rPr>
          <w:lang w:val="ru-RU"/>
        </w:rPr>
      </w:pPr>
      <w:bookmarkStart w:id="36" w:name="_Toc358192812"/>
      <w:bookmarkStart w:id="37" w:name="_Toc398125297"/>
      <w:bookmarkStart w:id="38" w:name="_Toc398125776"/>
      <w:r w:rsidRPr="007F6CEF">
        <w:rPr>
          <w:lang w:val="ru-RU"/>
        </w:rPr>
        <w:t>ВВЕДЕНИЕ</w:t>
      </w:r>
      <w:bookmarkEnd w:id="36"/>
      <w:bookmarkEnd w:id="37"/>
      <w:bookmarkEnd w:id="38"/>
    </w:p>
    <w:p w:rsidR="00AA0135" w:rsidRPr="007F6CEF" w:rsidRDefault="00070A8E" w:rsidP="00170B2C">
      <w:pPr>
        <w:pStyle w:val="Normalaftertitle"/>
        <w:rPr>
          <w:lang w:val="ru-RU"/>
        </w:rPr>
      </w:pPr>
      <w:r w:rsidRPr="007F6CEF">
        <w:rPr>
          <w:lang w:val="ru-RU"/>
        </w:rPr>
        <w:t xml:space="preserve">Правовая основа для аудиторской проверки, проводимой </w:t>
      </w:r>
      <w:r w:rsidR="00385ACA" w:rsidRPr="007F6CEF">
        <w:rPr>
          <w:lang w:val="ru-RU"/>
        </w:rPr>
        <w:t>в</w:t>
      </w:r>
      <w:r w:rsidRPr="007F6CEF">
        <w:rPr>
          <w:lang w:val="ru-RU"/>
        </w:rPr>
        <w:t xml:space="preserve">нешними </w:t>
      </w:r>
      <w:r w:rsidR="00385ACA" w:rsidRPr="007F6CEF">
        <w:rPr>
          <w:lang w:val="ru-RU"/>
        </w:rPr>
        <w:t>аудиторами</w:t>
      </w:r>
      <w:r w:rsidRPr="007F6CEF">
        <w:rPr>
          <w:lang w:val="ru-RU"/>
        </w:rPr>
        <w:t>, приводится в Финансовом регламенте</w:t>
      </w:r>
      <w:r w:rsidR="00AA0135" w:rsidRPr="007F6CEF">
        <w:rPr>
          <w:lang w:val="ru-RU"/>
        </w:rPr>
        <w:t xml:space="preserve"> (</w:t>
      </w:r>
      <w:r w:rsidRPr="007F6CEF">
        <w:rPr>
          <w:lang w:val="ru-RU"/>
        </w:rPr>
        <w:t xml:space="preserve">издания </w:t>
      </w:r>
      <w:r w:rsidR="00AA0135" w:rsidRPr="007F6CEF">
        <w:rPr>
          <w:lang w:val="ru-RU"/>
        </w:rPr>
        <w:t xml:space="preserve">2010 </w:t>
      </w:r>
      <w:r w:rsidRPr="007F6CEF">
        <w:rPr>
          <w:lang w:val="ru-RU"/>
        </w:rPr>
        <w:t>г.</w:t>
      </w:r>
      <w:r w:rsidR="00AA0135" w:rsidRPr="007F6CEF">
        <w:rPr>
          <w:lang w:val="ru-RU"/>
        </w:rPr>
        <w:t xml:space="preserve">): </w:t>
      </w:r>
      <w:r w:rsidRPr="007F6CEF">
        <w:rPr>
          <w:lang w:val="ru-RU"/>
        </w:rPr>
        <w:t>Статья</w:t>
      </w:r>
      <w:r w:rsidR="00AA0135" w:rsidRPr="007F6CEF">
        <w:rPr>
          <w:lang w:val="ru-RU"/>
        </w:rPr>
        <w:t xml:space="preserve"> 28 </w:t>
      </w:r>
      <w:r w:rsidRPr="007F6CEF">
        <w:rPr>
          <w:lang w:val="ru-RU"/>
        </w:rPr>
        <w:t>и</w:t>
      </w:r>
      <w:r w:rsidR="00AA0135" w:rsidRPr="007F6CEF">
        <w:rPr>
          <w:lang w:val="ru-RU"/>
        </w:rPr>
        <w:t xml:space="preserve"> </w:t>
      </w:r>
      <w:r w:rsidRPr="007F6CEF">
        <w:rPr>
          <w:lang w:val="ru-RU"/>
        </w:rPr>
        <w:t>Дополнительные полномочия</w:t>
      </w:r>
      <w:r w:rsidR="00385ACA" w:rsidRPr="007F6CEF">
        <w:rPr>
          <w:lang w:val="ru-RU"/>
        </w:rPr>
        <w:t>.</w:t>
      </w:r>
    </w:p>
    <w:p w:rsidR="00AA0135" w:rsidRPr="007F6CEF" w:rsidRDefault="00070A8E" w:rsidP="00170B2C">
      <w:pPr>
        <w:rPr>
          <w:lang w:val="ru-RU"/>
        </w:rPr>
      </w:pPr>
      <w:r w:rsidRPr="007F6CEF">
        <w:rPr>
          <w:lang w:val="ru-RU"/>
        </w:rPr>
        <w:t xml:space="preserve">В настоящем отчете Совету представляются результаты проведенных нами аудиторских проверок. </w:t>
      </w:r>
    </w:p>
    <w:p w:rsidR="00AA0135" w:rsidRPr="007F6CEF" w:rsidRDefault="00070A8E" w:rsidP="00170B2C">
      <w:pPr>
        <w:rPr>
          <w:lang w:val="ru-RU"/>
        </w:rPr>
      </w:pPr>
      <w:r w:rsidRPr="007F6CEF">
        <w:rPr>
          <w:lang w:val="ru-RU"/>
        </w:rPr>
        <w:t xml:space="preserve">В ходе аудиторской проверки рассматривался Отчет о финансовой деятельности МСЭ </w:t>
      </w:r>
      <w:r w:rsidR="00385ACA" w:rsidRPr="007F6CEF">
        <w:rPr>
          <w:lang w:val="ru-RU"/>
        </w:rPr>
        <w:t xml:space="preserve">по состоянию </w:t>
      </w:r>
      <w:r w:rsidRPr="007F6CEF">
        <w:rPr>
          <w:lang w:val="ru-RU"/>
        </w:rPr>
        <w:t>на 31 декабря 201</w:t>
      </w:r>
      <w:r w:rsidR="00AD5445" w:rsidRPr="007F6CEF">
        <w:rPr>
          <w:lang w:val="ru-RU"/>
        </w:rPr>
        <w:t>3</w:t>
      </w:r>
      <w:r w:rsidRPr="007F6CEF">
        <w:rPr>
          <w:lang w:val="ru-RU"/>
        </w:rPr>
        <w:t xml:space="preserve"> года, а также бюджетные счета и их согласованность. </w:t>
      </w:r>
    </w:p>
    <w:p w:rsidR="00AA0135" w:rsidRPr="007F6CEF" w:rsidRDefault="00070A8E" w:rsidP="00170B2C">
      <w:pPr>
        <w:rPr>
          <w:lang w:val="ru-RU"/>
        </w:rPr>
      </w:pPr>
      <w:r w:rsidRPr="007F6CEF">
        <w:rPr>
          <w:lang w:val="ru-RU"/>
        </w:rPr>
        <w:t>Финансовые периоды регулируются Уставом и Конвенцией Междун</w:t>
      </w:r>
      <w:r w:rsidR="00873F8A">
        <w:rPr>
          <w:lang w:val="ru-RU"/>
        </w:rPr>
        <w:t>ародного союза электросвязи, а </w:t>
      </w:r>
      <w:r w:rsidRPr="007F6CEF">
        <w:rPr>
          <w:lang w:val="ru-RU"/>
        </w:rPr>
        <w:t xml:space="preserve">также </w:t>
      </w:r>
      <w:r w:rsidRPr="007F6CEF">
        <w:rPr>
          <w:i/>
          <w:iCs/>
          <w:lang w:val="ru-RU"/>
        </w:rPr>
        <w:t>Финансовым регламентом и Финансовыми правилами</w:t>
      </w:r>
      <w:r w:rsidRPr="007F6CEF">
        <w:rPr>
          <w:lang w:val="ru-RU"/>
        </w:rPr>
        <w:t xml:space="preserve"> МСЭ в соответствии с </w:t>
      </w:r>
      <w:r w:rsidR="00364C13" w:rsidRPr="007F6CEF">
        <w:rPr>
          <w:lang w:val="ru-RU"/>
        </w:rPr>
        <w:t xml:space="preserve">Международными стандартами финансовой отчетности для общественного сектора </w:t>
      </w:r>
      <w:r w:rsidR="00AA0135" w:rsidRPr="007F6CEF">
        <w:rPr>
          <w:lang w:val="ru-RU"/>
        </w:rPr>
        <w:t>(IPSAS).</w:t>
      </w:r>
    </w:p>
    <w:p w:rsidR="00AA0135" w:rsidRPr="007F6CEF" w:rsidRDefault="00364C13" w:rsidP="00E84AA7">
      <w:pPr>
        <w:rPr>
          <w:lang w:val="ru-RU"/>
        </w:rPr>
      </w:pPr>
      <w:r w:rsidRPr="007F6CEF">
        <w:rPr>
          <w:lang w:val="ru-RU"/>
        </w:rPr>
        <w:t>Мы проводили аудиторскую проверку счетов за 201</w:t>
      </w:r>
      <w:r w:rsidR="00AD5445" w:rsidRPr="007F6CEF">
        <w:rPr>
          <w:lang w:val="ru-RU"/>
        </w:rPr>
        <w:t>3</w:t>
      </w:r>
      <w:r w:rsidRPr="007F6CEF">
        <w:rPr>
          <w:lang w:val="ru-RU"/>
        </w:rPr>
        <w:t xml:space="preserve"> финансовый год на основе стандартов Международной организации высших ревизионных учреждений (МОВРУ</w:t>
      </w:r>
      <w:r w:rsidR="00A1326B" w:rsidRPr="007F6CEF">
        <w:rPr>
          <w:lang w:val="ru-RU"/>
        </w:rPr>
        <w:t>)</w:t>
      </w:r>
      <w:r w:rsidRPr="007F6CEF">
        <w:rPr>
          <w:lang w:val="ru-RU"/>
        </w:rPr>
        <w:t xml:space="preserve"> </w:t>
      </w:r>
      <w:r w:rsidR="00530D53" w:rsidRPr="007F6CEF">
        <w:rPr>
          <w:lang w:val="ru-RU"/>
        </w:rPr>
        <w:t xml:space="preserve">и, </w:t>
      </w:r>
      <w:r w:rsidRPr="007F6CEF">
        <w:rPr>
          <w:lang w:val="ru-RU"/>
        </w:rPr>
        <w:t>в частности</w:t>
      </w:r>
      <w:r w:rsidR="00530D53" w:rsidRPr="007F6CEF">
        <w:rPr>
          <w:lang w:val="ru-RU"/>
        </w:rPr>
        <w:t xml:space="preserve">, </w:t>
      </w:r>
      <w:r w:rsidR="00385ACA" w:rsidRPr="007F6CEF">
        <w:rPr>
          <w:lang w:val="ru-RU"/>
        </w:rPr>
        <w:t>на основе метода</w:t>
      </w:r>
      <w:r w:rsidR="00AA0135" w:rsidRPr="007F6CEF">
        <w:rPr>
          <w:lang w:val="ru-RU"/>
        </w:rPr>
        <w:t xml:space="preserve"> IPSAS</w:t>
      </w:r>
      <w:r w:rsidR="00A1326B" w:rsidRPr="007F6CEF">
        <w:rPr>
          <w:lang w:val="ru-RU"/>
        </w:rPr>
        <w:t xml:space="preserve"> и в соответствии с дополнительными полномочиями, которые являются неотъемлемой частью Финансового регламента Союза. </w:t>
      </w:r>
    </w:p>
    <w:p w:rsidR="00AA0135" w:rsidRPr="007F6CEF" w:rsidRDefault="0034174D" w:rsidP="00170B2C">
      <w:pPr>
        <w:rPr>
          <w:lang w:val="ru-RU"/>
        </w:rPr>
      </w:pPr>
      <w:r w:rsidRPr="007F6CEF">
        <w:rPr>
          <w:lang w:val="ru-RU"/>
        </w:rPr>
        <w:t xml:space="preserve">Мы запланировали нашу рабочую деятельность согласно нашей стратегии аудита для получения разумных гарантий того, что в финансовой отчетности отсутствуют данные, существенным образом искажающие положение дел. </w:t>
      </w:r>
    </w:p>
    <w:p w:rsidR="00AA0135" w:rsidRPr="007F6CEF" w:rsidRDefault="0034174D" w:rsidP="00170B2C">
      <w:pPr>
        <w:rPr>
          <w:lang w:val="ru-RU"/>
        </w:rPr>
      </w:pPr>
      <w:r w:rsidRPr="007F6CEF">
        <w:rPr>
          <w:lang w:val="ru-RU"/>
        </w:rPr>
        <w:t xml:space="preserve">Мы провели оценку принципов бухгалтерского учета и соответствующих </w:t>
      </w:r>
      <w:r w:rsidR="00530D53" w:rsidRPr="007F6CEF">
        <w:rPr>
          <w:lang w:val="ru-RU"/>
        </w:rPr>
        <w:t>оценок</w:t>
      </w:r>
      <w:r w:rsidRPr="007F6CEF">
        <w:rPr>
          <w:lang w:val="ru-RU"/>
        </w:rPr>
        <w:t xml:space="preserve">, сделанных руководством, и оценили </w:t>
      </w:r>
      <w:r w:rsidR="00D82FFF" w:rsidRPr="007F6CEF">
        <w:rPr>
          <w:lang w:val="ru-RU"/>
        </w:rPr>
        <w:t xml:space="preserve">адекватность представления информации в финансовой отчетности. </w:t>
      </w:r>
    </w:p>
    <w:p w:rsidR="00AA0135" w:rsidRPr="007F6CEF" w:rsidRDefault="00D82FFF" w:rsidP="00170B2C">
      <w:pPr>
        <w:rPr>
          <w:lang w:val="ru-RU"/>
        </w:rPr>
      </w:pPr>
      <w:r w:rsidRPr="007F6CEF">
        <w:rPr>
          <w:lang w:val="ru-RU"/>
        </w:rPr>
        <w:t xml:space="preserve">Таким образом, благодаря аудиту мы получили достаточную основу для составления мнения, которое приводится ниже. </w:t>
      </w:r>
    </w:p>
    <w:p w:rsidR="00AA0135" w:rsidRPr="007F6CEF" w:rsidRDefault="009C3F89" w:rsidP="00170B2C">
      <w:pPr>
        <w:rPr>
          <w:lang w:val="ru-RU"/>
        </w:rPr>
      </w:pPr>
      <w:r w:rsidRPr="007F6CEF">
        <w:rPr>
          <w:lang w:val="ru-RU"/>
        </w:rPr>
        <w:t xml:space="preserve">Мы проверили на основе выборки ряд </w:t>
      </w:r>
      <w:r w:rsidR="001B391C" w:rsidRPr="007F6CEF">
        <w:rPr>
          <w:lang w:val="ru-RU"/>
        </w:rPr>
        <w:t>операций</w:t>
      </w:r>
      <w:r w:rsidRPr="007F6CEF">
        <w:rPr>
          <w:lang w:val="ru-RU"/>
        </w:rPr>
        <w:t xml:space="preserve"> и соответствующую документацию, получив достаточные </w:t>
      </w:r>
      <w:r w:rsidR="00644D3C" w:rsidRPr="007F6CEF">
        <w:rPr>
          <w:lang w:val="ru-RU"/>
        </w:rPr>
        <w:t xml:space="preserve">и надежные доказательства в отношении счетов и предоставления информации в финансовой отчетности. </w:t>
      </w:r>
    </w:p>
    <w:p w:rsidR="00530D53" w:rsidRPr="007F6CEF" w:rsidRDefault="00644D3C" w:rsidP="00170B2C">
      <w:pPr>
        <w:rPr>
          <w:lang w:val="ru-RU"/>
        </w:rPr>
      </w:pPr>
      <w:r w:rsidRPr="007F6CEF">
        <w:rPr>
          <w:lang w:val="ru-RU"/>
        </w:rPr>
        <w:t xml:space="preserve">В ходе аудита все вопросы разъяснялись и обсуждались с ответственными сотрудниками. </w:t>
      </w:r>
    </w:p>
    <w:p w:rsidR="00AA0135" w:rsidRPr="007F6CEF" w:rsidRDefault="00644D3C" w:rsidP="00170B2C">
      <w:pPr>
        <w:rPr>
          <w:lang w:val="ru-RU"/>
        </w:rPr>
      </w:pPr>
      <w:r w:rsidRPr="007F6CEF">
        <w:rPr>
          <w:lang w:val="ru-RU"/>
        </w:rPr>
        <w:t xml:space="preserve">Наша группа регулярно проводила обсуждения с г-ном Алассаном Ба, руководителем Департамента управления финансовыми ресурсами МСЭ, и сотрудниками его департамента, а также с сотрудниками других департаментов, в зависимости от рассматриваемого вопроса. </w:t>
      </w:r>
    </w:p>
    <w:p w:rsidR="00226DD4" w:rsidRPr="007F6CEF" w:rsidRDefault="001B391C" w:rsidP="00170B2C">
      <w:pPr>
        <w:rPr>
          <w:lang w:val="ru-RU"/>
        </w:rPr>
      </w:pPr>
      <w:r w:rsidRPr="007F6CEF">
        <w:rPr>
          <w:lang w:val="ru-RU"/>
        </w:rPr>
        <w:t>Р</w:t>
      </w:r>
      <w:r w:rsidR="00226DD4" w:rsidRPr="007F6CEF">
        <w:rPr>
          <w:lang w:val="ru-RU"/>
        </w:rPr>
        <w:t xml:space="preserve">езультаты аудита были представлены </w:t>
      </w:r>
      <w:r w:rsidR="00AD5445" w:rsidRPr="007F6CEF">
        <w:rPr>
          <w:lang w:val="ru-RU"/>
        </w:rPr>
        <w:t>1 июля</w:t>
      </w:r>
      <w:r w:rsidR="00226DD4" w:rsidRPr="007F6CEF">
        <w:rPr>
          <w:lang w:val="ru-RU"/>
        </w:rPr>
        <w:t xml:space="preserve"> 201</w:t>
      </w:r>
      <w:r w:rsidR="00AD5445" w:rsidRPr="007F6CEF">
        <w:rPr>
          <w:lang w:val="ru-RU"/>
        </w:rPr>
        <w:t>4</w:t>
      </w:r>
      <w:r w:rsidR="00226DD4" w:rsidRPr="007F6CEF">
        <w:rPr>
          <w:lang w:val="ru-RU"/>
        </w:rPr>
        <w:t xml:space="preserve"> года. </w:t>
      </w:r>
    </w:p>
    <w:p w:rsidR="00AA0135" w:rsidRPr="007F6CEF" w:rsidRDefault="00226DD4" w:rsidP="00170B2C">
      <w:pPr>
        <w:rPr>
          <w:lang w:val="ru-RU"/>
        </w:rPr>
      </w:pPr>
      <w:r w:rsidRPr="007F6CEF">
        <w:rPr>
          <w:lang w:val="ru-RU"/>
        </w:rPr>
        <w:t xml:space="preserve">В том что касается комментариев Генерального секретаря, которые следует включить в настоящий отчет согласно пункту 9 Дополнительных полномочий по внешней аудиторской проверке, Генеральный секретарь в ходе последнего обсуждения, состоявшегося </w:t>
      </w:r>
      <w:r w:rsidR="00AD5445" w:rsidRPr="007F6CEF">
        <w:rPr>
          <w:lang w:val="ru-RU"/>
        </w:rPr>
        <w:t>1 июля</w:t>
      </w:r>
      <w:r w:rsidRPr="007F6CEF">
        <w:rPr>
          <w:lang w:val="ru-RU"/>
        </w:rPr>
        <w:t xml:space="preserve"> 201</w:t>
      </w:r>
      <w:r w:rsidR="00AD5445" w:rsidRPr="007F6CEF">
        <w:rPr>
          <w:lang w:val="ru-RU"/>
        </w:rPr>
        <w:t>4</w:t>
      </w:r>
      <w:r w:rsidRPr="007F6CEF">
        <w:rPr>
          <w:lang w:val="ru-RU"/>
        </w:rPr>
        <w:t xml:space="preserve"> года, уведомил нас через своих коллег о том, что он направит нам свои комментарии. Эти комментарии были получены </w:t>
      </w:r>
      <w:r w:rsidR="00AD5445" w:rsidRPr="007F6CEF">
        <w:rPr>
          <w:lang w:val="ru-RU"/>
        </w:rPr>
        <w:t>8 июля 2014 года</w:t>
      </w:r>
      <w:r w:rsidRPr="007F6CEF">
        <w:rPr>
          <w:lang w:val="ru-RU"/>
        </w:rPr>
        <w:t xml:space="preserve"> и были должным образом включены в настоящий отчет. </w:t>
      </w:r>
    </w:p>
    <w:p w:rsidR="00AA0135" w:rsidRPr="007F6CEF" w:rsidRDefault="00226DD4" w:rsidP="00170B2C">
      <w:pPr>
        <w:rPr>
          <w:lang w:val="ru-RU"/>
        </w:rPr>
      </w:pPr>
      <w:r w:rsidRPr="007F6CEF">
        <w:rPr>
          <w:lang w:val="ru-RU"/>
        </w:rPr>
        <w:t>Мы проверили</w:t>
      </w:r>
      <w:r w:rsidR="00AA0135" w:rsidRPr="007F6CEF">
        <w:rPr>
          <w:lang w:val="ru-RU"/>
        </w:rPr>
        <w:t xml:space="preserve"> </w:t>
      </w:r>
      <w:r w:rsidR="00070A8E" w:rsidRPr="007F6CEF">
        <w:rPr>
          <w:lang w:val="ru-RU"/>
        </w:rPr>
        <w:t>Отчет о финансовой деятельности</w:t>
      </w:r>
      <w:r w:rsidRPr="007F6CEF">
        <w:rPr>
          <w:lang w:val="ru-RU"/>
        </w:rPr>
        <w:t xml:space="preserve"> МСЭ </w:t>
      </w:r>
      <w:r w:rsidR="00622DA6" w:rsidRPr="007F6CEF">
        <w:rPr>
          <w:lang w:val="ru-RU"/>
        </w:rPr>
        <w:t>в отношении</w:t>
      </w:r>
      <w:r w:rsidRPr="007F6CEF">
        <w:rPr>
          <w:lang w:val="ru-RU"/>
        </w:rPr>
        <w:t xml:space="preserve"> проверенны</w:t>
      </w:r>
      <w:r w:rsidR="00622DA6" w:rsidRPr="007F6CEF">
        <w:rPr>
          <w:lang w:val="ru-RU"/>
        </w:rPr>
        <w:t>х</w:t>
      </w:r>
      <w:r w:rsidRPr="007F6CEF">
        <w:rPr>
          <w:lang w:val="ru-RU"/>
        </w:rPr>
        <w:t xml:space="preserve"> счет</w:t>
      </w:r>
      <w:r w:rsidR="00622DA6" w:rsidRPr="007F6CEF">
        <w:rPr>
          <w:lang w:val="ru-RU"/>
        </w:rPr>
        <w:t>ов</w:t>
      </w:r>
      <w:r w:rsidRPr="007F6CEF">
        <w:rPr>
          <w:lang w:val="ru-RU"/>
        </w:rPr>
        <w:t xml:space="preserve">, </w:t>
      </w:r>
      <w:r w:rsidR="00530D53" w:rsidRPr="007F6CEF">
        <w:rPr>
          <w:lang w:val="ru-RU"/>
        </w:rPr>
        <w:t>ве</w:t>
      </w:r>
      <w:r w:rsidR="00622DA6" w:rsidRPr="007F6CEF">
        <w:rPr>
          <w:lang w:val="ru-RU"/>
        </w:rPr>
        <w:t>дущих</w:t>
      </w:r>
      <w:r w:rsidR="00530D53" w:rsidRPr="007F6CEF">
        <w:rPr>
          <w:lang w:val="ru-RU"/>
        </w:rPr>
        <w:t>ся</w:t>
      </w:r>
      <w:r w:rsidRPr="007F6CEF">
        <w:rPr>
          <w:lang w:val="ru-RU"/>
        </w:rPr>
        <w:t xml:space="preserve"> организаци</w:t>
      </w:r>
      <w:r w:rsidR="00530D53" w:rsidRPr="007F6CEF">
        <w:rPr>
          <w:lang w:val="ru-RU"/>
        </w:rPr>
        <w:t>ей</w:t>
      </w:r>
      <w:r w:rsidRPr="007F6CEF">
        <w:rPr>
          <w:lang w:val="ru-RU"/>
        </w:rPr>
        <w:t xml:space="preserve">, </w:t>
      </w:r>
      <w:r w:rsidR="001B391C" w:rsidRPr="007F6CEF">
        <w:rPr>
          <w:lang w:val="ru-RU"/>
        </w:rPr>
        <w:t>который касается</w:t>
      </w:r>
      <w:r w:rsidRPr="007F6CEF">
        <w:rPr>
          <w:lang w:val="ru-RU"/>
        </w:rPr>
        <w:t xml:space="preserve"> </w:t>
      </w:r>
      <w:r w:rsidR="00946B4D" w:rsidRPr="007F6CEF">
        <w:rPr>
          <w:lang w:val="ru-RU"/>
        </w:rPr>
        <w:t xml:space="preserve">финансовых результатов </w:t>
      </w:r>
      <w:r w:rsidR="0077413D" w:rsidRPr="007F6CEF">
        <w:rPr>
          <w:lang w:val="ru-RU"/>
        </w:rPr>
        <w:t>за 201</w:t>
      </w:r>
      <w:r w:rsidR="00AD5445" w:rsidRPr="007F6CEF">
        <w:rPr>
          <w:lang w:val="ru-RU"/>
        </w:rPr>
        <w:t>3</w:t>
      </w:r>
      <w:r w:rsidR="0077413D" w:rsidRPr="007F6CEF">
        <w:rPr>
          <w:lang w:val="ru-RU"/>
        </w:rPr>
        <w:t xml:space="preserve"> финансовый год </w:t>
      </w:r>
      <w:r w:rsidR="00AE6DEB" w:rsidRPr="007F6CEF">
        <w:rPr>
          <w:lang w:val="ru-RU"/>
        </w:rPr>
        <w:t>по состоянию на 31 </w:t>
      </w:r>
      <w:r w:rsidR="00946B4D" w:rsidRPr="007F6CEF">
        <w:rPr>
          <w:lang w:val="ru-RU"/>
        </w:rPr>
        <w:t>декабря 201</w:t>
      </w:r>
      <w:r w:rsidR="00AD5445" w:rsidRPr="007F6CEF">
        <w:rPr>
          <w:lang w:val="ru-RU"/>
        </w:rPr>
        <w:t>3</w:t>
      </w:r>
      <w:r w:rsidR="00946B4D" w:rsidRPr="007F6CEF">
        <w:rPr>
          <w:lang w:val="ru-RU"/>
        </w:rPr>
        <w:t xml:space="preserve"> года</w:t>
      </w:r>
      <w:r w:rsidR="0077413D" w:rsidRPr="007F6CEF">
        <w:rPr>
          <w:lang w:val="ru-RU"/>
        </w:rPr>
        <w:t xml:space="preserve">, представленных в соответствии с </w:t>
      </w:r>
      <w:r w:rsidR="0077413D" w:rsidRPr="007F6CEF">
        <w:rPr>
          <w:i/>
          <w:iCs/>
          <w:lang w:val="ru-RU"/>
        </w:rPr>
        <w:t>Финансовым регламентом</w:t>
      </w:r>
      <w:r w:rsidR="00AA0135" w:rsidRPr="007F6CEF">
        <w:rPr>
          <w:i/>
          <w:iCs/>
          <w:lang w:val="ru-RU"/>
        </w:rPr>
        <w:t xml:space="preserve"> (</w:t>
      </w:r>
      <w:r w:rsidR="0077413D" w:rsidRPr="007F6CEF">
        <w:rPr>
          <w:i/>
          <w:iCs/>
          <w:lang w:val="ru-RU"/>
        </w:rPr>
        <w:t xml:space="preserve">издания </w:t>
      </w:r>
      <w:r w:rsidR="00AA0135" w:rsidRPr="007F6CEF">
        <w:rPr>
          <w:i/>
          <w:iCs/>
          <w:lang w:val="ru-RU"/>
        </w:rPr>
        <w:t xml:space="preserve">2010 </w:t>
      </w:r>
      <w:r w:rsidR="0077413D" w:rsidRPr="007F6CEF">
        <w:rPr>
          <w:i/>
          <w:iCs/>
          <w:lang w:val="ru-RU"/>
        </w:rPr>
        <w:t>г.</w:t>
      </w:r>
      <w:r w:rsidR="00AA0135" w:rsidRPr="007F6CEF">
        <w:rPr>
          <w:i/>
          <w:iCs/>
          <w:lang w:val="ru-RU"/>
        </w:rPr>
        <w:t xml:space="preserve">): </w:t>
      </w:r>
      <w:r w:rsidR="0077413D" w:rsidRPr="007F6CEF">
        <w:rPr>
          <w:i/>
          <w:iCs/>
          <w:lang w:val="ru-RU"/>
        </w:rPr>
        <w:t>Статья</w:t>
      </w:r>
      <w:r w:rsidR="00AA0135" w:rsidRPr="007F6CEF">
        <w:rPr>
          <w:i/>
          <w:iCs/>
          <w:lang w:val="ru-RU"/>
        </w:rPr>
        <w:t xml:space="preserve"> </w:t>
      </w:r>
      <w:r w:rsidR="00AD5445" w:rsidRPr="007F6CEF">
        <w:rPr>
          <w:i/>
          <w:iCs/>
          <w:lang w:val="ru-RU"/>
        </w:rPr>
        <w:t>2</w:t>
      </w:r>
      <w:r w:rsidR="00AA0135" w:rsidRPr="007F6CEF">
        <w:rPr>
          <w:i/>
          <w:iCs/>
          <w:lang w:val="ru-RU"/>
        </w:rPr>
        <w:t>8</w:t>
      </w:r>
      <w:r w:rsidR="0077413D" w:rsidRPr="007F6CEF">
        <w:rPr>
          <w:i/>
          <w:iCs/>
          <w:lang w:val="ru-RU"/>
        </w:rPr>
        <w:t xml:space="preserve">. </w:t>
      </w:r>
    </w:p>
    <w:p w:rsidR="00AA0135" w:rsidRPr="007F6CEF" w:rsidRDefault="0077413D" w:rsidP="00170B2C">
      <w:pPr>
        <w:rPr>
          <w:lang w:val="ru-RU"/>
        </w:rPr>
      </w:pPr>
      <w:r w:rsidRPr="007F6CEF">
        <w:rPr>
          <w:lang w:val="ru-RU"/>
        </w:rPr>
        <w:t>Сопроводительное письмо, касающееся счетов за 201</w:t>
      </w:r>
      <w:r w:rsidR="00AD5445" w:rsidRPr="007F6CEF">
        <w:rPr>
          <w:lang w:val="ru-RU"/>
        </w:rPr>
        <w:t>3</w:t>
      </w:r>
      <w:r w:rsidRPr="007F6CEF">
        <w:rPr>
          <w:lang w:val="ru-RU"/>
        </w:rPr>
        <w:t xml:space="preserve"> финансовый год и подписанное Генеральным секретарем и руководителем Департамента управления финансовыми ресурсами, включено в финансовую отчетность и является неотъемлемой частью документации по аудиту. </w:t>
      </w:r>
    </w:p>
    <w:p w:rsidR="00AD5445" w:rsidRPr="007F6CEF" w:rsidRDefault="00F701D9" w:rsidP="00170B2C">
      <w:pPr>
        <w:rPr>
          <w:lang w:val="ru-RU"/>
        </w:rPr>
      </w:pPr>
      <w:r w:rsidRPr="007F6CEF">
        <w:rPr>
          <w:lang w:val="ru-RU"/>
        </w:rPr>
        <w:t xml:space="preserve">Мы получили также Отчет о внутреннем контроле за 2013 год, подписанный Генеральным секретарем 4 июня 2014 года. </w:t>
      </w:r>
    </w:p>
    <w:p w:rsidR="00AA0135" w:rsidRPr="007F6CEF" w:rsidRDefault="0077413D" w:rsidP="00170B2C">
      <w:pPr>
        <w:rPr>
          <w:lang w:val="ru-RU"/>
        </w:rPr>
      </w:pPr>
      <w:r w:rsidRPr="007F6CEF">
        <w:rPr>
          <w:lang w:val="ru-RU"/>
        </w:rPr>
        <w:t xml:space="preserve">Кроме того, согласно пункту 6 раздела </w:t>
      </w:r>
      <w:r w:rsidRPr="007F6CEF">
        <w:rPr>
          <w:i/>
          <w:iCs/>
          <w:lang w:val="ru-RU"/>
        </w:rPr>
        <w:t>решает</w:t>
      </w:r>
      <w:r w:rsidRPr="007F6CEF">
        <w:rPr>
          <w:lang w:val="ru-RU"/>
        </w:rPr>
        <w:t xml:space="preserve"> Резолюции 11 (Гвадалахара, 2010 г.)</w:t>
      </w:r>
      <w:r w:rsidR="00AA0135" w:rsidRPr="007F6CEF">
        <w:rPr>
          <w:lang w:val="ru-RU"/>
        </w:rPr>
        <w:t xml:space="preserve"> </w:t>
      </w:r>
      <w:r w:rsidRPr="007F6CEF">
        <w:rPr>
          <w:lang w:val="ru-RU"/>
        </w:rPr>
        <w:t>мы проверили счета Всемирного мероприятия</w:t>
      </w:r>
      <w:r w:rsidR="00AA0135" w:rsidRPr="007F6CEF">
        <w:rPr>
          <w:lang w:val="ru-RU"/>
        </w:rPr>
        <w:t xml:space="preserve"> ITU </w:t>
      </w:r>
      <w:r w:rsidR="0091029E" w:rsidRPr="007F6CEF">
        <w:rPr>
          <w:lang w:val="ru-RU"/>
        </w:rPr>
        <w:t>Telecom</w:t>
      </w:r>
      <w:r w:rsidR="00F701D9" w:rsidRPr="007F6CEF">
        <w:rPr>
          <w:lang w:val="ru-RU"/>
        </w:rPr>
        <w:t xml:space="preserve"> </w:t>
      </w:r>
      <w:r w:rsidR="00775A98" w:rsidRPr="007F6CEF">
        <w:rPr>
          <w:lang w:val="ru-RU"/>
        </w:rPr>
        <w:t>за 201</w:t>
      </w:r>
      <w:r w:rsidR="00AD5445" w:rsidRPr="007F6CEF">
        <w:rPr>
          <w:lang w:val="ru-RU"/>
        </w:rPr>
        <w:t>3</w:t>
      </w:r>
      <w:r w:rsidR="00775A98" w:rsidRPr="007F6CEF">
        <w:rPr>
          <w:lang w:val="ru-RU"/>
        </w:rPr>
        <w:t xml:space="preserve"> год</w:t>
      </w:r>
      <w:r w:rsidRPr="007F6CEF">
        <w:rPr>
          <w:lang w:val="ru-RU"/>
        </w:rPr>
        <w:t xml:space="preserve">. </w:t>
      </w:r>
    </w:p>
    <w:p w:rsidR="00AD5445" w:rsidRPr="007F6CEF" w:rsidRDefault="00094333" w:rsidP="00170B2C">
      <w:pPr>
        <w:rPr>
          <w:lang w:val="ru-RU"/>
        </w:rPr>
      </w:pPr>
      <w:r w:rsidRPr="007F6CEF">
        <w:rPr>
          <w:lang w:val="ru-RU"/>
        </w:rPr>
        <w:t xml:space="preserve">Наконец, мы хотим выразить благодарность за любезность, проявленную всеми сотрудниками МСЭ, к которым мы обращались за информацией и документами. </w:t>
      </w:r>
    </w:p>
    <w:p w:rsidR="00CA5377" w:rsidRPr="007F6CEF" w:rsidRDefault="00CA5377" w:rsidP="00170B2C">
      <w:pPr>
        <w:rPr>
          <w:lang w:val="ru-RU"/>
        </w:rPr>
      </w:pPr>
      <w:r w:rsidRPr="007F6CEF">
        <w:rPr>
          <w:lang w:val="ru-RU"/>
        </w:rPr>
        <w:br w:type="page"/>
      </w:r>
    </w:p>
    <w:p w:rsidR="00AA0135" w:rsidRPr="007F6CEF" w:rsidRDefault="00571600" w:rsidP="00170B2C">
      <w:pPr>
        <w:pStyle w:val="Title1"/>
        <w:rPr>
          <w:u w:val="single"/>
          <w:lang w:val="ru-RU"/>
        </w:rPr>
      </w:pPr>
      <w:bookmarkStart w:id="39" w:name="_Toc358192813"/>
      <w:bookmarkStart w:id="40" w:name="_Toc398125298"/>
      <w:bookmarkStart w:id="41" w:name="_Toc398125777"/>
      <w:r w:rsidRPr="007F6CEF">
        <w:rPr>
          <w:lang w:val="ru-RU"/>
        </w:rPr>
        <w:t>АУДИТОРСКОЕ ЗАКЛЮЧЕНИЕ</w:t>
      </w:r>
      <w:bookmarkEnd w:id="39"/>
      <w:bookmarkEnd w:id="40"/>
      <w:bookmarkEnd w:id="41"/>
    </w:p>
    <w:p w:rsidR="003C45CB" w:rsidRPr="00866795" w:rsidRDefault="003C45CB" w:rsidP="003C45CB">
      <w:pPr>
        <w:ind w:left="4253" w:right="108"/>
      </w:pPr>
      <w:bookmarkStart w:id="42" w:name="_Toc398125299"/>
      <w:bookmarkStart w:id="43" w:name="_Toc398125778"/>
      <w:bookmarkStart w:id="44" w:name="_Toc398127077"/>
      <w:r w:rsidRPr="008870D6">
        <w:rPr>
          <w:noProof/>
          <w:lang w:val="en-US" w:eastAsia="zh-CN"/>
        </w:rPr>
        <w:drawing>
          <wp:inline distT="0" distB="0" distL="0" distR="0" wp14:anchorId="07E1D193" wp14:editId="7D31B836">
            <wp:extent cx="796060" cy="895082"/>
            <wp:effectExtent l="0" t="0" r="4445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_repubblic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162" cy="89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5CB" w:rsidRPr="00E84AA7" w:rsidRDefault="003C45CB" w:rsidP="003C45CB">
      <w:pPr>
        <w:ind w:right="107"/>
        <w:jc w:val="center"/>
        <w:rPr>
          <w:rFonts w:ascii="Cambria" w:hAnsi="Cambria"/>
          <w:sz w:val="72"/>
          <w:szCs w:val="72"/>
          <w:lang w:val="ru-RU"/>
        </w:rPr>
      </w:pPr>
      <w:r w:rsidRPr="00866795">
        <w:rPr>
          <w:rFonts w:ascii="Kunstler Script" w:hAnsi="Kunstler Script"/>
          <w:sz w:val="72"/>
          <w:szCs w:val="72"/>
        </w:rPr>
        <w:t>Corte</w:t>
      </w:r>
      <w:r w:rsidRPr="003C45CB">
        <w:rPr>
          <w:rFonts w:ascii="Kunstler Script" w:hAnsi="Kunstler Script"/>
          <w:sz w:val="72"/>
          <w:szCs w:val="72"/>
          <w:lang w:val="ru-RU"/>
        </w:rPr>
        <w:t xml:space="preserve"> </w:t>
      </w:r>
      <w:r w:rsidRPr="00866795">
        <w:rPr>
          <w:rFonts w:ascii="Kunstler Script" w:hAnsi="Kunstler Script"/>
          <w:sz w:val="72"/>
          <w:szCs w:val="72"/>
        </w:rPr>
        <w:t>dei</w:t>
      </w:r>
      <w:r w:rsidRPr="003C45CB">
        <w:rPr>
          <w:rFonts w:ascii="Kunstler Script" w:hAnsi="Kunstler Script"/>
          <w:sz w:val="72"/>
          <w:szCs w:val="72"/>
          <w:lang w:val="ru-RU"/>
        </w:rPr>
        <w:t xml:space="preserve"> </w:t>
      </w:r>
      <w:proofErr w:type="gramStart"/>
      <w:r w:rsidRPr="00866795">
        <w:rPr>
          <w:rFonts w:ascii="Kunstler Script" w:hAnsi="Kunstler Script"/>
          <w:sz w:val="72"/>
          <w:szCs w:val="72"/>
        </w:rPr>
        <w:t>conti</w:t>
      </w:r>
      <w:proofErr w:type="gramEnd"/>
    </w:p>
    <w:p w:rsidR="00AD5445" w:rsidRPr="007F6CEF" w:rsidRDefault="00AD5445" w:rsidP="00170B2C">
      <w:pPr>
        <w:pStyle w:val="Headingb"/>
        <w:spacing w:before="360"/>
        <w:rPr>
          <w:lang w:val="ru-RU"/>
        </w:rPr>
      </w:pPr>
      <w:r w:rsidRPr="007F6CEF">
        <w:rPr>
          <w:lang w:val="ru-RU"/>
        </w:rPr>
        <w:t>Отчет независимого аудитора</w:t>
      </w:r>
      <w:bookmarkEnd w:id="42"/>
      <w:bookmarkEnd w:id="43"/>
      <w:bookmarkEnd w:id="44"/>
    </w:p>
    <w:p w:rsidR="00AD5445" w:rsidRPr="007F6CEF" w:rsidRDefault="00AD5445" w:rsidP="00170B2C">
      <w:pPr>
        <w:rPr>
          <w:lang w:val="ru-RU"/>
        </w:rPr>
      </w:pPr>
      <w:r w:rsidRPr="007F6CEF">
        <w:rPr>
          <w:lang w:val="ru-RU"/>
        </w:rPr>
        <w:t xml:space="preserve">Мы провели аудиторскую проверку финансовой отчетности Международного союза электросвязи (МСЭ) по состоянию на 31 декабря 2013 года, включающей отчет о финансовом положении, отчет о результатах финансовой деятельности, </w:t>
      </w:r>
      <w:r w:rsidRPr="007F6CEF">
        <w:rPr>
          <w:rFonts w:cs="Calibri"/>
          <w:lang w:val="ru-RU" w:eastAsia="zh-CN"/>
        </w:rPr>
        <w:t xml:space="preserve">отчет об изменениях в чистых активах, </w:t>
      </w:r>
      <w:r w:rsidR="00F701D9" w:rsidRPr="007F6CEF">
        <w:rPr>
          <w:rFonts w:cs="Calibri"/>
          <w:lang w:val="ru-RU" w:eastAsia="zh-CN"/>
        </w:rPr>
        <w:t>сравнительную таблицу</w:t>
      </w:r>
      <w:r w:rsidRPr="007F6CEF">
        <w:rPr>
          <w:rFonts w:cs="Calibri"/>
          <w:lang w:val="ru-RU" w:eastAsia="zh-CN"/>
        </w:rPr>
        <w:t xml:space="preserve"> предусмотренных в бюджете </w:t>
      </w:r>
      <w:r w:rsidR="00894703" w:rsidRPr="007F6CEF">
        <w:rPr>
          <w:rFonts w:cs="Calibri"/>
          <w:lang w:val="ru-RU" w:eastAsia="zh-CN"/>
        </w:rPr>
        <w:t xml:space="preserve">сумм </w:t>
      </w:r>
      <w:r w:rsidRPr="007F6CEF">
        <w:rPr>
          <w:rFonts w:cs="Calibri"/>
          <w:lang w:val="ru-RU" w:eastAsia="zh-CN"/>
        </w:rPr>
        <w:t xml:space="preserve">и фактических сумм, отчет о движении денежных средств за год, завершившийся на указанную дату, а также </w:t>
      </w:r>
      <w:r w:rsidRPr="007F6CEF">
        <w:rPr>
          <w:rFonts w:cs="Segoe UI"/>
          <w:color w:val="000000"/>
          <w:lang w:val="ru-RU"/>
        </w:rPr>
        <w:t>краткое описание основных методов бухгалтерского учета и прочие пояснительные примечания.</w:t>
      </w:r>
      <w:r w:rsidRPr="007F6CEF">
        <w:rPr>
          <w:rFonts w:cs="Calibri"/>
          <w:lang w:val="ru-RU" w:eastAsia="zh-CN"/>
        </w:rPr>
        <w:t xml:space="preserve"> </w:t>
      </w:r>
    </w:p>
    <w:p w:rsidR="00AD5445" w:rsidRPr="007F6CEF" w:rsidRDefault="00AD5445" w:rsidP="00170B2C">
      <w:pPr>
        <w:pStyle w:val="Headingb"/>
        <w:rPr>
          <w:lang w:val="ru-RU"/>
        </w:rPr>
      </w:pPr>
      <w:bookmarkStart w:id="45" w:name="_Toc398125300"/>
      <w:bookmarkStart w:id="46" w:name="_Toc398125779"/>
      <w:bookmarkStart w:id="47" w:name="_Toc398127078"/>
      <w:r w:rsidRPr="007F6CEF">
        <w:rPr>
          <w:lang w:val="ru-RU"/>
        </w:rPr>
        <w:t>Ответственность Генерального секретаря МСЭ за финансовую отчетность</w:t>
      </w:r>
      <w:bookmarkEnd w:id="45"/>
      <w:bookmarkEnd w:id="46"/>
      <w:bookmarkEnd w:id="47"/>
      <w:r w:rsidRPr="007F6CEF">
        <w:rPr>
          <w:lang w:val="ru-RU"/>
        </w:rPr>
        <w:t xml:space="preserve"> </w:t>
      </w:r>
    </w:p>
    <w:p w:rsidR="00AD5445" w:rsidRPr="007F6CEF" w:rsidRDefault="00AD5445" w:rsidP="00170B2C">
      <w:pPr>
        <w:rPr>
          <w:lang w:val="ru-RU"/>
        </w:rPr>
      </w:pPr>
      <w:r w:rsidRPr="007F6CEF">
        <w:rPr>
          <w:lang w:val="ru-RU"/>
        </w:rPr>
        <w:t>Генеральный секретарь несет ответственность за составление и объективное представление финансовой отчетности в соответствии с требованиями, установленными в Международных стандартах финансовой отчетности для общественного сектора (стандартах IPSAS), а также в Финансовом регламенте и Финансовых правилах МСЭ. Кроме того, Генеральный секретариат несет ответственность за разработку, внедрение и поддержание системы внутреннего контроля, которую он считает необходимой, чтобы обеспечивать составление и объективное представление финансовой отчетности без существенных искажений, которые могут быть допущены вследствие недобросовестных действий или в результате ошибок.</w:t>
      </w:r>
    </w:p>
    <w:p w:rsidR="00AD5445" w:rsidRPr="007F6CEF" w:rsidRDefault="00AD5445" w:rsidP="00170B2C">
      <w:pPr>
        <w:pStyle w:val="Headingb"/>
        <w:rPr>
          <w:lang w:val="ru-RU"/>
        </w:rPr>
      </w:pPr>
      <w:bookmarkStart w:id="48" w:name="_Toc398125301"/>
      <w:bookmarkStart w:id="49" w:name="_Toc398125780"/>
      <w:bookmarkStart w:id="50" w:name="_Toc398127079"/>
      <w:r w:rsidRPr="007F6CEF">
        <w:rPr>
          <w:lang w:val="ru-RU"/>
        </w:rPr>
        <w:t>Ответственность аудитора</w:t>
      </w:r>
      <w:bookmarkEnd w:id="48"/>
      <w:bookmarkEnd w:id="49"/>
      <w:bookmarkEnd w:id="50"/>
      <w:r w:rsidRPr="007F6CEF">
        <w:rPr>
          <w:lang w:val="ru-RU"/>
        </w:rPr>
        <w:t xml:space="preserve"> </w:t>
      </w:r>
    </w:p>
    <w:p w:rsidR="00AD5445" w:rsidRPr="007F6CEF" w:rsidRDefault="00AD5445" w:rsidP="00170B2C">
      <w:pPr>
        <w:rPr>
          <w:lang w:val="ru-RU"/>
        </w:rPr>
      </w:pPr>
      <w:r w:rsidRPr="007F6CEF">
        <w:rPr>
          <w:lang w:val="ru-RU"/>
        </w:rPr>
        <w:t xml:space="preserve">Наша ответственность состоит в том, чтобы дать заключение о финансовой отчетности МСЭ по результатам проведенного нами аудита. Мы проводили аудиторскую проверку в соответствии с Международными стандартами для высших ревизионных учреждений, опубликованными Международной организацией высших ревизионных учреждений (МОВРУ). Эти стандарты требуют от нас соблюдать правила этики, планировать и проводить аудит таким образом, чтобы получить достаточную гарантию того, что финансовая отчетность не содержит существенных искажений. Аудит предусматривает применение процедур для получения доказательных данных аудита в отношении сумм и информации, представленных и раскрываемых в финансовой отчетности. </w:t>
      </w:r>
    </w:p>
    <w:p w:rsidR="00AD5445" w:rsidRPr="007F6CEF" w:rsidRDefault="00AD5445" w:rsidP="00170B2C">
      <w:pPr>
        <w:rPr>
          <w:lang w:val="ru-RU"/>
        </w:rPr>
      </w:pPr>
      <w:r w:rsidRPr="007F6CEF">
        <w:rPr>
          <w:lang w:val="ru-RU"/>
        </w:rPr>
        <w:t>Выбор процедур зависит от решения аудитора, а также от оценки риска наличия существенных искажений в финансовой отчетности, которые могут быть допущены вследствие недобросовестных действий или в результате ошибок. При проведении этой оценки аудитор рассматривает систему внутреннего контроля, действующую в организации для подготовки и объективного представления финансовой отчетности, с тем чтобы определить процедуры аудита, соответствующие данным обстоятельствам, а не для того чтобы выразить свое мнение по поводу эффективности и действенности функционировани</w:t>
      </w:r>
      <w:r w:rsidR="00894703" w:rsidRPr="007F6CEF">
        <w:rPr>
          <w:lang w:val="ru-RU"/>
        </w:rPr>
        <w:t>я системы внутреннего контроля о</w:t>
      </w:r>
      <w:r w:rsidRPr="007F6CEF">
        <w:rPr>
          <w:lang w:val="ru-RU"/>
        </w:rPr>
        <w:t xml:space="preserve">рганизации. Кроме того, аудит включает оценку адекватности принятых методов бухгалтерского учета и обоснованности учетных оценок, произведенных Генеральным секретарем, а также оценку представления финансовой отчетности в целом. </w:t>
      </w:r>
    </w:p>
    <w:p w:rsidR="00AD5445" w:rsidRPr="007F6CEF" w:rsidRDefault="00AD5445" w:rsidP="00170B2C">
      <w:pPr>
        <w:rPr>
          <w:lang w:val="ru-RU"/>
        </w:rPr>
      </w:pPr>
      <w:r w:rsidRPr="007F6CEF">
        <w:rPr>
          <w:lang w:val="ru-RU"/>
        </w:rPr>
        <w:t>Считаем, что собранные доказательные данные аудита обеспечивают достаточную и адекватную основу для нашего заключения.</w:t>
      </w:r>
    </w:p>
    <w:p w:rsidR="00AD5445" w:rsidRPr="007F6CEF" w:rsidRDefault="00AD5445" w:rsidP="00170B2C">
      <w:pPr>
        <w:pStyle w:val="Headingb"/>
        <w:rPr>
          <w:lang w:val="ru-RU"/>
        </w:rPr>
      </w:pPr>
      <w:bookmarkStart w:id="51" w:name="_Toc398125302"/>
      <w:bookmarkStart w:id="52" w:name="_Toc398125781"/>
      <w:bookmarkStart w:id="53" w:name="_Toc398127080"/>
      <w:r w:rsidRPr="007F6CEF">
        <w:rPr>
          <w:lang w:val="ru-RU"/>
        </w:rPr>
        <w:t>Пояснительный раздел</w:t>
      </w:r>
      <w:bookmarkEnd w:id="51"/>
      <w:bookmarkEnd w:id="52"/>
      <w:bookmarkEnd w:id="53"/>
      <w:r w:rsidRPr="007F6CEF">
        <w:rPr>
          <w:lang w:val="ru-RU"/>
        </w:rPr>
        <w:t xml:space="preserve"> </w:t>
      </w:r>
    </w:p>
    <w:p w:rsidR="00AD5445" w:rsidRPr="007F6CEF" w:rsidRDefault="00AD5445" w:rsidP="00170B2C">
      <w:pPr>
        <w:rPr>
          <w:rFonts w:cs="Calibri"/>
          <w:lang w:val="ru-RU" w:eastAsia="zh-CN"/>
        </w:rPr>
      </w:pPr>
      <w:r w:rsidRPr="007F6CEF">
        <w:rPr>
          <w:lang w:val="ru-RU"/>
        </w:rPr>
        <w:t xml:space="preserve">В отчете о финансовом положении показано отрицательное значение чистых активов (−196,2 млн. швейцарских франков) в результате воздействия убытков, </w:t>
      </w:r>
      <w:r w:rsidR="00472388" w:rsidRPr="007F6CEF">
        <w:rPr>
          <w:lang w:val="ru-RU"/>
        </w:rPr>
        <w:t>учтенных</w:t>
      </w:r>
      <w:r w:rsidRPr="007F6CEF">
        <w:rPr>
          <w:lang w:val="ru-RU"/>
        </w:rPr>
        <w:t xml:space="preserve"> непосредственно в финансовых результатах деятельности в размере −314,1 млн. швейцарских франков, которые вызваны в основном резервными фондами для актуарных обязательств по </w:t>
      </w:r>
      <w:r w:rsidRPr="007F6CEF">
        <w:rPr>
          <w:rFonts w:cs="Calibri"/>
          <w:lang w:val="ru-RU" w:eastAsia="zh-CN"/>
        </w:rPr>
        <w:t xml:space="preserve">медицинскому страхованию после прекращения службы (АСХИ). Подробные сведения о проведенном нами анализе включены в наш отчет. Руководство принимает соответствующие меры. Руководство заверило нас в том, что будет контролировать эффективность этих мер. </w:t>
      </w:r>
    </w:p>
    <w:p w:rsidR="00AD5445" w:rsidRPr="007F6CEF" w:rsidRDefault="00AD5445" w:rsidP="00170B2C">
      <w:pPr>
        <w:pStyle w:val="Headingb"/>
        <w:rPr>
          <w:lang w:val="ru-RU"/>
        </w:rPr>
      </w:pPr>
      <w:bookmarkStart w:id="54" w:name="_Toc398125303"/>
      <w:bookmarkStart w:id="55" w:name="_Toc398125782"/>
      <w:bookmarkStart w:id="56" w:name="_Toc398127081"/>
      <w:r w:rsidRPr="007F6CEF">
        <w:rPr>
          <w:lang w:val="ru-RU"/>
        </w:rPr>
        <w:t>Заключение об аудите</w:t>
      </w:r>
      <w:bookmarkEnd w:id="54"/>
      <w:bookmarkEnd w:id="55"/>
      <w:bookmarkEnd w:id="56"/>
      <w:r w:rsidRPr="007F6CEF">
        <w:rPr>
          <w:lang w:val="ru-RU"/>
        </w:rPr>
        <w:t xml:space="preserve"> </w:t>
      </w:r>
    </w:p>
    <w:p w:rsidR="00AD5445" w:rsidRPr="007F6CEF" w:rsidRDefault="00AD5445" w:rsidP="00E84AA7">
      <w:pPr>
        <w:rPr>
          <w:lang w:val="ru-RU"/>
        </w:rPr>
      </w:pPr>
      <w:r w:rsidRPr="007F6CEF">
        <w:rPr>
          <w:lang w:val="ru-RU"/>
        </w:rPr>
        <w:t>По нашему мнению, финансов</w:t>
      </w:r>
      <w:r w:rsidR="00894703" w:rsidRPr="007F6CEF">
        <w:rPr>
          <w:lang w:val="ru-RU"/>
        </w:rPr>
        <w:t>ая</w:t>
      </w:r>
      <w:r w:rsidRPr="007F6CEF">
        <w:rPr>
          <w:lang w:val="ru-RU"/>
        </w:rPr>
        <w:t xml:space="preserve"> </w:t>
      </w:r>
      <w:r w:rsidR="00894703" w:rsidRPr="007F6CEF">
        <w:rPr>
          <w:lang w:val="ru-RU"/>
        </w:rPr>
        <w:t>отчетность</w:t>
      </w:r>
      <w:r w:rsidRPr="007F6CEF">
        <w:rPr>
          <w:lang w:val="ru-RU"/>
        </w:rPr>
        <w:t xml:space="preserve"> по всем существенным пунктам четко отража</w:t>
      </w:r>
      <w:r w:rsidR="00894703" w:rsidRPr="007F6CEF">
        <w:rPr>
          <w:lang w:val="ru-RU"/>
        </w:rPr>
        <w:t>е</w:t>
      </w:r>
      <w:r w:rsidRPr="007F6CEF">
        <w:rPr>
          <w:lang w:val="ru-RU"/>
        </w:rPr>
        <w:t xml:space="preserve">т финансовое положение Международного союза электросвязи на 31 декабря 2013 года и результаты его финансовой деятельности, изменения в чистых активах, </w:t>
      </w:r>
      <w:r w:rsidRPr="007F6CEF">
        <w:rPr>
          <w:rFonts w:cs="Calibri"/>
          <w:lang w:val="ru-RU" w:eastAsia="zh-CN"/>
        </w:rPr>
        <w:t xml:space="preserve">движение денежных средств и сравнение предусмотренных в бюджете </w:t>
      </w:r>
      <w:r w:rsidR="00692BF3" w:rsidRPr="007F6CEF">
        <w:rPr>
          <w:rFonts w:cs="Calibri"/>
          <w:lang w:val="ru-RU" w:eastAsia="zh-CN"/>
        </w:rPr>
        <w:t xml:space="preserve">сумм </w:t>
      </w:r>
      <w:r w:rsidRPr="007F6CEF">
        <w:rPr>
          <w:rFonts w:cs="Calibri"/>
          <w:lang w:val="ru-RU" w:eastAsia="zh-CN"/>
        </w:rPr>
        <w:t xml:space="preserve">и фактических сумм в соответствии со стандартами </w:t>
      </w:r>
      <w:r w:rsidRPr="007F6CEF">
        <w:rPr>
          <w:lang w:val="ru-RU"/>
        </w:rPr>
        <w:t>IPSAS, а также Финансовым регламентом и Финансовыми правилами МСЭ.</w:t>
      </w:r>
    </w:p>
    <w:p w:rsidR="00AD5445" w:rsidRPr="007F6CEF" w:rsidRDefault="00AD5445" w:rsidP="00170B2C">
      <w:pPr>
        <w:rPr>
          <w:lang w:val="ru-RU"/>
        </w:rPr>
      </w:pPr>
      <w:r w:rsidRPr="007F6CEF">
        <w:rPr>
          <w:lang w:val="ru-RU"/>
        </w:rPr>
        <w:t xml:space="preserve">В соответствии с дополнительными полномочиями, регулирующими внешнюю проверку отчетности, которые изложены в Приложении </w:t>
      </w:r>
      <w:r w:rsidR="00692BF3" w:rsidRPr="007F6CEF">
        <w:rPr>
          <w:lang w:val="ru-RU"/>
        </w:rPr>
        <w:t>I</w:t>
      </w:r>
      <w:r w:rsidRPr="007F6CEF">
        <w:rPr>
          <w:lang w:val="ru-RU"/>
        </w:rPr>
        <w:t xml:space="preserve"> к Финансовому регламенту и Финансовым правилам МСЭ, мы также опубликовали 28 июля 2014 года подробный отчет о проведенной нами аудиторской проверке финансовой отчетности.</w:t>
      </w:r>
    </w:p>
    <w:p w:rsidR="00AD5445" w:rsidRPr="007F6CEF" w:rsidRDefault="00AD5445" w:rsidP="00170B2C">
      <w:pPr>
        <w:tabs>
          <w:tab w:val="clear" w:pos="794"/>
        </w:tabs>
        <w:spacing w:before="480"/>
        <w:rPr>
          <w:lang w:val="ru-RU"/>
        </w:rPr>
      </w:pPr>
      <w:r w:rsidRPr="007F6CEF">
        <w:rPr>
          <w:lang w:val="ru-RU"/>
        </w:rPr>
        <w:t xml:space="preserve">Рим, 28 июля 2014 года </w:t>
      </w:r>
    </w:p>
    <w:p w:rsidR="00AD5445" w:rsidRPr="007F6CEF" w:rsidRDefault="00AD5445" w:rsidP="00170B2C">
      <w:pPr>
        <w:tabs>
          <w:tab w:val="clear" w:pos="794"/>
        </w:tabs>
        <w:spacing w:before="480"/>
        <w:rPr>
          <w:rFonts w:asciiTheme="minorHAnsi" w:hAnsiTheme="minorHAnsi" w:cs="Segoe UI"/>
          <w:color w:val="000000"/>
          <w:szCs w:val="22"/>
          <w:lang w:val="ru-RU"/>
        </w:rPr>
      </w:pPr>
      <w:r w:rsidRPr="007F6CEF">
        <w:rPr>
          <w:rFonts w:asciiTheme="minorHAnsi" w:hAnsiTheme="minorHAnsi" w:cs="Segoe UI"/>
          <w:color w:val="000000"/>
          <w:szCs w:val="22"/>
          <w:lang w:val="ru-RU"/>
        </w:rPr>
        <w:t>Джачинто Даммикко</w:t>
      </w:r>
      <w:r w:rsidRPr="007F6CEF">
        <w:rPr>
          <w:rFonts w:asciiTheme="minorHAnsi" w:hAnsiTheme="minorHAnsi" w:cs="Segoe UI"/>
          <w:color w:val="000000"/>
          <w:szCs w:val="22"/>
          <w:lang w:val="ru-RU"/>
        </w:rPr>
        <w:br/>
        <w:t xml:space="preserve">Член Аудиторской палаты </w:t>
      </w:r>
      <w:r w:rsidRPr="007F6CEF">
        <w:rPr>
          <w:rFonts w:asciiTheme="minorHAnsi" w:hAnsiTheme="minorHAnsi" w:cs="Segoe UI"/>
          <w:color w:val="000000"/>
          <w:szCs w:val="22"/>
          <w:lang w:val="ru-RU"/>
        </w:rPr>
        <w:br/>
        <w:t>по европейским и международным делам</w:t>
      </w:r>
      <w:r w:rsidRPr="007F6CEF">
        <w:rPr>
          <w:rFonts w:asciiTheme="minorHAnsi" w:hAnsiTheme="minorHAnsi" w:cs="Segoe UI"/>
          <w:color w:val="000000"/>
          <w:szCs w:val="22"/>
          <w:lang w:val="ru-RU"/>
        </w:rPr>
        <w:br/>
        <w:t xml:space="preserve">Corte dei conti, Италия </w:t>
      </w:r>
    </w:p>
    <w:p w:rsidR="00AD5445" w:rsidRPr="007F6CEF" w:rsidRDefault="00AD5445" w:rsidP="00170B2C">
      <w:pPr>
        <w:tabs>
          <w:tab w:val="clear" w:pos="794"/>
        </w:tabs>
        <w:spacing w:before="240"/>
        <w:rPr>
          <w:rFonts w:asciiTheme="minorHAnsi" w:hAnsiTheme="minorHAnsi" w:cs="Segoe UI"/>
          <w:color w:val="000000"/>
          <w:szCs w:val="22"/>
          <w:lang w:val="ru-RU"/>
        </w:rPr>
      </w:pPr>
      <w:r w:rsidRPr="007F6CEF">
        <w:rPr>
          <w:rFonts w:asciiTheme="minorHAnsi" w:hAnsiTheme="minorHAnsi" w:cs="Segoe UI"/>
          <w:color w:val="000000"/>
          <w:szCs w:val="22"/>
          <w:lang w:val="ru-RU"/>
        </w:rPr>
        <w:t>Карло Манчинелли</w:t>
      </w:r>
      <w:r w:rsidRPr="007F6CEF">
        <w:rPr>
          <w:rFonts w:asciiTheme="minorHAnsi" w:hAnsiTheme="minorHAnsi" w:cs="Segoe UI"/>
          <w:color w:val="000000"/>
          <w:szCs w:val="22"/>
          <w:lang w:val="ru-RU"/>
        </w:rPr>
        <w:br/>
        <w:t xml:space="preserve">Член Аудиторской палаты </w:t>
      </w:r>
      <w:r w:rsidRPr="007F6CEF">
        <w:rPr>
          <w:rFonts w:asciiTheme="minorHAnsi" w:hAnsiTheme="minorHAnsi" w:cs="Segoe UI"/>
          <w:color w:val="000000"/>
          <w:szCs w:val="22"/>
          <w:lang w:val="ru-RU"/>
        </w:rPr>
        <w:br/>
        <w:t>по европейским и международным делам</w:t>
      </w:r>
      <w:r w:rsidRPr="007F6CEF">
        <w:rPr>
          <w:rFonts w:asciiTheme="minorHAnsi" w:hAnsiTheme="minorHAnsi" w:cs="Segoe UI"/>
          <w:color w:val="000000"/>
          <w:szCs w:val="22"/>
          <w:lang w:val="ru-RU"/>
        </w:rPr>
        <w:br/>
        <w:t>Corte dei conti, Италия</w:t>
      </w:r>
    </w:p>
    <w:p w:rsidR="00AD5445" w:rsidRPr="007F6CEF" w:rsidRDefault="00AD5445" w:rsidP="00170B2C">
      <w:pPr>
        <w:tabs>
          <w:tab w:val="clear" w:pos="794"/>
        </w:tabs>
        <w:spacing w:before="240"/>
        <w:rPr>
          <w:rFonts w:asciiTheme="minorHAnsi" w:hAnsiTheme="minorHAnsi" w:cs="Segoe UI"/>
          <w:color w:val="000000"/>
          <w:szCs w:val="22"/>
          <w:lang w:val="ru-RU"/>
        </w:rPr>
      </w:pPr>
      <w:r w:rsidRPr="007F6CEF">
        <w:rPr>
          <w:rFonts w:asciiTheme="minorHAnsi" w:hAnsiTheme="minorHAnsi" w:cs="Segoe UI"/>
          <w:color w:val="000000"/>
          <w:szCs w:val="22"/>
          <w:lang w:val="ru-RU"/>
        </w:rPr>
        <w:t xml:space="preserve">Эннио Коласанти </w:t>
      </w:r>
      <w:r w:rsidRPr="007F6CEF">
        <w:rPr>
          <w:rFonts w:asciiTheme="minorHAnsi" w:hAnsiTheme="minorHAnsi" w:cs="Segoe UI"/>
          <w:color w:val="000000"/>
          <w:szCs w:val="22"/>
          <w:lang w:val="ru-RU"/>
        </w:rPr>
        <w:br/>
        <w:t xml:space="preserve">Председатель Аудиторской палаты </w:t>
      </w:r>
      <w:r w:rsidRPr="007F6CEF">
        <w:rPr>
          <w:rFonts w:asciiTheme="minorHAnsi" w:hAnsiTheme="minorHAnsi" w:cs="Segoe UI"/>
          <w:color w:val="000000"/>
          <w:szCs w:val="22"/>
          <w:lang w:val="ru-RU"/>
        </w:rPr>
        <w:br/>
        <w:t>по европейским и международным делам</w:t>
      </w:r>
      <w:r w:rsidRPr="007F6CEF">
        <w:rPr>
          <w:rFonts w:asciiTheme="minorHAnsi" w:hAnsiTheme="minorHAnsi" w:cs="Segoe UI"/>
          <w:color w:val="000000"/>
          <w:szCs w:val="22"/>
          <w:lang w:val="ru-RU"/>
        </w:rPr>
        <w:br/>
        <w:t>Corte dei conti, Италия</w:t>
      </w:r>
    </w:p>
    <w:p w:rsidR="00CA5377" w:rsidRPr="007F6CEF" w:rsidRDefault="00CA5377" w:rsidP="00170B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ajorBidi"/>
          <w:b/>
          <w:szCs w:val="22"/>
          <w:lang w:val="ru-RU"/>
        </w:rPr>
      </w:pPr>
      <w:r w:rsidRPr="007F6CEF">
        <w:rPr>
          <w:rFonts w:asciiTheme="minorHAnsi" w:hAnsiTheme="minorHAnsi" w:cstheme="majorBidi"/>
          <w:b/>
          <w:szCs w:val="22"/>
          <w:lang w:val="ru-RU"/>
        </w:rPr>
        <w:br w:type="page"/>
      </w:r>
    </w:p>
    <w:p w:rsidR="000060E1" w:rsidRPr="007F6CEF" w:rsidRDefault="000060E1" w:rsidP="00170B2C">
      <w:pPr>
        <w:pStyle w:val="Title1"/>
        <w:jc w:val="left"/>
        <w:rPr>
          <w:lang w:val="ru-RU"/>
        </w:rPr>
      </w:pPr>
      <w:bookmarkStart w:id="57" w:name="_Toc358192819"/>
      <w:bookmarkStart w:id="58" w:name="_Toc398125304"/>
      <w:bookmarkStart w:id="59" w:name="_Toc398125783"/>
      <w:r w:rsidRPr="007F6CEF">
        <w:rPr>
          <w:lang w:val="ru-RU"/>
        </w:rPr>
        <w:t>СТРУКТУРА БУХГАЛТЕРСКОЙ ОТЧЕТНОСТИ</w:t>
      </w:r>
      <w:bookmarkEnd w:id="57"/>
      <w:bookmarkEnd w:id="58"/>
      <w:bookmarkEnd w:id="59"/>
    </w:p>
    <w:p w:rsidR="00AA0135" w:rsidRPr="007F6CEF" w:rsidRDefault="00535B14" w:rsidP="00170B2C">
      <w:pPr>
        <w:rPr>
          <w:lang w:val="ru-RU"/>
        </w:rPr>
      </w:pPr>
      <w:r w:rsidRPr="007F6CEF">
        <w:rPr>
          <w:lang w:val="ru-RU"/>
        </w:rPr>
        <w:t>1</w:t>
      </w:r>
      <w:r w:rsidRPr="007F6CEF">
        <w:rPr>
          <w:lang w:val="ru-RU"/>
        </w:rPr>
        <w:tab/>
      </w:r>
      <w:r w:rsidR="000060E1" w:rsidRPr="007F6CEF">
        <w:rPr>
          <w:lang w:val="ru-RU"/>
        </w:rPr>
        <w:t xml:space="preserve">Финансовая отчетность МСЭ подготовлена и представлена в соответствии </w:t>
      </w:r>
      <w:r w:rsidR="003C13B3" w:rsidRPr="007F6CEF">
        <w:rPr>
          <w:lang w:val="ru-RU"/>
        </w:rPr>
        <w:t xml:space="preserve">со стандартом </w:t>
      </w:r>
      <w:r w:rsidR="00AA0135" w:rsidRPr="007F6CEF">
        <w:rPr>
          <w:lang w:val="ru-RU"/>
        </w:rPr>
        <w:t xml:space="preserve">IPSAS 1 </w:t>
      </w:r>
      <w:r w:rsidR="000060E1" w:rsidRPr="007F6CEF">
        <w:rPr>
          <w:lang w:val="ru-RU"/>
        </w:rPr>
        <w:t xml:space="preserve">и включает следующие элементы: </w:t>
      </w:r>
    </w:p>
    <w:p w:rsidR="00AA0135" w:rsidRPr="007F6CEF" w:rsidRDefault="00535B14" w:rsidP="00170B2C">
      <w:pPr>
        <w:pStyle w:val="enumlev1"/>
        <w:rPr>
          <w:lang w:val="ru-RU"/>
        </w:rPr>
      </w:pPr>
      <w:r w:rsidRPr="007F6CEF">
        <w:rPr>
          <w:lang w:val="ru-RU"/>
        </w:rPr>
        <w:t>•</w:t>
      </w:r>
      <w:r w:rsidRPr="007F6CEF">
        <w:rPr>
          <w:lang w:val="ru-RU"/>
        </w:rPr>
        <w:tab/>
      </w:r>
      <w:r w:rsidR="000060E1" w:rsidRPr="007F6CEF">
        <w:rPr>
          <w:lang w:val="ru-RU"/>
        </w:rPr>
        <w:t xml:space="preserve">Отчет о финансовом положении </w:t>
      </w:r>
      <w:r w:rsidR="00AA0135" w:rsidRPr="007F6CEF">
        <w:rPr>
          <w:lang w:val="ru-RU"/>
        </w:rPr>
        <w:t xml:space="preserve">– </w:t>
      </w:r>
      <w:r w:rsidR="000060E1" w:rsidRPr="007F6CEF">
        <w:rPr>
          <w:lang w:val="ru-RU"/>
        </w:rPr>
        <w:t>Балансовая ведомость по состоянию</w:t>
      </w:r>
      <w:r w:rsidR="00E1603F" w:rsidRPr="007F6CEF">
        <w:rPr>
          <w:lang w:val="ru-RU"/>
        </w:rPr>
        <w:t xml:space="preserve"> </w:t>
      </w:r>
      <w:r w:rsidR="000060E1" w:rsidRPr="007F6CEF">
        <w:rPr>
          <w:lang w:val="ru-RU"/>
        </w:rPr>
        <w:t>на 31 декабря</w:t>
      </w:r>
      <w:r w:rsidR="000B2EAD" w:rsidRPr="007F6CEF">
        <w:rPr>
          <w:lang w:val="ru-RU"/>
        </w:rPr>
        <w:t xml:space="preserve"> 201</w:t>
      </w:r>
      <w:r w:rsidR="00882194" w:rsidRPr="007F6CEF">
        <w:rPr>
          <w:lang w:val="ru-RU"/>
        </w:rPr>
        <w:t>3</w:t>
      </w:r>
      <w:r w:rsidR="000B2EAD" w:rsidRPr="007F6CEF">
        <w:rPr>
          <w:lang w:val="ru-RU"/>
        </w:rPr>
        <w:t> </w:t>
      </w:r>
      <w:r w:rsidR="000060E1" w:rsidRPr="007F6CEF">
        <w:rPr>
          <w:lang w:val="ru-RU"/>
        </w:rPr>
        <w:t>года и сравнительные данные на 31 декабря 201</w:t>
      </w:r>
      <w:r w:rsidR="00882194" w:rsidRPr="007F6CEF">
        <w:rPr>
          <w:lang w:val="ru-RU"/>
        </w:rPr>
        <w:t>2</w:t>
      </w:r>
      <w:r w:rsidR="000060E1" w:rsidRPr="007F6CEF">
        <w:rPr>
          <w:lang w:val="ru-RU"/>
        </w:rPr>
        <w:t xml:space="preserve"> года</w:t>
      </w:r>
      <w:r w:rsidR="0073398C" w:rsidRPr="007F6CEF">
        <w:rPr>
          <w:lang w:val="ru-RU"/>
        </w:rPr>
        <w:t>, в которо</w:t>
      </w:r>
      <w:r w:rsidR="003C13B3" w:rsidRPr="007F6CEF">
        <w:rPr>
          <w:lang w:val="ru-RU"/>
        </w:rPr>
        <w:t>й</w:t>
      </w:r>
      <w:r w:rsidR="0073398C" w:rsidRPr="007F6CEF">
        <w:rPr>
          <w:lang w:val="ru-RU"/>
        </w:rPr>
        <w:t xml:space="preserve"> показаны активы (подразделенные на текущие и нетекущие активы), пассивы (подразделенные на текущие и нетекущие пассивы) и чистые активы; </w:t>
      </w:r>
    </w:p>
    <w:p w:rsidR="00AA0135" w:rsidRPr="007F6CEF" w:rsidRDefault="00535B14" w:rsidP="00170B2C">
      <w:pPr>
        <w:pStyle w:val="enumlev1"/>
        <w:rPr>
          <w:lang w:val="ru-RU"/>
        </w:rPr>
      </w:pPr>
      <w:r w:rsidRPr="007F6CEF">
        <w:rPr>
          <w:lang w:val="ru-RU"/>
        </w:rPr>
        <w:t>•</w:t>
      </w:r>
      <w:r w:rsidRPr="007F6CEF">
        <w:rPr>
          <w:lang w:val="ru-RU"/>
        </w:rPr>
        <w:tab/>
      </w:r>
      <w:r w:rsidR="002C51EF" w:rsidRPr="007F6CEF">
        <w:rPr>
          <w:lang w:val="ru-RU"/>
        </w:rPr>
        <w:t>Отчет о результатах финансовой деятельности за фина</w:t>
      </w:r>
      <w:r w:rsidR="000B2EAD" w:rsidRPr="007F6CEF">
        <w:rPr>
          <w:lang w:val="ru-RU"/>
        </w:rPr>
        <w:t>нсовый период, завершившийся 31 </w:t>
      </w:r>
      <w:r w:rsidR="002C51EF" w:rsidRPr="007F6CEF">
        <w:rPr>
          <w:lang w:val="ru-RU"/>
        </w:rPr>
        <w:t>декабря 201</w:t>
      </w:r>
      <w:r w:rsidR="00882194" w:rsidRPr="007F6CEF">
        <w:rPr>
          <w:lang w:val="ru-RU"/>
        </w:rPr>
        <w:t>3</w:t>
      </w:r>
      <w:r w:rsidR="002C51EF" w:rsidRPr="007F6CEF">
        <w:rPr>
          <w:lang w:val="ru-RU"/>
        </w:rPr>
        <w:t xml:space="preserve"> года, и сравнительные данные на 31 декабря 201</w:t>
      </w:r>
      <w:r w:rsidR="00882194" w:rsidRPr="007F6CEF">
        <w:rPr>
          <w:lang w:val="ru-RU"/>
        </w:rPr>
        <w:t>2</w:t>
      </w:r>
      <w:r w:rsidR="002C51EF" w:rsidRPr="007F6CEF">
        <w:rPr>
          <w:lang w:val="ru-RU"/>
        </w:rPr>
        <w:t xml:space="preserve"> года</w:t>
      </w:r>
      <w:r w:rsidR="00186FBA" w:rsidRPr="007F6CEF">
        <w:rPr>
          <w:lang w:val="ru-RU"/>
        </w:rPr>
        <w:t>,</w:t>
      </w:r>
      <w:r w:rsidR="002C51EF" w:rsidRPr="007F6CEF">
        <w:rPr>
          <w:lang w:val="ru-RU"/>
        </w:rPr>
        <w:t xml:space="preserve"> </w:t>
      </w:r>
      <w:r w:rsidR="00186FBA" w:rsidRPr="007F6CEF">
        <w:rPr>
          <w:spacing w:val="5"/>
          <w:lang w:val="ru-RU"/>
        </w:rPr>
        <w:t>в котором по</w:t>
      </w:r>
      <w:r w:rsidR="003C13B3" w:rsidRPr="007F6CEF">
        <w:rPr>
          <w:spacing w:val="5"/>
          <w:lang w:val="ru-RU"/>
        </w:rPr>
        <w:t>казаны активное сальдо/дефицит з</w:t>
      </w:r>
      <w:r w:rsidR="00186FBA" w:rsidRPr="007F6CEF">
        <w:rPr>
          <w:spacing w:val="5"/>
          <w:lang w:val="ru-RU"/>
        </w:rPr>
        <w:t>а финансовый год</w:t>
      </w:r>
      <w:r w:rsidR="00AA0135" w:rsidRPr="007F6CEF">
        <w:rPr>
          <w:lang w:val="ru-RU"/>
        </w:rPr>
        <w:t>;</w:t>
      </w:r>
    </w:p>
    <w:p w:rsidR="00AA0135" w:rsidRPr="007F6CEF" w:rsidRDefault="00535B14" w:rsidP="00170B2C">
      <w:pPr>
        <w:pStyle w:val="enumlev1"/>
        <w:rPr>
          <w:lang w:val="ru-RU"/>
        </w:rPr>
      </w:pPr>
      <w:r w:rsidRPr="007F6CEF">
        <w:rPr>
          <w:lang w:val="ru-RU"/>
        </w:rPr>
        <w:t>•</w:t>
      </w:r>
      <w:r w:rsidRPr="007F6CEF">
        <w:rPr>
          <w:lang w:val="ru-RU"/>
        </w:rPr>
        <w:tab/>
      </w:r>
      <w:r w:rsidR="002C51EF" w:rsidRPr="007F6CEF">
        <w:rPr>
          <w:lang w:val="ru-RU"/>
        </w:rPr>
        <w:t>Отчет об изменениях в чистых активах за финансовый период, завершившийся 31 декабря 201</w:t>
      </w:r>
      <w:r w:rsidR="00882194" w:rsidRPr="007F6CEF">
        <w:rPr>
          <w:lang w:val="ru-RU"/>
        </w:rPr>
        <w:t>3</w:t>
      </w:r>
      <w:r w:rsidR="002C51EF" w:rsidRPr="007F6CEF">
        <w:rPr>
          <w:lang w:val="ru-RU"/>
        </w:rPr>
        <w:t xml:space="preserve"> года</w:t>
      </w:r>
      <w:r w:rsidR="00186FBA" w:rsidRPr="007F6CEF">
        <w:rPr>
          <w:lang w:val="ru-RU"/>
        </w:rPr>
        <w:t xml:space="preserve">, в котором показана стоимость чистых активов, включая </w:t>
      </w:r>
      <w:r w:rsidR="00E00A8E" w:rsidRPr="007F6CEF">
        <w:rPr>
          <w:lang w:val="ru-RU"/>
        </w:rPr>
        <w:t xml:space="preserve">активное сальдо или дефицит за финансовый год, </w:t>
      </w:r>
      <w:r w:rsidR="003C13B3" w:rsidRPr="007F6CEF">
        <w:rPr>
          <w:lang w:val="ru-RU"/>
        </w:rPr>
        <w:t>в том числе</w:t>
      </w:r>
      <w:r w:rsidR="00E00A8E" w:rsidRPr="007F6CEF">
        <w:rPr>
          <w:lang w:val="ru-RU"/>
        </w:rPr>
        <w:t xml:space="preserve"> убытки, непосредственно учтенные в чистых активах без переноса в отчет о результатах финансовой деятельности</w:t>
      </w:r>
      <w:r w:rsidR="00AA0135" w:rsidRPr="007F6CEF">
        <w:rPr>
          <w:lang w:val="ru-RU"/>
        </w:rPr>
        <w:t>;</w:t>
      </w:r>
    </w:p>
    <w:p w:rsidR="00AA0135" w:rsidRPr="007F6CEF" w:rsidRDefault="00535B14" w:rsidP="00170B2C">
      <w:pPr>
        <w:pStyle w:val="enumlev1"/>
        <w:rPr>
          <w:rFonts w:asciiTheme="minorHAnsi" w:hAnsiTheme="minorHAnsi"/>
          <w:szCs w:val="22"/>
          <w:lang w:val="ru-RU"/>
        </w:rPr>
      </w:pPr>
      <w:r w:rsidRPr="007F6CEF">
        <w:rPr>
          <w:rFonts w:asciiTheme="minorHAnsi" w:hAnsiTheme="minorHAnsi"/>
          <w:szCs w:val="22"/>
          <w:lang w:val="ru-RU"/>
        </w:rPr>
        <w:t>•</w:t>
      </w:r>
      <w:r w:rsidRPr="007F6CEF">
        <w:rPr>
          <w:rFonts w:asciiTheme="minorHAnsi" w:hAnsiTheme="minorHAnsi"/>
          <w:szCs w:val="22"/>
          <w:lang w:val="ru-RU"/>
        </w:rPr>
        <w:tab/>
      </w:r>
      <w:r w:rsidR="0073398C" w:rsidRPr="007F6CEF">
        <w:rPr>
          <w:rFonts w:asciiTheme="minorHAnsi" w:hAnsiTheme="minorHAnsi"/>
          <w:szCs w:val="22"/>
          <w:lang w:val="ru-RU"/>
        </w:rPr>
        <w:t>Таблица движения денежных средств за финансовый период, завершившийся</w:t>
      </w:r>
      <w:r w:rsidR="003C13B3" w:rsidRPr="007F6CEF">
        <w:rPr>
          <w:rFonts w:asciiTheme="minorHAnsi" w:hAnsiTheme="minorHAnsi"/>
          <w:szCs w:val="22"/>
          <w:lang w:val="ru-RU"/>
        </w:rPr>
        <w:t xml:space="preserve"> 31 </w:t>
      </w:r>
      <w:r w:rsidR="0073398C" w:rsidRPr="007F6CEF">
        <w:rPr>
          <w:rFonts w:asciiTheme="minorHAnsi" w:hAnsiTheme="minorHAnsi"/>
          <w:szCs w:val="22"/>
          <w:lang w:val="ru-RU"/>
        </w:rPr>
        <w:t>декабря 201</w:t>
      </w:r>
      <w:r w:rsidR="00882194" w:rsidRPr="007F6CEF">
        <w:rPr>
          <w:rFonts w:asciiTheme="minorHAnsi" w:hAnsiTheme="minorHAnsi"/>
          <w:szCs w:val="22"/>
          <w:lang w:val="ru-RU"/>
        </w:rPr>
        <w:t>3</w:t>
      </w:r>
      <w:r w:rsidR="0073398C" w:rsidRPr="007F6CEF">
        <w:rPr>
          <w:rFonts w:asciiTheme="minorHAnsi" w:hAnsiTheme="minorHAnsi"/>
          <w:szCs w:val="22"/>
          <w:lang w:val="ru-RU"/>
        </w:rPr>
        <w:t xml:space="preserve"> года</w:t>
      </w:r>
      <w:r w:rsidR="00AA0135" w:rsidRPr="007F6CEF">
        <w:rPr>
          <w:rFonts w:asciiTheme="minorHAnsi" w:hAnsiTheme="minorHAnsi"/>
          <w:szCs w:val="22"/>
          <w:lang w:val="ru-RU"/>
        </w:rPr>
        <w:t xml:space="preserve">, </w:t>
      </w:r>
      <w:r w:rsidR="00E00A8E" w:rsidRPr="007F6CEF">
        <w:rPr>
          <w:rFonts w:asciiTheme="minorHAnsi" w:hAnsiTheme="minorHAnsi"/>
          <w:szCs w:val="22"/>
          <w:lang w:val="ru-RU"/>
        </w:rPr>
        <w:t xml:space="preserve">в которой показаны приток и отток денежных средств и эквивалентов </w:t>
      </w:r>
      <w:r w:rsidR="00E00A8E" w:rsidRPr="007F6CEF">
        <w:rPr>
          <w:lang w:val="ru-RU"/>
        </w:rPr>
        <w:t>денежных</w:t>
      </w:r>
      <w:r w:rsidR="00E00A8E" w:rsidRPr="007F6CEF">
        <w:rPr>
          <w:rFonts w:asciiTheme="minorHAnsi" w:hAnsiTheme="minorHAnsi"/>
          <w:szCs w:val="22"/>
          <w:lang w:val="ru-RU"/>
        </w:rPr>
        <w:t xml:space="preserve"> средств специально для оперативных, инвестиционных и финансовых операций и </w:t>
      </w:r>
      <w:r w:rsidR="00A86644" w:rsidRPr="007F6CEF">
        <w:rPr>
          <w:rFonts w:asciiTheme="minorHAnsi" w:hAnsiTheme="minorHAnsi"/>
          <w:szCs w:val="22"/>
          <w:lang w:val="ru-RU"/>
        </w:rPr>
        <w:t xml:space="preserve">общих денежных сумм на конец финансового года; </w:t>
      </w:r>
    </w:p>
    <w:p w:rsidR="00882194" w:rsidRPr="007F6CEF" w:rsidRDefault="00882194" w:rsidP="00170B2C">
      <w:pPr>
        <w:pStyle w:val="enumlev1"/>
        <w:rPr>
          <w:rFonts w:asciiTheme="minorHAnsi" w:hAnsiTheme="minorHAnsi"/>
          <w:szCs w:val="22"/>
          <w:lang w:val="ru-RU"/>
        </w:rPr>
      </w:pPr>
      <w:r w:rsidRPr="007F6CEF">
        <w:rPr>
          <w:rFonts w:asciiTheme="minorHAnsi" w:hAnsiTheme="minorHAnsi"/>
          <w:szCs w:val="22"/>
          <w:lang w:val="ru-RU"/>
        </w:rPr>
        <w:t>•</w:t>
      </w:r>
      <w:r w:rsidRPr="007F6CEF">
        <w:rPr>
          <w:rFonts w:asciiTheme="minorHAnsi" w:hAnsiTheme="minorHAnsi"/>
          <w:szCs w:val="22"/>
          <w:lang w:val="ru-RU"/>
        </w:rPr>
        <w:tab/>
        <w:t>Сравнительная таблица предусмотренных в бюджете сумм и фактических сумм за 2013 финансовый год;</w:t>
      </w:r>
    </w:p>
    <w:p w:rsidR="00882194" w:rsidRPr="007F6CEF" w:rsidRDefault="00882194" w:rsidP="00170B2C">
      <w:pPr>
        <w:pStyle w:val="enumlev1"/>
        <w:rPr>
          <w:rFonts w:asciiTheme="minorHAnsi" w:hAnsiTheme="minorHAnsi"/>
          <w:szCs w:val="22"/>
          <w:lang w:val="ru-RU"/>
        </w:rPr>
      </w:pPr>
      <w:r w:rsidRPr="007F6CEF">
        <w:rPr>
          <w:rFonts w:asciiTheme="minorHAnsi" w:hAnsiTheme="minorHAnsi"/>
          <w:szCs w:val="22"/>
          <w:lang w:val="ru-RU"/>
        </w:rPr>
        <w:t>•</w:t>
      </w:r>
      <w:r w:rsidRPr="007F6CEF">
        <w:rPr>
          <w:rFonts w:asciiTheme="minorHAnsi" w:hAnsiTheme="minorHAnsi"/>
          <w:szCs w:val="22"/>
          <w:lang w:val="ru-RU"/>
        </w:rPr>
        <w:tab/>
        <w:t xml:space="preserve">Сравнительная таблица предусмотренных в бюджете сумм и фактических сумм за </w:t>
      </w:r>
      <w:r w:rsidR="00C45432" w:rsidRPr="007F6CEF">
        <w:rPr>
          <w:lang w:val="ru-RU"/>
        </w:rPr>
        <w:t xml:space="preserve">двухгодичный период </w:t>
      </w:r>
      <w:r w:rsidRPr="007F6CEF">
        <w:rPr>
          <w:rFonts w:asciiTheme="minorHAnsi" w:hAnsiTheme="minorHAnsi"/>
          <w:szCs w:val="22"/>
          <w:lang w:val="ru-RU"/>
        </w:rPr>
        <w:t>2012−2013 год</w:t>
      </w:r>
      <w:r w:rsidR="00C45432" w:rsidRPr="007F6CEF">
        <w:rPr>
          <w:rFonts w:asciiTheme="minorHAnsi" w:hAnsiTheme="minorHAnsi"/>
          <w:szCs w:val="22"/>
          <w:lang w:val="ru-RU"/>
        </w:rPr>
        <w:t>ов</w:t>
      </w:r>
      <w:r w:rsidRPr="007F6CEF">
        <w:rPr>
          <w:rFonts w:asciiTheme="minorHAnsi" w:hAnsiTheme="minorHAnsi"/>
          <w:szCs w:val="22"/>
          <w:lang w:val="ru-RU"/>
        </w:rPr>
        <w:t>;</w:t>
      </w:r>
    </w:p>
    <w:p w:rsidR="00AA0135" w:rsidRPr="007F6CEF" w:rsidRDefault="00535B14" w:rsidP="00170B2C">
      <w:pPr>
        <w:pStyle w:val="enumlev1"/>
        <w:rPr>
          <w:rFonts w:asciiTheme="minorHAnsi" w:hAnsiTheme="minorHAnsi"/>
          <w:szCs w:val="22"/>
          <w:lang w:val="ru-RU"/>
        </w:rPr>
      </w:pPr>
      <w:r w:rsidRPr="007F6CEF">
        <w:rPr>
          <w:rFonts w:asciiTheme="minorHAnsi" w:hAnsiTheme="minorHAnsi"/>
          <w:szCs w:val="22"/>
          <w:lang w:val="ru-RU"/>
        </w:rPr>
        <w:t>•</w:t>
      </w:r>
      <w:r w:rsidRPr="007F6CEF">
        <w:rPr>
          <w:rFonts w:asciiTheme="minorHAnsi" w:hAnsiTheme="minorHAnsi"/>
          <w:szCs w:val="22"/>
          <w:lang w:val="ru-RU"/>
        </w:rPr>
        <w:tab/>
      </w:r>
      <w:r w:rsidR="0073398C" w:rsidRPr="007F6CEF">
        <w:rPr>
          <w:rFonts w:asciiTheme="minorHAnsi" w:hAnsiTheme="minorHAnsi"/>
          <w:szCs w:val="22"/>
          <w:lang w:val="ru-RU"/>
        </w:rPr>
        <w:t xml:space="preserve">Примечания к </w:t>
      </w:r>
      <w:r w:rsidR="00BF4FBC" w:rsidRPr="007F6CEF">
        <w:rPr>
          <w:rFonts w:asciiTheme="minorHAnsi" w:hAnsiTheme="minorHAnsi"/>
          <w:szCs w:val="22"/>
          <w:lang w:val="ru-RU"/>
        </w:rPr>
        <w:t>финансовой</w:t>
      </w:r>
      <w:r w:rsidR="0073398C" w:rsidRPr="007F6CEF">
        <w:rPr>
          <w:rFonts w:asciiTheme="minorHAnsi" w:hAnsiTheme="minorHAnsi"/>
          <w:szCs w:val="22"/>
          <w:lang w:val="ru-RU"/>
        </w:rPr>
        <w:t xml:space="preserve"> отчетности, </w:t>
      </w:r>
      <w:r w:rsidR="00A86644" w:rsidRPr="007F6CEF">
        <w:rPr>
          <w:rFonts w:asciiTheme="minorHAnsi" w:hAnsiTheme="minorHAnsi"/>
          <w:szCs w:val="22"/>
          <w:lang w:val="ru-RU"/>
        </w:rPr>
        <w:t xml:space="preserve">где представлена информация о политике </w:t>
      </w:r>
      <w:r w:rsidR="00A86644" w:rsidRPr="007F6CEF">
        <w:rPr>
          <w:lang w:val="ru-RU"/>
        </w:rPr>
        <w:t>бухгалтерского</w:t>
      </w:r>
      <w:r w:rsidR="00A86644" w:rsidRPr="007F6CEF">
        <w:rPr>
          <w:rFonts w:asciiTheme="minorHAnsi" w:hAnsiTheme="minorHAnsi"/>
          <w:szCs w:val="22"/>
          <w:lang w:val="ru-RU"/>
        </w:rPr>
        <w:t xml:space="preserve"> учета и дополнительная информация, необходимая для беспристрастного представления. </w:t>
      </w:r>
    </w:p>
    <w:p w:rsidR="00AA0135" w:rsidRPr="007F6CEF" w:rsidRDefault="003C7DA1" w:rsidP="00170B2C">
      <w:pPr>
        <w:pStyle w:val="Title1"/>
        <w:jc w:val="left"/>
        <w:rPr>
          <w:rFonts w:cstheme="majorBidi"/>
          <w:lang w:val="ru-RU"/>
        </w:rPr>
      </w:pPr>
      <w:bookmarkStart w:id="60" w:name="_Toc356330870"/>
      <w:bookmarkStart w:id="61" w:name="_Toc358192820"/>
      <w:bookmarkStart w:id="62" w:name="_Toc398125305"/>
      <w:bookmarkStart w:id="63" w:name="_Toc398125784"/>
      <w:r w:rsidRPr="007F6CEF">
        <w:rPr>
          <w:lang w:val="ru-RU"/>
        </w:rPr>
        <w:t>ОТЧЕТ О ФИНАНСОВОМ ПОЛОЖЕНИИ ЗА 201</w:t>
      </w:r>
      <w:r w:rsidR="00C45432" w:rsidRPr="007F6CEF">
        <w:rPr>
          <w:lang w:val="ru-RU"/>
        </w:rPr>
        <w:t>3</w:t>
      </w:r>
      <w:r w:rsidRPr="007F6CEF">
        <w:rPr>
          <w:lang w:val="ru-RU"/>
        </w:rPr>
        <w:t xml:space="preserve"> </w:t>
      </w:r>
      <w:r w:rsidR="000422F7" w:rsidRPr="007F6CEF">
        <w:rPr>
          <w:lang w:val="ru-RU"/>
        </w:rPr>
        <w:t>ГОД</w:t>
      </w:r>
      <w:bookmarkEnd w:id="60"/>
      <w:bookmarkEnd w:id="61"/>
      <w:bookmarkEnd w:id="62"/>
      <w:bookmarkEnd w:id="63"/>
    </w:p>
    <w:p w:rsidR="00AA0135" w:rsidRPr="007F6CEF" w:rsidRDefault="00345A13" w:rsidP="00170B2C">
      <w:pPr>
        <w:pStyle w:val="Headingb"/>
        <w:rPr>
          <w:lang w:val="ru-RU"/>
        </w:rPr>
      </w:pPr>
      <w:bookmarkStart w:id="64" w:name="_Toc358192821"/>
      <w:bookmarkStart w:id="65" w:name="_Toc398125306"/>
      <w:bookmarkStart w:id="66" w:name="_Toc398125785"/>
      <w:bookmarkStart w:id="67" w:name="_Toc398127082"/>
      <w:r w:rsidRPr="007F6CEF">
        <w:rPr>
          <w:lang w:val="ru-RU"/>
        </w:rPr>
        <w:t>Активы</w:t>
      </w:r>
      <w:bookmarkEnd w:id="64"/>
      <w:bookmarkEnd w:id="65"/>
      <w:bookmarkEnd w:id="66"/>
      <w:bookmarkEnd w:id="67"/>
    </w:p>
    <w:p w:rsidR="00AA0135" w:rsidRPr="007F6CEF" w:rsidRDefault="00535B14" w:rsidP="00170B2C">
      <w:pPr>
        <w:rPr>
          <w:lang w:val="ru-RU"/>
        </w:rPr>
      </w:pPr>
      <w:r w:rsidRPr="007F6CEF">
        <w:rPr>
          <w:lang w:val="ru-RU"/>
        </w:rPr>
        <w:t>2</w:t>
      </w:r>
      <w:r w:rsidRPr="007F6CEF">
        <w:rPr>
          <w:lang w:val="ru-RU"/>
        </w:rPr>
        <w:tab/>
      </w:r>
      <w:r w:rsidR="00345A13" w:rsidRPr="007F6CEF">
        <w:rPr>
          <w:lang w:val="ru-RU"/>
        </w:rPr>
        <w:t>В</w:t>
      </w:r>
      <w:r w:rsidR="00AA0135" w:rsidRPr="007F6CEF">
        <w:rPr>
          <w:lang w:val="ru-RU"/>
        </w:rPr>
        <w:t xml:space="preserve"> 201</w:t>
      </w:r>
      <w:r w:rsidR="00C45432" w:rsidRPr="007F6CEF">
        <w:rPr>
          <w:lang w:val="ru-RU"/>
        </w:rPr>
        <w:t>3</w:t>
      </w:r>
      <w:r w:rsidR="00AA0135" w:rsidRPr="007F6CEF">
        <w:rPr>
          <w:lang w:val="ru-RU"/>
        </w:rPr>
        <w:t xml:space="preserve"> </w:t>
      </w:r>
      <w:r w:rsidR="00345A13" w:rsidRPr="007F6CEF">
        <w:rPr>
          <w:lang w:val="ru-RU"/>
        </w:rPr>
        <w:t>году объем активов составил 3</w:t>
      </w:r>
      <w:r w:rsidR="00C45432" w:rsidRPr="007F6CEF">
        <w:rPr>
          <w:lang w:val="ru-RU"/>
        </w:rPr>
        <w:t>5</w:t>
      </w:r>
      <w:r w:rsidR="00345A13" w:rsidRPr="007F6CEF">
        <w:rPr>
          <w:lang w:val="ru-RU"/>
        </w:rPr>
        <w:t>6,</w:t>
      </w:r>
      <w:r w:rsidR="00C45432" w:rsidRPr="007F6CEF">
        <w:rPr>
          <w:lang w:val="ru-RU"/>
        </w:rPr>
        <w:t>0</w:t>
      </w:r>
      <w:r w:rsidR="00AA0135" w:rsidRPr="007F6CEF">
        <w:rPr>
          <w:lang w:val="ru-RU"/>
        </w:rPr>
        <w:t xml:space="preserve"> </w:t>
      </w:r>
      <w:r w:rsidR="00345A13" w:rsidRPr="007F6CEF">
        <w:rPr>
          <w:lang w:val="ru-RU"/>
        </w:rPr>
        <w:t xml:space="preserve">млн. швейцарских франков, уменьшившись на </w:t>
      </w:r>
      <w:r w:rsidR="00C45432" w:rsidRPr="007F6CEF">
        <w:rPr>
          <w:lang w:val="ru-RU"/>
        </w:rPr>
        <w:t>4</w:t>
      </w:r>
      <w:r w:rsidR="00D56180" w:rsidRPr="007F6CEF">
        <w:rPr>
          <w:lang w:val="ru-RU"/>
        </w:rPr>
        <w:t>,</w:t>
      </w:r>
      <w:r w:rsidR="00C45432" w:rsidRPr="007F6CEF">
        <w:rPr>
          <w:lang w:val="ru-RU"/>
        </w:rPr>
        <w:t>3</w:t>
      </w:r>
      <w:r w:rsidR="000B2EAD" w:rsidRPr="007F6CEF">
        <w:rPr>
          <w:lang w:val="ru-RU"/>
        </w:rPr>
        <w:t> </w:t>
      </w:r>
      <w:r w:rsidR="00345A13" w:rsidRPr="007F6CEF">
        <w:rPr>
          <w:lang w:val="ru-RU"/>
        </w:rPr>
        <w:t xml:space="preserve">млн. швейцарских франков </w:t>
      </w:r>
      <w:r w:rsidR="003C13B3" w:rsidRPr="007F6CEF">
        <w:rPr>
          <w:lang w:val="ru-RU"/>
        </w:rPr>
        <w:t>(</w:t>
      </w:r>
      <w:r w:rsidR="000B2EAD" w:rsidRPr="007F6CEF">
        <w:rPr>
          <w:lang w:val="ru-RU"/>
        </w:rPr>
        <w:t>−</w:t>
      </w:r>
      <w:r w:rsidR="00C45432" w:rsidRPr="007F6CEF">
        <w:rPr>
          <w:lang w:val="ru-RU"/>
        </w:rPr>
        <w:t>1</w:t>
      </w:r>
      <w:r w:rsidR="003C13B3" w:rsidRPr="007F6CEF">
        <w:rPr>
          <w:lang w:val="ru-RU"/>
        </w:rPr>
        <w:t>,</w:t>
      </w:r>
      <w:r w:rsidR="00C45432" w:rsidRPr="007F6CEF">
        <w:rPr>
          <w:lang w:val="ru-RU"/>
        </w:rPr>
        <w:t>2</w:t>
      </w:r>
      <w:r w:rsidR="00AA0135" w:rsidRPr="007F6CEF">
        <w:rPr>
          <w:lang w:val="ru-RU"/>
        </w:rPr>
        <w:t xml:space="preserve">%) </w:t>
      </w:r>
      <w:r w:rsidR="00D56180" w:rsidRPr="007F6CEF">
        <w:rPr>
          <w:lang w:val="ru-RU"/>
        </w:rPr>
        <w:t xml:space="preserve">по сравнению с объемом, зарегистрированным в </w:t>
      </w:r>
      <w:r w:rsidR="00AA0135" w:rsidRPr="007F6CEF">
        <w:rPr>
          <w:lang w:val="ru-RU"/>
        </w:rPr>
        <w:t>201</w:t>
      </w:r>
      <w:r w:rsidR="00C45432" w:rsidRPr="007F6CEF">
        <w:rPr>
          <w:lang w:val="ru-RU"/>
        </w:rPr>
        <w:t>2</w:t>
      </w:r>
      <w:r w:rsidR="00D56180" w:rsidRPr="007F6CEF">
        <w:rPr>
          <w:lang w:val="ru-RU"/>
        </w:rPr>
        <w:t xml:space="preserve"> году (3</w:t>
      </w:r>
      <w:r w:rsidR="00C45432" w:rsidRPr="007F6CEF">
        <w:rPr>
          <w:lang w:val="ru-RU"/>
        </w:rPr>
        <w:t>60</w:t>
      </w:r>
      <w:r w:rsidR="00D56180" w:rsidRPr="007F6CEF">
        <w:rPr>
          <w:lang w:val="ru-RU"/>
        </w:rPr>
        <w:t>,</w:t>
      </w:r>
      <w:r w:rsidR="00AA0135" w:rsidRPr="007F6CEF">
        <w:rPr>
          <w:lang w:val="ru-RU"/>
        </w:rPr>
        <w:t xml:space="preserve">3 </w:t>
      </w:r>
      <w:r w:rsidR="00345A13" w:rsidRPr="007F6CEF">
        <w:rPr>
          <w:lang w:val="ru-RU"/>
        </w:rPr>
        <w:t>млн. швейцарских франков</w:t>
      </w:r>
      <w:r w:rsidR="00AA0135" w:rsidRPr="007F6CEF">
        <w:rPr>
          <w:lang w:val="ru-RU"/>
        </w:rPr>
        <w:t xml:space="preserve">). </w:t>
      </w:r>
    </w:p>
    <w:p w:rsidR="00AA0135" w:rsidRPr="007F6CEF" w:rsidRDefault="00535B14" w:rsidP="00170B2C">
      <w:pPr>
        <w:rPr>
          <w:lang w:val="ru-RU"/>
        </w:rPr>
      </w:pPr>
      <w:r w:rsidRPr="007F6CEF">
        <w:rPr>
          <w:lang w:val="ru-RU"/>
        </w:rPr>
        <w:t>3</w:t>
      </w:r>
      <w:r w:rsidRPr="007F6CEF">
        <w:rPr>
          <w:lang w:val="ru-RU"/>
        </w:rPr>
        <w:tab/>
      </w:r>
      <w:r w:rsidR="00D56180" w:rsidRPr="007F6CEF">
        <w:rPr>
          <w:lang w:val="ru-RU"/>
        </w:rPr>
        <w:t>Активы включают текущие активы в объеме 24</w:t>
      </w:r>
      <w:r w:rsidR="001604BB" w:rsidRPr="007F6CEF">
        <w:rPr>
          <w:lang w:val="ru-RU"/>
        </w:rPr>
        <w:t>1</w:t>
      </w:r>
      <w:r w:rsidR="00D56180" w:rsidRPr="007F6CEF">
        <w:rPr>
          <w:lang w:val="ru-RU"/>
        </w:rPr>
        <w:t>,</w:t>
      </w:r>
      <w:r w:rsidR="001604BB" w:rsidRPr="007F6CEF">
        <w:rPr>
          <w:lang w:val="ru-RU"/>
        </w:rPr>
        <w:t>1</w:t>
      </w:r>
      <w:r w:rsidR="00AA0135" w:rsidRPr="007F6CEF">
        <w:rPr>
          <w:lang w:val="ru-RU"/>
        </w:rPr>
        <w:t xml:space="preserve"> </w:t>
      </w:r>
      <w:r w:rsidR="00345A13" w:rsidRPr="007F6CEF">
        <w:rPr>
          <w:lang w:val="ru-RU"/>
        </w:rPr>
        <w:t>млн. швейцарских франков</w:t>
      </w:r>
      <w:r w:rsidR="00AA0135" w:rsidRPr="007F6CEF">
        <w:rPr>
          <w:lang w:val="ru-RU"/>
        </w:rPr>
        <w:t xml:space="preserve">, </w:t>
      </w:r>
      <w:r w:rsidR="00D56180" w:rsidRPr="007F6CEF">
        <w:rPr>
          <w:lang w:val="ru-RU"/>
        </w:rPr>
        <w:t xml:space="preserve">что </w:t>
      </w:r>
      <w:r w:rsidR="003C13B3" w:rsidRPr="007F6CEF">
        <w:rPr>
          <w:lang w:val="ru-RU"/>
        </w:rPr>
        <w:t>составляет</w:t>
      </w:r>
      <w:r w:rsidR="00D56180" w:rsidRPr="007F6CEF">
        <w:rPr>
          <w:lang w:val="ru-RU"/>
        </w:rPr>
        <w:t xml:space="preserve"> </w:t>
      </w:r>
      <w:r w:rsidR="00AA0135" w:rsidRPr="007F6CEF">
        <w:rPr>
          <w:lang w:val="ru-RU"/>
        </w:rPr>
        <w:t>67</w:t>
      </w:r>
      <w:r w:rsidR="00D56180" w:rsidRPr="007F6CEF">
        <w:rPr>
          <w:lang w:val="ru-RU"/>
        </w:rPr>
        <w:t>,</w:t>
      </w:r>
      <w:r w:rsidR="001604BB" w:rsidRPr="007F6CEF">
        <w:rPr>
          <w:lang w:val="ru-RU"/>
        </w:rPr>
        <w:t>7</w:t>
      </w:r>
      <w:r w:rsidR="00AA0135" w:rsidRPr="007F6CEF">
        <w:rPr>
          <w:lang w:val="ru-RU"/>
        </w:rPr>
        <w:t xml:space="preserve">% </w:t>
      </w:r>
      <w:r w:rsidR="00D56180" w:rsidRPr="007F6CEF">
        <w:rPr>
          <w:lang w:val="ru-RU"/>
        </w:rPr>
        <w:t>от общего размера</w:t>
      </w:r>
      <w:r w:rsidR="00AA0135" w:rsidRPr="007F6CEF">
        <w:rPr>
          <w:lang w:val="ru-RU"/>
        </w:rPr>
        <w:t xml:space="preserve"> </w:t>
      </w:r>
      <w:r w:rsidR="00D56180" w:rsidRPr="007F6CEF">
        <w:rPr>
          <w:lang w:val="ru-RU"/>
        </w:rPr>
        <w:t>активов</w:t>
      </w:r>
      <w:r w:rsidR="00AA0135" w:rsidRPr="007F6CEF">
        <w:rPr>
          <w:lang w:val="ru-RU"/>
        </w:rPr>
        <w:t xml:space="preserve"> (</w:t>
      </w:r>
      <w:r w:rsidR="00BF4FBC" w:rsidRPr="007F6CEF">
        <w:rPr>
          <w:lang w:val="ru-RU"/>
        </w:rPr>
        <w:t>незначительно больше, чем</w:t>
      </w:r>
      <w:r w:rsidR="0091029E" w:rsidRPr="007F6CEF">
        <w:rPr>
          <w:lang w:val="ru-RU"/>
        </w:rPr>
        <w:t xml:space="preserve"> </w:t>
      </w:r>
      <w:r w:rsidR="00D56180" w:rsidRPr="007F6CEF">
        <w:rPr>
          <w:lang w:val="ru-RU"/>
        </w:rPr>
        <w:t>в 201</w:t>
      </w:r>
      <w:r w:rsidR="001604BB" w:rsidRPr="007F6CEF">
        <w:rPr>
          <w:lang w:val="ru-RU"/>
        </w:rPr>
        <w:t>2</w:t>
      </w:r>
      <w:r w:rsidR="00D56180" w:rsidRPr="007F6CEF">
        <w:rPr>
          <w:lang w:val="ru-RU"/>
        </w:rPr>
        <w:t xml:space="preserve"> г</w:t>
      </w:r>
      <w:r w:rsidR="001604BB" w:rsidRPr="007F6CEF">
        <w:rPr>
          <w:lang w:val="ru-RU"/>
        </w:rPr>
        <w:t>.</w:t>
      </w:r>
      <w:r w:rsidR="00D56180" w:rsidRPr="007F6CEF">
        <w:rPr>
          <w:lang w:val="ru-RU"/>
        </w:rPr>
        <w:t xml:space="preserve"> – </w:t>
      </w:r>
      <w:r w:rsidR="00AA0135" w:rsidRPr="007F6CEF">
        <w:rPr>
          <w:lang w:val="ru-RU"/>
        </w:rPr>
        <w:t>67</w:t>
      </w:r>
      <w:r w:rsidR="00D56180" w:rsidRPr="007F6CEF">
        <w:rPr>
          <w:lang w:val="ru-RU"/>
        </w:rPr>
        <w:t>,</w:t>
      </w:r>
      <w:r w:rsidR="00AA0135" w:rsidRPr="007F6CEF">
        <w:rPr>
          <w:lang w:val="ru-RU"/>
        </w:rPr>
        <w:t xml:space="preserve">4%), </w:t>
      </w:r>
      <w:r w:rsidR="00D56180" w:rsidRPr="007F6CEF">
        <w:rPr>
          <w:lang w:val="ru-RU"/>
        </w:rPr>
        <w:t>и нетекущие активы</w:t>
      </w:r>
      <w:r w:rsidR="00AA0135" w:rsidRPr="007F6CEF">
        <w:rPr>
          <w:lang w:val="ru-RU"/>
        </w:rPr>
        <w:t xml:space="preserve">, </w:t>
      </w:r>
      <w:r w:rsidR="00D56180" w:rsidRPr="007F6CEF">
        <w:rPr>
          <w:lang w:val="ru-RU"/>
        </w:rPr>
        <w:t>равные 11</w:t>
      </w:r>
      <w:r w:rsidR="001604BB" w:rsidRPr="007F6CEF">
        <w:rPr>
          <w:lang w:val="ru-RU"/>
        </w:rPr>
        <w:t>5</w:t>
      </w:r>
      <w:r w:rsidR="00D56180" w:rsidRPr="007F6CEF">
        <w:rPr>
          <w:lang w:val="ru-RU"/>
        </w:rPr>
        <w:t>,</w:t>
      </w:r>
      <w:r w:rsidR="001604BB" w:rsidRPr="007F6CEF">
        <w:rPr>
          <w:lang w:val="ru-RU"/>
        </w:rPr>
        <w:t>0</w:t>
      </w:r>
      <w:r w:rsidR="00AA0135" w:rsidRPr="007F6CEF">
        <w:rPr>
          <w:lang w:val="ru-RU"/>
        </w:rPr>
        <w:t xml:space="preserve"> </w:t>
      </w:r>
      <w:r w:rsidR="00345A13" w:rsidRPr="007F6CEF">
        <w:rPr>
          <w:lang w:val="ru-RU"/>
        </w:rPr>
        <w:t>млн. швейцарских франков</w:t>
      </w:r>
      <w:r w:rsidR="00AA0135" w:rsidRPr="007F6CEF">
        <w:rPr>
          <w:lang w:val="ru-RU"/>
        </w:rPr>
        <w:t xml:space="preserve">, </w:t>
      </w:r>
      <w:r w:rsidR="00472388" w:rsidRPr="007F6CEF">
        <w:rPr>
          <w:lang w:val="ru-RU"/>
        </w:rPr>
        <w:t>что составляет</w:t>
      </w:r>
      <w:r w:rsidR="00D56180" w:rsidRPr="007F6CEF">
        <w:rPr>
          <w:lang w:val="ru-RU"/>
        </w:rPr>
        <w:t xml:space="preserve"> </w:t>
      </w:r>
      <w:r w:rsidR="001604BB" w:rsidRPr="007F6CEF">
        <w:rPr>
          <w:lang w:val="ru-RU"/>
        </w:rPr>
        <w:t>32,3</w:t>
      </w:r>
      <w:r w:rsidR="00AA0135" w:rsidRPr="007F6CEF">
        <w:rPr>
          <w:lang w:val="ru-RU"/>
        </w:rPr>
        <w:t xml:space="preserve">% </w:t>
      </w:r>
      <w:r w:rsidR="00D56180" w:rsidRPr="007F6CEF">
        <w:rPr>
          <w:lang w:val="ru-RU"/>
        </w:rPr>
        <w:t>от общего размера активов</w:t>
      </w:r>
      <w:r w:rsidR="00AA0135" w:rsidRPr="007F6CEF">
        <w:rPr>
          <w:lang w:val="ru-RU"/>
        </w:rPr>
        <w:t xml:space="preserve"> (</w:t>
      </w:r>
      <w:r w:rsidR="00D56180" w:rsidRPr="007F6CEF">
        <w:rPr>
          <w:lang w:val="ru-RU"/>
        </w:rPr>
        <w:t>32,</w:t>
      </w:r>
      <w:r w:rsidR="00AA0135" w:rsidRPr="007F6CEF">
        <w:rPr>
          <w:lang w:val="ru-RU"/>
        </w:rPr>
        <w:t>6%</w:t>
      </w:r>
      <w:r w:rsidR="001604BB" w:rsidRPr="007F6CEF">
        <w:rPr>
          <w:lang w:val="ru-RU"/>
        </w:rPr>
        <w:t xml:space="preserve"> − в 2012 г.</w:t>
      </w:r>
      <w:r w:rsidR="00AA0135" w:rsidRPr="007F6CEF">
        <w:rPr>
          <w:lang w:val="ru-RU"/>
        </w:rPr>
        <w:t>).</w:t>
      </w:r>
    </w:p>
    <w:p w:rsidR="00AA0135" w:rsidRPr="007F6CEF" w:rsidRDefault="00314403" w:rsidP="00170B2C">
      <w:pPr>
        <w:pStyle w:val="Headingb"/>
        <w:rPr>
          <w:lang w:val="ru-RU"/>
        </w:rPr>
      </w:pPr>
      <w:bookmarkStart w:id="68" w:name="_Toc356330872"/>
      <w:bookmarkStart w:id="69" w:name="_Toc358192822"/>
      <w:bookmarkStart w:id="70" w:name="_Toc398125307"/>
      <w:bookmarkStart w:id="71" w:name="_Toc398125786"/>
      <w:bookmarkStart w:id="72" w:name="_Toc398127083"/>
      <w:r w:rsidRPr="007F6CEF">
        <w:rPr>
          <w:lang w:val="ru-RU"/>
        </w:rPr>
        <w:t>Текущие а</w:t>
      </w:r>
      <w:r w:rsidR="00D56180" w:rsidRPr="007F6CEF">
        <w:rPr>
          <w:lang w:val="ru-RU"/>
        </w:rPr>
        <w:t>ктивы</w:t>
      </w:r>
      <w:bookmarkEnd w:id="68"/>
      <w:bookmarkEnd w:id="69"/>
      <w:bookmarkEnd w:id="70"/>
      <w:bookmarkEnd w:id="71"/>
      <w:bookmarkEnd w:id="72"/>
    </w:p>
    <w:p w:rsidR="00AA0135" w:rsidRPr="007F6CEF" w:rsidRDefault="00535B14" w:rsidP="00170B2C">
      <w:pPr>
        <w:rPr>
          <w:lang w:val="ru-RU"/>
        </w:rPr>
      </w:pPr>
      <w:r w:rsidRPr="007F6CEF">
        <w:rPr>
          <w:lang w:val="ru-RU"/>
        </w:rPr>
        <w:t>4</w:t>
      </w:r>
      <w:r w:rsidRPr="007F6CEF">
        <w:rPr>
          <w:lang w:val="ru-RU"/>
        </w:rPr>
        <w:tab/>
      </w:r>
      <w:r w:rsidR="00314403" w:rsidRPr="007F6CEF">
        <w:rPr>
          <w:lang w:val="ru-RU"/>
        </w:rPr>
        <w:t>Общий размер текущих активов в</w:t>
      </w:r>
      <w:r w:rsidR="00AA0135" w:rsidRPr="007F6CEF">
        <w:rPr>
          <w:lang w:val="ru-RU"/>
        </w:rPr>
        <w:t xml:space="preserve"> 201</w:t>
      </w:r>
      <w:r w:rsidR="001604BB" w:rsidRPr="007F6CEF">
        <w:rPr>
          <w:lang w:val="ru-RU"/>
        </w:rPr>
        <w:t>3</w:t>
      </w:r>
      <w:r w:rsidR="00AA0135" w:rsidRPr="007F6CEF">
        <w:rPr>
          <w:lang w:val="ru-RU"/>
        </w:rPr>
        <w:t xml:space="preserve"> </w:t>
      </w:r>
      <w:r w:rsidR="00314403" w:rsidRPr="007F6CEF">
        <w:rPr>
          <w:lang w:val="ru-RU"/>
        </w:rPr>
        <w:t>году составил 24</w:t>
      </w:r>
      <w:r w:rsidR="001604BB" w:rsidRPr="007F6CEF">
        <w:rPr>
          <w:lang w:val="ru-RU"/>
        </w:rPr>
        <w:t>1</w:t>
      </w:r>
      <w:r w:rsidR="00314403" w:rsidRPr="007F6CEF">
        <w:rPr>
          <w:lang w:val="ru-RU"/>
        </w:rPr>
        <w:t>,</w:t>
      </w:r>
      <w:r w:rsidR="001604BB" w:rsidRPr="007F6CEF">
        <w:rPr>
          <w:lang w:val="ru-RU"/>
        </w:rPr>
        <w:t>1</w:t>
      </w:r>
      <w:r w:rsidR="00AA0135" w:rsidRPr="007F6CEF">
        <w:rPr>
          <w:lang w:val="ru-RU"/>
        </w:rPr>
        <w:t xml:space="preserve"> </w:t>
      </w:r>
      <w:r w:rsidR="00314403" w:rsidRPr="007F6CEF">
        <w:rPr>
          <w:lang w:val="ru-RU"/>
        </w:rPr>
        <w:t xml:space="preserve">млн. швейцарских франков, что представляет собой уменьшение на </w:t>
      </w:r>
      <w:r w:rsidR="001604BB" w:rsidRPr="007F6CEF">
        <w:rPr>
          <w:lang w:val="ru-RU"/>
        </w:rPr>
        <w:t>1</w:t>
      </w:r>
      <w:r w:rsidR="00314403" w:rsidRPr="007F6CEF">
        <w:rPr>
          <w:lang w:val="ru-RU"/>
        </w:rPr>
        <w:t>,</w:t>
      </w:r>
      <w:r w:rsidR="001604BB" w:rsidRPr="007F6CEF">
        <w:rPr>
          <w:lang w:val="ru-RU"/>
        </w:rPr>
        <w:t>9</w:t>
      </w:r>
      <w:r w:rsidR="00AA0135" w:rsidRPr="007F6CEF">
        <w:rPr>
          <w:lang w:val="ru-RU"/>
        </w:rPr>
        <w:t xml:space="preserve"> </w:t>
      </w:r>
      <w:r w:rsidR="00314403" w:rsidRPr="007F6CEF">
        <w:rPr>
          <w:lang w:val="ru-RU"/>
        </w:rPr>
        <w:t>млн. швейцарских франков</w:t>
      </w:r>
      <w:r w:rsidR="00345A13" w:rsidRPr="007F6CEF">
        <w:rPr>
          <w:lang w:val="ru-RU"/>
        </w:rPr>
        <w:t xml:space="preserve"> </w:t>
      </w:r>
      <w:r w:rsidR="004018E5" w:rsidRPr="007F6CEF">
        <w:rPr>
          <w:lang w:val="ru-RU"/>
        </w:rPr>
        <w:t>(</w:t>
      </w:r>
      <w:r w:rsidR="00B822D9" w:rsidRPr="007F6CEF">
        <w:rPr>
          <w:lang w:val="ru-RU"/>
        </w:rPr>
        <w:t>−</w:t>
      </w:r>
      <w:r w:rsidR="001604BB" w:rsidRPr="007F6CEF">
        <w:rPr>
          <w:lang w:val="ru-RU"/>
        </w:rPr>
        <w:t>0</w:t>
      </w:r>
      <w:r w:rsidR="00314403" w:rsidRPr="007F6CEF">
        <w:rPr>
          <w:lang w:val="ru-RU"/>
        </w:rPr>
        <w:t>,</w:t>
      </w:r>
      <w:r w:rsidR="001604BB" w:rsidRPr="007F6CEF">
        <w:rPr>
          <w:lang w:val="ru-RU"/>
        </w:rPr>
        <w:t>8</w:t>
      </w:r>
      <w:r w:rsidR="00AA0135" w:rsidRPr="007F6CEF">
        <w:rPr>
          <w:lang w:val="ru-RU"/>
        </w:rPr>
        <w:t xml:space="preserve">%) </w:t>
      </w:r>
      <w:r w:rsidR="00314403" w:rsidRPr="007F6CEF">
        <w:rPr>
          <w:lang w:val="ru-RU"/>
        </w:rPr>
        <w:t>по сравнению с</w:t>
      </w:r>
      <w:r w:rsidR="009040C2" w:rsidRPr="007F6CEF">
        <w:rPr>
          <w:lang w:val="ru-RU"/>
        </w:rPr>
        <w:t xml:space="preserve"> 201</w:t>
      </w:r>
      <w:r w:rsidR="001604BB" w:rsidRPr="007F6CEF">
        <w:rPr>
          <w:lang w:val="ru-RU"/>
        </w:rPr>
        <w:t>2</w:t>
      </w:r>
      <w:r w:rsidR="009040C2" w:rsidRPr="007F6CEF">
        <w:rPr>
          <w:lang w:val="ru-RU"/>
        </w:rPr>
        <w:t> </w:t>
      </w:r>
      <w:r w:rsidR="00314403" w:rsidRPr="007F6CEF">
        <w:rPr>
          <w:lang w:val="ru-RU"/>
        </w:rPr>
        <w:t>годом (2</w:t>
      </w:r>
      <w:r w:rsidR="001604BB" w:rsidRPr="007F6CEF">
        <w:rPr>
          <w:lang w:val="ru-RU"/>
        </w:rPr>
        <w:t>43</w:t>
      </w:r>
      <w:r w:rsidR="00314403" w:rsidRPr="007F6CEF">
        <w:rPr>
          <w:lang w:val="ru-RU"/>
        </w:rPr>
        <w:t>,</w:t>
      </w:r>
      <w:r w:rsidR="001604BB" w:rsidRPr="007F6CEF">
        <w:rPr>
          <w:lang w:val="ru-RU"/>
        </w:rPr>
        <w:t>0</w:t>
      </w:r>
      <w:r w:rsidR="00AA0135" w:rsidRPr="007F6CEF">
        <w:rPr>
          <w:lang w:val="ru-RU"/>
        </w:rPr>
        <w:t xml:space="preserve"> </w:t>
      </w:r>
      <w:r w:rsidR="00314403" w:rsidRPr="007F6CEF">
        <w:rPr>
          <w:lang w:val="ru-RU"/>
        </w:rPr>
        <w:t>млн. швейцарских франков</w:t>
      </w:r>
      <w:r w:rsidR="00AA0135" w:rsidRPr="007F6CEF">
        <w:rPr>
          <w:lang w:val="ru-RU"/>
        </w:rPr>
        <w:t xml:space="preserve">). </w:t>
      </w:r>
      <w:r w:rsidR="004018E5" w:rsidRPr="007F6CEF">
        <w:rPr>
          <w:lang w:val="ru-RU"/>
        </w:rPr>
        <w:t xml:space="preserve">В </w:t>
      </w:r>
      <w:r w:rsidR="008A3154" w:rsidRPr="007F6CEF">
        <w:rPr>
          <w:lang w:val="ru-RU"/>
        </w:rPr>
        <w:t>целом</w:t>
      </w:r>
      <w:r w:rsidR="004018E5" w:rsidRPr="007F6CEF">
        <w:rPr>
          <w:lang w:val="ru-RU"/>
        </w:rPr>
        <w:t xml:space="preserve"> это сокращение</w:t>
      </w:r>
      <w:r w:rsidR="00BF4FBC" w:rsidRPr="007F6CEF">
        <w:rPr>
          <w:lang w:val="ru-RU"/>
        </w:rPr>
        <w:t xml:space="preserve"> связано только</w:t>
      </w:r>
      <w:r w:rsidR="001604BB" w:rsidRPr="007F6CEF">
        <w:rPr>
          <w:lang w:val="ru-RU"/>
        </w:rPr>
        <w:t xml:space="preserve"> </w:t>
      </w:r>
      <w:r w:rsidR="00BF4FBC" w:rsidRPr="007F6CEF">
        <w:rPr>
          <w:lang w:val="ru-RU"/>
        </w:rPr>
        <w:t xml:space="preserve">с денежными средствами и эквивалентами денежных средств </w:t>
      </w:r>
      <w:r w:rsidR="008A3154" w:rsidRPr="007F6CEF">
        <w:rPr>
          <w:lang w:val="ru-RU"/>
        </w:rPr>
        <w:t>(</w:t>
      </w:r>
      <w:r w:rsidR="001604BB" w:rsidRPr="007F6CEF">
        <w:rPr>
          <w:lang w:val="ru-RU"/>
        </w:rPr>
        <w:t>−1</w:t>
      </w:r>
      <w:r w:rsidR="008A3154" w:rsidRPr="007F6CEF">
        <w:rPr>
          <w:lang w:val="ru-RU"/>
        </w:rPr>
        <w:t>,</w:t>
      </w:r>
      <w:r w:rsidR="001604BB" w:rsidRPr="007F6CEF">
        <w:rPr>
          <w:lang w:val="ru-RU"/>
        </w:rPr>
        <w:t>2</w:t>
      </w:r>
      <w:r w:rsidR="008A3154" w:rsidRPr="007F6CEF">
        <w:rPr>
          <w:lang w:val="ru-RU"/>
        </w:rPr>
        <w:t> </w:t>
      </w:r>
      <w:r w:rsidR="00314403" w:rsidRPr="007F6CEF">
        <w:rPr>
          <w:lang w:val="ru-RU"/>
        </w:rPr>
        <w:t>млн. швейцарских франков</w:t>
      </w:r>
      <w:r w:rsidR="00AA0135" w:rsidRPr="007F6CEF">
        <w:rPr>
          <w:lang w:val="ru-RU"/>
        </w:rPr>
        <w:t>)</w:t>
      </w:r>
      <w:r w:rsidR="001604BB" w:rsidRPr="007F6CEF">
        <w:rPr>
          <w:lang w:val="ru-RU"/>
        </w:rPr>
        <w:t xml:space="preserve">, </w:t>
      </w:r>
      <w:r w:rsidR="00BF4FBC" w:rsidRPr="007F6CEF">
        <w:rPr>
          <w:lang w:val="ru-RU"/>
        </w:rPr>
        <w:t>тогда как</w:t>
      </w:r>
      <w:r w:rsidR="001604BB" w:rsidRPr="007F6CEF">
        <w:rPr>
          <w:lang w:val="ru-RU"/>
        </w:rPr>
        <w:t xml:space="preserve"> </w:t>
      </w:r>
      <w:r w:rsidR="00BF4FBC" w:rsidRPr="007F6CEF">
        <w:rPr>
          <w:lang w:val="ru-RU"/>
        </w:rPr>
        <w:t>инвестиции</w:t>
      </w:r>
      <w:r w:rsidR="001604BB" w:rsidRPr="007F6CEF">
        <w:rPr>
          <w:lang w:val="ru-RU"/>
        </w:rPr>
        <w:t xml:space="preserve"> (+16,2</w:t>
      </w:r>
      <w:r w:rsidR="000B4714" w:rsidRPr="007F6CEF">
        <w:rPr>
          <w:lang w:val="ru-RU"/>
        </w:rPr>
        <w:t> млн. швейцарских франков</w:t>
      </w:r>
      <w:r w:rsidR="001604BB" w:rsidRPr="007F6CEF">
        <w:rPr>
          <w:lang w:val="ru-RU"/>
        </w:rPr>
        <w:t xml:space="preserve">), </w:t>
      </w:r>
      <w:r w:rsidR="00BF4FBC" w:rsidRPr="007F6CEF">
        <w:rPr>
          <w:lang w:val="ru-RU"/>
        </w:rPr>
        <w:t xml:space="preserve">долговые обязательства по обменным операциям </w:t>
      </w:r>
      <w:r w:rsidR="001604BB" w:rsidRPr="007F6CEF">
        <w:rPr>
          <w:lang w:val="ru-RU"/>
        </w:rPr>
        <w:t>(+2</w:t>
      </w:r>
      <w:r w:rsidR="000B4714" w:rsidRPr="007F6CEF">
        <w:rPr>
          <w:lang w:val="ru-RU"/>
        </w:rPr>
        <w:t>,</w:t>
      </w:r>
      <w:r w:rsidR="001604BB" w:rsidRPr="007F6CEF">
        <w:rPr>
          <w:lang w:val="ru-RU"/>
        </w:rPr>
        <w:t>2</w:t>
      </w:r>
      <w:r w:rsidR="000B4714" w:rsidRPr="007F6CEF">
        <w:rPr>
          <w:lang w:val="ru-RU"/>
        </w:rPr>
        <w:t> млн. швейцарских франков</w:t>
      </w:r>
      <w:r w:rsidR="001604BB" w:rsidRPr="007F6CEF">
        <w:rPr>
          <w:lang w:val="ru-RU"/>
        </w:rPr>
        <w:t xml:space="preserve">) </w:t>
      </w:r>
      <w:r w:rsidR="000B4714" w:rsidRPr="007F6CEF">
        <w:rPr>
          <w:lang w:val="ru-RU"/>
        </w:rPr>
        <w:t>и</w:t>
      </w:r>
      <w:r w:rsidR="001604BB" w:rsidRPr="007F6CEF">
        <w:rPr>
          <w:lang w:val="ru-RU"/>
        </w:rPr>
        <w:t xml:space="preserve"> </w:t>
      </w:r>
      <w:r w:rsidR="00BF4FBC" w:rsidRPr="007F6CEF">
        <w:rPr>
          <w:lang w:val="ru-RU"/>
        </w:rPr>
        <w:t>прочие долговые обязательства</w:t>
      </w:r>
      <w:r w:rsidR="001604BB" w:rsidRPr="007F6CEF">
        <w:rPr>
          <w:lang w:val="ru-RU"/>
        </w:rPr>
        <w:t xml:space="preserve"> (+1</w:t>
      </w:r>
      <w:r w:rsidR="000B4714" w:rsidRPr="007F6CEF">
        <w:rPr>
          <w:lang w:val="ru-RU"/>
        </w:rPr>
        <w:t>,</w:t>
      </w:r>
      <w:r w:rsidR="001604BB" w:rsidRPr="007F6CEF">
        <w:rPr>
          <w:lang w:val="ru-RU"/>
        </w:rPr>
        <w:t>0</w:t>
      </w:r>
      <w:r w:rsidR="000B4714" w:rsidRPr="007F6CEF">
        <w:rPr>
          <w:lang w:val="ru-RU"/>
        </w:rPr>
        <w:t> млн. швейцарских франков</w:t>
      </w:r>
      <w:r w:rsidR="001604BB" w:rsidRPr="007F6CEF">
        <w:rPr>
          <w:lang w:val="ru-RU"/>
        </w:rPr>
        <w:t xml:space="preserve">) </w:t>
      </w:r>
      <w:r w:rsidR="00BF4FBC" w:rsidRPr="007F6CEF">
        <w:rPr>
          <w:lang w:val="ru-RU"/>
        </w:rPr>
        <w:t>возросли</w:t>
      </w:r>
      <w:r w:rsidR="00AA0135" w:rsidRPr="007F6CEF">
        <w:rPr>
          <w:lang w:val="ru-RU"/>
        </w:rPr>
        <w:t xml:space="preserve">. </w:t>
      </w:r>
      <w:r w:rsidR="00966E46" w:rsidRPr="007F6CEF">
        <w:rPr>
          <w:lang w:val="ru-RU"/>
        </w:rPr>
        <w:t xml:space="preserve">Основа для оценки текущих активов приводится в </w:t>
      </w:r>
      <w:r w:rsidR="00BF4FBC" w:rsidRPr="007F6CEF">
        <w:rPr>
          <w:lang w:val="ru-RU"/>
        </w:rPr>
        <w:t>Основных п</w:t>
      </w:r>
      <w:r w:rsidR="00966E46" w:rsidRPr="007F6CEF">
        <w:rPr>
          <w:lang w:val="ru-RU"/>
        </w:rPr>
        <w:t xml:space="preserve">ринципах бухгалтерского учета (Примечание 3). </w:t>
      </w:r>
    </w:p>
    <w:p w:rsidR="00AA0135" w:rsidRPr="007F6CEF" w:rsidRDefault="00966E46" w:rsidP="00170B2C">
      <w:pPr>
        <w:pStyle w:val="Headingb"/>
        <w:rPr>
          <w:lang w:val="ru-RU"/>
        </w:rPr>
      </w:pPr>
      <w:bookmarkStart w:id="73" w:name="_Toc358192823"/>
      <w:bookmarkStart w:id="74" w:name="_Toc398125308"/>
      <w:bookmarkStart w:id="75" w:name="_Toc398125787"/>
      <w:bookmarkStart w:id="76" w:name="_Toc398127084"/>
      <w:r w:rsidRPr="007F6CEF">
        <w:rPr>
          <w:lang w:val="ru-RU"/>
        </w:rPr>
        <w:t>Денежные средства и эквиваленты денежных средств</w:t>
      </w:r>
      <w:bookmarkEnd w:id="73"/>
      <w:bookmarkEnd w:id="74"/>
      <w:bookmarkEnd w:id="75"/>
      <w:bookmarkEnd w:id="76"/>
    </w:p>
    <w:p w:rsidR="00AA0135" w:rsidRPr="007F6CEF" w:rsidRDefault="00535B14" w:rsidP="00170B2C">
      <w:pPr>
        <w:rPr>
          <w:lang w:val="ru-RU"/>
        </w:rPr>
      </w:pPr>
      <w:r w:rsidRPr="007F6CEF">
        <w:rPr>
          <w:lang w:val="ru-RU"/>
        </w:rPr>
        <w:t>5</w:t>
      </w:r>
      <w:r w:rsidRPr="007F6CEF">
        <w:rPr>
          <w:lang w:val="ru-RU"/>
        </w:rPr>
        <w:tab/>
      </w:r>
      <w:r w:rsidR="00966E46" w:rsidRPr="007F6CEF">
        <w:rPr>
          <w:lang w:val="ru-RU"/>
        </w:rPr>
        <w:t>Подраздел</w:t>
      </w:r>
      <w:r w:rsidR="00AA0135" w:rsidRPr="007F6CEF">
        <w:rPr>
          <w:lang w:val="ru-RU"/>
        </w:rPr>
        <w:t xml:space="preserve"> "</w:t>
      </w:r>
      <w:r w:rsidR="00966E46" w:rsidRPr="007F6CEF">
        <w:rPr>
          <w:lang w:val="ru-RU"/>
        </w:rPr>
        <w:t xml:space="preserve">Денежные средства и эквиваленты денежных средств", общий </w:t>
      </w:r>
      <w:r w:rsidR="008A3154" w:rsidRPr="007F6CEF">
        <w:rPr>
          <w:lang w:val="ru-RU"/>
        </w:rPr>
        <w:t>размер</w:t>
      </w:r>
      <w:r w:rsidR="00966E46" w:rsidRPr="007F6CEF">
        <w:rPr>
          <w:lang w:val="ru-RU"/>
        </w:rPr>
        <w:t xml:space="preserve"> которого составляет </w:t>
      </w:r>
      <w:r w:rsidR="006C36ED" w:rsidRPr="007F6CEF">
        <w:rPr>
          <w:lang w:val="ru-RU"/>
        </w:rPr>
        <w:t>5</w:t>
      </w:r>
      <w:r w:rsidR="00AA0135" w:rsidRPr="007F6CEF">
        <w:rPr>
          <w:lang w:val="ru-RU"/>
        </w:rPr>
        <w:t>9</w:t>
      </w:r>
      <w:r w:rsidR="00966E46" w:rsidRPr="007F6CEF">
        <w:rPr>
          <w:lang w:val="ru-RU"/>
        </w:rPr>
        <w:t>,</w:t>
      </w:r>
      <w:r w:rsidR="006C36ED" w:rsidRPr="007F6CEF">
        <w:rPr>
          <w:lang w:val="ru-RU"/>
        </w:rPr>
        <w:t>6</w:t>
      </w:r>
      <w:r w:rsidR="00AA0135" w:rsidRPr="007F6CEF">
        <w:rPr>
          <w:lang w:val="ru-RU"/>
        </w:rPr>
        <w:t xml:space="preserve"> </w:t>
      </w:r>
      <w:r w:rsidR="00345A13" w:rsidRPr="007F6CEF">
        <w:rPr>
          <w:lang w:val="ru-RU"/>
        </w:rPr>
        <w:t>млн. швейцарских франков</w:t>
      </w:r>
      <w:r w:rsidR="00AA0135" w:rsidRPr="007F6CEF">
        <w:rPr>
          <w:lang w:val="ru-RU"/>
        </w:rPr>
        <w:t xml:space="preserve">, </w:t>
      </w:r>
      <w:r w:rsidR="006C36ED" w:rsidRPr="007F6CEF">
        <w:rPr>
          <w:lang w:val="ru-RU"/>
        </w:rPr>
        <w:t>уменьшился</w:t>
      </w:r>
      <w:r w:rsidR="00966E46" w:rsidRPr="007F6CEF">
        <w:rPr>
          <w:lang w:val="ru-RU"/>
        </w:rPr>
        <w:t xml:space="preserve"> на </w:t>
      </w:r>
      <w:r w:rsidR="006C36ED" w:rsidRPr="007F6CEF">
        <w:rPr>
          <w:lang w:val="ru-RU"/>
        </w:rPr>
        <w:t>20</w:t>
      </w:r>
      <w:r w:rsidR="00966E46" w:rsidRPr="007F6CEF">
        <w:rPr>
          <w:lang w:val="ru-RU"/>
        </w:rPr>
        <w:t>,</w:t>
      </w:r>
      <w:r w:rsidR="006C36ED" w:rsidRPr="007F6CEF">
        <w:rPr>
          <w:lang w:val="ru-RU"/>
        </w:rPr>
        <w:t>2</w:t>
      </w:r>
      <w:r w:rsidR="00AA0135" w:rsidRPr="007F6CEF">
        <w:rPr>
          <w:lang w:val="ru-RU"/>
        </w:rPr>
        <w:t xml:space="preserve"> </w:t>
      </w:r>
      <w:r w:rsidR="00345A13" w:rsidRPr="007F6CEF">
        <w:rPr>
          <w:lang w:val="ru-RU"/>
        </w:rPr>
        <w:t xml:space="preserve">млн. швейцарских франков </w:t>
      </w:r>
      <w:r w:rsidR="006C36ED" w:rsidRPr="007F6CEF">
        <w:rPr>
          <w:lang w:val="ru-RU"/>
        </w:rPr>
        <w:t>(−25</w:t>
      </w:r>
      <w:r w:rsidR="00966E46" w:rsidRPr="007F6CEF">
        <w:rPr>
          <w:lang w:val="ru-RU"/>
        </w:rPr>
        <w:t>,</w:t>
      </w:r>
      <w:r w:rsidR="006C36ED" w:rsidRPr="007F6CEF">
        <w:rPr>
          <w:lang w:val="ru-RU"/>
        </w:rPr>
        <w:t>3</w:t>
      </w:r>
      <w:r w:rsidR="00AA0135" w:rsidRPr="007F6CEF">
        <w:rPr>
          <w:lang w:val="ru-RU"/>
        </w:rPr>
        <w:t xml:space="preserve">%) </w:t>
      </w:r>
      <w:r w:rsidR="00966E46" w:rsidRPr="007F6CEF">
        <w:rPr>
          <w:lang w:val="ru-RU"/>
        </w:rPr>
        <w:t xml:space="preserve">по сравнению с </w:t>
      </w:r>
      <w:r w:rsidR="006C36ED" w:rsidRPr="007F6CEF">
        <w:rPr>
          <w:lang w:val="ru-RU"/>
        </w:rPr>
        <w:t>79</w:t>
      </w:r>
      <w:r w:rsidR="00966E46" w:rsidRPr="007F6CEF">
        <w:rPr>
          <w:lang w:val="ru-RU"/>
        </w:rPr>
        <w:t>,</w:t>
      </w:r>
      <w:r w:rsidR="006C36ED" w:rsidRPr="007F6CEF">
        <w:rPr>
          <w:lang w:val="ru-RU"/>
        </w:rPr>
        <w:t>8</w:t>
      </w:r>
      <w:r w:rsidR="00AA0135" w:rsidRPr="007F6CEF">
        <w:rPr>
          <w:lang w:val="ru-RU"/>
        </w:rPr>
        <w:t xml:space="preserve"> </w:t>
      </w:r>
      <w:r w:rsidR="00345A13" w:rsidRPr="007F6CEF">
        <w:rPr>
          <w:lang w:val="ru-RU"/>
        </w:rPr>
        <w:t xml:space="preserve">млн. швейцарских франков </w:t>
      </w:r>
      <w:r w:rsidR="006C36ED" w:rsidRPr="007F6CEF">
        <w:rPr>
          <w:lang w:val="ru-RU"/>
        </w:rPr>
        <w:t>в 2012</w:t>
      </w:r>
      <w:r w:rsidR="00966E46" w:rsidRPr="007F6CEF">
        <w:rPr>
          <w:lang w:val="ru-RU"/>
        </w:rPr>
        <w:t xml:space="preserve"> году, и он включает наличные денежные средства</w:t>
      </w:r>
      <w:r w:rsidR="00AA0135" w:rsidRPr="007F6CEF">
        <w:rPr>
          <w:lang w:val="ru-RU"/>
        </w:rPr>
        <w:t xml:space="preserve"> </w:t>
      </w:r>
      <w:r w:rsidR="00966E46" w:rsidRPr="007F6CEF">
        <w:rPr>
          <w:lang w:val="ru-RU"/>
        </w:rPr>
        <w:t xml:space="preserve">и все остатки средств на банковском почтовом </w:t>
      </w:r>
      <w:r w:rsidR="009667D7" w:rsidRPr="007F6CEF">
        <w:rPr>
          <w:lang w:val="ru-RU"/>
        </w:rPr>
        <w:t xml:space="preserve">текущем </w:t>
      </w:r>
      <w:r w:rsidR="00966E46" w:rsidRPr="007F6CEF">
        <w:rPr>
          <w:lang w:val="ru-RU"/>
        </w:rPr>
        <w:t>счете МСЭ</w:t>
      </w:r>
      <w:r w:rsidR="006C36ED" w:rsidRPr="007F6CEF">
        <w:rPr>
          <w:lang w:val="ru-RU"/>
        </w:rPr>
        <w:t xml:space="preserve"> на 31 декабря 2013 года. Отмеченное выше уменьшение</w:t>
      </w:r>
      <w:r w:rsidR="009667D7" w:rsidRPr="007F6CEF">
        <w:rPr>
          <w:lang w:val="ru-RU"/>
        </w:rPr>
        <w:t xml:space="preserve"> связано в основном с "</w:t>
      </w:r>
      <w:r w:rsidR="004C17DC" w:rsidRPr="007F6CEF">
        <w:rPr>
          <w:lang w:val="ru-RU"/>
        </w:rPr>
        <w:t xml:space="preserve">Банковскими текущими счетами в швейцарских франках" </w:t>
      </w:r>
      <w:r w:rsidR="006C36ED" w:rsidRPr="007F6CEF">
        <w:rPr>
          <w:lang w:val="ru-RU"/>
        </w:rPr>
        <w:t>(−24</w:t>
      </w:r>
      <w:r w:rsidR="008A3154" w:rsidRPr="007F6CEF">
        <w:rPr>
          <w:lang w:val="ru-RU"/>
        </w:rPr>
        <w:t>,</w:t>
      </w:r>
      <w:r w:rsidR="006C36ED" w:rsidRPr="007F6CEF">
        <w:rPr>
          <w:lang w:val="ru-RU"/>
        </w:rPr>
        <w:t>3</w:t>
      </w:r>
      <w:r w:rsidR="00AA0135" w:rsidRPr="007F6CEF">
        <w:rPr>
          <w:lang w:val="ru-RU"/>
        </w:rPr>
        <w:t xml:space="preserve"> </w:t>
      </w:r>
      <w:r w:rsidR="00345A13" w:rsidRPr="007F6CEF">
        <w:rPr>
          <w:lang w:val="ru-RU"/>
        </w:rPr>
        <w:t>млн. швейцарских франков</w:t>
      </w:r>
      <w:r w:rsidR="00AA0135" w:rsidRPr="007F6CEF">
        <w:rPr>
          <w:lang w:val="ru-RU"/>
        </w:rPr>
        <w:t>)</w:t>
      </w:r>
      <w:r w:rsidR="004C17DC" w:rsidRPr="007F6CEF">
        <w:rPr>
          <w:lang w:val="ru-RU"/>
        </w:rPr>
        <w:t xml:space="preserve">, </w:t>
      </w:r>
      <w:r w:rsidR="00D56180" w:rsidRPr="007F6CEF">
        <w:rPr>
          <w:lang w:val="ru-RU"/>
        </w:rPr>
        <w:t>процентная доля</w:t>
      </w:r>
      <w:r w:rsidR="00AA0135" w:rsidRPr="007F6CEF">
        <w:rPr>
          <w:lang w:val="ru-RU"/>
        </w:rPr>
        <w:t xml:space="preserve"> </w:t>
      </w:r>
      <w:r w:rsidR="004C17DC" w:rsidRPr="007F6CEF">
        <w:rPr>
          <w:lang w:val="ru-RU"/>
        </w:rPr>
        <w:t>которых в этом подразделе в целом составляет около</w:t>
      </w:r>
      <w:r w:rsidR="00AA0135" w:rsidRPr="007F6CEF">
        <w:rPr>
          <w:lang w:val="ru-RU"/>
        </w:rPr>
        <w:t xml:space="preserve"> </w:t>
      </w:r>
      <w:r w:rsidR="006C36ED" w:rsidRPr="007F6CEF">
        <w:rPr>
          <w:lang w:val="ru-RU"/>
        </w:rPr>
        <w:t>67,8</w:t>
      </w:r>
      <w:r w:rsidR="00AA0135" w:rsidRPr="007F6CEF">
        <w:rPr>
          <w:lang w:val="ru-RU"/>
        </w:rPr>
        <w:t>%</w:t>
      </w:r>
      <w:r w:rsidR="004C17DC" w:rsidRPr="007F6CEF">
        <w:rPr>
          <w:lang w:val="ru-RU"/>
        </w:rPr>
        <w:t xml:space="preserve">. </w:t>
      </w:r>
      <w:r w:rsidR="0027334C" w:rsidRPr="007F6CEF">
        <w:rPr>
          <w:lang w:val="ru-RU"/>
        </w:rPr>
        <w:t>Сокращение частично покрывается увеличением по "Банковским текущим счетам в иностранной валюте"</w:t>
      </w:r>
      <w:r w:rsidR="006C36ED" w:rsidRPr="007F6CEF">
        <w:rPr>
          <w:lang w:val="ru-RU"/>
        </w:rPr>
        <w:t xml:space="preserve"> (+4,2 млн. швейцарских франков). </w:t>
      </w:r>
      <w:r w:rsidR="004C17DC" w:rsidRPr="007F6CEF">
        <w:rPr>
          <w:lang w:val="ru-RU"/>
        </w:rPr>
        <w:t>Подробная разбивка подраздела "</w:t>
      </w:r>
      <w:r w:rsidR="00966E46" w:rsidRPr="007F6CEF">
        <w:rPr>
          <w:lang w:val="ru-RU"/>
        </w:rPr>
        <w:t>Денежные средства и эквиваленты денежных средств</w:t>
      </w:r>
      <w:r w:rsidR="00CC0CED" w:rsidRPr="007F6CEF">
        <w:rPr>
          <w:lang w:val="ru-RU"/>
        </w:rPr>
        <w:t>" приводится в Примеча</w:t>
      </w:r>
      <w:r w:rsidR="004C17DC" w:rsidRPr="007F6CEF">
        <w:rPr>
          <w:lang w:val="ru-RU"/>
        </w:rPr>
        <w:t xml:space="preserve">нии </w:t>
      </w:r>
      <w:r w:rsidR="006C36ED" w:rsidRPr="007F6CEF">
        <w:rPr>
          <w:lang w:val="ru-RU"/>
        </w:rPr>
        <w:t>7</w:t>
      </w:r>
      <w:r w:rsidR="004C17DC" w:rsidRPr="007F6CEF">
        <w:rPr>
          <w:lang w:val="ru-RU"/>
        </w:rPr>
        <w:t xml:space="preserve"> к Отчету о финансовой деятельности</w:t>
      </w:r>
      <w:r w:rsidR="00AA0135" w:rsidRPr="007F6CEF">
        <w:rPr>
          <w:lang w:val="ru-RU"/>
        </w:rPr>
        <w:t>.</w:t>
      </w:r>
    </w:p>
    <w:p w:rsidR="00AA0135" w:rsidRPr="007F6CEF" w:rsidRDefault="00535B14" w:rsidP="00170B2C">
      <w:pPr>
        <w:rPr>
          <w:lang w:val="ru-RU"/>
        </w:rPr>
      </w:pPr>
      <w:r w:rsidRPr="007F6CEF">
        <w:rPr>
          <w:lang w:val="ru-RU"/>
        </w:rPr>
        <w:t>6</w:t>
      </w:r>
      <w:r w:rsidRPr="007F6CEF">
        <w:rPr>
          <w:lang w:val="ru-RU"/>
        </w:rPr>
        <w:tab/>
      </w:r>
      <w:r w:rsidR="004C17DC" w:rsidRPr="007F6CEF">
        <w:rPr>
          <w:lang w:val="ru-RU"/>
        </w:rPr>
        <w:t>Согласно</w:t>
      </w:r>
      <w:r w:rsidR="00AA0135" w:rsidRPr="007F6CEF">
        <w:rPr>
          <w:lang w:val="ru-RU"/>
        </w:rPr>
        <w:t xml:space="preserve"> </w:t>
      </w:r>
      <w:r w:rsidR="008A3154" w:rsidRPr="007F6CEF">
        <w:rPr>
          <w:lang w:val="ru-RU"/>
        </w:rPr>
        <w:t xml:space="preserve">стандарту </w:t>
      </w:r>
      <w:r w:rsidR="00AA0135" w:rsidRPr="007F6CEF">
        <w:rPr>
          <w:lang w:val="ru-RU"/>
        </w:rPr>
        <w:t>IPSAS 2</w:t>
      </w:r>
      <w:r w:rsidR="004C17DC" w:rsidRPr="007F6CEF">
        <w:rPr>
          <w:lang w:val="ru-RU"/>
        </w:rPr>
        <w:t xml:space="preserve"> в Примечании </w:t>
      </w:r>
      <w:r w:rsidR="006C36ED" w:rsidRPr="007F6CEF">
        <w:rPr>
          <w:lang w:val="ru-RU"/>
        </w:rPr>
        <w:t>7</w:t>
      </w:r>
      <w:r w:rsidR="004C17DC" w:rsidRPr="007F6CEF">
        <w:rPr>
          <w:lang w:val="ru-RU"/>
        </w:rPr>
        <w:t xml:space="preserve"> </w:t>
      </w:r>
      <w:r w:rsidR="00600344" w:rsidRPr="007F6CEF">
        <w:rPr>
          <w:lang w:val="ru-RU"/>
        </w:rPr>
        <w:t xml:space="preserve">упоминается финансовая отчетность, которая ведется по ликвидным средствам, но </w:t>
      </w:r>
      <w:r w:rsidR="008A3154" w:rsidRPr="007F6CEF">
        <w:rPr>
          <w:lang w:val="ru-RU"/>
        </w:rPr>
        <w:t>такая отчетность</w:t>
      </w:r>
      <w:r w:rsidR="00600344" w:rsidRPr="007F6CEF">
        <w:rPr>
          <w:lang w:val="ru-RU"/>
        </w:rPr>
        <w:t xml:space="preserve"> не представлен</w:t>
      </w:r>
      <w:r w:rsidR="008A3154" w:rsidRPr="007F6CEF">
        <w:rPr>
          <w:lang w:val="ru-RU"/>
        </w:rPr>
        <w:t>а</w:t>
      </w:r>
      <w:r w:rsidR="00600344" w:rsidRPr="007F6CEF">
        <w:rPr>
          <w:lang w:val="ru-RU"/>
        </w:rPr>
        <w:t>. В 201</w:t>
      </w:r>
      <w:r w:rsidR="006C36ED" w:rsidRPr="007F6CEF">
        <w:rPr>
          <w:lang w:val="ru-RU"/>
        </w:rPr>
        <w:t>3</w:t>
      </w:r>
      <w:r w:rsidR="00600344" w:rsidRPr="007F6CEF">
        <w:rPr>
          <w:lang w:val="ru-RU"/>
        </w:rPr>
        <w:t xml:space="preserve"> году ограничения наложены на сумму в размере </w:t>
      </w:r>
      <w:r w:rsidR="00AA0135" w:rsidRPr="007F6CEF">
        <w:rPr>
          <w:lang w:val="ru-RU"/>
        </w:rPr>
        <w:t>1</w:t>
      </w:r>
      <w:r w:rsidR="006C36ED" w:rsidRPr="007F6CEF">
        <w:rPr>
          <w:lang w:val="ru-RU"/>
        </w:rPr>
        <w:t>7</w:t>
      </w:r>
      <w:r w:rsidR="00600344" w:rsidRPr="007F6CEF">
        <w:rPr>
          <w:lang w:val="ru-RU"/>
        </w:rPr>
        <w:t>,</w:t>
      </w:r>
      <w:r w:rsidR="00AA0135" w:rsidRPr="007F6CEF">
        <w:rPr>
          <w:lang w:val="ru-RU"/>
        </w:rPr>
        <w:t xml:space="preserve">3 </w:t>
      </w:r>
      <w:r w:rsidR="00345A13" w:rsidRPr="007F6CEF">
        <w:rPr>
          <w:spacing w:val="1"/>
          <w:lang w:val="ru-RU"/>
        </w:rPr>
        <w:t>млн. швейцарских франков</w:t>
      </w:r>
      <w:r w:rsidR="00600344" w:rsidRPr="007F6CEF">
        <w:rPr>
          <w:spacing w:val="1"/>
          <w:lang w:val="ru-RU"/>
        </w:rPr>
        <w:t xml:space="preserve"> по сравнению с </w:t>
      </w:r>
      <w:r w:rsidR="006C36ED" w:rsidRPr="007F6CEF">
        <w:rPr>
          <w:lang w:val="ru-RU"/>
        </w:rPr>
        <w:t>12</w:t>
      </w:r>
      <w:r w:rsidR="00600344" w:rsidRPr="007F6CEF">
        <w:rPr>
          <w:lang w:val="ru-RU"/>
        </w:rPr>
        <w:t>,</w:t>
      </w:r>
      <w:r w:rsidR="006C36ED" w:rsidRPr="007F6CEF">
        <w:rPr>
          <w:lang w:val="ru-RU"/>
        </w:rPr>
        <w:t>3</w:t>
      </w:r>
      <w:r w:rsidR="00600344" w:rsidRPr="007F6CEF">
        <w:rPr>
          <w:lang w:val="ru-RU"/>
        </w:rPr>
        <w:t> </w:t>
      </w:r>
      <w:r w:rsidR="00345A13" w:rsidRPr="007F6CEF">
        <w:rPr>
          <w:spacing w:val="1"/>
          <w:lang w:val="ru-RU"/>
        </w:rPr>
        <w:t>млн. швейцарских франков</w:t>
      </w:r>
      <w:r w:rsidR="00345A13" w:rsidRPr="007F6CEF">
        <w:rPr>
          <w:lang w:val="ru-RU"/>
        </w:rPr>
        <w:t xml:space="preserve"> </w:t>
      </w:r>
      <w:r w:rsidR="00600344" w:rsidRPr="007F6CEF">
        <w:rPr>
          <w:lang w:val="ru-RU"/>
        </w:rPr>
        <w:t>в 201</w:t>
      </w:r>
      <w:r w:rsidR="006C36ED" w:rsidRPr="007F6CEF">
        <w:rPr>
          <w:lang w:val="ru-RU"/>
        </w:rPr>
        <w:t>2</w:t>
      </w:r>
      <w:r w:rsidR="00600344" w:rsidRPr="007F6CEF">
        <w:rPr>
          <w:lang w:val="ru-RU"/>
        </w:rPr>
        <w:t xml:space="preserve"> году</w:t>
      </w:r>
      <w:r w:rsidR="00AA0135" w:rsidRPr="007F6CEF">
        <w:rPr>
          <w:lang w:val="ru-RU"/>
        </w:rPr>
        <w:t>.</w:t>
      </w:r>
    </w:p>
    <w:p w:rsidR="006C36ED" w:rsidRPr="007F6CEF" w:rsidRDefault="006C36ED" w:rsidP="00170B2C">
      <w:pPr>
        <w:rPr>
          <w:lang w:val="ru-RU"/>
        </w:rPr>
      </w:pPr>
      <w:r w:rsidRPr="007F6CEF">
        <w:rPr>
          <w:lang w:val="ru-RU"/>
        </w:rPr>
        <w:t>7</w:t>
      </w:r>
      <w:r w:rsidRPr="007F6CEF">
        <w:rPr>
          <w:lang w:val="ru-RU"/>
        </w:rPr>
        <w:tab/>
      </w:r>
      <w:r w:rsidR="001850A8" w:rsidRPr="007F6CEF">
        <w:rPr>
          <w:lang w:val="ru-RU"/>
        </w:rPr>
        <w:t xml:space="preserve">Среди денежных средств, к которым применяются ограничения, </w:t>
      </w:r>
      <w:r w:rsidR="00F72F7B" w:rsidRPr="007F6CEF">
        <w:rPr>
          <w:lang w:val="ru-RU"/>
        </w:rPr>
        <w:t xml:space="preserve">удвоилась сумма по подразделу "Проекты, финансируемые за счет внешних средств" – до </w:t>
      </w:r>
      <w:r w:rsidRPr="007F6CEF">
        <w:rPr>
          <w:lang w:val="ru-RU"/>
        </w:rPr>
        <w:t>9,2 </w:t>
      </w:r>
      <w:r w:rsidRPr="007F6CEF">
        <w:rPr>
          <w:spacing w:val="1"/>
          <w:lang w:val="ru-RU"/>
        </w:rPr>
        <w:t>млн. швейцарских франков</w:t>
      </w:r>
      <w:r w:rsidR="00F72F7B" w:rsidRPr="007F6CEF">
        <w:rPr>
          <w:spacing w:val="1"/>
          <w:lang w:val="ru-RU"/>
        </w:rPr>
        <w:t xml:space="preserve"> по сравнению с </w:t>
      </w:r>
      <w:r w:rsidRPr="007F6CEF">
        <w:rPr>
          <w:lang w:val="ru-RU"/>
        </w:rPr>
        <w:t>4,3 </w:t>
      </w:r>
      <w:r w:rsidRPr="007F6CEF">
        <w:rPr>
          <w:spacing w:val="1"/>
          <w:lang w:val="ru-RU"/>
        </w:rPr>
        <w:t>млн. швейцарских франков</w:t>
      </w:r>
      <w:r w:rsidR="00F72F7B" w:rsidRPr="007F6CEF">
        <w:rPr>
          <w:lang w:val="ru-RU"/>
        </w:rPr>
        <w:t xml:space="preserve"> в 2012 году</w:t>
      </w:r>
      <w:r w:rsidRPr="007F6CEF">
        <w:rPr>
          <w:lang w:val="ru-RU"/>
        </w:rPr>
        <w:t xml:space="preserve">. </w:t>
      </w:r>
      <w:r w:rsidR="00F72F7B" w:rsidRPr="007F6CEF">
        <w:rPr>
          <w:lang w:val="ru-RU"/>
        </w:rPr>
        <w:t xml:space="preserve">Как также </w:t>
      </w:r>
      <w:r w:rsidR="0020270A" w:rsidRPr="007F6CEF">
        <w:rPr>
          <w:lang w:val="ru-RU"/>
        </w:rPr>
        <w:t>показано в с</w:t>
      </w:r>
      <w:r w:rsidR="0072121F" w:rsidRPr="007F6CEF">
        <w:rPr>
          <w:lang w:val="ru-RU"/>
        </w:rPr>
        <w:t>одержаще</w:t>
      </w:r>
      <w:r w:rsidR="0020270A" w:rsidRPr="007F6CEF">
        <w:rPr>
          <w:lang w:val="ru-RU"/>
        </w:rPr>
        <w:t xml:space="preserve">мся ниже разделе "Представление </w:t>
      </w:r>
      <w:r w:rsidR="0072121F" w:rsidRPr="007F6CEF">
        <w:rPr>
          <w:lang w:val="ru-RU"/>
        </w:rPr>
        <w:t>отчетов</w:t>
      </w:r>
      <w:r w:rsidR="0020270A" w:rsidRPr="007F6CEF">
        <w:rPr>
          <w:lang w:val="ru-RU"/>
        </w:rPr>
        <w:t xml:space="preserve"> по сегментам" </w:t>
      </w:r>
      <w:r w:rsidRPr="007F6CEF">
        <w:rPr>
          <w:lang w:val="ru-RU"/>
        </w:rPr>
        <w:t>(см. п. 110)</w:t>
      </w:r>
      <w:r w:rsidR="0072121F" w:rsidRPr="007F6CEF">
        <w:rPr>
          <w:lang w:val="ru-RU"/>
        </w:rPr>
        <w:t>, это связано с существенным увеличением сумм, выделенных на конкретные проекты</w:t>
      </w:r>
      <w:r w:rsidRPr="007F6CEF">
        <w:rPr>
          <w:lang w:val="ru-RU"/>
        </w:rPr>
        <w:t xml:space="preserve"> (например, в Бразилии).</w:t>
      </w:r>
    </w:p>
    <w:p w:rsidR="00AA0135" w:rsidRPr="007F6CEF" w:rsidRDefault="006C36ED" w:rsidP="00170B2C">
      <w:pPr>
        <w:rPr>
          <w:lang w:val="ru-RU"/>
        </w:rPr>
      </w:pPr>
      <w:r w:rsidRPr="007F6CEF">
        <w:rPr>
          <w:lang w:val="ru-RU"/>
        </w:rPr>
        <w:t>8</w:t>
      </w:r>
      <w:r w:rsidR="00535B14" w:rsidRPr="007F6CEF">
        <w:rPr>
          <w:lang w:val="ru-RU"/>
        </w:rPr>
        <w:tab/>
      </w:r>
      <w:r w:rsidR="00600344" w:rsidRPr="007F6CEF">
        <w:rPr>
          <w:lang w:val="ru-RU"/>
        </w:rPr>
        <w:t>Мы обратились с просьбой ко всем банкам, у которых имеются деловые отношения с МСЭ, подтвердить остатки средств на текущих счетах по состоянию на 31 декабря 201</w:t>
      </w:r>
      <w:r w:rsidRPr="007F6CEF">
        <w:rPr>
          <w:lang w:val="ru-RU"/>
        </w:rPr>
        <w:t>3</w:t>
      </w:r>
      <w:r w:rsidR="00600344" w:rsidRPr="007F6CEF">
        <w:rPr>
          <w:lang w:val="ru-RU"/>
        </w:rPr>
        <w:t xml:space="preserve"> года</w:t>
      </w:r>
      <w:r w:rsidR="00AA0135" w:rsidRPr="007F6CEF">
        <w:rPr>
          <w:lang w:val="ru-RU"/>
        </w:rPr>
        <w:t xml:space="preserve">. </w:t>
      </w:r>
      <w:r w:rsidR="007F6CEF">
        <w:rPr>
          <w:lang w:val="ru-RU"/>
        </w:rPr>
        <w:t>Мы </w:t>
      </w:r>
      <w:r w:rsidR="00600344" w:rsidRPr="007F6CEF">
        <w:rPr>
          <w:lang w:val="ru-RU"/>
        </w:rPr>
        <w:t xml:space="preserve">удостоверились, что остатки средств на счетах </w:t>
      </w:r>
      <w:r w:rsidR="00F83A63" w:rsidRPr="007F6CEF">
        <w:rPr>
          <w:lang w:val="ru-RU"/>
        </w:rPr>
        <w:t xml:space="preserve">должным образом отражены в счетах. Все выявленные расхождения были объяснены и обоснованы. Следует упомянуть о том, что мы не получили прямого подтверждения от </w:t>
      </w:r>
      <w:r w:rsidRPr="007F6CEF">
        <w:rPr>
          <w:lang w:val="ru-RU"/>
        </w:rPr>
        <w:t>четырех</w:t>
      </w:r>
      <w:r w:rsidR="00F83A63" w:rsidRPr="007F6CEF">
        <w:rPr>
          <w:lang w:val="ru-RU"/>
        </w:rPr>
        <w:t xml:space="preserve"> банк</w:t>
      </w:r>
      <w:r w:rsidRPr="007F6CEF">
        <w:rPr>
          <w:lang w:val="ru-RU"/>
        </w:rPr>
        <w:t>ов</w:t>
      </w:r>
      <w:r w:rsidR="0072121F" w:rsidRPr="007F6CEF">
        <w:rPr>
          <w:lang w:val="ru-RU"/>
        </w:rPr>
        <w:t xml:space="preserve"> (</w:t>
      </w:r>
      <w:r w:rsidRPr="007F6CEF">
        <w:rPr>
          <w:lang w:val="ru-RU"/>
        </w:rPr>
        <w:t>Deutsche Bank Trust Company Americas, Bradesco, Banco do Brasil, Busan Bank</w:t>
      </w:r>
      <w:r w:rsidR="0072121F" w:rsidRPr="007F6CEF">
        <w:rPr>
          <w:lang w:val="ru-RU"/>
        </w:rPr>
        <w:t>), хот</w:t>
      </w:r>
      <w:r w:rsidR="00AC5B87" w:rsidRPr="007F6CEF">
        <w:rPr>
          <w:lang w:val="ru-RU"/>
        </w:rPr>
        <w:t>я</w:t>
      </w:r>
      <w:r w:rsidR="0072121F" w:rsidRPr="007F6CEF">
        <w:rPr>
          <w:lang w:val="ru-RU"/>
        </w:rPr>
        <w:t xml:space="preserve"> руководство МСЭ </w:t>
      </w:r>
      <w:r w:rsidR="00AC5B87" w:rsidRPr="007F6CEF">
        <w:rPr>
          <w:lang w:val="ru-RU"/>
        </w:rPr>
        <w:t xml:space="preserve">приняло все </w:t>
      </w:r>
      <w:r w:rsidR="005E2A97" w:rsidRPr="007F6CEF">
        <w:rPr>
          <w:lang w:val="ru-RU"/>
        </w:rPr>
        <w:t xml:space="preserve">должные </w:t>
      </w:r>
      <w:r w:rsidR="00AC5B87" w:rsidRPr="007F6CEF">
        <w:rPr>
          <w:lang w:val="ru-RU"/>
        </w:rPr>
        <w:t xml:space="preserve">меры </w:t>
      </w:r>
      <w:r w:rsidR="005E2A97" w:rsidRPr="007F6CEF">
        <w:rPr>
          <w:lang w:val="ru-RU"/>
        </w:rPr>
        <w:t xml:space="preserve">для того, чтобы мы получили такие подтверждения. </w:t>
      </w:r>
    </w:p>
    <w:p w:rsidR="007B00F9" w:rsidRPr="007F6CEF" w:rsidRDefault="007B00F9" w:rsidP="00170B2C">
      <w:pPr>
        <w:rPr>
          <w:lang w:val="ru-RU"/>
        </w:rPr>
      </w:pPr>
      <w:r w:rsidRPr="007F6CEF">
        <w:rPr>
          <w:lang w:val="ru-RU"/>
        </w:rPr>
        <w:t>9</w:t>
      </w:r>
      <w:r w:rsidRPr="007F6CEF">
        <w:rPr>
          <w:lang w:val="ru-RU"/>
        </w:rPr>
        <w:tab/>
      </w:r>
      <w:r w:rsidR="002D2BC1" w:rsidRPr="007F6CEF">
        <w:rPr>
          <w:lang w:val="ru-RU"/>
        </w:rPr>
        <w:t xml:space="preserve">В том что касается отсутствующих подтверждений от банков, мы получили от руководства копию отчетности по состоянию на 31 декабря 2013 года, которая касается всех вышеупомянутых банков, и мы использовали такую отчетность для выверки данных. </w:t>
      </w:r>
    </w:p>
    <w:p w:rsidR="007B00F9" w:rsidRPr="007F6CEF" w:rsidRDefault="00DA5377" w:rsidP="00170B2C">
      <w:pPr>
        <w:pStyle w:val="Headingi"/>
        <w:rPr>
          <w:b/>
          <w:bCs/>
        </w:rPr>
      </w:pPr>
      <w:bookmarkStart w:id="77" w:name="_Toc398125309"/>
      <w:bookmarkStart w:id="78" w:name="_Toc398125788"/>
      <w:r w:rsidRPr="007F6CEF">
        <w:rPr>
          <w:b/>
          <w:bCs/>
        </w:rPr>
        <w:t>П</w:t>
      </w:r>
      <w:r w:rsidR="002D2BC1" w:rsidRPr="007F6CEF">
        <w:rPr>
          <w:b/>
          <w:bCs/>
        </w:rPr>
        <w:t>рав</w:t>
      </w:r>
      <w:r w:rsidRPr="007F6CEF">
        <w:rPr>
          <w:b/>
          <w:bCs/>
        </w:rPr>
        <w:t>о</w:t>
      </w:r>
      <w:r w:rsidR="002D2BC1" w:rsidRPr="007F6CEF">
        <w:rPr>
          <w:b/>
          <w:bCs/>
        </w:rPr>
        <w:t xml:space="preserve"> подписи </w:t>
      </w:r>
      <w:r w:rsidRPr="007F6CEF">
        <w:rPr>
          <w:b/>
          <w:bCs/>
        </w:rPr>
        <w:t xml:space="preserve">ограничено </w:t>
      </w:r>
      <w:r w:rsidR="002D2BC1" w:rsidRPr="007F6CEF">
        <w:rPr>
          <w:b/>
          <w:bCs/>
        </w:rPr>
        <w:t>суммами менее</w:t>
      </w:r>
      <w:r w:rsidR="007B00F9" w:rsidRPr="007F6CEF">
        <w:rPr>
          <w:b/>
          <w:bCs/>
        </w:rPr>
        <w:t xml:space="preserve"> 5000 швейцарских франков</w:t>
      </w:r>
      <w:bookmarkEnd w:id="77"/>
      <w:bookmarkEnd w:id="78"/>
    </w:p>
    <w:p w:rsidR="007B00F9" w:rsidRPr="007F6CEF" w:rsidRDefault="007B00F9" w:rsidP="00170B2C">
      <w:pPr>
        <w:rPr>
          <w:lang w:val="ru-RU"/>
        </w:rPr>
      </w:pPr>
      <w:r w:rsidRPr="007F6CEF">
        <w:rPr>
          <w:lang w:val="ru-RU"/>
        </w:rPr>
        <w:t>10</w:t>
      </w:r>
      <w:r w:rsidRPr="007F6CEF">
        <w:rPr>
          <w:lang w:val="ru-RU"/>
        </w:rPr>
        <w:tab/>
      </w:r>
      <w:r w:rsidR="002D2BC1" w:rsidRPr="007F6CEF">
        <w:rPr>
          <w:lang w:val="ru-RU"/>
        </w:rPr>
        <w:t xml:space="preserve">После проверки права банковской подписи (разрешения выступать от имени МСЭ в финансовых вопросах) в ходе нашей аудиторской проверки было обнаружено, что в настоящее время в некоторых отделениях на местах право подписи все еще предоставляется </w:t>
      </w:r>
      <w:r w:rsidR="006F5F4E" w:rsidRPr="007F6CEF">
        <w:rPr>
          <w:lang w:val="ru-RU"/>
        </w:rPr>
        <w:t>только одному лицу</w:t>
      </w:r>
      <w:r w:rsidR="003C1ECB" w:rsidRPr="007F6CEF">
        <w:rPr>
          <w:lang w:val="ru-RU"/>
        </w:rPr>
        <w:t xml:space="preserve"> и в ряде случаев не указывается предельная сумма в</w:t>
      </w:r>
      <w:r w:rsidR="006F5F4E" w:rsidRPr="007F6CEF">
        <w:rPr>
          <w:lang w:val="ru-RU"/>
        </w:rPr>
        <w:t xml:space="preserve"> 5000 швейцарских франков (как предписано в Статье </w:t>
      </w:r>
      <w:r w:rsidRPr="007F6CEF">
        <w:rPr>
          <w:lang w:val="ru-RU"/>
        </w:rPr>
        <w:t xml:space="preserve">16.3 </w:t>
      </w:r>
      <w:r w:rsidR="006F5F4E" w:rsidRPr="007F6CEF">
        <w:rPr>
          <w:lang w:val="ru-RU"/>
        </w:rPr>
        <w:t xml:space="preserve">Финансового регламента МСЭ, </w:t>
      </w:r>
      <w:r w:rsidR="003C1ECB" w:rsidRPr="007F6CEF">
        <w:rPr>
          <w:lang w:val="ru-RU"/>
        </w:rPr>
        <w:t xml:space="preserve">при этом требуется только одна подпись) или 5000 долл. США, как это намеревалось сделать руководство. </w:t>
      </w:r>
    </w:p>
    <w:p w:rsidR="00FC3BC3" w:rsidRPr="007F6CEF" w:rsidRDefault="007B00F9" w:rsidP="00170B2C">
      <w:pPr>
        <w:rPr>
          <w:lang w:val="ru-RU"/>
        </w:rPr>
      </w:pPr>
      <w:r w:rsidRPr="007F6CEF">
        <w:rPr>
          <w:lang w:val="ru-RU"/>
        </w:rPr>
        <w:t>11</w:t>
      </w:r>
      <w:r w:rsidRPr="007F6CEF">
        <w:rPr>
          <w:lang w:val="ru-RU"/>
        </w:rPr>
        <w:tab/>
      </w:r>
      <w:r w:rsidR="002C7974" w:rsidRPr="007F6CEF">
        <w:rPr>
          <w:lang w:val="ru-RU"/>
        </w:rPr>
        <w:t xml:space="preserve">Мы признали, что в любом случае руководство начало применять </w:t>
      </w:r>
      <w:r w:rsidR="006231CC" w:rsidRPr="007F6CEF">
        <w:rPr>
          <w:lang w:val="ru-RU"/>
        </w:rPr>
        <w:t xml:space="preserve">обязательное условие двух подписей в </w:t>
      </w:r>
      <w:r w:rsidR="00FC3BC3" w:rsidRPr="007F6CEF">
        <w:rPr>
          <w:lang w:val="ru-RU"/>
        </w:rPr>
        <w:t>отношении</w:t>
      </w:r>
      <w:r w:rsidR="006231CC" w:rsidRPr="007F6CEF">
        <w:rPr>
          <w:lang w:val="ru-RU"/>
        </w:rPr>
        <w:t xml:space="preserve"> сумм, превышающих предел в 5000 швейцарских франков, для региональных и зональных отделений, за исключением некоторых из них, где только одно лицо имеет право индивидуальной подписи в связи с ограниченным составом отделения. Мы не получили </w:t>
      </w:r>
      <w:r w:rsidR="00FC3BC3" w:rsidRPr="007F6CEF">
        <w:rPr>
          <w:lang w:val="ru-RU"/>
        </w:rPr>
        <w:t xml:space="preserve">непосредственно от четырех банков </w:t>
      </w:r>
      <w:r w:rsidR="006231CC" w:rsidRPr="007F6CEF">
        <w:rPr>
          <w:lang w:val="ru-RU"/>
        </w:rPr>
        <w:t>спис</w:t>
      </w:r>
      <w:r w:rsidR="00FC3BC3" w:rsidRPr="007F6CEF">
        <w:rPr>
          <w:lang w:val="ru-RU"/>
        </w:rPr>
        <w:t>ка</w:t>
      </w:r>
      <w:r w:rsidR="006231CC" w:rsidRPr="007F6CEF">
        <w:rPr>
          <w:lang w:val="ru-RU"/>
        </w:rPr>
        <w:t xml:space="preserve"> </w:t>
      </w:r>
      <w:r w:rsidR="00FC3BC3" w:rsidRPr="007F6CEF">
        <w:rPr>
          <w:lang w:val="ru-RU"/>
        </w:rPr>
        <w:t xml:space="preserve">лиц, имеющих право подписи. </w:t>
      </w:r>
    </w:p>
    <w:p w:rsidR="00AA0135" w:rsidRPr="007F6CEF" w:rsidRDefault="00282009" w:rsidP="00170B2C">
      <w:pPr>
        <w:pStyle w:val="Headingi"/>
        <w:rPr>
          <w:b/>
          <w:bCs/>
        </w:rPr>
      </w:pPr>
      <w:bookmarkStart w:id="79" w:name="_Toc398125310"/>
      <w:bookmarkStart w:id="80" w:name="_Toc398125789"/>
      <w:r w:rsidRPr="007F6CEF">
        <w:rPr>
          <w:b/>
          <w:bCs/>
        </w:rPr>
        <w:t>Обновление списка разрешенных подписей в банках</w:t>
      </w:r>
      <w:bookmarkEnd w:id="79"/>
      <w:bookmarkEnd w:id="80"/>
      <w:r w:rsidRPr="007F6CEF">
        <w:rPr>
          <w:b/>
          <w:bCs/>
        </w:rPr>
        <w:t xml:space="preserve"> </w:t>
      </w:r>
    </w:p>
    <w:p w:rsidR="005040A6" w:rsidRPr="007F6CEF" w:rsidRDefault="005040A6" w:rsidP="00170B2C">
      <w:pPr>
        <w:rPr>
          <w:lang w:val="ru-RU"/>
        </w:rPr>
      </w:pPr>
      <w:r w:rsidRPr="007F6CEF">
        <w:rPr>
          <w:lang w:val="ru-RU"/>
        </w:rPr>
        <w:t>12</w:t>
      </w:r>
      <w:r w:rsidRPr="007F6CEF">
        <w:rPr>
          <w:lang w:val="ru-RU"/>
        </w:rPr>
        <w:tab/>
      </w:r>
      <w:r w:rsidR="00282009" w:rsidRPr="007F6CEF">
        <w:rPr>
          <w:lang w:val="ru-RU"/>
        </w:rPr>
        <w:t xml:space="preserve">В результате аудиторской проверки </w:t>
      </w:r>
      <w:r w:rsidR="004155F5" w:rsidRPr="007F6CEF">
        <w:rPr>
          <w:lang w:val="ru-RU"/>
        </w:rPr>
        <w:t>пол</w:t>
      </w:r>
      <w:r w:rsidR="00282009" w:rsidRPr="007F6CEF">
        <w:rPr>
          <w:lang w:val="ru-RU"/>
        </w:rPr>
        <w:t xml:space="preserve">ученных от банков подтверждений мы также обнаружили расхождения между списком разрешенных подписей, который ведет руководство в штаб-квартире, и списками, которые мы получили </w:t>
      </w:r>
      <w:r w:rsidR="00A93129" w:rsidRPr="007F6CEF">
        <w:rPr>
          <w:lang w:val="ru-RU"/>
        </w:rPr>
        <w:t>и которые</w:t>
      </w:r>
      <w:r w:rsidR="0091029E" w:rsidRPr="007F6CEF">
        <w:rPr>
          <w:lang w:val="ru-RU"/>
        </w:rPr>
        <w:t xml:space="preserve"> </w:t>
      </w:r>
      <w:r w:rsidR="00A93129" w:rsidRPr="007F6CEF">
        <w:rPr>
          <w:lang w:val="ru-RU"/>
        </w:rPr>
        <w:t>предъявлены</w:t>
      </w:r>
      <w:r w:rsidR="00282009" w:rsidRPr="007F6CEF">
        <w:rPr>
          <w:lang w:val="ru-RU"/>
        </w:rPr>
        <w:t xml:space="preserve"> банками в отношении счетов отделений на местах.</w:t>
      </w:r>
    </w:p>
    <w:p w:rsidR="005040A6" w:rsidRPr="007F6CEF" w:rsidRDefault="005040A6" w:rsidP="00170B2C">
      <w:pPr>
        <w:rPr>
          <w:lang w:val="ru-RU"/>
        </w:rPr>
      </w:pPr>
      <w:r w:rsidRPr="007F6CEF">
        <w:rPr>
          <w:lang w:val="ru-RU"/>
        </w:rPr>
        <w:t>13</w:t>
      </w:r>
      <w:r w:rsidRPr="007F6CEF">
        <w:rPr>
          <w:lang w:val="ru-RU"/>
        </w:rPr>
        <w:tab/>
      </w:r>
      <w:r w:rsidR="004155F5" w:rsidRPr="007F6CEF">
        <w:rPr>
          <w:lang w:val="ru-RU"/>
        </w:rPr>
        <w:t xml:space="preserve">Также следует упомянуть о том, что руководство уже приняло меры, направив недавно в региональные отделения сообщение (по электронной почте от 11 июня 2014 г.), чтобы урегулировать эти расхождения. </w:t>
      </w:r>
    </w:p>
    <w:p w:rsidR="005040A6" w:rsidRPr="007F6CEF" w:rsidRDefault="005040A6" w:rsidP="00170B2C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706D3" w:rsidRPr="00C21591" w:rsidTr="006521C2">
        <w:tc>
          <w:tcPr>
            <w:tcW w:w="9639" w:type="dxa"/>
          </w:tcPr>
          <w:p w:rsidR="002706D3" w:rsidRPr="007F6CEF" w:rsidRDefault="00380B54" w:rsidP="00170B2C">
            <w:pPr>
              <w:rPr>
                <w:b/>
                <w:bCs/>
                <w:u w:val="single"/>
                <w:lang w:val="ru-RU"/>
              </w:rPr>
            </w:pPr>
            <w:bookmarkStart w:id="81" w:name="_Toc356330875"/>
            <w:bookmarkStart w:id="82" w:name="_Toc358192825"/>
            <w:r w:rsidRPr="007F6CEF">
              <w:rPr>
                <w:b/>
                <w:bCs/>
                <w:u w:val="single"/>
                <w:lang w:val="ru-RU"/>
              </w:rPr>
              <w:t>Рекомендация</w:t>
            </w:r>
            <w:r w:rsidR="002706D3" w:rsidRPr="007F6CEF">
              <w:rPr>
                <w:b/>
                <w:bCs/>
                <w:u w:val="single"/>
                <w:lang w:val="ru-RU"/>
              </w:rPr>
              <w:t xml:space="preserve"> 1</w:t>
            </w:r>
            <w:bookmarkEnd w:id="81"/>
            <w:bookmarkEnd w:id="82"/>
          </w:p>
          <w:p w:rsidR="002706D3" w:rsidRPr="007F6CEF" w:rsidRDefault="005040A6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>14</w:t>
            </w:r>
            <w:r w:rsidR="002706D3" w:rsidRPr="007F6CEF">
              <w:rPr>
                <w:lang w:val="ru-RU"/>
              </w:rPr>
              <w:tab/>
            </w:r>
            <w:r w:rsidR="000B6E07" w:rsidRPr="007F6CEF">
              <w:rPr>
                <w:lang w:val="ru-RU"/>
              </w:rPr>
              <w:t>В том что касается счетов отделений на местах, рекомендуем,</w:t>
            </w:r>
            <w:r w:rsidRPr="007F6CEF">
              <w:rPr>
                <w:lang w:val="ru-RU"/>
              </w:rPr>
              <w:t xml:space="preserve"> </w:t>
            </w:r>
            <w:r w:rsidR="000B6E07" w:rsidRPr="007F6CEF">
              <w:rPr>
                <w:lang w:val="ru-RU"/>
              </w:rPr>
              <w:t xml:space="preserve">чтобы руководство приняло меры для </w:t>
            </w:r>
            <w:r w:rsidR="00DA5377" w:rsidRPr="007F6CEF">
              <w:rPr>
                <w:lang w:val="ru-RU"/>
              </w:rPr>
              <w:t>более тщательной</w:t>
            </w:r>
            <w:r w:rsidR="000B6E07" w:rsidRPr="007F6CEF">
              <w:rPr>
                <w:lang w:val="ru-RU"/>
              </w:rPr>
              <w:t xml:space="preserve"> проверки и обновления права подписи в банках, в надлежащих случаях, в соответствии с Финансовым регламентом МСЭ, а также для более эффективного контроля штаб-квартирой любых изменений в праве банковской подписи, т. е. в случае добавления лица с правом подписи или в случае исключения какого-либо лица, у которого более нет соответствующего разрешения.</w:t>
            </w:r>
            <w:r w:rsidR="000B6E07" w:rsidRPr="007F6CEF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</w:p>
        </w:tc>
      </w:tr>
    </w:tbl>
    <w:p w:rsidR="00AA0135" w:rsidRPr="007F6CEF" w:rsidRDefault="00AA0135" w:rsidP="00170B2C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2706D3" w:rsidRPr="00C21591" w:rsidTr="0091029E">
        <w:tc>
          <w:tcPr>
            <w:tcW w:w="9645" w:type="dxa"/>
          </w:tcPr>
          <w:p w:rsidR="002706D3" w:rsidRPr="007F6CEF" w:rsidRDefault="002706D3" w:rsidP="00170B2C">
            <w:pPr>
              <w:rPr>
                <w:b/>
                <w:bCs/>
                <w:u w:val="single"/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7F6CEF">
              <w:rPr>
                <w:lang w:val="ru-RU"/>
              </w:rPr>
              <w:t>:</w:t>
            </w:r>
          </w:p>
          <w:p w:rsidR="002706D3" w:rsidRPr="007F6CEF" w:rsidRDefault="006F3D8E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 xml:space="preserve">Департамент управления финансовыми ресурсами </w:t>
            </w:r>
            <w:r w:rsidR="00A93129" w:rsidRPr="007F6CEF">
              <w:rPr>
                <w:lang w:val="ru-RU"/>
              </w:rPr>
              <w:t xml:space="preserve">(FRMD) </w:t>
            </w:r>
            <w:r w:rsidRPr="007F6CEF">
              <w:rPr>
                <w:lang w:val="ru-RU"/>
              </w:rPr>
              <w:t>направил всем отделениям на местах напоминание, касающееся важности постоянного обновления списка сотрудников, имеющих право подписи, которы</w:t>
            </w:r>
            <w:r w:rsidR="00A93129" w:rsidRPr="007F6CEF">
              <w:rPr>
                <w:lang w:val="ru-RU"/>
              </w:rPr>
              <w:t>й предъявляется</w:t>
            </w:r>
            <w:r w:rsidRPr="007F6CEF">
              <w:rPr>
                <w:lang w:val="ru-RU"/>
              </w:rPr>
              <w:t xml:space="preserve"> в банках. </w:t>
            </w:r>
            <w:r w:rsidR="00A93129" w:rsidRPr="007F6CEF">
              <w:rPr>
                <w:lang w:val="ru-RU"/>
              </w:rPr>
              <w:t xml:space="preserve">Отделениям на местах было поручено сообщать в </w:t>
            </w:r>
            <w:r w:rsidR="005040A6" w:rsidRPr="007F6CEF">
              <w:rPr>
                <w:lang w:val="ru-RU"/>
              </w:rPr>
              <w:t xml:space="preserve">FRMD </w:t>
            </w:r>
            <w:r w:rsidR="00A93129" w:rsidRPr="007F6CEF">
              <w:rPr>
                <w:lang w:val="ru-RU"/>
              </w:rPr>
              <w:t xml:space="preserve">о любых связанных с персоналом изменениях, которые влияют на список лиц с правом подписи, с тем чтобы обеспечивать </w:t>
            </w:r>
            <w:r w:rsidR="00DA5377" w:rsidRPr="007F6CEF">
              <w:rPr>
                <w:lang w:val="ru-RU"/>
              </w:rPr>
              <w:t>должное</w:t>
            </w:r>
            <w:r w:rsidR="00A93129" w:rsidRPr="007F6CEF">
              <w:rPr>
                <w:lang w:val="ru-RU"/>
              </w:rPr>
              <w:t xml:space="preserve"> обновление и ведение таких списков.</w:t>
            </w:r>
            <w:r w:rsidR="00A93129" w:rsidRPr="007F6CEF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</w:p>
        </w:tc>
      </w:tr>
    </w:tbl>
    <w:p w:rsidR="005040A6" w:rsidRPr="007F6CEF" w:rsidRDefault="00A93129" w:rsidP="00170B2C">
      <w:pPr>
        <w:pStyle w:val="Headingi"/>
        <w:spacing w:before="240"/>
        <w:rPr>
          <w:b/>
          <w:bCs/>
        </w:rPr>
      </w:pPr>
      <w:bookmarkStart w:id="83" w:name="_Toc398125311"/>
      <w:bookmarkStart w:id="84" w:name="_Toc398125790"/>
      <w:bookmarkStart w:id="85" w:name="_Toc392672691"/>
      <w:r w:rsidRPr="007F6CEF">
        <w:rPr>
          <w:b/>
          <w:bCs/>
        </w:rPr>
        <w:t>Процедура закрытия счетов и открытия новых счетов</w:t>
      </w:r>
      <w:bookmarkEnd w:id="83"/>
      <w:bookmarkEnd w:id="84"/>
      <w:r w:rsidRPr="007F6CEF">
        <w:rPr>
          <w:b/>
          <w:bCs/>
        </w:rPr>
        <w:t xml:space="preserve"> </w:t>
      </w:r>
      <w:bookmarkEnd w:id="85"/>
    </w:p>
    <w:p w:rsidR="005040A6" w:rsidRPr="007F6CEF" w:rsidRDefault="005040A6" w:rsidP="00170B2C">
      <w:pPr>
        <w:rPr>
          <w:lang w:val="ru-RU"/>
        </w:rPr>
      </w:pPr>
      <w:r w:rsidRPr="007F6CEF">
        <w:rPr>
          <w:lang w:val="ru-RU"/>
        </w:rPr>
        <w:t>15</w:t>
      </w:r>
      <w:r w:rsidRPr="007F6CEF">
        <w:rPr>
          <w:lang w:val="ru-RU"/>
        </w:rPr>
        <w:tab/>
      </w:r>
      <w:r w:rsidR="00774905" w:rsidRPr="007F6CEF">
        <w:rPr>
          <w:lang w:val="ru-RU"/>
        </w:rPr>
        <w:t xml:space="preserve">Мы подтвердили, что в прошлом году в региональном отделении в г. Бразилиа был закрыт один банковский счет (в банке </w:t>
      </w:r>
      <w:r w:rsidRPr="007F6CEF">
        <w:rPr>
          <w:lang w:val="ru-RU"/>
        </w:rPr>
        <w:t xml:space="preserve">Bradesco) </w:t>
      </w:r>
      <w:r w:rsidR="00774905" w:rsidRPr="007F6CEF">
        <w:rPr>
          <w:lang w:val="ru-RU"/>
        </w:rPr>
        <w:t xml:space="preserve">и открыт новый счет (в банке </w:t>
      </w:r>
      <w:r w:rsidRPr="007F6CEF">
        <w:rPr>
          <w:lang w:val="ru-RU"/>
        </w:rPr>
        <w:t>Banco do Brasil).</w:t>
      </w:r>
    </w:p>
    <w:p w:rsidR="00061E8A" w:rsidRPr="007F6CEF" w:rsidRDefault="005040A6" w:rsidP="00170B2C">
      <w:pPr>
        <w:rPr>
          <w:lang w:val="ru-RU"/>
        </w:rPr>
      </w:pPr>
      <w:r w:rsidRPr="007F6CEF">
        <w:rPr>
          <w:lang w:val="ru-RU"/>
        </w:rPr>
        <w:t>16</w:t>
      </w:r>
      <w:r w:rsidRPr="007F6CEF">
        <w:rPr>
          <w:lang w:val="ru-RU"/>
        </w:rPr>
        <w:tab/>
      </w:r>
      <w:r w:rsidR="00774905" w:rsidRPr="007F6CEF">
        <w:rPr>
          <w:lang w:val="ru-RU"/>
        </w:rPr>
        <w:t xml:space="preserve">Согласно Статье </w:t>
      </w:r>
      <w:r w:rsidRPr="007F6CEF">
        <w:rPr>
          <w:lang w:val="ru-RU"/>
        </w:rPr>
        <w:t>16.</w:t>
      </w:r>
      <w:r w:rsidR="00BC6AA7" w:rsidRPr="007F6CEF">
        <w:rPr>
          <w:lang w:val="ru-RU"/>
        </w:rPr>
        <w:t xml:space="preserve">1 </w:t>
      </w:r>
      <w:r w:rsidR="00774905" w:rsidRPr="007F6CEF">
        <w:rPr>
          <w:lang w:val="ru-RU"/>
        </w:rPr>
        <w:t>Финансового регламента МСЭ "</w:t>
      </w:r>
      <w:r w:rsidR="00061E8A" w:rsidRPr="007F6CEF">
        <w:rPr>
          <w:lang w:val="ru-RU"/>
        </w:rPr>
        <w:t xml:space="preserve">Генеральный секретарь </w:t>
      </w:r>
      <w:r w:rsidR="00B70373" w:rsidRPr="007F6CEF">
        <w:rPr>
          <w:lang w:val="ru-RU"/>
        </w:rPr>
        <w:t xml:space="preserve">выбирает банки или другие учреждения для размещения средств Союза", а согласно Правилу </w:t>
      </w:r>
      <w:r w:rsidRPr="007F6CEF">
        <w:rPr>
          <w:lang w:val="ru-RU"/>
        </w:rPr>
        <w:t>16.1</w:t>
      </w:r>
      <w:r w:rsidR="00B70373" w:rsidRPr="007F6CEF">
        <w:rPr>
          <w:lang w:val="ru-RU"/>
        </w:rPr>
        <w:t xml:space="preserve"> Генеральный секретарь "кроме того, дает разрешение на закрытие любых банковских счетов"</w:t>
      </w:r>
      <w:r w:rsidRPr="007F6CEF">
        <w:rPr>
          <w:lang w:val="ru-RU"/>
        </w:rPr>
        <w:t>,</w:t>
      </w:r>
      <w:r w:rsidR="00B70373" w:rsidRPr="007F6CEF">
        <w:rPr>
          <w:lang w:val="ru-RU"/>
        </w:rPr>
        <w:t xml:space="preserve"> а также на разработку, при необходимости,</w:t>
      </w:r>
      <w:r w:rsidR="0091029E" w:rsidRPr="007F6CEF">
        <w:rPr>
          <w:lang w:val="ru-RU"/>
        </w:rPr>
        <w:t xml:space="preserve"> </w:t>
      </w:r>
      <w:r w:rsidR="00B70373" w:rsidRPr="007F6CEF">
        <w:rPr>
          <w:lang w:val="ru-RU"/>
        </w:rPr>
        <w:t xml:space="preserve">четких руководящих указаний, касающихся критериев выбора финансовых учреждений. </w:t>
      </w:r>
    </w:p>
    <w:p w:rsidR="005040A6" w:rsidRPr="007F6CEF" w:rsidRDefault="005040A6" w:rsidP="00170B2C">
      <w:pPr>
        <w:rPr>
          <w:lang w:val="ru-RU"/>
        </w:rPr>
      </w:pPr>
      <w:r w:rsidRPr="007F6CEF">
        <w:rPr>
          <w:lang w:val="ru-RU"/>
        </w:rPr>
        <w:t>17</w:t>
      </w:r>
      <w:r w:rsidRPr="007F6CEF">
        <w:rPr>
          <w:lang w:val="ru-RU"/>
        </w:rPr>
        <w:tab/>
      </w:r>
      <w:r w:rsidR="00B70373" w:rsidRPr="007F6CEF">
        <w:rPr>
          <w:lang w:val="ru-RU"/>
        </w:rPr>
        <w:t>В том что касается упомянутого случая, наша аудиторская проверка выявил</w:t>
      </w:r>
      <w:r w:rsidR="002A7A0D" w:rsidRPr="007F6CEF">
        <w:rPr>
          <w:lang w:val="ru-RU"/>
        </w:rPr>
        <w:t>а</w:t>
      </w:r>
      <w:r w:rsidR="00B70373" w:rsidRPr="007F6CEF">
        <w:rPr>
          <w:lang w:val="ru-RU"/>
        </w:rPr>
        <w:t xml:space="preserve">, что Генеральный секретарь не давал разрешения на закрытие банковского счета в банке </w:t>
      </w:r>
      <w:r w:rsidRPr="007F6CEF">
        <w:rPr>
          <w:lang w:val="ru-RU"/>
        </w:rPr>
        <w:t xml:space="preserve">Bradesco </w:t>
      </w:r>
      <w:r w:rsidR="00B70373" w:rsidRPr="007F6CEF">
        <w:rPr>
          <w:lang w:val="ru-RU"/>
        </w:rPr>
        <w:t xml:space="preserve">и открытие счета в </w:t>
      </w:r>
      <w:r w:rsidRPr="007F6CEF">
        <w:rPr>
          <w:lang w:val="ru-RU"/>
        </w:rPr>
        <w:t>Banco do Brasil</w:t>
      </w:r>
      <w:r w:rsidR="00B70373" w:rsidRPr="007F6CEF">
        <w:rPr>
          <w:lang w:val="ru-RU"/>
        </w:rPr>
        <w:t xml:space="preserve">. </w:t>
      </w:r>
    </w:p>
    <w:p w:rsidR="005040A6" w:rsidRPr="007F6CEF" w:rsidRDefault="005040A6" w:rsidP="00170B2C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040A6" w:rsidRPr="00C21591" w:rsidTr="0091029E">
        <w:tc>
          <w:tcPr>
            <w:tcW w:w="9639" w:type="dxa"/>
          </w:tcPr>
          <w:p w:rsidR="005040A6" w:rsidRPr="007F6CEF" w:rsidRDefault="005040A6" w:rsidP="00170B2C">
            <w:pPr>
              <w:rPr>
                <w:u w:val="single"/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Рекомендация 2</w:t>
            </w:r>
          </w:p>
          <w:p w:rsidR="005040A6" w:rsidRPr="007F6CEF" w:rsidRDefault="005040A6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>18</w:t>
            </w:r>
            <w:r w:rsidRPr="007F6CEF">
              <w:rPr>
                <w:lang w:val="ru-RU"/>
              </w:rPr>
              <w:tab/>
            </w:r>
            <w:r w:rsidR="00943C34" w:rsidRPr="007F6CEF">
              <w:rPr>
                <w:lang w:val="ru-RU"/>
              </w:rPr>
              <w:t xml:space="preserve">С учетом того что согласно Финансовому регламенту при любой процедуре выбора банков, открытия счетов, инвестиции средств, закрытия счетов требуется разрешение Генерального секретаря, </w:t>
            </w:r>
            <w:r w:rsidR="00943C34" w:rsidRPr="007F6CEF">
              <w:rPr>
                <w:u w:val="single"/>
                <w:lang w:val="ru-RU"/>
              </w:rPr>
              <w:t>рекомендуем</w:t>
            </w:r>
            <w:r w:rsidR="00943C34" w:rsidRPr="007F6CEF">
              <w:rPr>
                <w:lang w:val="ru-RU"/>
              </w:rPr>
              <w:t xml:space="preserve"> руководству обеспечить, чтобы в случае прекращения или установления финансовых отношений с банками применялась более строгая процедура, включая указанное разрешение</w:t>
            </w:r>
            <w:r w:rsidR="00930B08" w:rsidRPr="007F6CEF">
              <w:rPr>
                <w:lang w:val="ru-RU"/>
              </w:rPr>
              <w:t xml:space="preserve"> Генерального секретаря</w:t>
            </w:r>
            <w:r w:rsidR="00943C34" w:rsidRPr="007F6CEF">
              <w:rPr>
                <w:lang w:val="ru-RU"/>
              </w:rPr>
              <w:t xml:space="preserve">. </w:t>
            </w:r>
          </w:p>
        </w:tc>
      </w:tr>
    </w:tbl>
    <w:p w:rsidR="005040A6" w:rsidRPr="007F6CEF" w:rsidRDefault="005040A6" w:rsidP="00170B2C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5040A6" w:rsidRPr="007F6CEF" w:rsidTr="0091029E">
        <w:trPr>
          <w:cantSplit/>
        </w:trPr>
        <w:tc>
          <w:tcPr>
            <w:tcW w:w="9645" w:type="dxa"/>
          </w:tcPr>
          <w:p w:rsidR="005040A6" w:rsidRPr="007F6CEF" w:rsidRDefault="005040A6" w:rsidP="00170B2C">
            <w:pPr>
              <w:rPr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7F6CEF">
              <w:rPr>
                <w:lang w:val="ru-RU"/>
              </w:rPr>
              <w:t>:</w:t>
            </w:r>
          </w:p>
          <w:p w:rsidR="005040A6" w:rsidRPr="007F6CEF" w:rsidRDefault="00B51DC1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 xml:space="preserve">Генеральный секретарь в 2014 году официального </w:t>
            </w:r>
            <w:r w:rsidR="00DA5377" w:rsidRPr="007F6CEF">
              <w:rPr>
                <w:lang w:val="ru-RU"/>
              </w:rPr>
              <w:t>делегировал</w:t>
            </w:r>
            <w:r w:rsidRPr="007F6CEF">
              <w:rPr>
                <w:lang w:val="ru-RU"/>
              </w:rPr>
              <w:t xml:space="preserve"> выдачу разрешений на открытие и закрытие банковских счетов руководителю </w:t>
            </w:r>
            <w:r w:rsidR="005040A6" w:rsidRPr="007F6CEF">
              <w:rPr>
                <w:lang w:val="ru-RU"/>
              </w:rPr>
              <w:t>FRMD.</w:t>
            </w:r>
          </w:p>
        </w:tc>
      </w:tr>
    </w:tbl>
    <w:p w:rsidR="00AA0135" w:rsidRPr="007F6CEF" w:rsidRDefault="004A669D" w:rsidP="00170B2C">
      <w:pPr>
        <w:pStyle w:val="Headingi"/>
        <w:rPr>
          <w:b/>
          <w:bCs/>
        </w:rPr>
      </w:pPr>
      <w:bookmarkStart w:id="86" w:name="_Toc398125312"/>
      <w:bookmarkStart w:id="87" w:name="_Toc398125791"/>
      <w:r w:rsidRPr="007F6CEF">
        <w:rPr>
          <w:b/>
          <w:bCs/>
        </w:rPr>
        <w:t>Наличные денежные средства в отделениях на местах</w:t>
      </w:r>
      <w:bookmarkEnd w:id="86"/>
      <w:bookmarkEnd w:id="87"/>
    </w:p>
    <w:p w:rsidR="00AA0135" w:rsidRPr="007F6CEF" w:rsidRDefault="005040A6" w:rsidP="00170B2C">
      <w:pPr>
        <w:rPr>
          <w:lang w:val="ru-RU"/>
        </w:rPr>
      </w:pPr>
      <w:r w:rsidRPr="007F6CEF">
        <w:rPr>
          <w:lang w:val="ru-RU"/>
        </w:rPr>
        <w:t>19</w:t>
      </w:r>
      <w:r w:rsidR="00535B14" w:rsidRPr="007F6CEF">
        <w:rPr>
          <w:lang w:val="ru-RU"/>
        </w:rPr>
        <w:tab/>
      </w:r>
      <w:r w:rsidR="00BE7E41" w:rsidRPr="007F6CEF">
        <w:rPr>
          <w:lang w:val="ru-RU"/>
        </w:rPr>
        <w:t>На 31 декабря 201</w:t>
      </w:r>
      <w:r w:rsidRPr="007F6CEF">
        <w:rPr>
          <w:lang w:val="ru-RU"/>
        </w:rPr>
        <w:t>3</w:t>
      </w:r>
      <w:r w:rsidR="00BE7E41" w:rsidRPr="007F6CEF">
        <w:rPr>
          <w:lang w:val="ru-RU"/>
        </w:rPr>
        <w:t xml:space="preserve"> года сумма наличных денежных средств, которые МСЭ хранит в швейцарских франках и в иностранных валютах, составила </w:t>
      </w:r>
      <w:r w:rsidRPr="007F6CEF">
        <w:rPr>
          <w:lang w:val="ru-RU"/>
        </w:rPr>
        <w:t>73</w:t>
      </w:r>
      <w:r w:rsidR="00AA0135" w:rsidRPr="007F6CEF">
        <w:rPr>
          <w:lang w:val="ru-RU"/>
        </w:rPr>
        <w:t xml:space="preserve"> </w:t>
      </w:r>
      <w:r w:rsidR="00BE7E41" w:rsidRPr="007F6CEF">
        <w:rPr>
          <w:lang w:val="ru-RU"/>
        </w:rPr>
        <w:t>тыс. швейцарских франков. В конце года мы провели прямой подсчет наличных д</w:t>
      </w:r>
      <w:r w:rsidRPr="007F6CEF">
        <w:rPr>
          <w:lang w:val="ru-RU"/>
        </w:rPr>
        <w:t>енежных средств в штаб-квартире.</w:t>
      </w:r>
    </w:p>
    <w:p w:rsidR="00AA0135" w:rsidRPr="007F6CEF" w:rsidRDefault="00535B14" w:rsidP="00170B2C">
      <w:pPr>
        <w:rPr>
          <w:lang w:val="ru-RU"/>
        </w:rPr>
      </w:pPr>
      <w:r w:rsidRPr="007F6CEF">
        <w:rPr>
          <w:lang w:val="ru-RU"/>
        </w:rPr>
        <w:t>2</w:t>
      </w:r>
      <w:r w:rsidR="005040A6" w:rsidRPr="007F6CEF">
        <w:rPr>
          <w:lang w:val="ru-RU"/>
        </w:rPr>
        <w:t>0</w:t>
      </w:r>
      <w:r w:rsidRPr="007F6CEF">
        <w:rPr>
          <w:lang w:val="ru-RU"/>
        </w:rPr>
        <w:tab/>
      </w:r>
      <w:r w:rsidR="00BE7E41" w:rsidRPr="007F6CEF">
        <w:rPr>
          <w:lang w:val="ru-RU"/>
        </w:rPr>
        <w:t xml:space="preserve">В ходе проведенной нами аудиторской проверки не </w:t>
      </w:r>
      <w:r w:rsidR="00F14B80" w:rsidRPr="007F6CEF">
        <w:rPr>
          <w:lang w:val="ru-RU"/>
        </w:rPr>
        <w:t>было</w:t>
      </w:r>
      <w:r w:rsidR="00BE7E41" w:rsidRPr="007F6CEF">
        <w:rPr>
          <w:lang w:val="ru-RU"/>
        </w:rPr>
        <w:t xml:space="preserve"> </w:t>
      </w:r>
      <w:r w:rsidR="00F14B80" w:rsidRPr="007F6CEF">
        <w:rPr>
          <w:lang w:val="ru-RU"/>
        </w:rPr>
        <w:t>выявлено</w:t>
      </w:r>
      <w:r w:rsidR="00BE7E41" w:rsidRPr="007F6CEF">
        <w:rPr>
          <w:lang w:val="ru-RU"/>
        </w:rPr>
        <w:t xml:space="preserve"> </w:t>
      </w:r>
      <w:r w:rsidR="00F14B80" w:rsidRPr="007F6CEF">
        <w:rPr>
          <w:lang w:val="ru-RU"/>
        </w:rPr>
        <w:t>каких</w:t>
      </w:r>
      <w:r w:rsidR="00BE7E41" w:rsidRPr="007F6CEF">
        <w:rPr>
          <w:lang w:val="ru-RU"/>
        </w:rPr>
        <w:t xml:space="preserve">-либо </w:t>
      </w:r>
      <w:r w:rsidR="00F14B80" w:rsidRPr="007F6CEF">
        <w:rPr>
          <w:lang w:val="ru-RU"/>
        </w:rPr>
        <w:t>расхождений</w:t>
      </w:r>
      <w:r w:rsidR="00BE7E41" w:rsidRPr="007F6CEF">
        <w:rPr>
          <w:lang w:val="ru-RU"/>
        </w:rPr>
        <w:t xml:space="preserve"> между подсчитанными нами суммами и суммами в швейцарских франках, </w:t>
      </w:r>
      <w:r w:rsidR="00F14B80" w:rsidRPr="007F6CEF">
        <w:rPr>
          <w:lang w:val="ru-RU"/>
        </w:rPr>
        <w:t>учтенными</w:t>
      </w:r>
      <w:r w:rsidR="00BE7E41" w:rsidRPr="007F6CEF">
        <w:rPr>
          <w:lang w:val="ru-RU"/>
        </w:rPr>
        <w:t xml:space="preserve"> в </w:t>
      </w:r>
      <w:r w:rsidR="00AA0135" w:rsidRPr="007F6CEF">
        <w:rPr>
          <w:lang w:val="ru-RU"/>
        </w:rPr>
        <w:t xml:space="preserve">SAP </w:t>
      </w:r>
      <w:r w:rsidR="00BE7E41" w:rsidRPr="007F6CEF">
        <w:rPr>
          <w:lang w:val="ru-RU"/>
        </w:rPr>
        <w:t xml:space="preserve">по штаб-квартире. </w:t>
      </w:r>
    </w:p>
    <w:p w:rsidR="005040A6" w:rsidRPr="007F6CEF" w:rsidRDefault="005040A6" w:rsidP="00170B2C">
      <w:pPr>
        <w:rPr>
          <w:lang w:val="ru-RU"/>
        </w:rPr>
      </w:pPr>
      <w:r w:rsidRPr="007F6CEF">
        <w:rPr>
          <w:lang w:val="ru-RU"/>
        </w:rPr>
        <w:t>21</w:t>
      </w:r>
      <w:r w:rsidRPr="007F6CEF">
        <w:rPr>
          <w:lang w:val="ru-RU"/>
        </w:rPr>
        <w:tab/>
      </w:r>
      <w:r w:rsidR="00B51DC1" w:rsidRPr="007F6CEF">
        <w:rPr>
          <w:lang w:val="ru-RU"/>
        </w:rPr>
        <w:t xml:space="preserve">В прошлом году мы сочли, что обнаруженные нами расхождения были по величине несущественными; тем не менее мы рекомендовали руководству усилить контроль за наличными денежными средствами в отделениях на местах. </w:t>
      </w:r>
    </w:p>
    <w:p w:rsidR="005040A6" w:rsidRPr="007F6CEF" w:rsidRDefault="005040A6" w:rsidP="00170B2C">
      <w:pPr>
        <w:rPr>
          <w:lang w:val="ru-RU"/>
        </w:rPr>
      </w:pPr>
      <w:r w:rsidRPr="007F6CEF">
        <w:rPr>
          <w:lang w:val="ru-RU"/>
        </w:rPr>
        <w:t>22</w:t>
      </w:r>
      <w:r w:rsidRPr="007F6CEF">
        <w:rPr>
          <w:lang w:val="ru-RU"/>
        </w:rPr>
        <w:tab/>
      </w:r>
      <w:r w:rsidR="00B51DC1" w:rsidRPr="007F6CEF">
        <w:rPr>
          <w:lang w:val="ru-RU"/>
        </w:rPr>
        <w:t xml:space="preserve">В связи с этим мы признаем, что руководство </w:t>
      </w:r>
      <w:r w:rsidR="00F123AA" w:rsidRPr="007F6CEF">
        <w:rPr>
          <w:lang w:val="ru-RU"/>
        </w:rPr>
        <w:t xml:space="preserve">приступило к процессу стандартизации отчетов об управлении денежными средствами и рассматривает процесс представления отчетов в целях оптимизации </w:t>
      </w:r>
      <w:r w:rsidR="009B6A83" w:rsidRPr="007F6CEF">
        <w:rPr>
          <w:lang w:val="ru-RU"/>
        </w:rPr>
        <w:t>выверки данных</w:t>
      </w:r>
      <w:r w:rsidR="00F123AA" w:rsidRPr="007F6CEF">
        <w:rPr>
          <w:lang w:val="ru-RU"/>
        </w:rPr>
        <w:t>. Мы будем следит</w:t>
      </w:r>
      <w:r w:rsidR="00247A2B" w:rsidRPr="007F6CEF">
        <w:rPr>
          <w:lang w:val="ru-RU"/>
        </w:rPr>
        <w:t>ь</w:t>
      </w:r>
      <w:r w:rsidR="00F123AA" w:rsidRPr="007F6CEF">
        <w:rPr>
          <w:lang w:val="ru-RU"/>
        </w:rPr>
        <w:t xml:space="preserve"> за дальнейшим выполнением этой рекомендации. </w:t>
      </w:r>
    </w:p>
    <w:p w:rsidR="00AA0135" w:rsidRPr="007F6CEF" w:rsidRDefault="004018E5" w:rsidP="00170B2C">
      <w:pPr>
        <w:pStyle w:val="Headingb"/>
        <w:rPr>
          <w:lang w:val="ru-RU"/>
        </w:rPr>
      </w:pPr>
      <w:bookmarkStart w:id="88" w:name="_Toc358192827"/>
      <w:bookmarkStart w:id="89" w:name="_Toc398125313"/>
      <w:bookmarkStart w:id="90" w:name="_Toc398125792"/>
      <w:bookmarkStart w:id="91" w:name="_Toc398127085"/>
      <w:r w:rsidRPr="007F6CEF">
        <w:rPr>
          <w:lang w:val="ru-RU"/>
        </w:rPr>
        <w:t>Вклады</w:t>
      </w:r>
      <w:bookmarkEnd w:id="88"/>
      <w:bookmarkEnd w:id="89"/>
      <w:bookmarkEnd w:id="90"/>
      <w:bookmarkEnd w:id="91"/>
    </w:p>
    <w:p w:rsidR="00AA0135" w:rsidRPr="007F6CEF" w:rsidRDefault="00DF7854" w:rsidP="00170B2C">
      <w:pPr>
        <w:rPr>
          <w:lang w:val="ru-RU"/>
        </w:rPr>
      </w:pPr>
      <w:r w:rsidRPr="007F6CEF">
        <w:rPr>
          <w:lang w:val="ru-RU"/>
        </w:rPr>
        <w:t>23</w:t>
      </w:r>
      <w:r w:rsidR="00535B14" w:rsidRPr="007F6CEF">
        <w:rPr>
          <w:lang w:val="ru-RU"/>
        </w:rPr>
        <w:tab/>
      </w:r>
      <w:r w:rsidR="00DF4A80" w:rsidRPr="007F6CEF">
        <w:rPr>
          <w:lang w:val="ru-RU"/>
        </w:rPr>
        <w:t xml:space="preserve">Подраздел </w:t>
      </w:r>
      <w:r w:rsidR="00AA0135" w:rsidRPr="007F6CEF">
        <w:rPr>
          <w:lang w:val="ru-RU"/>
        </w:rPr>
        <w:t>"</w:t>
      </w:r>
      <w:r w:rsidR="004018E5" w:rsidRPr="007F6CEF">
        <w:rPr>
          <w:lang w:val="ru-RU"/>
        </w:rPr>
        <w:t>Вклады</w:t>
      </w:r>
      <w:r w:rsidR="00DF4A80" w:rsidRPr="007F6CEF">
        <w:rPr>
          <w:lang w:val="ru-RU"/>
        </w:rPr>
        <w:t>",</w:t>
      </w:r>
      <w:r w:rsidRPr="007F6CEF">
        <w:rPr>
          <w:lang w:val="ru-RU"/>
        </w:rPr>
        <w:t xml:space="preserve"> размер котор</w:t>
      </w:r>
      <w:r w:rsidR="002C589A" w:rsidRPr="007F6CEF">
        <w:rPr>
          <w:lang w:val="ru-RU"/>
        </w:rPr>
        <w:t>ых</w:t>
      </w:r>
      <w:r w:rsidRPr="007F6CEF">
        <w:rPr>
          <w:lang w:val="ru-RU"/>
        </w:rPr>
        <w:t xml:space="preserve"> составил в 2013</w:t>
      </w:r>
      <w:r w:rsidR="00DF4A80" w:rsidRPr="007F6CEF">
        <w:rPr>
          <w:lang w:val="ru-RU"/>
        </w:rPr>
        <w:t xml:space="preserve"> году </w:t>
      </w:r>
      <w:r w:rsidRPr="007F6CEF">
        <w:rPr>
          <w:lang w:val="ru-RU"/>
        </w:rPr>
        <w:t>88</w:t>
      </w:r>
      <w:r w:rsidR="00DF4A80" w:rsidRPr="007F6CEF">
        <w:rPr>
          <w:lang w:val="ru-RU"/>
        </w:rPr>
        <w:t>,</w:t>
      </w:r>
      <w:r w:rsidRPr="007F6CEF">
        <w:rPr>
          <w:lang w:val="ru-RU"/>
        </w:rPr>
        <w:t>2</w:t>
      </w:r>
      <w:r w:rsidR="00AA0135" w:rsidRPr="007F6CEF">
        <w:rPr>
          <w:lang w:val="ru-RU"/>
        </w:rPr>
        <w:t xml:space="preserve"> </w:t>
      </w:r>
      <w:r w:rsidR="00345A13" w:rsidRPr="007F6CEF">
        <w:rPr>
          <w:spacing w:val="1"/>
          <w:lang w:val="ru-RU"/>
        </w:rPr>
        <w:t>млн. швейцарских франков</w:t>
      </w:r>
      <w:r w:rsidR="00AA0135" w:rsidRPr="007F6CEF">
        <w:rPr>
          <w:lang w:val="ru-RU"/>
        </w:rPr>
        <w:t xml:space="preserve">, </w:t>
      </w:r>
      <w:r w:rsidR="002C589A" w:rsidRPr="007F6CEF">
        <w:rPr>
          <w:lang w:val="ru-RU"/>
        </w:rPr>
        <w:t>увеличился</w:t>
      </w:r>
      <w:r w:rsidR="00DF4A80" w:rsidRPr="007F6CEF">
        <w:rPr>
          <w:lang w:val="ru-RU"/>
        </w:rPr>
        <w:t xml:space="preserve"> на </w:t>
      </w:r>
      <w:r w:rsidRPr="007F6CEF">
        <w:rPr>
          <w:lang w:val="ru-RU"/>
        </w:rPr>
        <w:t>16</w:t>
      </w:r>
      <w:r w:rsidR="00DF4A80" w:rsidRPr="007F6CEF">
        <w:rPr>
          <w:lang w:val="ru-RU"/>
        </w:rPr>
        <w:t>,</w:t>
      </w:r>
      <w:r w:rsidRPr="007F6CEF">
        <w:rPr>
          <w:lang w:val="ru-RU"/>
        </w:rPr>
        <w:t>2</w:t>
      </w:r>
      <w:r w:rsidR="00AA0135" w:rsidRPr="007F6CEF">
        <w:rPr>
          <w:lang w:val="ru-RU"/>
        </w:rPr>
        <w:t xml:space="preserve"> </w:t>
      </w:r>
      <w:r w:rsidR="00345A13" w:rsidRPr="007F6CEF">
        <w:rPr>
          <w:spacing w:val="1"/>
          <w:lang w:val="ru-RU"/>
        </w:rPr>
        <w:t>млн. швейцарских франков</w:t>
      </w:r>
      <w:r w:rsidR="00345A13" w:rsidRPr="007F6CEF">
        <w:rPr>
          <w:lang w:val="ru-RU"/>
        </w:rPr>
        <w:t xml:space="preserve"> </w:t>
      </w:r>
      <w:r w:rsidR="00615ACD" w:rsidRPr="007F6CEF">
        <w:rPr>
          <w:lang w:val="ru-RU"/>
        </w:rPr>
        <w:t>(</w:t>
      </w:r>
      <w:r w:rsidRPr="007F6CEF">
        <w:rPr>
          <w:lang w:val="ru-RU"/>
        </w:rPr>
        <w:t>22</w:t>
      </w:r>
      <w:r w:rsidR="00615ACD" w:rsidRPr="007F6CEF">
        <w:rPr>
          <w:lang w:val="ru-RU"/>
        </w:rPr>
        <w:t>,</w:t>
      </w:r>
      <w:r w:rsidRPr="007F6CEF">
        <w:rPr>
          <w:lang w:val="ru-RU"/>
        </w:rPr>
        <w:t>5</w:t>
      </w:r>
      <w:r w:rsidR="00AA0135" w:rsidRPr="007F6CEF">
        <w:rPr>
          <w:lang w:val="ru-RU"/>
        </w:rPr>
        <w:t xml:space="preserve">%) </w:t>
      </w:r>
      <w:r w:rsidR="00DF4A80" w:rsidRPr="007F6CEF">
        <w:rPr>
          <w:lang w:val="ru-RU"/>
        </w:rPr>
        <w:t xml:space="preserve">по сравнению с </w:t>
      </w:r>
      <w:r w:rsidRPr="007F6CEF">
        <w:rPr>
          <w:lang w:val="ru-RU"/>
        </w:rPr>
        <w:t>72</w:t>
      </w:r>
      <w:r w:rsidR="00DF4A80" w:rsidRPr="007F6CEF">
        <w:rPr>
          <w:lang w:val="ru-RU"/>
        </w:rPr>
        <w:t>,</w:t>
      </w:r>
      <w:r w:rsidRPr="007F6CEF">
        <w:rPr>
          <w:lang w:val="ru-RU"/>
        </w:rPr>
        <w:t>0</w:t>
      </w:r>
      <w:r w:rsidR="00AA0135" w:rsidRPr="007F6CEF">
        <w:rPr>
          <w:lang w:val="ru-RU"/>
        </w:rPr>
        <w:t xml:space="preserve"> </w:t>
      </w:r>
      <w:r w:rsidR="00345A13" w:rsidRPr="007F6CEF">
        <w:rPr>
          <w:spacing w:val="1"/>
          <w:lang w:val="ru-RU"/>
        </w:rPr>
        <w:t>млн. швейцарских франков</w:t>
      </w:r>
      <w:r w:rsidR="00345A13" w:rsidRPr="007F6CEF">
        <w:rPr>
          <w:lang w:val="ru-RU"/>
        </w:rPr>
        <w:t xml:space="preserve"> </w:t>
      </w:r>
      <w:r w:rsidR="00600344" w:rsidRPr="007F6CEF">
        <w:rPr>
          <w:lang w:val="ru-RU"/>
        </w:rPr>
        <w:t>в 201</w:t>
      </w:r>
      <w:r w:rsidRPr="007F6CEF">
        <w:rPr>
          <w:lang w:val="ru-RU"/>
        </w:rPr>
        <w:t>2</w:t>
      </w:r>
      <w:r w:rsidR="00600344" w:rsidRPr="007F6CEF">
        <w:rPr>
          <w:lang w:val="ru-RU"/>
        </w:rPr>
        <w:t xml:space="preserve"> году</w:t>
      </w:r>
      <w:r w:rsidR="00AA0135" w:rsidRPr="007F6CEF">
        <w:rPr>
          <w:lang w:val="ru-RU"/>
        </w:rPr>
        <w:t xml:space="preserve"> </w:t>
      </w:r>
      <w:r w:rsidR="00DF4A80" w:rsidRPr="007F6CEF">
        <w:rPr>
          <w:lang w:val="ru-RU"/>
        </w:rPr>
        <w:t>и включает с 31 декабря 201</w:t>
      </w:r>
      <w:r w:rsidRPr="007F6CEF">
        <w:rPr>
          <w:lang w:val="ru-RU"/>
        </w:rPr>
        <w:t>3</w:t>
      </w:r>
      <w:r w:rsidR="00DF4A80" w:rsidRPr="007F6CEF">
        <w:rPr>
          <w:lang w:val="ru-RU"/>
        </w:rPr>
        <w:t xml:space="preserve"> года срочные вклады со сроком </w:t>
      </w:r>
      <w:r w:rsidR="00616FC3" w:rsidRPr="007F6CEF">
        <w:rPr>
          <w:lang w:val="ru-RU"/>
        </w:rPr>
        <w:t>возврата</w:t>
      </w:r>
      <w:r w:rsidRPr="007F6CEF">
        <w:rPr>
          <w:lang w:val="ru-RU"/>
        </w:rPr>
        <w:t xml:space="preserve"> не более 9 </w:t>
      </w:r>
      <w:r w:rsidR="00DF4A80" w:rsidRPr="007F6CEF">
        <w:rPr>
          <w:lang w:val="ru-RU"/>
        </w:rPr>
        <w:t xml:space="preserve">месяцев. Подробная разбивка вкладов по срокам </w:t>
      </w:r>
      <w:r w:rsidR="00616FC3" w:rsidRPr="007F6CEF">
        <w:rPr>
          <w:lang w:val="ru-RU"/>
        </w:rPr>
        <w:t>возврата</w:t>
      </w:r>
      <w:r w:rsidRPr="007F6CEF">
        <w:rPr>
          <w:lang w:val="ru-RU"/>
        </w:rPr>
        <w:t xml:space="preserve"> приводится в Примечании 8</w:t>
      </w:r>
      <w:r w:rsidR="00DF4A80" w:rsidRPr="007F6CEF">
        <w:rPr>
          <w:lang w:val="ru-RU"/>
        </w:rPr>
        <w:t xml:space="preserve"> </w:t>
      </w:r>
      <w:r w:rsidR="004C17DC" w:rsidRPr="007F6CEF">
        <w:rPr>
          <w:lang w:val="ru-RU"/>
        </w:rPr>
        <w:t>Отчет</w:t>
      </w:r>
      <w:r w:rsidR="00DF4A80" w:rsidRPr="007F6CEF">
        <w:rPr>
          <w:lang w:val="ru-RU"/>
        </w:rPr>
        <w:t>а</w:t>
      </w:r>
      <w:r w:rsidR="004C17DC" w:rsidRPr="007F6CEF">
        <w:rPr>
          <w:lang w:val="ru-RU"/>
        </w:rPr>
        <w:t xml:space="preserve"> о финансовой деятельности</w:t>
      </w:r>
      <w:r w:rsidR="00AA0135" w:rsidRPr="007F6CEF">
        <w:rPr>
          <w:lang w:val="ru-RU"/>
        </w:rPr>
        <w:t xml:space="preserve">. </w:t>
      </w:r>
      <w:r w:rsidR="00DF4A80" w:rsidRPr="007F6CEF">
        <w:rPr>
          <w:lang w:val="ru-RU"/>
        </w:rPr>
        <w:t>В этом примечании содержится указание на вклады</w:t>
      </w:r>
      <w:r w:rsidR="00756281" w:rsidRPr="007F6CEF">
        <w:rPr>
          <w:lang w:val="ru-RU"/>
        </w:rPr>
        <w:t xml:space="preserve"> </w:t>
      </w:r>
      <w:r w:rsidR="006A2BF4" w:rsidRPr="007F6CEF">
        <w:rPr>
          <w:lang w:val="ru-RU"/>
        </w:rPr>
        <w:t>с ограничениями</w:t>
      </w:r>
      <w:r w:rsidR="00DF4A80" w:rsidRPr="007F6CEF">
        <w:rPr>
          <w:lang w:val="ru-RU"/>
        </w:rPr>
        <w:t xml:space="preserve">, выделенные </w:t>
      </w:r>
      <w:r w:rsidR="00756281" w:rsidRPr="007F6CEF">
        <w:rPr>
          <w:lang w:val="ru-RU"/>
        </w:rPr>
        <w:t>на внебюджетные проекты, сумма которых составила в 201</w:t>
      </w:r>
      <w:r w:rsidRPr="007F6CEF">
        <w:rPr>
          <w:lang w:val="ru-RU"/>
        </w:rPr>
        <w:t>3</w:t>
      </w:r>
      <w:r w:rsidR="00756281" w:rsidRPr="007F6CEF">
        <w:rPr>
          <w:lang w:val="ru-RU"/>
        </w:rPr>
        <w:t xml:space="preserve"> году </w:t>
      </w:r>
      <w:r w:rsidRPr="007F6CEF">
        <w:rPr>
          <w:lang w:val="ru-RU"/>
        </w:rPr>
        <w:t>22</w:t>
      </w:r>
      <w:r w:rsidR="00756281" w:rsidRPr="007F6CEF">
        <w:rPr>
          <w:lang w:val="ru-RU"/>
        </w:rPr>
        <w:t>,</w:t>
      </w:r>
      <w:r w:rsidRPr="007F6CEF">
        <w:rPr>
          <w:lang w:val="ru-RU"/>
        </w:rPr>
        <w:t>8</w:t>
      </w:r>
      <w:r w:rsidR="00615ACD" w:rsidRPr="007F6CEF">
        <w:rPr>
          <w:lang w:val="ru-RU"/>
        </w:rPr>
        <w:t> </w:t>
      </w:r>
      <w:r w:rsidR="00345A13" w:rsidRPr="007F6CEF">
        <w:rPr>
          <w:spacing w:val="1"/>
          <w:lang w:val="ru-RU"/>
        </w:rPr>
        <w:t>млн. швейцарских франков</w:t>
      </w:r>
      <w:r w:rsidR="00756281" w:rsidRPr="007F6CEF">
        <w:rPr>
          <w:spacing w:val="1"/>
          <w:lang w:val="ru-RU"/>
        </w:rPr>
        <w:t xml:space="preserve">, по сравнению с </w:t>
      </w:r>
      <w:r w:rsidRPr="007F6CEF">
        <w:rPr>
          <w:lang w:val="ru-RU"/>
        </w:rPr>
        <w:t>31</w:t>
      </w:r>
      <w:r w:rsidR="00756281" w:rsidRPr="007F6CEF">
        <w:rPr>
          <w:lang w:val="ru-RU"/>
        </w:rPr>
        <w:t>,</w:t>
      </w:r>
      <w:r w:rsidRPr="007F6CEF">
        <w:rPr>
          <w:lang w:val="ru-RU"/>
        </w:rPr>
        <w:t>1</w:t>
      </w:r>
      <w:r w:rsidR="00756281" w:rsidRPr="007F6CEF">
        <w:rPr>
          <w:lang w:val="ru-RU"/>
        </w:rPr>
        <w:t> </w:t>
      </w:r>
      <w:r w:rsidR="00345A13" w:rsidRPr="007F6CEF">
        <w:rPr>
          <w:spacing w:val="1"/>
          <w:lang w:val="ru-RU"/>
        </w:rPr>
        <w:t>млн. швейцарских франков</w:t>
      </w:r>
      <w:r w:rsidR="00345A13" w:rsidRPr="007F6CEF">
        <w:rPr>
          <w:lang w:val="ru-RU"/>
        </w:rPr>
        <w:t xml:space="preserve"> </w:t>
      </w:r>
      <w:r w:rsidR="00600344" w:rsidRPr="007F6CEF">
        <w:rPr>
          <w:lang w:val="ru-RU"/>
        </w:rPr>
        <w:t>в 201</w:t>
      </w:r>
      <w:r w:rsidRPr="007F6CEF">
        <w:rPr>
          <w:lang w:val="ru-RU"/>
        </w:rPr>
        <w:t>2</w:t>
      </w:r>
      <w:r w:rsidR="00600344" w:rsidRPr="007F6CEF">
        <w:rPr>
          <w:lang w:val="ru-RU"/>
        </w:rPr>
        <w:t xml:space="preserve"> году</w:t>
      </w:r>
      <w:r w:rsidR="00AA0135" w:rsidRPr="007F6CEF">
        <w:rPr>
          <w:lang w:val="ru-RU"/>
        </w:rPr>
        <w:t xml:space="preserve">. </w:t>
      </w:r>
    </w:p>
    <w:p w:rsidR="00422C07" w:rsidRPr="007F6CEF" w:rsidRDefault="00422C07" w:rsidP="00170B2C">
      <w:pPr>
        <w:rPr>
          <w:lang w:val="ru-RU"/>
        </w:rPr>
      </w:pPr>
      <w:r w:rsidRPr="007F6CEF">
        <w:rPr>
          <w:lang w:val="ru-RU"/>
        </w:rPr>
        <w:t>24</w:t>
      </w:r>
      <w:r w:rsidRPr="007F6CEF">
        <w:rPr>
          <w:lang w:val="ru-RU"/>
        </w:rPr>
        <w:tab/>
      </w:r>
      <w:r w:rsidR="005F56D5" w:rsidRPr="007F6CEF">
        <w:rPr>
          <w:lang w:val="ru-RU"/>
        </w:rPr>
        <w:t xml:space="preserve">В прошлом году руководство заверило нас в том, что стандарты </w:t>
      </w:r>
      <w:r w:rsidRPr="007F6CEF">
        <w:rPr>
          <w:lang w:val="ru-RU"/>
        </w:rPr>
        <w:t>IPSAS 28, 29 и 30</w:t>
      </w:r>
      <w:r w:rsidR="005F56D5" w:rsidRPr="007F6CEF">
        <w:rPr>
          <w:lang w:val="ru-RU"/>
        </w:rPr>
        <w:t xml:space="preserve"> будут введены, и мы заявили, что будем отслеживать этот вопрос. </w:t>
      </w:r>
    </w:p>
    <w:p w:rsidR="00422C07" w:rsidRPr="007F6CEF" w:rsidRDefault="00422C07" w:rsidP="00170B2C">
      <w:pPr>
        <w:rPr>
          <w:lang w:val="ru-RU"/>
        </w:rPr>
      </w:pPr>
      <w:r w:rsidRPr="007F6CEF">
        <w:rPr>
          <w:lang w:val="ru-RU"/>
        </w:rPr>
        <w:t>25</w:t>
      </w:r>
      <w:r w:rsidRPr="007F6CEF">
        <w:rPr>
          <w:lang w:val="ru-RU"/>
        </w:rPr>
        <w:tab/>
      </w:r>
      <w:r w:rsidR="005F56D5" w:rsidRPr="007F6CEF">
        <w:rPr>
          <w:lang w:val="ru-RU"/>
        </w:rPr>
        <w:t>В Примечание 3 к Отчету о финансовой деятельности за 2013 год</w:t>
      </w:r>
      <w:r w:rsidR="0091029E" w:rsidRPr="007F6CEF">
        <w:rPr>
          <w:lang w:val="ru-RU"/>
        </w:rPr>
        <w:t xml:space="preserve"> </w:t>
      </w:r>
      <w:r w:rsidR="005F56D5" w:rsidRPr="007F6CEF">
        <w:rPr>
          <w:lang w:val="ru-RU"/>
        </w:rPr>
        <w:t xml:space="preserve">был добавлен пункт по финансовым инструментам. В Примечании 5 и Примечании 8 представлена более подробная информация, чем в случае Отчета о финансовой деятельности за 2012 год. </w:t>
      </w:r>
    </w:p>
    <w:p w:rsidR="00422C07" w:rsidRPr="007F6CEF" w:rsidRDefault="00422C07" w:rsidP="00170B2C">
      <w:pPr>
        <w:rPr>
          <w:lang w:val="ru-RU"/>
        </w:rPr>
      </w:pPr>
      <w:r w:rsidRPr="007F6CEF">
        <w:rPr>
          <w:lang w:val="ru-RU"/>
        </w:rPr>
        <w:t>26</w:t>
      </w:r>
      <w:r w:rsidRPr="007F6CEF">
        <w:rPr>
          <w:lang w:val="ru-RU"/>
        </w:rPr>
        <w:tab/>
      </w:r>
      <w:r w:rsidR="00147D13" w:rsidRPr="007F6CEF">
        <w:rPr>
          <w:lang w:val="ru-RU"/>
        </w:rPr>
        <w:t>М</w:t>
      </w:r>
      <w:r w:rsidR="005F56D5" w:rsidRPr="007F6CEF">
        <w:rPr>
          <w:lang w:val="ru-RU"/>
        </w:rPr>
        <w:t xml:space="preserve">ы заметили </w:t>
      </w:r>
      <w:r w:rsidR="00147D13" w:rsidRPr="007F6CEF">
        <w:rPr>
          <w:lang w:val="ru-RU"/>
        </w:rPr>
        <w:t>значимое</w:t>
      </w:r>
      <w:r w:rsidR="005F56D5" w:rsidRPr="007F6CEF">
        <w:rPr>
          <w:lang w:val="ru-RU"/>
        </w:rPr>
        <w:t xml:space="preserve"> колебание в </w:t>
      </w:r>
      <w:r w:rsidR="00F257C2" w:rsidRPr="007F6CEF">
        <w:rPr>
          <w:lang w:val="ru-RU"/>
        </w:rPr>
        <w:t xml:space="preserve">составе </w:t>
      </w:r>
      <w:r w:rsidR="00147D13" w:rsidRPr="007F6CEF">
        <w:rPr>
          <w:lang w:val="ru-RU"/>
        </w:rPr>
        <w:t xml:space="preserve">срочных вкладов </w:t>
      </w:r>
      <w:r w:rsidR="00F257C2" w:rsidRPr="007F6CEF">
        <w:rPr>
          <w:lang w:val="ru-RU"/>
        </w:rPr>
        <w:t>в разбивке по валютам между вкладами со сроками возврата в конце 2013 года и со сроками возврата в конце 2012 года; в частности, показано удвоение вкладов в швейцарских франк</w:t>
      </w:r>
      <w:r w:rsidR="00147D13" w:rsidRPr="007F6CEF">
        <w:rPr>
          <w:lang w:val="ru-RU"/>
        </w:rPr>
        <w:t>ах</w:t>
      </w:r>
      <w:r w:rsidR="00F257C2" w:rsidRPr="007F6CEF">
        <w:rPr>
          <w:lang w:val="ru-RU"/>
        </w:rPr>
        <w:t xml:space="preserve"> и сокращение наполовину вкладов в долл. США. Мы считаем, что это соответствует заявленным мерам по управлению и контролю за рыночной рискозависимостью с приемлемыми параметрами, как указано в Примечании 5</w:t>
      </w:r>
    </w:p>
    <w:p w:rsidR="00AA0135" w:rsidRPr="007F6CEF" w:rsidRDefault="0006734D" w:rsidP="00170B2C">
      <w:pPr>
        <w:pStyle w:val="Headingb"/>
        <w:rPr>
          <w:spacing w:val="-1"/>
          <w:lang w:val="ru-RU"/>
        </w:rPr>
      </w:pPr>
      <w:bookmarkStart w:id="92" w:name="_Toc358192829"/>
      <w:bookmarkStart w:id="93" w:name="_Toc398125314"/>
      <w:bookmarkStart w:id="94" w:name="_Toc398125793"/>
      <w:bookmarkStart w:id="95" w:name="_Toc398127086"/>
      <w:r w:rsidRPr="007F6CEF">
        <w:rPr>
          <w:lang w:val="ru-RU"/>
        </w:rPr>
        <w:t>Долговые обязательства</w:t>
      </w:r>
      <w:bookmarkEnd w:id="92"/>
      <w:bookmarkEnd w:id="93"/>
      <w:bookmarkEnd w:id="94"/>
      <w:bookmarkEnd w:id="95"/>
    </w:p>
    <w:p w:rsidR="00AA0135" w:rsidRPr="007F6CEF" w:rsidRDefault="00422C07" w:rsidP="00170B2C">
      <w:pPr>
        <w:rPr>
          <w:lang w:val="ru-RU"/>
        </w:rPr>
      </w:pPr>
      <w:r w:rsidRPr="007F6CEF">
        <w:rPr>
          <w:lang w:val="ru-RU"/>
        </w:rPr>
        <w:t>27</w:t>
      </w:r>
      <w:r w:rsidR="0006734D" w:rsidRPr="007F6CEF">
        <w:rPr>
          <w:lang w:val="ru-RU"/>
        </w:rPr>
        <w:tab/>
      </w:r>
      <w:r w:rsidR="00EC70AD" w:rsidRPr="007F6CEF">
        <w:rPr>
          <w:lang w:val="ru-RU"/>
        </w:rPr>
        <w:t xml:space="preserve">Чистый объем </w:t>
      </w:r>
      <w:r w:rsidR="00874B3C" w:rsidRPr="007F6CEF">
        <w:rPr>
          <w:lang w:val="ru-RU"/>
        </w:rPr>
        <w:t xml:space="preserve">текущих </w:t>
      </w:r>
      <w:r w:rsidR="006A2BF4" w:rsidRPr="007F6CEF">
        <w:rPr>
          <w:lang w:val="ru-RU"/>
        </w:rPr>
        <w:t>долговых обязательств</w:t>
      </w:r>
      <w:r w:rsidR="00EC70AD" w:rsidRPr="007F6CEF">
        <w:rPr>
          <w:lang w:val="ru-RU"/>
        </w:rPr>
        <w:t xml:space="preserve">, как по обменным, так и по </w:t>
      </w:r>
      <w:r w:rsidR="001B5C19" w:rsidRPr="007F6CEF">
        <w:rPr>
          <w:lang w:val="ru-RU"/>
        </w:rPr>
        <w:t>не</w:t>
      </w:r>
      <w:r w:rsidR="00615ACD" w:rsidRPr="007F6CEF">
        <w:rPr>
          <w:lang w:val="ru-RU"/>
        </w:rPr>
        <w:t>обменным операциям, составил в</w:t>
      </w:r>
      <w:r w:rsidR="00EC70AD" w:rsidRPr="007F6CEF">
        <w:rPr>
          <w:lang w:val="ru-RU"/>
        </w:rPr>
        <w:t xml:space="preserve"> 201</w:t>
      </w:r>
      <w:r w:rsidRPr="007F6CEF">
        <w:rPr>
          <w:lang w:val="ru-RU"/>
        </w:rPr>
        <w:t>3</w:t>
      </w:r>
      <w:r w:rsidR="00EC70AD" w:rsidRPr="007F6CEF">
        <w:rPr>
          <w:lang w:val="ru-RU"/>
        </w:rPr>
        <w:t xml:space="preserve"> году около 8</w:t>
      </w:r>
      <w:r w:rsidRPr="007F6CEF">
        <w:rPr>
          <w:lang w:val="ru-RU"/>
        </w:rPr>
        <w:t>3</w:t>
      </w:r>
      <w:r w:rsidR="00EC70AD" w:rsidRPr="007F6CEF">
        <w:rPr>
          <w:lang w:val="ru-RU"/>
        </w:rPr>
        <w:t>,</w:t>
      </w:r>
      <w:r w:rsidR="00AA0135" w:rsidRPr="007F6CEF">
        <w:rPr>
          <w:lang w:val="ru-RU"/>
        </w:rPr>
        <w:t xml:space="preserve">4 </w:t>
      </w:r>
      <w:r w:rsidR="00345A13" w:rsidRPr="007F6CEF">
        <w:rPr>
          <w:spacing w:val="1"/>
          <w:lang w:val="ru-RU"/>
        </w:rPr>
        <w:t>млн. швейцарских франков</w:t>
      </w:r>
      <w:r w:rsidR="00EC70AD" w:rsidRPr="007F6CEF">
        <w:rPr>
          <w:spacing w:val="1"/>
          <w:lang w:val="ru-RU"/>
        </w:rPr>
        <w:t xml:space="preserve"> по сравнению с </w:t>
      </w:r>
      <w:r w:rsidRPr="007F6CEF">
        <w:rPr>
          <w:spacing w:val="1"/>
          <w:lang w:val="ru-RU"/>
        </w:rPr>
        <w:t>82</w:t>
      </w:r>
      <w:r w:rsidR="00EC70AD" w:rsidRPr="007F6CEF">
        <w:rPr>
          <w:lang w:val="ru-RU"/>
        </w:rPr>
        <w:t>,</w:t>
      </w:r>
      <w:r w:rsidRPr="007F6CEF">
        <w:rPr>
          <w:lang w:val="ru-RU"/>
        </w:rPr>
        <w:t>5</w:t>
      </w:r>
      <w:r w:rsidR="00AA0135" w:rsidRPr="007F6CEF">
        <w:rPr>
          <w:lang w:val="ru-RU"/>
        </w:rPr>
        <w:t xml:space="preserve"> </w:t>
      </w:r>
      <w:r w:rsidR="00345A13" w:rsidRPr="007F6CEF">
        <w:rPr>
          <w:spacing w:val="1"/>
          <w:lang w:val="ru-RU"/>
        </w:rPr>
        <w:t>млн. швейцарских франков</w:t>
      </w:r>
      <w:r w:rsidR="00345A13" w:rsidRPr="007F6CEF">
        <w:rPr>
          <w:lang w:val="ru-RU"/>
        </w:rPr>
        <w:t xml:space="preserve"> </w:t>
      </w:r>
      <w:r w:rsidRPr="007F6CEF">
        <w:rPr>
          <w:lang w:val="ru-RU"/>
        </w:rPr>
        <w:t>в 2012</w:t>
      </w:r>
      <w:r w:rsidR="00600344" w:rsidRPr="007F6CEF">
        <w:rPr>
          <w:lang w:val="ru-RU"/>
        </w:rPr>
        <w:t xml:space="preserve"> году</w:t>
      </w:r>
      <w:r w:rsidR="00AA0135" w:rsidRPr="007F6CEF">
        <w:rPr>
          <w:lang w:val="ru-RU"/>
        </w:rPr>
        <w:t xml:space="preserve">. </w:t>
      </w:r>
      <w:r w:rsidR="00EC70AD" w:rsidRPr="007F6CEF">
        <w:rPr>
          <w:lang w:val="ru-RU"/>
        </w:rPr>
        <w:t xml:space="preserve">На </w:t>
      </w:r>
      <w:r w:rsidR="006A2BF4" w:rsidRPr="007F6CEF">
        <w:rPr>
          <w:lang w:val="ru-RU"/>
        </w:rPr>
        <w:t>них</w:t>
      </w:r>
      <w:r w:rsidR="00EC70AD" w:rsidRPr="007F6CEF">
        <w:rPr>
          <w:lang w:val="ru-RU"/>
        </w:rPr>
        <w:t xml:space="preserve"> приходилось </w:t>
      </w:r>
      <w:r w:rsidR="00AA0135" w:rsidRPr="007F6CEF">
        <w:rPr>
          <w:lang w:val="ru-RU"/>
        </w:rPr>
        <w:t>3</w:t>
      </w:r>
      <w:r w:rsidRPr="007F6CEF">
        <w:rPr>
          <w:lang w:val="ru-RU"/>
        </w:rPr>
        <w:t>4,6</w:t>
      </w:r>
      <w:r w:rsidR="00AA0135" w:rsidRPr="007F6CEF">
        <w:rPr>
          <w:lang w:val="ru-RU"/>
        </w:rPr>
        <w:t xml:space="preserve">% </w:t>
      </w:r>
      <w:r w:rsidR="00EC70AD" w:rsidRPr="007F6CEF">
        <w:rPr>
          <w:lang w:val="ru-RU"/>
        </w:rPr>
        <w:t>от общего объем</w:t>
      </w:r>
      <w:r w:rsidR="001B5C19" w:rsidRPr="007F6CEF">
        <w:rPr>
          <w:lang w:val="ru-RU"/>
        </w:rPr>
        <w:t>а текущих активов по сравнению</w:t>
      </w:r>
      <w:r w:rsidR="00EC70AD" w:rsidRPr="007F6CEF">
        <w:rPr>
          <w:lang w:val="ru-RU"/>
        </w:rPr>
        <w:t xml:space="preserve"> примерно</w:t>
      </w:r>
      <w:r w:rsidR="00AA0135" w:rsidRPr="007F6CEF">
        <w:rPr>
          <w:lang w:val="ru-RU"/>
        </w:rPr>
        <w:t xml:space="preserve"> </w:t>
      </w:r>
      <w:r w:rsidR="001B5C19" w:rsidRPr="007F6CEF">
        <w:rPr>
          <w:lang w:val="ru-RU"/>
        </w:rPr>
        <w:t xml:space="preserve">с </w:t>
      </w:r>
      <w:r w:rsidR="00AA0135" w:rsidRPr="007F6CEF">
        <w:rPr>
          <w:lang w:val="ru-RU"/>
        </w:rPr>
        <w:t>3</w:t>
      </w:r>
      <w:r w:rsidRPr="007F6CEF">
        <w:rPr>
          <w:lang w:val="ru-RU"/>
        </w:rPr>
        <w:t>4</w:t>
      </w:r>
      <w:r w:rsidR="00AA0135" w:rsidRPr="007F6CEF">
        <w:rPr>
          <w:lang w:val="ru-RU"/>
        </w:rPr>
        <w:t xml:space="preserve">% </w:t>
      </w:r>
      <w:r w:rsidR="001B5C19" w:rsidRPr="007F6CEF">
        <w:rPr>
          <w:lang w:val="ru-RU"/>
        </w:rPr>
        <w:t>в 201</w:t>
      </w:r>
      <w:r w:rsidRPr="007F6CEF">
        <w:rPr>
          <w:lang w:val="ru-RU"/>
        </w:rPr>
        <w:t>2</w:t>
      </w:r>
      <w:r w:rsidR="001B5C19" w:rsidRPr="007F6CEF">
        <w:rPr>
          <w:lang w:val="ru-RU"/>
        </w:rPr>
        <w:t> </w:t>
      </w:r>
      <w:r w:rsidR="00600344" w:rsidRPr="007F6CEF">
        <w:rPr>
          <w:lang w:val="ru-RU"/>
        </w:rPr>
        <w:t>году</w:t>
      </w:r>
      <w:r w:rsidR="00AA0135" w:rsidRPr="007F6CEF">
        <w:rPr>
          <w:lang w:val="ru-RU"/>
        </w:rPr>
        <w:t xml:space="preserve">. </w:t>
      </w:r>
      <w:r w:rsidR="001B5C19" w:rsidRPr="007F6CEF">
        <w:rPr>
          <w:lang w:val="ru-RU"/>
        </w:rPr>
        <w:t xml:space="preserve">Как отмечается в Примечании </w:t>
      </w:r>
      <w:r w:rsidRPr="007F6CEF">
        <w:rPr>
          <w:lang w:val="ru-RU"/>
        </w:rPr>
        <w:t>9</w:t>
      </w:r>
      <w:r w:rsidR="00AA0135" w:rsidRPr="007F6CEF">
        <w:rPr>
          <w:lang w:val="ru-RU"/>
        </w:rPr>
        <w:t xml:space="preserve"> </w:t>
      </w:r>
      <w:r w:rsidR="00070A8E" w:rsidRPr="007F6CEF">
        <w:rPr>
          <w:lang w:val="ru-RU"/>
        </w:rPr>
        <w:t>Отчет</w:t>
      </w:r>
      <w:r w:rsidR="001B5C19" w:rsidRPr="007F6CEF">
        <w:rPr>
          <w:lang w:val="ru-RU"/>
        </w:rPr>
        <w:t>а</w:t>
      </w:r>
      <w:r w:rsidR="00070A8E" w:rsidRPr="007F6CEF">
        <w:rPr>
          <w:lang w:val="ru-RU"/>
        </w:rPr>
        <w:t xml:space="preserve"> о финансовой деятельности</w:t>
      </w:r>
      <w:r w:rsidR="001B5C19" w:rsidRPr="007F6CEF">
        <w:rPr>
          <w:lang w:val="ru-RU"/>
        </w:rPr>
        <w:t>, т</w:t>
      </w:r>
      <w:r w:rsidR="009F2262" w:rsidRPr="007F6CEF">
        <w:rPr>
          <w:lang w:val="ru-RU"/>
        </w:rPr>
        <w:t>екущ</w:t>
      </w:r>
      <w:r w:rsidR="006A2BF4" w:rsidRPr="007F6CEF">
        <w:rPr>
          <w:lang w:val="ru-RU"/>
        </w:rPr>
        <w:t>ие</w:t>
      </w:r>
      <w:r w:rsidR="001B5C19" w:rsidRPr="007F6CEF">
        <w:rPr>
          <w:lang w:val="ru-RU"/>
        </w:rPr>
        <w:t xml:space="preserve"> </w:t>
      </w:r>
      <w:r w:rsidR="006A2BF4" w:rsidRPr="007F6CEF">
        <w:rPr>
          <w:lang w:val="ru-RU"/>
        </w:rPr>
        <w:t>долговые обязательства</w:t>
      </w:r>
      <w:r w:rsidR="001B5C19" w:rsidRPr="007F6CEF">
        <w:rPr>
          <w:lang w:val="ru-RU"/>
        </w:rPr>
        <w:t xml:space="preserve"> представля</w:t>
      </w:r>
      <w:r w:rsidR="006A2BF4" w:rsidRPr="007F6CEF">
        <w:rPr>
          <w:lang w:val="ru-RU"/>
        </w:rPr>
        <w:t>ю</w:t>
      </w:r>
      <w:r w:rsidR="001B5C19" w:rsidRPr="007F6CEF">
        <w:rPr>
          <w:lang w:val="ru-RU"/>
        </w:rPr>
        <w:t xml:space="preserve">т собой неполученные доходы, которые Государства-Члены, Члены Секторов и Ассоциированные члены обязались </w:t>
      </w:r>
      <w:r w:rsidR="006A2BF4" w:rsidRPr="007F6CEF">
        <w:rPr>
          <w:lang w:val="ru-RU"/>
        </w:rPr>
        <w:t>внести в</w:t>
      </w:r>
      <w:r w:rsidR="001B5C19" w:rsidRPr="007F6CEF">
        <w:rPr>
          <w:lang w:val="ru-RU"/>
        </w:rPr>
        <w:t xml:space="preserve"> МСЭ в </w:t>
      </w:r>
      <w:r w:rsidR="006A2BF4" w:rsidRPr="007F6CEF">
        <w:rPr>
          <w:lang w:val="ru-RU"/>
        </w:rPr>
        <w:t>рамках</w:t>
      </w:r>
      <w:r w:rsidR="001B5C19" w:rsidRPr="007F6CEF">
        <w:rPr>
          <w:lang w:val="ru-RU"/>
        </w:rPr>
        <w:t xml:space="preserve"> ежегодны</w:t>
      </w:r>
      <w:r w:rsidR="006A2BF4" w:rsidRPr="007F6CEF">
        <w:rPr>
          <w:lang w:val="ru-RU"/>
        </w:rPr>
        <w:t>х</w:t>
      </w:r>
      <w:r w:rsidR="001B5C19" w:rsidRPr="007F6CEF">
        <w:rPr>
          <w:lang w:val="ru-RU"/>
        </w:rPr>
        <w:t xml:space="preserve"> взнос</w:t>
      </w:r>
      <w:r w:rsidR="006A2BF4" w:rsidRPr="007F6CEF">
        <w:rPr>
          <w:lang w:val="ru-RU"/>
        </w:rPr>
        <w:t>ов</w:t>
      </w:r>
      <w:r w:rsidR="001B5C19" w:rsidRPr="007F6CEF">
        <w:rPr>
          <w:lang w:val="ru-RU"/>
        </w:rPr>
        <w:t>, приобретени</w:t>
      </w:r>
      <w:r w:rsidR="006A2BF4" w:rsidRPr="007F6CEF">
        <w:rPr>
          <w:lang w:val="ru-RU"/>
        </w:rPr>
        <w:t>я</w:t>
      </w:r>
      <w:r w:rsidR="001B5C19" w:rsidRPr="007F6CEF">
        <w:rPr>
          <w:lang w:val="ru-RU"/>
        </w:rPr>
        <w:t xml:space="preserve"> публикаций, обработк</w:t>
      </w:r>
      <w:r w:rsidR="006A2BF4" w:rsidRPr="007F6CEF">
        <w:rPr>
          <w:lang w:val="ru-RU"/>
        </w:rPr>
        <w:t>и</w:t>
      </w:r>
      <w:r w:rsidR="001B5C19" w:rsidRPr="007F6CEF">
        <w:rPr>
          <w:lang w:val="ru-RU"/>
        </w:rPr>
        <w:t xml:space="preserve"> заявок на регистрацию спутниковых сетей или </w:t>
      </w:r>
      <w:r w:rsidR="006A2BF4" w:rsidRPr="007F6CEF">
        <w:rPr>
          <w:lang w:val="ru-RU"/>
        </w:rPr>
        <w:t>по другим</w:t>
      </w:r>
      <w:r w:rsidR="001B5C19" w:rsidRPr="007F6CEF">
        <w:rPr>
          <w:lang w:val="ru-RU"/>
        </w:rPr>
        <w:t xml:space="preserve"> счетам-ф</w:t>
      </w:r>
      <w:r w:rsidR="006A2BF4" w:rsidRPr="007F6CEF">
        <w:rPr>
          <w:lang w:val="ru-RU"/>
        </w:rPr>
        <w:t>актурам</w:t>
      </w:r>
      <w:r w:rsidR="001B5C19" w:rsidRPr="007F6CEF">
        <w:rPr>
          <w:lang w:val="ru-RU"/>
        </w:rPr>
        <w:t xml:space="preserve">, которые выставил МСЭ. </w:t>
      </w:r>
    </w:p>
    <w:p w:rsidR="00AA0135" w:rsidRPr="007F6CEF" w:rsidRDefault="0006734D" w:rsidP="00E84AA7">
      <w:pPr>
        <w:rPr>
          <w:b/>
          <w:bCs/>
          <w:highlight w:val="lightGray"/>
          <w:lang w:val="ru-RU"/>
        </w:rPr>
      </w:pPr>
      <w:r w:rsidRPr="007F6CEF">
        <w:rPr>
          <w:lang w:val="ru-RU"/>
        </w:rPr>
        <w:t>2</w:t>
      </w:r>
      <w:r w:rsidR="00F310FB" w:rsidRPr="007F6CEF">
        <w:rPr>
          <w:lang w:val="ru-RU"/>
        </w:rPr>
        <w:t>8</w:t>
      </w:r>
      <w:r w:rsidRPr="007F6CEF">
        <w:rPr>
          <w:lang w:val="ru-RU"/>
        </w:rPr>
        <w:tab/>
      </w:r>
      <w:r w:rsidR="006A2BF4" w:rsidRPr="007F6CEF">
        <w:rPr>
          <w:lang w:val="ru-RU"/>
        </w:rPr>
        <w:t>Нетекущие долговые обязательства</w:t>
      </w:r>
      <w:r w:rsidR="00A02BD7" w:rsidRPr="007F6CEF">
        <w:rPr>
          <w:lang w:val="ru-RU"/>
        </w:rPr>
        <w:t xml:space="preserve"> как по обменным, так и по необменным операциям, котор</w:t>
      </w:r>
      <w:r w:rsidR="006A2BF4" w:rsidRPr="007F6CEF">
        <w:rPr>
          <w:lang w:val="ru-RU"/>
        </w:rPr>
        <w:t>ые</w:t>
      </w:r>
      <w:r w:rsidR="00A02BD7" w:rsidRPr="007F6CEF">
        <w:rPr>
          <w:lang w:val="ru-RU"/>
        </w:rPr>
        <w:t xml:space="preserve"> также был</w:t>
      </w:r>
      <w:r w:rsidR="006A2BF4" w:rsidRPr="007F6CEF">
        <w:rPr>
          <w:lang w:val="ru-RU"/>
        </w:rPr>
        <w:t>и</w:t>
      </w:r>
      <w:r w:rsidR="00A02BD7" w:rsidRPr="007F6CEF">
        <w:rPr>
          <w:lang w:val="ru-RU"/>
        </w:rPr>
        <w:t xml:space="preserve"> включен</w:t>
      </w:r>
      <w:r w:rsidR="006A2BF4" w:rsidRPr="007F6CEF">
        <w:rPr>
          <w:lang w:val="ru-RU"/>
        </w:rPr>
        <w:t>ы</w:t>
      </w:r>
      <w:r w:rsidR="00A02BD7" w:rsidRPr="007F6CEF">
        <w:rPr>
          <w:lang w:val="ru-RU"/>
        </w:rPr>
        <w:t xml:space="preserve"> и </w:t>
      </w:r>
      <w:r w:rsidR="006A2BF4" w:rsidRPr="007F6CEF">
        <w:rPr>
          <w:lang w:val="ru-RU"/>
        </w:rPr>
        <w:t>поясняли</w:t>
      </w:r>
      <w:r w:rsidR="00A02BD7" w:rsidRPr="007F6CEF">
        <w:rPr>
          <w:lang w:val="ru-RU"/>
        </w:rPr>
        <w:t>сь руководством в Примечании </w:t>
      </w:r>
      <w:r w:rsidR="00F310FB" w:rsidRPr="007F6CEF">
        <w:rPr>
          <w:lang w:val="ru-RU"/>
        </w:rPr>
        <w:t>9</w:t>
      </w:r>
      <w:r w:rsidR="00A02BD7" w:rsidRPr="007F6CEF">
        <w:rPr>
          <w:lang w:val="ru-RU"/>
        </w:rPr>
        <w:t xml:space="preserve">, в размере </w:t>
      </w:r>
      <w:r w:rsidR="00F310FB" w:rsidRPr="007F6CEF">
        <w:rPr>
          <w:lang w:val="ru-RU"/>
        </w:rPr>
        <w:t>9</w:t>
      </w:r>
      <w:r w:rsidR="00A02BD7" w:rsidRPr="007F6CEF">
        <w:rPr>
          <w:lang w:val="ru-RU"/>
        </w:rPr>
        <w:t>,</w:t>
      </w:r>
      <w:r w:rsidR="00F310FB" w:rsidRPr="007F6CEF">
        <w:rPr>
          <w:lang w:val="ru-RU"/>
        </w:rPr>
        <w:t>4 </w:t>
      </w:r>
      <w:r w:rsidR="00345A13" w:rsidRPr="007F6CEF">
        <w:rPr>
          <w:spacing w:val="1"/>
          <w:lang w:val="ru-RU"/>
        </w:rPr>
        <w:t>млн. швейцарских франков</w:t>
      </w:r>
      <w:r w:rsidR="00345A13" w:rsidRPr="007F6CEF">
        <w:rPr>
          <w:lang w:val="ru-RU"/>
        </w:rPr>
        <w:t xml:space="preserve"> </w:t>
      </w:r>
      <w:r w:rsidR="00F310FB" w:rsidRPr="007F6CEF">
        <w:rPr>
          <w:lang w:val="ru-RU"/>
        </w:rPr>
        <w:t>(15</w:t>
      </w:r>
      <w:r w:rsidR="00A02BD7" w:rsidRPr="007F6CEF">
        <w:rPr>
          <w:lang w:val="ru-RU"/>
        </w:rPr>
        <w:t>,</w:t>
      </w:r>
      <w:r w:rsidR="00F310FB" w:rsidRPr="007F6CEF">
        <w:rPr>
          <w:lang w:val="ru-RU"/>
        </w:rPr>
        <w:t>2</w:t>
      </w:r>
      <w:r w:rsidR="00AA0135" w:rsidRPr="007F6CEF">
        <w:rPr>
          <w:lang w:val="ru-RU"/>
        </w:rPr>
        <w:t xml:space="preserve"> </w:t>
      </w:r>
      <w:r w:rsidR="00345A13" w:rsidRPr="007F6CEF">
        <w:rPr>
          <w:spacing w:val="1"/>
          <w:lang w:val="ru-RU"/>
        </w:rPr>
        <w:t>млн. швейцарских франков</w:t>
      </w:r>
      <w:r w:rsidR="00345A13" w:rsidRPr="007F6CEF">
        <w:rPr>
          <w:lang w:val="ru-RU"/>
        </w:rPr>
        <w:t xml:space="preserve"> </w:t>
      </w:r>
      <w:r w:rsidR="00F310FB" w:rsidRPr="007F6CEF">
        <w:rPr>
          <w:lang w:val="ru-RU"/>
        </w:rPr>
        <w:t>в 2012</w:t>
      </w:r>
      <w:r w:rsidR="00600344" w:rsidRPr="007F6CEF">
        <w:rPr>
          <w:lang w:val="ru-RU"/>
        </w:rPr>
        <w:t xml:space="preserve"> г</w:t>
      </w:r>
      <w:r w:rsidR="00F310FB" w:rsidRPr="007F6CEF">
        <w:rPr>
          <w:lang w:val="ru-RU"/>
        </w:rPr>
        <w:t>.</w:t>
      </w:r>
      <w:r w:rsidR="00AA0135" w:rsidRPr="007F6CEF">
        <w:rPr>
          <w:lang w:val="ru-RU"/>
        </w:rPr>
        <w:t>)</w:t>
      </w:r>
      <w:r w:rsidR="00A02BD7" w:rsidRPr="007F6CEF">
        <w:rPr>
          <w:lang w:val="ru-RU"/>
        </w:rPr>
        <w:t xml:space="preserve"> на 31 декабря 201</w:t>
      </w:r>
      <w:r w:rsidR="00F310FB" w:rsidRPr="007F6CEF">
        <w:rPr>
          <w:lang w:val="ru-RU"/>
        </w:rPr>
        <w:t>3</w:t>
      </w:r>
      <w:r w:rsidR="00A02BD7" w:rsidRPr="007F6CEF">
        <w:rPr>
          <w:lang w:val="ru-RU"/>
        </w:rPr>
        <w:t xml:space="preserve"> года полнос</w:t>
      </w:r>
      <w:r w:rsidR="006A2BF4" w:rsidRPr="007F6CEF">
        <w:rPr>
          <w:lang w:val="ru-RU"/>
        </w:rPr>
        <w:t>тью покрываю</w:t>
      </w:r>
      <w:r w:rsidR="00A02BD7" w:rsidRPr="007F6CEF">
        <w:rPr>
          <w:lang w:val="ru-RU"/>
        </w:rPr>
        <w:t>тся</w:t>
      </w:r>
      <w:r w:rsidR="00AA0135" w:rsidRPr="007F6CEF">
        <w:rPr>
          <w:lang w:val="ru-RU"/>
        </w:rPr>
        <w:t xml:space="preserve"> </w:t>
      </w:r>
      <w:r w:rsidR="00A02BD7" w:rsidRPr="007F6CEF">
        <w:rPr>
          <w:lang w:val="ru-RU"/>
        </w:rPr>
        <w:t xml:space="preserve">в соответствии с принципами, изложенными в Примечании 3 к финансовой отчетности. Дополнительные разъяснения приводятся в Примечании </w:t>
      </w:r>
      <w:r w:rsidR="00F310FB" w:rsidRPr="007F6CEF">
        <w:rPr>
          <w:lang w:val="ru-RU"/>
        </w:rPr>
        <w:t>9</w:t>
      </w:r>
      <w:r w:rsidR="00A02BD7" w:rsidRPr="007F6CEF">
        <w:rPr>
          <w:lang w:val="ru-RU"/>
        </w:rPr>
        <w:t xml:space="preserve"> "</w:t>
      </w:r>
      <w:r w:rsidR="003A52BE" w:rsidRPr="007F6CEF">
        <w:rPr>
          <w:lang w:val="ru-RU"/>
        </w:rPr>
        <w:t>Долговые обязательства</w:t>
      </w:r>
      <w:r w:rsidR="00A02BD7" w:rsidRPr="007F6CEF">
        <w:rPr>
          <w:lang w:val="ru-RU"/>
        </w:rPr>
        <w:t>"</w:t>
      </w:r>
      <w:r w:rsidR="003A52BE" w:rsidRPr="007F6CEF">
        <w:rPr>
          <w:lang w:val="ru-RU"/>
        </w:rPr>
        <w:t xml:space="preserve">. </w:t>
      </w:r>
    </w:p>
    <w:p w:rsidR="00AA0135" w:rsidRPr="007F6CEF" w:rsidRDefault="003A52BE" w:rsidP="00170B2C">
      <w:pPr>
        <w:pStyle w:val="Headingb"/>
        <w:rPr>
          <w:lang w:val="ru-RU"/>
        </w:rPr>
      </w:pPr>
      <w:bookmarkStart w:id="96" w:name="_Toc358192830"/>
      <w:bookmarkStart w:id="97" w:name="_Toc398125315"/>
      <w:bookmarkStart w:id="98" w:name="_Toc398125794"/>
      <w:bookmarkStart w:id="99" w:name="_Toc398127087"/>
      <w:r w:rsidRPr="007F6CEF">
        <w:rPr>
          <w:lang w:val="ru-RU"/>
        </w:rPr>
        <w:t xml:space="preserve">Прочие текущие долговые </w:t>
      </w:r>
      <w:r w:rsidR="003D5FCE" w:rsidRPr="007F6CEF">
        <w:rPr>
          <w:lang w:val="ru-RU"/>
        </w:rPr>
        <w:t>обязательства</w:t>
      </w:r>
      <w:bookmarkEnd w:id="96"/>
      <w:bookmarkEnd w:id="97"/>
      <w:bookmarkEnd w:id="98"/>
      <w:bookmarkEnd w:id="99"/>
      <w:r w:rsidR="003D5FCE" w:rsidRPr="007F6CEF">
        <w:rPr>
          <w:lang w:val="ru-RU"/>
        </w:rPr>
        <w:t xml:space="preserve"> </w:t>
      </w:r>
    </w:p>
    <w:p w:rsidR="00AA0135" w:rsidRPr="007F6CEF" w:rsidRDefault="0006734D" w:rsidP="00170B2C">
      <w:pPr>
        <w:rPr>
          <w:spacing w:val="-1"/>
          <w:lang w:val="ru-RU"/>
        </w:rPr>
      </w:pPr>
      <w:r w:rsidRPr="007F6CEF">
        <w:rPr>
          <w:lang w:val="ru-RU"/>
        </w:rPr>
        <w:t>2</w:t>
      </w:r>
      <w:r w:rsidR="00EF4440" w:rsidRPr="007F6CEF">
        <w:rPr>
          <w:lang w:val="ru-RU"/>
        </w:rPr>
        <w:t>9</w:t>
      </w:r>
      <w:r w:rsidRPr="007F6CEF">
        <w:rPr>
          <w:lang w:val="ru-RU"/>
        </w:rPr>
        <w:tab/>
      </w:r>
      <w:r w:rsidR="003D5FCE" w:rsidRPr="007F6CEF">
        <w:rPr>
          <w:lang w:val="ru-RU"/>
        </w:rPr>
        <w:t>В разделе "Прочие долговые обязательства" заключительного баланса представлена сум</w:t>
      </w:r>
      <w:r w:rsidR="00EF4440" w:rsidRPr="007F6CEF">
        <w:rPr>
          <w:lang w:val="ru-RU"/>
        </w:rPr>
        <w:t>ма в размере 9</w:t>
      </w:r>
      <w:r w:rsidR="003D5FCE" w:rsidRPr="007F6CEF">
        <w:rPr>
          <w:lang w:val="ru-RU"/>
        </w:rPr>
        <w:t>,</w:t>
      </w:r>
      <w:r w:rsidR="00EF4440" w:rsidRPr="007F6CEF">
        <w:rPr>
          <w:lang w:val="ru-RU"/>
        </w:rPr>
        <w:t>0</w:t>
      </w:r>
      <w:r w:rsidR="003D5FCE" w:rsidRPr="007F6CEF">
        <w:rPr>
          <w:lang w:val="ru-RU"/>
        </w:rPr>
        <w:t xml:space="preserve"> млн. швейцарских франков. </w:t>
      </w:r>
      <w:r w:rsidR="003D5FCE" w:rsidRPr="007F6CEF">
        <w:rPr>
          <w:spacing w:val="-1"/>
          <w:lang w:val="ru-RU"/>
        </w:rPr>
        <w:t>(7,</w:t>
      </w:r>
      <w:r w:rsidR="00EF4440" w:rsidRPr="007F6CEF">
        <w:rPr>
          <w:spacing w:val="-1"/>
          <w:lang w:val="ru-RU"/>
        </w:rPr>
        <w:t>9</w:t>
      </w:r>
      <w:r w:rsidR="00AA0135" w:rsidRPr="007F6CEF">
        <w:rPr>
          <w:spacing w:val="-1"/>
          <w:lang w:val="ru-RU"/>
        </w:rPr>
        <w:t xml:space="preserve"> </w:t>
      </w:r>
      <w:r w:rsidR="00345A13" w:rsidRPr="007F6CEF">
        <w:rPr>
          <w:spacing w:val="1"/>
          <w:lang w:val="ru-RU"/>
        </w:rPr>
        <w:t>млн. швейцарских франков</w:t>
      </w:r>
      <w:r w:rsidR="00345A13" w:rsidRPr="007F6CEF">
        <w:rPr>
          <w:spacing w:val="-1"/>
          <w:lang w:val="ru-RU"/>
        </w:rPr>
        <w:t xml:space="preserve"> </w:t>
      </w:r>
      <w:r w:rsidR="00600344" w:rsidRPr="007F6CEF">
        <w:rPr>
          <w:spacing w:val="-1"/>
          <w:lang w:val="ru-RU"/>
        </w:rPr>
        <w:t>в 201</w:t>
      </w:r>
      <w:r w:rsidR="00EF4440" w:rsidRPr="007F6CEF">
        <w:rPr>
          <w:spacing w:val="-1"/>
          <w:lang w:val="ru-RU"/>
        </w:rPr>
        <w:t>2</w:t>
      </w:r>
      <w:r w:rsidR="00600344" w:rsidRPr="007F6CEF">
        <w:rPr>
          <w:spacing w:val="-1"/>
          <w:lang w:val="ru-RU"/>
        </w:rPr>
        <w:t xml:space="preserve"> г</w:t>
      </w:r>
      <w:r w:rsidR="00EF4440" w:rsidRPr="007F6CEF">
        <w:rPr>
          <w:spacing w:val="-1"/>
          <w:lang w:val="ru-RU"/>
        </w:rPr>
        <w:t>.</w:t>
      </w:r>
      <w:r w:rsidR="00AA0135" w:rsidRPr="007F6CEF">
        <w:rPr>
          <w:spacing w:val="-1"/>
          <w:lang w:val="ru-RU"/>
        </w:rPr>
        <w:t>)</w:t>
      </w:r>
      <w:r w:rsidR="003D5FCE" w:rsidRPr="007F6CEF">
        <w:rPr>
          <w:spacing w:val="-1"/>
          <w:lang w:val="ru-RU"/>
        </w:rPr>
        <w:t>. Подробная разбивка раздела "</w:t>
      </w:r>
      <w:r w:rsidR="00DF12A9" w:rsidRPr="007F6CEF">
        <w:rPr>
          <w:lang w:val="ru-RU"/>
        </w:rPr>
        <w:t>П</w:t>
      </w:r>
      <w:r w:rsidR="003D5FCE" w:rsidRPr="007F6CEF">
        <w:rPr>
          <w:lang w:val="ru-RU"/>
        </w:rPr>
        <w:t xml:space="preserve">рочие долговые обязательства" приводится в </w:t>
      </w:r>
      <w:r w:rsidR="004A4586" w:rsidRPr="007F6CEF">
        <w:rPr>
          <w:lang w:val="ru-RU"/>
        </w:rPr>
        <w:t>Примечании</w:t>
      </w:r>
      <w:r w:rsidR="003D5FCE" w:rsidRPr="007F6CEF">
        <w:rPr>
          <w:lang w:val="ru-RU"/>
        </w:rPr>
        <w:t xml:space="preserve"> 1</w:t>
      </w:r>
      <w:r w:rsidR="00C123F9" w:rsidRPr="007F6CEF">
        <w:rPr>
          <w:lang w:val="ru-RU"/>
        </w:rPr>
        <w:t>1</w:t>
      </w:r>
      <w:r w:rsidR="003D5FCE" w:rsidRPr="007F6CEF">
        <w:rPr>
          <w:lang w:val="ru-RU"/>
        </w:rPr>
        <w:t xml:space="preserve"> к </w:t>
      </w:r>
      <w:r w:rsidR="004C17DC" w:rsidRPr="007F6CEF">
        <w:rPr>
          <w:lang w:val="ru-RU"/>
        </w:rPr>
        <w:t>Отчет</w:t>
      </w:r>
      <w:r w:rsidR="003D5FCE" w:rsidRPr="007F6CEF">
        <w:rPr>
          <w:lang w:val="ru-RU"/>
        </w:rPr>
        <w:t>у</w:t>
      </w:r>
      <w:r w:rsidR="004C17DC" w:rsidRPr="007F6CEF">
        <w:rPr>
          <w:lang w:val="ru-RU"/>
        </w:rPr>
        <w:t xml:space="preserve"> о финансовой деятельности</w:t>
      </w:r>
      <w:r w:rsidR="00AA0135" w:rsidRPr="007F6CEF">
        <w:rPr>
          <w:lang w:val="ru-RU"/>
        </w:rPr>
        <w:t>.</w:t>
      </w:r>
    </w:p>
    <w:p w:rsidR="00AA0135" w:rsidRPr="007F6CEF" w:rsidRDefault="002A1D90" w:rsidP="00170B2C">
      <w:pPr>
        <w:pStyle w:val="Headingb"/>
        <w:rPr>
          <w:lang w:val="ru-RU"/>
        </w:rPr>
      </w:pPr>
      <w:bookmarkStart w:id="100" w:name="_Toc358192831"/>
      <w:bookmarkStart w:id="101" w:name="_Toc398125316"/>
      <w:bookmarkStart w:id="102" w:name="_Toc398125795"/>
      <w:bookmarkStart w:id="103" w:name="_Toc398127088"/>
      <w:r w:rsidRPr="007F6CEF">
        <w:rPr>
          <w:lang w:val="ru-RU"/>
        </w:rPr>
        <w:t>Запасы</w:t>
      </w:r>
      <w:bookmarkEnd w:id="100"/>
      <w:bookmarkEnd w:id="101"/>
      <w:bookmarkEnd w:id="102"/>
      <w:bookmarkEnd w:id="103"/>
    </w:p>
    <w:p w:rsidR="00AA0135" w:rsidRPr="007F6CEF" w:rsidRDefault="0006734D" w:rsidP="00170B2C">
      <w:pPr>
        <w:rPr>
          <w:lang w:val="ru-RU"/>
        </w:rPr>
      </w:pPr>
      <w:r w:rsidRPr="007F6CEF">
        <w:rPr>
          <w:lang w:val="ru-RU"/>
        </w:rPr>
        <w:t>3</w:t>
      </w:r>
      <w:r w:rsidR="00604902" w:rsidRPr="007F6CEF">
        <w:rPr>
          <w:lang w:val="ru-RU"/>
        </w:rPr>
        <w:t>0</w:t>
      </w:r>
      <w:r w:rsidRPr="007F6CEF">
        <w:rPr>
          <w:lang w:val="ru-RU"/>
        </w:rPr>
        <w:tab/>
      </w:r>
      <w:r w:rsidR="00604902" w:rsidRPr="007F6CEF">
        <w:rPr>
          <w:lang w:val="ru-RU"/>
        </w:rPr>
        <w:t>В 2013</w:t>
      </w:r>
      <w:r w:rsidR="00052ECD" w:rsidRPr="007F6CEF">
        <w:rPr>
          <w:lang w:val="ru-RU"/>
        </w:rPr>
        <w:t xml:space="preserve"> году </w:t>
      </w:r>
      <w:r w:rsidR="00344CCB" w:rsidRPr="007F6CEF">
        <w:rPr>
          <w:lang w:val="ru-RU"/>
        </w:rPr>
        <w:t>статьи</w:t>
      </w:r>
      <w:r w:rsidR="00604902" w:rsidRPr="007F6CEF">
        <w:rPr>
          <w:lang w:val="ru-RU"/>
        </w:rPr>
        <w:t xml:space="preserve">, включающие публикации, сувениры и предметы снабжения, </w:t>
      </w:r>
      <w:r w:rsidR="00052ECD" w:rsidRPr="007F6CEF">
        <w:rPr>
          <w:lang w:val="ru-RU"/>
        </w:rPr>
        <w:t>были учтены по чистой стоимости в размере 0,</w:t>
      </w:r>
      <w:r w:rsidR="00604902" w:rsidRPr="007F6CEF">
        <w:rPr>
          <w:lang w:val="ru-RU"/>
        </w:rPr>
        <w:t>8</w:t>
      </w:r>
      <w:r w:rsidR="00AA0135" w:rsidRPr="007F6CEF">
        <w:rPr>
          <w:lang w:val="ru-RU"/>
        </w:rPr>
        <w:t xml:space="preserve"> </w:t>
      </w:r>
      <w:r w:rsidR="00345A13" w:rsidRPr="007F6CEF">
        <w:rPr>
          <w:spacing w:val="1"/>
          <w:lang w:val="ru-RU"/>
        </w:rPr>
        <w:t>млн. швейцарских франков</w:t>
      </w:r>
      <w:r w:rsidR="00052ECD" w:rsidRPr="007F6CEF">
        <w:rPr>
          <w:spacing w:val="1"/>
          <w:lang w:val="ru-RU"/>
        </w:rPr>
        <w:t>, у</w:t>
      </w:r>
      <w:r w:rsidR="00604902" w:rsidRPr="007F6CEF">
        <w:rPr>
          <w:spacing w:val="1"/>
          <w:lang w:val="ru-RU"/>
        </w:rPr>
        <w:t>велич</w:t>
      </w:r>
      <w:r w:rsidR="00052ECD" w:rsidRPr="007F6CEF">
        <w:rPr>
          <w:spacing w:val="1"/>
          <w:lang w:val="ru-RU"/>
        </w:rPr>
        <w:t xml:space="preserve">ившись на </w:t>
      </w:r>
      <w:r w:rsidR="00604902" w:rsidRPr="007F6CEF">
        <w:rPr>
          <w:spacing w:val="1"/>
          <w:lang w:val="ru-RU"/>
        </w:rPr>
        <w:t>82</w:t>
      </w:r>
      <w:r w:rsidR="00604902" w:rsidRPr="007F6CEF">
        <w:rPr>
          <w:lang w:val="ru-RU"/>
        </w:rPr>
        <w:t> </w:t>
      </w:r>
      <w:r w:rsidR="00604902" w:rsidRPr="007F6CEF">
        <w:rPr>
          <w:spacing w:val="1"/>
          <w:lang w:val="ru-RU"/>
        </w:rPr>
        <w:t>тыс</w:t>
      </w:r>
      <w:r w:rsidR="00345A13" w:rsidRPr="007F6CEF">
        <w:rPr>
          <w:spacing w:val="1"/>
          <w:lang w:val="ru-RU"/>
        </w:rPr>
        <w:t>. швейцарских франков</w:t>
      </w:r>
      <w:r w:rsidR="00345A13" w:rsidRPr="007F6CEF">
        <w:rPr>
          <w:lang w:val="ru-RU"/>
        </w:rPr>
        <w:t xml:space="preserve"> </w:t>
      </w:r>
      <w:r w:rsidR="00052ECD" w:rsidRPr="007F6CEF">
        <w:rPr>
          <w:lang w:val="ru-RU"/>
        </w:rPr>
        <w:t xml:space="preserve">по сравнению с чистой стоимостью в размере </w:t>
      </w:r>
      <w:r w:rsidR="00604902" w:rsidRPr="007F6CEF">
        <w:rPr>
          <w:lang w:val="ru-RU"/>
        </w:rPr>
        <w:t>0</w:t>
      </w:r>
      <w:r w:rsidR="00052ECD" w:rsidRPr="007F6CEF">
        <w:rPr>
          <w:lang w:val="ru-RU"/>
        </w:rPr>
        <w:t>,</w:t>
      </w:r>
      <w:r w:rsidR="00604902" w:rsidRPr="007F6CEF">
        <w:rPr>
          <w:lang w:val="ru-RU"/>
        </w:rPr>
        <w:t>7</w:t>
      </w:r>
      <w:r w:rsidR="00AA0135" w:rsidRPr="007F6CEF">
        <w:rPr>
          <w:lang w:val="ru-RU"/>
        </w:rPr>
        <w:t xml:space="preserve"> </w:t>
      </w:r>
      <w:r w:rsidR="00345A13" w:rsidRPr="007F6CEF">
        <w:rPr>
          <w:spacing w:val="1"/>
          <w:lang w:val="ru-RU"/>
        </w:rPr>
        <w:t>млн. швейцарских франков</w:t>
      </w:r>
      <w:r w:rsidR="00052ECD" w:rsidRPr="007F6CEF">
        <w:rPr>
          <w:spacing w:val="1"/>
          <w:lang w:val="ru-RU"/>
        </w:rPr>
        <w:t xml:space="preserve"> в 201</w:t>
      </w:r>
      <w:r w:rsidR="00604902" w:rsidRPr="007F6CEF">
        <w:rPr>
          <w:spacing w:val="1"/>
          <w:lang w:val="ru-RU"/>
        </w:rPr>
        <w:t>2 </w:t>
      </w:r>
      <w:r w:rsidR="00052ECD" w:rsidRPr="007F6CEF">
        <w:rPr>
          <w:spacing w:val="1"/>
          <w:lang w:val="ru-RU"/>
        </w:rPr>
        <w:t>году</w:t>
      </w:r>
      <w:r w:rsidR="00AA0135" w:rsidRPr="007F6CEF">
        <w:rPr>
          <w:lang w:val="ru-RU"/>
        </w:rPr>
        <w:t xml:space="preserve">. </w:t>
      </w:r>
      <w:r w:rsidR="00604902" w:rsidRPr="007F6CEF">
        <w:rPr>
          <w:lang w:val="ru-RU"/>
        </w:rPr>
        <w:t xml:space="preserve">В 2012 году </w:t>
      </w:r>
      <w:r w:rsidR="00344CCB" w:rsidRPr="007F6CEF">
        <w:rPr>
          <w:lang w:val="ru-RU"/>
        </w:rPr>
        <w:t>она уменьшила</w:t>
      </w:r>
      <w:r w:rsidR="00604902" w:rsidRPr="007F6CEF">
        <w:rPr>
          <w:lang w:val="ru-RU"/>
        </w:rPr>
        <w:t xml:space="preserve">сь на 0,4 млн. швейцарских франков по сравнению с чистой стоимостью в размере 1,1 млн. швейцарских франков в 2011 году. </w:t>
      </w:r>
      <w:r w:rsidR="006D30AE" w:rsidRPr="007F6CEF">
        <w:rPr>
          <w:lang w:val="ru-RU"/>
        </w:rPr>
        <w:t>Запасы под</w:t>
      </w:r>
      <w:r w:rsidR="00604902" w:rsidRPr="007F6CEF">
        <w:rPr>
          <w:lang w:val="ru-RU"/>
        </w:rPr>
        <w:t>робно описываются в Примечании 10</w:t>
      </w:r>
      <w:r w:rsidR="006D30AE" w:rsidRPr="007F6CEF">
        <w:rPr>
          <w:lang w:val="ru-RU"/>
        </w:rPr>
        <w:t xml:space="preserve"> к Отчету </w:t>
      </w:r>
      <w:r w:rsidR="004C17DC" w:rsidRPr="007F6CEF">
        <w:rPr>
          <w:lang w:val="ru-RU"/>
        </w:rPr>
        <w:t>о финансовой деятельности</w:t>
      </w:r>
      <w:r w:rsidR="00AA0135" w:rsidRPr="007F6CEF">
        <w:rPr>
          <w:lang w:val="ru-RU"/>
        </w:rPr>
        <w:t>.</w:t>
      </w:r>
    </w:p>
    <w:p w:rsidR="00AA0135" w:rsidRPr="007F6CEF" w:rsidRDefault="001E23C0" w:rsidP="00170B2C">
      <w:pPr>
        <w:rPr>
          <w:lang w:val="ru-RU"/>
        </w:rPr>
      </w:pPr>
      <w:r w:rsidRPr="007F6CEF">
        <w:rPr>
          <w:lang w:val="ru-RU"/>
        </w:rPr>
        <w:t>31</w:t>
      </w:r>
      <w:r w:rsidR="0006734D" w:rsidRPr="007F6CEF">
        <w:rPr>
          <w:lang w:val="ru-RU"/>
        </w:rPr>
        <w:tab/>
      </w:r>
      <w:r w:rsidR="00344CCB" w:rsidRPr="007F6CEF">
        <w:rPr>
          <w:lang w:val="ru-RU"/>
        </w:rPr>
        <w:t xml:space="preserve">Мы получили и проверили списки активов, сравнив их со списками за предыдущий год. </w:t>
      </w:r>
      <w:r w:rsidR="00EB65CB" w:rsidRPr="007F6CEF">
        <w:rPr>
          <w:lang w:val="ru-RU"/>
        </w:rPr>
        <w:t>Не </w:t>
      </w:r>
      <w:r w:rsidR="00E95959" w:rsidRPr="007F6CEF">
        <w:rPr>
          <w:lang w:val="ru-RU"/>
        </w:rPr>
        <w:t xml:space="preserve">было выявлено никаких крупных проблем, которые могли бы оказать воздействие на счета на дату их закрытия </w:t>
      </w:r>
      <w:r w:rsidR="00AA0135" w:rsidRPr="007F6CEF">
        <w:rPr>
          <w:lang w:val="ru-RU"/>
        </w:rPr>
        <w:t>(31.12.201</w:t>
      </w:r>
      <w:r w:rsidR="00403BB0" w:rsidRPr="007F6CEF">
        <w:rPr>
          <w:lang w:val="ru-RU"/>
        </w:rPr>
        <w:t>3</w:t>
      </w:r>
      <w:r w:rsidR="009040C2" w:rsidRPr="007F6CEF">
        <w:rPr>
          <w:lang w:val="ru-RU"/>
        </w:rPr>
        <w:t> г.</w:t>
      </w:r>
      <w:r w:rsidR="00AA0135" w:rsidRPr="007F6CEF">
        <w:rPr>
          <w:lang w:val="ru-RU"/>
        </w:rPr>
        <w:t xml:space="preserve">). </w:t>
      </w:r>
    </w:p>
    <w:p w:rsidR="00AA0135" w:rsidRPr="007F6CEF" w:rsidRDefault="0037746C" w:rsidP="00170B2C">
      <w:pPr>
        <w:pStyle w:val="Headingb"/>
        <w:rPr>
          <w:lang w:val="ru-RU"/>
        </w:rPr>
      </w:pPr>
      <w:bookmarkStart w:id="104" w:name="_Ref292884400"/>
      <w:bookmarkStart w:id="105" w:name="_Toc324506726"/>
      <w:bookmarkStart w:id="106" w:name="_Toc325622854"/>
      <w:bookmarkStart w:id="107" w:name="_Toc356330882"/>
      <w:bookmarkStart w:id="108" w:name="_Toc358192832"/>
      <w:bookmarkStart w:id="109" w:name="_Toc398125317"/>
      <w:bookmarkStart w:id="110" w:name="_Toc398125796"/>
      <w:bookmarkStart w:id="111" w:name="_Toc398127089"/>
      <w:r w:rsidRPr="007F6CEF">
        <w:rPr>
          <w:lang w:val="ru-RU"/>
        </w:rPr>
        <w:t>Нетекущие</w:t>
      </w:r>
      <w:r w:rsidR="00AA0135" w:rsidRPr="007F6CEF">
        <w:rPr>
          <w:lang w:val="ru-RU"/>
        </w:rPr>
        <w:t xml:space="preserve"> </w:t>
      </w:r>
      <w:r w:rsidR="00D56180" w:rsidRPr="007F6CEF">
        <w:rPr>
          <w:lang w:val="ru-RU"/>
        </w:rPr>
        <w:t>активы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AA0135" w:rsidRPr="007F6CEF" w:rsidRDefault="00BD0D95" w:rsidP="00170B2C">
      <w:pPr>
        <w:rPr>
          <w:lang w:val="ru-RU"/>
        </w:rPr>
      </w:pPr>
      <w:r w:rsidRPr="007F6CEF">
        <w:rPr>
          <w:lang w:val="ru-RU"/>
        </w:rPr>
        <w:t>32</w:t>
      </w:r>
      <w:r w:rsidR="0006734D" w:rsidRPr="007F6CEF">
        <w:rPr>
          <w:lang w:val="ru-RU"/>
        </w:rPr>
        <w:tab/>
      </w:r>
      <w:r w:rsidR="0037746C" w:rsidRPr="007F6CEF">
        <w:rPr>
          <w:lang w:val="ru-RU"/>
        </w:rPr>
        <w:t>Объем нетекущих</w:t>
      </w:r>
      <w:r w:rsidR="00AA0135" w:rsidRPr="007F6CEF">
        <w:rPr>
          <w:lang w:val="ru-RU"/>
        </w:rPr>
        <w:t xml:space="preserve"> </w:t>
      </w:r>
      <w:r w:rsidR="00D56180" w:rsidRPr="007F6CEF">
        <w:rPr>
          <w:lang w:val="ru-RU"/>
        </w:rPr>
        <w:t>актив</w:t>
      </w:r>
      <w:r w:rsidR="0037746C" w:rsidRPr="007F6CEF">
        <w:rPr>
          <w:lang w:val="ru-RU"/>
        </w:rPr>
        <w:t>ов</w:t>
      </w:r>
      <w:r w:rsidR="00AA0135" w:rsidRPr="007F6CEF">
        <w:rPr>
          <w:lang w:val="ru-RU"/>
        </w:rPr>
        <w:t xml:space="preserve"> </w:t>
      </w:r>
      <w:r w:rsidR="00600344" w:rsidRPr="007F6CEF">
        <w:rPr>
          <w:lang w:val="ru-RU"/>
        </w:rPr>
        <w:t>по состоянию на</w:t>
      </w:r>
      <w:r w:rsidR="00E1603F" w:rsidRPr="007F6CEF">
        <w:rPr>
          <w:lang w:val="ru-RU"/>
        </w:rPr>
        <w:t xml:space="preserve"> </w:t>
      </w:r>
      <w:r w:rsidR="00600344" w:rsidRPr="007F6CEF">
        <w:rPr>
          <w:lang w:val="ru-RU"/>
        </w:rPr>
        <w:t>31 декабря 201</w:t>
      </w:r>
      <w:r w:rsidRPr="007F6CEF">
        <w:rPr>
          <w:lang w:val="ru-RU"/>
        </w:rPr>
        <w:t>3</w:t>
      </w:r>
      <w:r w:rsidR="00600344" w:rsidRPr="007F6CEF">
        <w:rPr>
          <w:lang w:val="ru-RU"/>
        </w:rPr>
        <w:t xml:space="preserve"> года</w:t>
      </w:r>
      <w:r w:rsidR="00AA0135" w:rsidRPr="007F6CEF">
        <w:rPr>
          <w:lang w:val="ru-RU"/>
        </w:rPr>
        <w:t xml:space="preserve"> </w:t>
      </w:r>
      <w:r w:rsidR="0037746C" w:rsidRPr="007F6CEF">
        <w:rPr>
          <w:lang w:val="ru-RU"/>
        </w:rPr>
        <w:t xml:space="preserve">составил в целом </w:t>
      </w:r>
      <w:r w:rsidR="00AA0135" w:rsidRPr="007F6CEF">
        <w:rPr>
          <w:lang w:val="ru-RU"/>
        </w:rPr>
        <w:t>11</w:t>
      </w:r>
      <w:r w:rsidRPr="007F6CEF">
        <w:rPr>
          <w:lang w:val="ru-RU"/>
        </w:rPr>
        <w:t>5</w:t>
      </w:r>
      <w:r w:rsidR="0037746C" w:rsidRPr="007F6CEF">
        <w:rPr>
          <w:lang w:val="ru-RU"/>
        </w:rPr>
        <w:t>,</w:t>
      </w:r>
      <w:r w:rsidRPr="007F6CEF">
        <w:rPr>
          <w:lang w:val="ru-RU"/>
        </w:rPr>
        <w:t>0</w:t>
      </w:r>
      <w:r w:rsidR="008B59A5" w:rsidRPr="007F6CEF">
        <w:rPr>
          <w:lang w:val="ru-RU"/>
        </w:rPr>
        <w:t> </w:t>
      </w:r>
      <w:r w:rsidR="00345A13" w:rsidRPr="007F6CEF">
        <w:rPr>
          <w:spacing w:val="1"/>
          <w:lang w:val="ru-RU"/>
        </w:rPr>
        <w:t>млн. швейцарских франков</w:t>
      </w:r>
      <w:r w:rsidR="00AA0135" w:rsidRPr="007F6CEF">
        <w:rPr>
          <w:lang w:val="ru-RU"/>
        </w:rPr>
        <w:t xml:space="preserve">, </w:t>
      </w:r>
      <w:r w:rsidR="0037746C" w:rsidRPr="007F6CEF">
        <w:rPr>
          <w:lang w:val="ru-RU"/>
        </w:rPr>
        <w:t>сократившись на</w:t>
      </w:r>
      <w:r w:rsidRPr="007F6CEF">
        <w:rPr>
          <w:spacing w:val="-2"/>
          <w:lang w:val="ru-RU"/>
        </w:rPr>
        <w:t xml:space="preserve"> 2</w:t>
      </w:r>
      <w:r w:rsidR="0037746C" w:rsidRPr="007F6CEF">
        <w:rPr>
          <w:spacing w:val="-2"/>
          <w:lang w:val="ru-RU"/>
        </w:rPr>
        <w:t>,</w:t>
      </w:r>
      <w:r w:rsidRPr="007F6CEF">
        <w:rPr>
          <w:spacing w:val="-2"/>
          <w:lang w:val="ru-RU"/>
        </w:rPr>
        <w:t>3</w:t>
      </w:r>
      <w:r w:rsidR="00AA0135" w:rsidRPr="007F6CEF">
        <w:rPr>
          <w:spacing w:val="-2"/>
          <w:lang w:val="ru-RU"/>
        </w:rPr>
        <w:t xml:space="preserve"> </w:t>
      </w:r>
      <w:r w:rsidR="00345A13" w:rsidRPr="007F6CEF">
        <w:rPr>
          <w:spacing w:val="1"/>
          <w:lang w:val="ru-RU"/>
        </w:rPr>
        <w:t>млн. швейцарских франков</w:t>
      </w:r>
      <w:r w:rsidR="00345A13" w:rsidRPr="007F6CEF">
        <w:rPr>
          <w:spacing w:val="-2"/>
          <w:lang w:val="ru-RU"/>
        </w:rPr>
        <w:t xml:space="preserve"> </w:t>
      </w:r>
      <w:r w:rsidR="0037746C" w:rsidRPr="007F6CEF">
        <w:rPr>
          <w:spacing w:val="-2"/>
          <w:lang w:val="ru-RU"/>
        </w:rPr>
        <w:t>(</w:t>
      </w:r>
      <w:r w:rsidR="008B59A5" w:rsidRPr="007F6CEF">
        <w:rPr>
          <w:spacing w:val="-2"/>
          <w:lang w:val="ru-RU"/>
        </w:rPr>
        <w:t>−</w:t>
      </w:r>
      <w:r w:rsidRPr="007F6CEF">
        <w:rPr>
          <w:spacing w:val="-2"/>
          <w:lang w:val="ru-RU"/>
        </w:rPr>
        <w:t>2</w:t>
      </w:r>
      <w:r w:rsidR="00AA0135" w:rsidRPr="007F6CEF">
        <w:rPr>
          <w:spacing w:val="-2"/>
          <w:lang w:val="ru-RU"/>
        </w:rPr>
        <w:t xml:space="preserve">%) </w:t>
      </w:r>
      <w:r w:rsidR="0037746C" w:rsidRPr="007F6CEF">
        <w:rPr>
          <w:spacing w:val="-2"/>
          <w:lang w:val="ru-RU"/>
        </w:rPr>
        <w:t>по сравнению с</w:t>
      </w:r>
      <w:r w:rsidR="00AA0135" w:rsidRPr="007F6CEF">
        <w:rPr>
          <w:spacing w:val="-2"/>
          <w:lang w:val="ru-RU"/>
        </w:rPr>
        <w:t xml:space="preserve"> </w:t>
      </w:r>
      <w:r w:rsidR="00AA0135" w:rsidRPr="007F6CEF">
        <w:rPr>
          <w:lang w:val="ru-RU"/>
        </w:rPr>
        <w:t>201</w:t>
      </w:r>
      <w:r w:rsidRPr="007F6CEF">
        <w:rPr>
          <w:lang w:val="ru-RU"/>
        </w:rPr>
        <w:t>2</w:t>
      </w:r>
      <w:r w:rsidR="00AA0135" w:rsidRPr="007F6CEF">
        <w:rPr>
          <w:spacing w:val="-2"/>
          <w:lang w:val="ru-RU"/>
        </w:rPr>
        <w:t xml:space="preserve"> </w:t>
      </w:r>
      <w:r w:rsidR="0037746C" w:rsidRPr="007F6CEF">
        <w:rPr>
          <w:spacing w:val="-2"/>
          <w:lang w:val="ru-RU"/>
        </w:rPr>
        <w:t>год</w:t>
      </w:r>
      <w:r w:rsidR="00344CCB" w:rsidRPr="007F6CEF">
        <w:rPr>
          <w:spacing w:val="-2"/>
          <w:lang w:val="ru-RU"/>
        </w:rPr>
        <w:t xml:space="preserve">ом, когда их объем составлял </w:t>
      </w:r>
      <w:r w:rsidRPr="007F6CEF">
        <w:rPr>
          <w:lang w:val="ru-RU"/>
        </w:rPr>
        <w:t xml:space="preserve">117,3 млн. швейцарских франков. В 2012 году </w:t>
      </w:r>
      <w:r w:rsidR="00344CCB" w:rsidRPr="007F6CEF">
        <w:rPr>
          <w:lang w:val="ru-RU"/>
        </w:rPr>
        <w:t xml:space="preserve">они сократились на </w:t>
      </w:r>
      <w:r w:rsidRPr="007F6CEF">
        <w:rPr>
          <w:lang w:val="ru-RU"/>
        </w:rPr>
        <w:t>4,5 млн. швейцарских франков (</w:t>
      </w:r>
      <w:r w:rsidR="00C245C7" w:rsidRPr="007F6CEF">
        <w:rPr>
          <w:lang w:val="ru-RU"/>
        </w:rPr>
        <w:t>−</w:t>
      </w:r>
      <w:r w:rsidRPr="007F6CEF">
        <w:rPr>
          <w:lang w:val="ru-RU"/>
        </w:rPr>
        <w:t xml:space="preserve">3,7%) </w:t>
      </w:r>
      <w:r w:rsidR="00344CCB" w:rsidRPr="007F6CEF">
        <w:rPr>
          <w:lang w:val="ru-RU"/>
        </w:rPr>
        <w:t xml:space="preserve">по сравнению с данными за 2011 год </w:t>
      </w:r>
      <w:r w:rsidRPr="007F6CEF">
        <w:rPr>
          <w:lang w:val="ru-RU"/>
        </w:rPr>
        <w:t>(121,7 млн. швейцарских франков)</w:t>
      </w:r>
      <w:r w:rsidR="00AA0135" w:rsidRPr="007F6CEF">
        <w:rPr>
          <w:spacing w:val="-2"/>
          <w:lang w:val="ru-RU"/>
        </w:rPr>
        <w:t xml:space="preserve">, </w:t>
      </w:r>
      <w:r w:rsidR="0037746C" w:rsidRPr="007F6CEF">
        <w:rPr>
          <w:spacing w:val="-2"/>
          <w:lang w:val="ru-RU"/>
        </w:rPr>
        <w:t xml:space="preserve">что объясняется в основном </w:t>
      </w:r>
      <w:r w:rsidR="0025064C" w:rsidRPr="007F6CEF">
        <w:rPr>
          <w:spacing w:val="-2"/>
          <w:lang w:val="ru-RU"/>
        </w:rPr>
        <w:t>амортизацией</w:t>
      </w:r>
      <w:r w:rsidR="0037746C" w:rsidRPr="007F6CEF">
        <w:rPr>
          <w:spacing w:val="-2"/>
          <w:lang w:val="ru-RU"/>
        </w:rPr>
        <w:t xml:space="preserve"> зданий МСЭ. </w:t>
      </w:r>
      <w:r w:rsidR="0025064C" w:rsidRPr="007F6CEF">
        <w:rPr>
          <w:spacing w:val="-2"/>
          <w:lang w:val="ru-RU"/>
        </w:rPr>
        <w:t xml:space="preserve">Основа оценки нетекущих активов приводится в </w:t>
      </w:r>
      <w:r w:rsidR="00DF12A9" w:rsidRPr="007F6CEF">
        <w:rPr>
          <w:lang w:val="ru-RU"/>
        </w:rPr>
        <w:t>П</w:t>
      </w:r>
      <w:r w:rsidR="0025064C" w:rsidRPr="007F6CEF">
        <w:rPr>
          <w:lang w:val="ru-RU"/>
        </w:rPr>
        <w:t>ринципах бухгалтерского учета (Примечание</w:t>
      </w:r>
      <w:r w:rsidR="00AA0135" w:rsidRPr="007F6CEF">
        <w:rPr>
          <w:lang w:val="ru-RU"/>
        </w:rPr>
        <w:t xml:space="preserve"> 3).</w:t>
      </w:r>
    </w:p>
    <w:p w:rsidR="00AA0135" w:rsidRPr="007F6CEF" w:rsidRDefault="00C245C7" w:rsidP="00170B2C">
      <w:pPr>
        <w:rPr>
          <w:lang w:val="ru-RU"/>
        </w:rPr>
      </w:pPr>
      <w:r w:rsidRPr="007F6CEF">
        <w:rPr>
          <w:lang w:val="ru-RU"/>
        </w:rPr>
        <w:t>33</w:t>
      </w:r>
      <w:r w:rsidR="0006734D" w:rsidRPr="007F6CEF">
        <w:rPr>
          <w:lang w:val="ru-RU"/>
        </w:rPr>
        <w:tab/>
      </w:r>
      <w:r w:rsidR="0025064C" w:rsidRPr="007F6CEF">
        <w:rPr>
          <w:lang w:val="ru-RU"/>
        </w:rPr>
        <w:t>Э</w:t>
      </w:r>
      <w:r w:rsidR="00DF12A9" w:rsidRPr="007F6CEF">
        <w:rPr>
          <w:lang w:val="ru-RU"/>
        </w:rPr>
        <w:t>тот раздел включает "М</w:t>
      </w:r>
      <w:r w:rsidR="003A417A" w:rsidRPr="007F6CEF">
        <w:rPr>
          <w:lang w:val="ru-RU"/>
        </w:rPr>
        <w:t>атериальные активы</w:t>
      </w:r>
      <w:r w:rsidR="0025064C" w:rsidRPr="007F6CEF">
        <w:rPr>
          <w:lang w:val="ru-RU"/>
        </w:rPr>
        <w:t xml:space="preserve">" </w:t>
      </w:r>
      <w:r w:rsidR="000C1802" w:rsidRPr="007F6CEF">
        <w:rPr>
          <w:lang w:val="ru-RU"/>
        </w:rPr>
        <w:t>на сумму</w:t>
      </w:r>
      <w:r w:rsidRPr="007F6CEF">
        <w:rPr>
          <w:lang w:val="ru-RU"/>
        </w:rPr>
        <w:t xml:space="preserve"> </w:t>
      </w:r>
      <w:r w:rsidR="00AA0135" w:rsidRPr="007F6CEF">
        <w:rPr>
          <w:lang w:val="ru-RU"/>
        </w:rPr>
        <w:t>11</w:t>
      </w:r>
      <w:r w:rsidRPr="007F6CEF">
        <w:rPr>
          <w:lang w:val="ru-RU"/>
        </w:rPr>
        <w:t>2</w:t>
      </w:r>
      <w:r w:rsidR="00AA0135" w:rsidRPr="007F6CEF">
        <w:rPr>
          <w:lang w:val="ru-RU"/>
        </w:rPr>
        <w:t xml:space="preserve">,1 </w:t>
      </w:r>
      <w:r w:rsidR="00345A13" w:rsidRPr="007F6CEF">
        <w:rPr>
          <w:spacing w:val="1"/>
          <w:lang w:val="ru-RU"/>
        </w:rPr>
        <w:t>млн. швейцарских франков</w:t>
      </w:r>
      <w:r w:rsidR="0025064C" w:rsidRPr="007F6CEF">
        <w:rPr>
          <w:lang w:val="ru-RU"/>
        </w:rPr>
        <w:t>, доля которых составляет 9</w:t>
      </w:r>
      <w:r w:rsidR="00917CF0" w:rsidRPr="007F6CEF">
        <w:rPr>
          <w:lang w:val="ru-RU"/>
        </w:rPr>
        <w:t>7</w:t>
      </w:r>
      <w:r w:rsidR="0025064C" w:rsidRPr="007F6CEF">
        <w:rPr>
          <w:lang w:val="ru-RU"/>
        </w:rPr>
        <w:t>,</w:t>
      </w:r>
      <w:r w:rsidR="00917CF0" w:rsidRPr="007F6CEF">
        <w:rPr>
          <w:lang w:val="ru-RU"/>
        </w:rPr>
        <w:t>5</w:t>
      </w:r>
      <w:r w:rsidR="00AA0135" w:rsidRPr="007F6CEF">
        <w:rPr>
          <w:lang w:val="ru-RU"/>
        </w:rPr>
        <w:t xml:space="preserve">% </w:t>
      </w:r>
      <w:r w:rsidR="0025064C" w:rsidRPr="007F6CEF">
        <w:rPr>
          <w:lang w:val="ru-RU"/>
        </w:rPr>
        <w:t>от общего объема нетекущих активов</w:t>
      </w:r>
      <w:r w:rsidR="00917CF0" w:rsidRPr="007F6CEF">
        <w:rPr>
          <w:lang w:val="ru-RU"/>
        </w:rPr>
        <w:t xml:space="preserve"> (в 2012 г. − 116,1 млн. швейцарских франков, </w:t>
      </w:r>
      <w:r w:rsidR="000C1802" w:rsidRPr="007F6CEF">
        <w:rPr>
          <w:lang w:val="ru-RU"/>
        </w:rPr>
        <w:t>или</w:t>
      </w:r>
      <w:r w:rsidR="00917CF0" w:rsidRPr="007F6CEF">
        <w:rPr>
          <w:lang w:val="ru-RU"/>
        </w:rPr>
        <w:t xml:space="preserve"> 99,0% от общего объема нетекущих активов)</w:t>
      </w:r>
      <w:r w:rsidR="0025064C" w:rsidRPr="007F6CEF">
        <w:rPr>
          <w:lang w:val="ru-RU"/>
        </w:rPr>
        <w:t xml:space="preserve">, и </w:t>
      </w:r>
      <w:r w:rsidR="00DF12A9" w:rsidRPr="007F6CEF">
        <w:rPr>
          <w:lang w:val="ru-RU"/>
        </w:rPr>
        <w:t>"Н</w:t>
      </w:r>
      <w:r w:rsidR="00917CF0" w:rsidRPr="007F6CEF">
        <w:rPr>
          <w:lang w:val="ru-RU"/>
        </w:rPr>
        <w:t xml:space="preserve">ематериальные активы" </w:t>
      </w:r>
      <w:r w:rsidR="000C1802" w:rsidRPr="007F6CEF">
        <w:rPr>
          <w:lang w:val="ru-RU"/>
        </w:rPr>
        <w:t>на сумму</w:t>
      </w:r>
      <w:r w:rsidR="00917CF0" w:rsidRPr="007F6CEF">
        <w:rPr>
          <w:lang w:val="ru-RU"/>
        </w:rPr>
        <w:t xml:space="preserve"> 2</w:t>
      </w:r>
      <w:r w:rsidR="00D54184" w:rsidRPr="007F6CEF">
        <w:rPr>
          <w:lang w:val="ru-RU"/>
        </w:rPr>
        <w:t>,</w:t>
      </w:r>
      <w:r w:rsidR="00917CF0" w:rsidRPr="007F6CEF">
        <w:rPr>
          <w:lang w:val="ru-RU"/>
        </w:rPr>
        <w:t>9</w:t>
      </w:r>
      <w:r w:rsidR="009040C2" w:rsidRPr="007F6CEF">
        <w:rPr>
          <w:lang w:val="ru-RU"/>
        </w:rPr>
        <w:t> </w:t>
      </w:r>
      <w:r w:rsidR="00345A13" w:rsidRPr="007F6CEF">
        <w:rPr>
          <w:spacing w:val="1"/>
          <w:lang w:val="ru-RU"/>
        </w:rPr>
        <w:t>млн. швейцарских франков</w:t>
      </w:r>
      <w:r w:rsidR="00D54184" w:rsidRPr="007F6CEF">
        <w:rPr>
          <w:lang w:val="ru-RU"/>
        </w:rPr>
        <w:t xml:space="preserve">, </w:t>
      </w:r>
      <w:r w:rsidR="00D56180" w:rsidRPr="007F6CEF">
        <w:rPr>
          <w:lang w:val="ru-RU"/>
        </w:rPr>
        <w:t>доля</w:t>
      </w:r>
      <w:r w:rsidR="00917CF0" w:rsidRPr="007F6CEF">
        <w:rPr>
          <w:lang w:val="ru-RU"/>
        </w:rPr>
        <w:t> − 2</w:t>
      </w:r>
      <w:r w:rsidR="00D54184" w:rsidRPr="007F6CEF">
        <w:rPr>
          <w:lang w:val="ru-RU"/>
        </w:rPr>
        <w:t>,</w:t>
      </w:r>
      <w:r w:rsidR="00917CF0" w:rsidRPr="007F6CEF">
        <w:rPr>
          <w:lang w:val="ru-RU"/>
        </w:rPr>
        <w:t>5</w:t>
      </w:r>
      <w:r w:rsidR="00D54184" w:rsidRPr="007F6CEF">
        <w:rPr>
          <w:lang w:val="ru-RU"/>
        </w:rPr>
        <w:t>%</w:t>
      </w:r>
      <w:r w:rsidR="00917CF0" w:rsidRPr="007F6CEF">
        <w:rPr>
          <w:lang w:val="ru-RU"/>
        </w:rPr>
        <w:t xml:space="preserve"> (в 2012 г. − 1,2 млн. швейцарских франков, доля − 1,0%</w:t>
      </w:r>
      <w:r w:rsidR="00AA0135" w:rsidRPr="007F6CEF">
        <w:rPr>
          <w:lang w:val="ru-RU"/>
        </w:rPr>
        <w:t xml:space="preserve">). </w:t>
      </w:r>
      <w:r w:rsidR="00D54184" w:rsidRPr="007F6CEF">
        <w:rPr>
          <w:lang w:val="ru-RU"/>
        </w:rPr>
        <w:t>Они показаны, соответственно, в Примечании 1</w:t>
      </w:r>
      <w:r w:rsidR="00917CF0" w:rsidRPr="007F6CEF">
        <w:rPr>
          <w:lang w:val="ru-RU"/>
        </w:rPr>
        <w:t>2</w:t>
      </w:r>
      <w:r w:rsidR="00D54184" w:rsidRPr="007F6CEF">
        <w:rPr>
          <w:lang w:val="ru-RU"/>
        </w:rPr>
        <w:t xml:space="preserve"> и Примечании 1</w:t>
      </w:r>
      <w:r w:rsidR="00917CF0" w:rsidRPr="007F6CEF">
        <w:rPr>
          <w:lang w:val="ru-RU"/>
        </w:rPr>
        <w:t>3</w:t>
      </w:r>
      <w:r w:rsidR="00D54184" w:rsidRPr="007F6CEF">
        <w:rPr>
          <w:lang w:val="ru-RU"/>
        </w:rPr>
        <w:t xml:space="preserve"> </w:t>
      </w:r>
      <w:r w:rsidR="004C17DC" w:rsidRPr="007F6CEF">
        <w:rPr>
          <w:lang w:val="ru-RU"/>
        </w:rPr>
        <w:t>Отчет</w:t>
      </w:r>
      <w:r w:rsidR="00D54184" w:rsidRPr="007F6CEF">
        <w:rPr>
          <w:lang w:val="ru-RU"/>
        </w:rPr>
        <w:t>а</w:t>
      </w:r>
      <w:r w:rsidR="004C17DC" w:rsidRPr="007F6CEF">
        <w:rPr>
          <w:lang w:val="ru-RU"/>
        </w:rPr>
        <w:t xml:space="preserve"> о финансовой деятельности</w:t>
      </w:r>
      <w:r w:rsidR="00AA0135" w:rsidRPr="007F6CEF">
        <w:rPr>
          <w:lang w:val="ru-RU"/>
        </w:rPr>
        <w:t>.</w:t>
      </w:r>
    </w:p>
    <w:p w:rsidR="00AA0135" w:rsidRPr="007F6CEF" w:rsidRDefault="00D54184" w:rsidP="00170B2C">
      <w:pPr>
        <w:pStyle w:val="Headingb"/>
        <w:rPr>
          <w:lang w:val="ru-RU"/>
        </w:rPr>
      </w:pPr>
      <w:bookmarkStart w:id="112" w:name="_Toc358192833"/>
      <w:bookmarkStart w:id="113" w:name="_Toc398125318"/>
      <w:bookmarkStart w:id="114" w:name="_Toc398125797"/>
      <w:bookmarkStart w:id="115" w:name="_Toc398127090"/>
      <w:r w:rsidRPr="007F6CEF">
        <w:rPr>
          <w:lang w:val="ru-RU"/>
        </w:rPr>
        <w:t>Материальные активы</w:t>
      </w:r>
      <w:bookmarkEnd w:id="112"/>
      <w:bookmarkEnd w:id="113"/>
      <w:bookmarkEnd w:id="114"/>
      <w:bookmarkEnd w:id="115"/>
    </w:p>
    <w:p w:rsidR="00AA0135" w:rsidRPr="007F6CEF" w:rsidRDefault="00B34C30" w:rsidP="00170B2C">
      <w:pPr>
        <w:rPr>
          <w:lang w:val="ru-RU"/>
        </w:rPr>
      </w:pPr>
      <w:bookmarkStart w:id="116" w:name="_Ref355125291"/>
      <w:r w:rsidRPr="007F6CEF">
        <w:rPr>
          <w:lang w:val="ru-RU"/>
        </w:rPr>
        <w:t>34</w:t>
      </w:r>
      <w:r w:rsidR="0006734D" w:rsidRPr="007F6CEF">
        <w:rPr>
          <w:lang w:val="ru-RU"/>
        </w:rPr>
        <w:tab/>
      </w:r>
      <w:r w:rsidR="00AA741F" w:rsidRPr="007F6CEF">
        <w:rPr>
          <w:lang w:val="ru-RU"/>
        </w:rPr>
        <w:t xml:space="preserve">В этом разделе приводится величина в </w:t>
      </w:r>
      <w:r w:rsidR="00AA0135" w:rsidRPr="007F6CEF">
        <w:rPr>
          <w:lang w:val="ru-RU"/>
        </w:rPr>
        <w:t>11</w:t>
      </w:r>
      <w:r w:rsidRPr="007F6CEF">
        <w:rPr>
          <w:lang w:val="ru-RU"/>
        </w:rPr>
        <w:t>2</w:t>
      </w:r>
      <w:r w:rsidR="00AA0135" w:rsidRPr="007F6CEF">
        <w:rPr>
          <w:lang w:val="ru-RU"/>
        </w:rPr>
        <w:t xml:space="preserve">,1 </w:t>
      </w:r>
      <w:r w:rsidR="00345A13" w:rsidRPr="007F6CEF">
        <w:rPr>
          <w:spacing w:val="1"/>
          <w:lang w:val="ru-RU"/>
        </w:rPr>
        <w:t>млн. швейцарских франков</w:t>
      </w:r>
      <w:r w:rsidR="00AA0135" w:rsidRPr="007F6CEF">
        <w:rPr>
          <w:lang w:val="ru-RU"/>
        </w:rPr>
        <w:t xml:space="preserve">, </w:t>
      </w:r>
      <w:r w:rsidR="00AA741F" w:rsidRPr="007F6CEF">
        <w:rPr>
          <w:lang w:val="ru-RU"/>
        </w:rPr>
        <w:t xml:space="preserve">которая представляет собой чистую </w:t>
      </w:r>
      <w:r w:rsidR="000C1802" w:rsidRPr="007F6CEF">
        <w:rPr>
          <w:lang w:val="ru-RU"/>
        </w:rPr>
        <w:t>стоимость</w:t>
      </w:r>
      <w:r w:rsidR="00AA741F" w:rsidRPr="007F6CEF">
        <w:rPr>
          <w:lang w:val="ru-RU"/>
        </w:rPr>
        <w:t xml:space="preserve"> по состоянию на </w:t>
      </w:r>
      <w:r w:rsidR="00AA0135" w:rsidRPr="007F6CEF">
        <w:rPr>
          <w:lang w:val="ru-RU"/>
        </w:rPr>
        <w:t xml:space="preserve">31 </w:t>
      </w:r>
      <w:r w:rsidR="00AA741F" w:rsidRPr="007F6CEF">
        <w:rPr>
          <w:lang w:val="ru-RU"/>
        </w:rPr>
        <w:t>декабря</w:t>
      </w:r>
      <w:r w:rsidR="00AA0135" w:rsidRPr="007F6CEF">
        <w:rPr>
          <w:lang w:val="ru-RU"/>
        </w:rPr>
        <w:t xml:space="preserve"> 201</w:t>
      </w:r>
      <w:r w:rsidRPr="007F6CEF">
        <w:rPr>
          <w:lang w:val="ru-RU"/>
        </w:rPr>
        <w:t>3</w:t>
      </w:r>
      <w:r w:rsidR="00AA0135" w:rsidRPr="007F6CEF">
        <w:rPr>
          <w:lang w:val="ru-RU"/>
        </w:rPr>
        <w:t xml:space="preserve"> </w:t>
      </w:r>
      <w:r w:rsidR="00AA741F" w:rsidRPr="007F6CEF">
        <w:rPr>
          <w:lang w:val="ru-RU"/>
        </w:rPr>
        <w:t xml:space="preserve">года капитализированных затрат на здания </w:t>
      </w:r>
      <w:r w:rsidR="00AA0135" w:rsidRPr="007F6CEF">
        <w:rPr>
          <w:lang w:val="ru-RU"/>
        </w:rPr>
        <w:t>(122</w:t>
      </w:r>
      <w:r w:rsidR="00AA741F" w:rsidRPr="007F6CEF">
        <w:rPr>
          <w:lang w:val="ru-RU"/>
        </w:rPr>
        <w:t>,</w:t>
      </w:r>
      <w:r w:rsidRPr="007F6CEF">
        <w:rPr>
          <w:lang w:val="ru-RU"/>
        </w:rPr>
        <w:t>5</w:t>
      </w:r>
      <w:r w:rsidR="00AA0135" w:rsidRPr="007F6CEF">
        <w:rPr>
          <w:lang w:val="ru-RU"/>
        </w:rPr>
        <w:t xml:space="preserve"> </w:t>
      </w:r>
      <w:r w:rsidR="00345A13" w:rsidRPr="007F6CEF">
        <w:rPr>
          <w:spacing w:val="1"/>
          <w:lang w:val="ru-RU"/>
        </w:rPr>
        <w:t>млн. швейцарских франков</w:t>
      </w:r>
      <w:r w:rsidRPr="007F6CEF">
        <w:rPr>
          <w:spacing w:val="1"/>
          <w:lang w:val="ru-RU"/>
        </w:rPr>
        <w:t>; в 2012 г. − 122,4 млн. швейцарских франков</w:t>
      </w:r>
      <w:r w:rsidR="00AA0135" w:rsidRPr="007F6CEF">
        <w:rPr>
          <w:lang w:val="ru-RU"/>
        </w:rPr>
        <w:t xml:space="preserve">), </w:t>
      </w:r>
      <w:r w:rsidR="00AA741F" w:rsidRPr="007F6CEF">
        <w:rPr>
          <w:lang w:val="ru-RU"/>
        </w:rPr>
        <w:t>машины и оборудование (</w:t>
      </w:r>
      <w:r w:rsidRPr="007F6CEF">
        <w:rPr>
          <w:lang w:val="ru-RU"/>
        </w:rPr>
        <w:t xml:space="preserve">2,9 млн. швейцарских франков; в 2012 г. − </w:t>
      </w:r>
      <w:r w:rsidR="00AA741F" w:rsidRPr="007F6CEF">
        <w:rPr>
          <w:lang w:val="ru-RU"/>
        </w:rPr>
        <w:t>3,</w:t>
      </w:r>
      <w:r w:rsidR="00AA0135" w:rsidRPr="007F6CEF">
        <w:rPr>
          <w:lang w:val="ru-RU"/>
        </w:rPr>
        <w:t xml:space="preserve">3 </w:t>
      </w:r>
      <w:r w:rsidR="00345A13" w:rsidRPr="007F6CEF">
        <w:rPr>
          <w:spacing w:val="1"/>
          <w:lang w:val="ru-RU"/>
        </w:rPr>
        <w:t>млн. швейцарских франков</w:t>
      </w:r>
      <w:r w:rsidR="00AA0135" w:rsidRPr="007F6CEF">
        <w:rPr>
          <w:lang w:val="ru-RU"/>
        </w:rPr>
        <w:t xml:space="preserve">), </w:t>
      </w:r>
      <w:r w:rsidR="00AA741F" w:rsidRPr="007F6CEF">
        <w:rPr>
          <w:lang w:val="ru-RU"/>
        </w:rPr>
        <w:t>мебель (</w:t>
      </w:r>
      <w:r w:rsidRPr="007F6CEF">
        <w:rPr>
          <w:lang w:val="ru-RU"/>
        </w:rPr>
        <w:t xml:space="preserve">в 2013 г. − </w:t>
      </w:r>
      <w:r w:rsidR="00AA741F" w:rsidRPr="007F6CEF">
        <w:rPr>
          <w:lang w:val="ru-RU"/>
        </w:rPr>
        <w:t>1,</w:t>
      </w:r>
      <w:r w:rsidR="00AA0135" w:rsidRPr="007F6CEF">
        <w:rPr>
          <w:lang w:val="ru-RU"/>
        </w:rPr>
        <w:t xml:space="preserve">6 </w:t>
      </w:r>
      <w:r w:rsidR="00345A13" w:rsidRPr="007F6CEF">
        <w:rPr>
          <w:spacing w:val="1"/>
          <w:lang w:val="ru-RU"/>
        </w:rPr>
        <w:t>млн. швейцарских франков</w:t>
      </w:r>
      <w:r w:rsidR="000C1802" w:rsidRPr="007F6CEF">
        <w:rPr>
          <w:spacing w:val="1"/>
          <w:lang w:val="ru-RU"/>
        </w:rPr>
        <w:t>;</w:t>
      </w:r>
      <w:r w:rsidRPr="007F6CEF">
        <w:rPr>
          <w:spacing w:val="1"/>
          <w:lang w:val="ru-RU"/>
        </w:rPr>
        <w:t xml:space="preserve"> </w:t>
      </w:r>
      <w:r w:rsidR="000C1802" w:rsidRPr="007F6CEF">
        <w:rPr>
          <w:spacing w:val="1"/>
          <w:lang w:val="ru-RU"/>
        </w:rPr>
        <w:t>такая же сумма</w:t>
      </w:r>
      <w:r w:rsidRPr="007F6CEF">
        <w:rPr>
          <w:spacing w:val="1"/>
          <w:lang w:val="ru-RU"/>
        </w:rPr>
        <w:t xml:space="preserve"> в 2012 г.</w:t>
      </w:r>
      <w:r w:rsidR="00AA0135" w:rsidRPr="007F6CEF">
        <w:rPr>
          <w:lang w:val="ru-RU"/>
        </w:rPr>
        <w:t xml:space="preserve">), </w:t>
      </w:r>
      <w:r w:rsidR="00AA741F" w:rsidRPr="007F6CEF">
        <w:rPr>
          <w:lang w:val="ru-RU"/>
        </w:rPr>
        <w:t>оборудование ИТ (</w:t>
      </w:r>
      <w:r w:rsidR="00EB65CB" w:rsidRPr="007F6CEF">
        <w:rPr>
          <w:lang w:val="ru-RU"/>
        </w:rPr>
        <w:t>в </w:t>
      </w:r>
      <w:r w:rsidRPr="007F6CEF">
        <w:rPr>
          <w:lang w:val="ru-RU"/>
        </w:rPr>
        <w:t xml:space="preserve">2013 г. − 10,1 млн. швейцарских франков; </w:t>
      </w:r>
      <w:r w:rsidR="000C1802" w:rsidRPr="007F6CEF">
        <w:rPr>
          <w:spacing w:val="1"/>
          <w:lang w:val="ru-RU"/>
        </w:rPr>
        <w:t>в 2012 г</w:t>
      </w:r>
      <w:r w:rsidR="000C1802" w:rsidRPr="007F6CEF">
        <w:rPr>
          <w:lang w:val="ru-RU"/>
        </w:rPr>
        <w:t xml:space="preserve">. − </w:t>
      </w:r>
      <w:r w:rsidR="00AA741F" w:rsidRPr="007F6CEF">
        <w:rPr>
          <w:lang w:val="ru-RU"/>
        </w:rPr>
        <w:t>9,</w:t>
      </w:r>
      <w:r w:rsidR="00AA0135" w:rsidRPr="007F6CEF">
        <w:rPr>
          <w:lang w:val="ru-RU"/>
        </w:rPr>
        <w:t xml:space="preserve">4 </w:t>
      </w:r>
      <w:r w:rsidR="00345A13" w:rsidRPr="007F6CEF">
        <w:rPr>
          <w:spacing w:val="1"/>
          <w:lang w:val="ru-RU"/>
        </w:rPr>
        <w:t>млн. швейцарских франков</w:t>
      </w:r>
      <w:r w:rsidR="00AA741F" w:rsidRPr="007F6CEF">
        <w:rPr>
          <w:lang w:val="ru-RU"/>
        </w:rPr>
        <w:t>)</w:t>
      </w:r>
      <w:r w:rsidR="00AA0135" w:rsidRPr="007F6CEF">
        <w:rPr>
          <w:lang w:val="ru-RU"/>
        </w:rPr>
        <w:t xml:space="preserve"> </w:t>
      </w:r>
      <w:r w:rsidR="00AA741F" w:rsidRPr="007F6CEF">
        <w:rPr>
          <w:lang w:val="ru-RU"/>
        </w:rPr>
        <w:t>и прочие активы</w:t>
      </w:r>
      <w:r w:rsidR="00281A54" w:rsidRPr="007F6CEF">
        <w:rPr>
          <w:lang w:val="ru-RU"/>
        </w:rPr>
        <w:t xml:space="preserve"> (</w:t>
      </w:r>
      <w:r w:rsidRPr="007F6CEF">
        <w:rPr>
          <w:lang w:val="ru-RU"/>
        </w:rPr>
        <w:t>в 2013 г. −</w:t>
      </w:r>
      <w:r w:rsidR="00027657" w:rsidRPr="007F6CEF">
        <w:rPr>
          <w:lang w:val="ru-RU"/>
        </w:rPr>
        <w:t xml:space="preserve"> </w:t>
      </w:r>
      <w:r w:rsidR="00281A54" w:rsidRPr="007F6CEF">
        <w:rPr>
          <w:lang w:val="ru-RU"/>
        </w:rPr>
        <w:t>0,9 </w:t>
      </w:r>
      <w:r w:rsidR="00345A13" w:rsidRPr="007F6CEF">
        <w:rPr>
          <w:spacing w:val="1"/>
          <w:lang w:val="ru-RU"/>
        </w:rPr>
        <w:t>млн. швейцарских франков</w:t>
      </w:r>
      <w:r w:rsidR="000C1802" w:rsidRPr="007F6CEF">
        <w:rPr>
          <w:spacing w:val="1"/>
          <w:lang w:val="ru-RU"/>
        </w:rPr>
        <w:t xml:space="preserve">; такая же сумма </w:t>
      </w:r>
      <w:r w:rsidRPr="007F6CEF">
        <w:rPr>
          <w:spacing w:val="1"/>
          <w:lang w:val="ru-RU"/>
        </w:rPr>
        <w:t>в 2012 г.</w:t>
      </w:r>
      <w:r w:rsidR="00281A54" w:rsidRPr="007F6CEF">
        <w:rPr>
          <w:lang w:val="ru-RU"/>
        </w:rPr>
        <w:t>) за вычетом соответствующей амортизации по каждой категории, перечисленной выше</w:t>
      </w:r>
      <w:r w:rsidR="00027657" w:rsidRPr="007F6CEF">
        <w:rPr>
          <w:lang w:val="ru-RU"/>
        </w:rPr>
        <w:t xml:space="preserve">; в 2013 году </w:t>
      </w:r>
      <w:r w:rsidR="00E11C10" w:rsidRPr="007F6CEF">
        <w:rPr>
          <w:lang w:val="ru-RU"/>
        </w:rPr>
        <w:t>совокупная</w:t>
      </w:r>
      <w:r w:rsidR="00281A54" w:rsidRPr="007F6CEF">
        <w:rPr>
          <w:lang w:val="ru-RU"/>
        </w:rPr>
        <w:t xml:space="preserve"> амортизация составила 2</w:t>
      </w:r>
      <w:r w:rsidR="00027657" w:rsidRPr="007F6CEF">
        <w:rPr>
          <w:lang w:val="ru-RU"/>
        </w:rPr>
        <w:t>6</w:t>
      </w:r>
      <w:r w:rsidR="00281A54" w:rsidRPr="007F6CEF">
        <w:rPr>
          <w:lang w:val="ru-RU"/>
        </w:rPr>
        <w:t>,</w:t>
      </w:r>
      <w:r w:rsidR="00027657" w:rsidRPr="007F6CEF">
        <w:rPr>
          <w:lang w:val="ru-RU"/>
        </w:rPr>
        <w:t>7</w:t>
      </w:r>
      <w:r w:rsidR="00DF12A9" w:rsidRPr="007F6CEF">
        <w:rPr>
          <w:lang w:val="ru-RU"/>
        </w:rPr>
        <w:t> </w:t>
      </w:r>
      <w:r w:rsidR="00345A13" w:rsidRPr="007F6CEF">
        <w:rPr>
          <w:spacing w:val="1"/>
          <w:lang w:val="ru-RU"/>
        </w:rPr>
        <w:t>млн. швейцарских франков</w:t>
      </w:r>
      <w:r w:rsidR="00027657" w:rsidRPr="007F6CEF">
        <w:rPr>
          <w:spacing w:val="1"/>
          <w:lang w:val="ru-RU"/>
        </w:rPr>
        <w:t xml:space="preserve"> и 21</w:t>
      </w:r>
      <w:r w:rsidR="00EB65CB" w:rsidRPr="007F6CEF">
        <w:rPr>
          <w:spacing w:val="1"/>
          <w:lang w:val="ru-RU"/>
        </w:rPr>
        <w:t>,6 млн. швейцарских франков − в </w:t>
      </w:r>
      <w:r w:rsidR="00027657" w:rsidRPr="007F6CEF">
        <w:rPr>
          <w:spacing w:val="1"/>
          <w:lang w:val="ru-RU"/>
        </w:rPr>
        <w:t>2012 году</w:t>
      </w:r>
      <w:r w:rsidR="00AA0135" w:rsidRPr="007F6CEF">
        <w:rPr>
          <w:lang w:val="ru-RU"/>
        </w:rPr>
        <w:t xml:space="preserve">. </w:t>
      </w:r>
      <w:r w:rsidR="00281A54" w:rsidRPr="007F6CEF">
        <w:rPr>
          <w:lang w:val="ru-RU"/>
        </w:rPr>
        <w:t>Это проиллюстрировано в Примечании 1</w:t>
      </w:r>
      <w:r w:rsidR="00027657" w:rsidRPr="007F6CEF">
        <w:rPr>
          <w:lang w:val="ru-RU"/>
        </w:rPr>
        <w:t>2</w:t>
      </w:r>
      <w:r w:rsidR="00281A54" w:rsidRPr="007F6CEF">
        <w:rPr>
          <w:lang w:val="ru-RU"/>
        </w:rPr>
        <w:t xml:space="preserve"> </w:t>
      </w:r>
      <w:r w:rsidR="004C17DC" w:rsidRPr="007F6CEF">
        <w:rPr>
          <w:lang w:val="ru-RU"/>
        </w:rPr>
        <w:t>Отчет</w:t>
      </w:r>
      <w:r w:rsidR="00281A54" w:rsidRPr="007F6CEF">
        <w:rPr>
          <w:lang w:val="ru-RU"/>
        </w:rPr>
        <w:t>а</w:t>
      </w:r>
      <w:r w:rsidR="004C17DC" w:rsidRPr="007F6CEF">
        <w:rPr>
          <w:lang w:val="ru-RU"/>
        </w:rPr>
        <w:t xml:space="preserve"> о финансовой деятельности</w:t>
      </w:r>
      <w:r w:rsidR="00AA0135" w:rsidRPr="007F6CEF">
        <w:rPr>
          <w:lang w:val="ru-RU"/>
        </w:rPr>
        <w:t>.</w:t>
      </w:r>
      <w:bookmarkEnd w:id="116"/>
    </w:p>
    <w:p w:rsidR="00027657" w:rsidRPr="007F6CEF" w:rsidRDefault="00027657" w:rsidP="00170B2C">
      <w:pPr>
        <w:rPr>
          <w:lang w:val="ru-RU"/>
        </w:rPr>
      </w:pPr>
      <w:r w:rsidRPr="007F6CEF">
        <w:rPr>
          <w:lang w:val="ru-RU"/>
        </w:rPr>
        <w:t>35</w:t>
      </w:r>
      <w:r w:rsidRPr="007F6CEF">
        <w:rPr>
          <w:lang w:val="ru-RU"/>
        </w:rPr>
        <w:tab/>
      </w:r>
      <w:r w:rsidR="00352FA6" w:rsidRPr="007F6CEF">
        <w:rPr>
          <w:lang w:val="ru-RU"/>
        </w:rPr>
        <w:t xml:space="preserve">В 2013 году также была учтена сумма в </w:t>
      </w:r>
      <w:r w:rsidRPr="007F6CEF">
        <w:rPr>
          <w:lang w:val="ru-RU"/>
        </w:rPr>
        <w:t>0,8 млн. швейцарских франков</w:t>
      </w:r>
      <w:r w:rsidR="00352FA6" w:rsidRPr="007F6CEF">
        <w:rPr>
          <w:lang w:val="ru-RU"/>
        </w:rPr>
        <w:t xml:space="preserve">, которая относится к активам в процессе строительства, а именно к проекту отопления библиотеки и другому проекту по обновлению низковольтного механизма управления. </w:t>
      </w:r>
    </w:p>
    <w:p w:rsidR="00AA0135" w:rsidRPr="007F6CEF" w:rsidRDefault="00027657" w:rsidP="00170B2C">
      <w:pPr>
        <w:rPr>
          <w:lang w:val="ru-RU"/>
        </w:rPr>
      </w:pPr>
      <w:r w:rsidRPr="007F6CEF">
        <w:rPr>
          <w:lang w:val="ru-RU"/>
        </w:rPr>
        <w:t>36</w:t>
      </w:r>
      <w:r w:rsidR="0006734D" w:rsidRPr="007F6CEF">
        <w:rPr>
          <w:lang w:val="ru-RU"/>
        </w:rPr>
        <w:tab/>
      </w:r>
      <w:r w:rsidR="007F1156" w:rsidRPr="007F6CEF">
        <w:rPr>
          <w:lang w:val="ru-RU"/>
        </w:rPr>
        <w:t>В</w:t>
      </w:r>
      <w:r w:rsidR="00AA0135" w:rsidRPr="007F6CEF">
        <w:rPr>
          <w:lang w:val="ru-RU"/>
        </w:rPr>
        <w:t xml:space="preserve"> </w:t>
      </w:r>
      <w:r w:rsidR="00C52AA8" w:rsidRPr="007F6CEF">
        <w:rPr>
          <w:lang w:val="ru-RU"/>
        </w:rPr>
        <w:t>Отчет</w:t>
      </w:r>
      <w:r w:rsidR="007F1156" w:rsidRPr="007F6CEF">
        <w:rPr>
          <w:lang w:val="ru-RU"/>
        </w:rPr>
        <w:t>е</w:t>
      </w:r>
      <w:r w:rsidR="00C52AA8" w:rsidRPr="007F6CEF">
        <w:rPr>
          <w:lang w:val="ru-RU"/>
        </w:rPr>
        <w:t xml:space="preserve"> о финансовом положении</w:t>
      </w:r>
      <w:r w:rsidR="00AA0135" w:rsidRPr="007F6CEF">
        <w:rPr>
          <w:lang w:val="ru-RU"/>
        </w:rPr>
        <w:t xml:space="preserve">, </w:t>
      </w:r>
      <w:r w:rsidR="007F1156" w:rsidRPr="007F6CEF">
        <w:rPr>
          <w:lang w:val="ru-RU"/>
        </w:rPr>
        <w:t>согласно стандарту</w:t>
      </w:r>
      <w:r w:rsidR="00AA0135" w:rsidRPr="007F6CEF">
        <w:rPr>
          <w:lang w:val="ru-RU"/>
        </w:rPr>
        <w:t xml:space="preserve"> IPSAS 1, </w:t>
      </w:r>
      <w:r w:rsidR="007F1156" w:rsidRPr="007F6CEF">
        <w:rPr>
          <w:lang w:val="ru-RU"/>
        </w:rPr>
        <w:t xml:space="preserve">требуется </w:t>
      </w:r>
      <w:r w:rsidR="00352FA6" w:rsidRPr="007F6CEF">
        <w:rPr>
          <w:lang w:val="ru-RU"/>
        </w:rPr>
        <w:t>учет</w:t>
      </w:r>
      <w:r w:rsidR="007F1156" w:rsidRPr="007F6CEF">
        <w:rPr>
          <w:lang w:val="ru-RU"/>
        </w:rPr>
        <w:t xml:space="preserve"> зданий в качестве активов. Тако</w:t>
      </w:r>
      <w:r w:rsidR="00352FA6" w:rsidRPr="007F6CEF">
        <w:rPr>
          <w:lang w:val="ru-RU"/>
        </w:rPr>
        <w:t>й</w:t>
      </w:r>
      <w:r w:rsidR="007F1156" w:rsidRPr="007F6CEF">
        <w:rPr>
          <w:lang w:val="ru-RU"/>
        </w:rPr>
        <w:t xml:space="preserve"> </w:t>
      </w:r>
      <w:r w:rsidR="00352FA6" w:rsidRPr="007F6CEF">
        <w:rPr>
          <w:lang w:val="ru-RU"/>
        </w:rPr>
        <w:t>учет</w:t>
      </w:r>
      <w:r w:rsidR="007F1156" w:rsidRPr="007F6CEF">
        <w:rPr>
          <w:lang w:val="ru-RU"/>
        </w:rPr>
        <w:t xml:space="preserve"> </w:t>
      </w:r>
      <w:r w:rsidR="00352FA6" w:rsidRPr="007F6CEF">
        <w:rPr>
          <w:lang w:val="ru-RU"/>
        </w:rPr>
        <w:t>однозначно</w:t>
      </w:r>
      <w:r w:rsidR="007F1156" w:rsidRPr="007F6CEF">
        <w:rPr>
          <w:lang w:val="ru-RU"/>
        </w:rPr>
        <w:t xml:space="preserve"> связан с </w:t>
      </w:r>
      <w:r w:rsidR="00C43053" w:rsidRPr="007F6CEF">
        <w:rPr>
          <w:lang w:val="ru-RU"/>
        </w:rPr>
        <w:t>собственностью за эти здания. В </w:t>
      </w:r>
      <w:r w:rsidR="00EB65CB" w:rsidRPr="007F6CEF">
        <w:rPr>
          <w:lang w:val="ru-RU"/>
        </w:rPr>
        <w:t>стандарте IPSAS </w:t>
      </w:r>
      <w:r w:rsidR="007F1156" w:rsidRPr="007F6CEF">
        <w:rPr>
          <w:lang w:val="ru-RU"/>
        </w:rPr>
        <w:t>17 указано, что первоначальн</w:t>
      </w:r>
      <w:r w:rsidR="00E11C10" w:rsidRPr="007F6CEF">
        <w:rPr>
          <w:lang w:val="ru-RU"/>
        </w:rPr>
        <w:t>ый</w:t>
      </w:r>
      <w:r w:rsidR="007F1156" w:rsidRPr="007F6CEF">
        <w:rPr>
          <w:lang w:val="ru-RU"/>
        </w:rPr>
        <w:t xml:space="preserve"> </w:t>
      </w:r>
      <w:r w:rsidR="00E11C10" w:rsidRPr="007F6CEF">
        <w:rPr>
          <w:lang w:val="ru-RU"/>
        </w:rPr>
        <w:t>учет</w:t>
      </w:r>
      <w:r w:rsidR="00AA0135" w:rsidRPr="007F6CEF">
        <w:rPr>
          <w:lang w:val="ru-RU"/>
        </w:rPr>
        <w:t xml:space="preserve"> </w:t>
      </w:r>
      <w:r w:rsidR="00E11C10" w:rsidRPr="007F6CEF">
        <w:rPr>
          <w:lang w:val="ru-RU"/>
        </w:rPr>
        <w:t>должен быть основан на стоимости</w:t>
      </w:r>
      <w:r w:rsidR="007F1156" w:rsidRPr="007F6CEF">
        <w:rPr>
          <w:lang w:val="ru-RU"/>
        </w:rPr>
        <w:t xml:space="preserve"> этих позиций или на </w:t>
      </w:r>
      <w:r w:rsidR="00E11C10" w:rsidRPr="007F6CEF">
        <w:rPr>
          <w:lang w:val="ru-RU"/>
        </w:rPr>
        <w:t>надежных</w:t>
      </w:r>
      <w:r w:rsidR="007F1156" w:rsidRPr="007F6CEF">
        <w:rPr>
          <w:lang w:val="ru-RU"/>
        </w:rPr>
        <w:t xml:space="preserve"> данны</w:t>
      </w:r>
      <w:r w:rsidR="00E11C10" w:rsidRPr="007F6CEF">
        <w:rPr>
          <w:lang w:val="ru-RU"/>
        </w:rPr>
        <w:t>х</w:t>
      </w:r>
      <w:r w:rsidR="007F1156" w:rsidRPr="007F6CEF">
        <w:rPr>
          <w:lang w:val="ru-RU"/>
        </w:rPr>
        <w:t xml:space="preserve"> по текущей стоимости. Амортизация систематически начисляется в течение </w:t>
      </w:r>
      <w:r w:rsidR="007060A0" w:rsidRPr="007F6CEF">
        <w:rPr>
          <w:lang w:val="ru-RU"/>
        </w:rPr>
        <w:t>срока полезного использования актива, а метод амортизации должен отражать модель, на основе которой, как ожидается, объединение будет использовать будущие экономические выгоды от актива или потенциал услуг. Остаточную стоимость необходимо оценивать</w:t>
      </w:r>
      <w:r w:rsidR="00456DBC" w:rsidRPr="007F6CEF">
        <w:rPr>
          <w:lang w:val="ru-RU"/>
        </w:rPr>
        <w:t>,</w:t>
      </w:r>
      <w:r w:rsidR="007060A0" w:rsidRPr="007F6CEF">
        <w:rPr>
          <w:lang w:val="ru-RU"/>
        </w:rPr>
        <w:t xml:space="preserve"> по крайней мере</w:t>
      </w:r>
      <w:r w:rsidR="00456DBC" w:rsidRPr="007F6CEF">
        <w:rPr>
          <w:lang w:val="ru-RU"/>
        </w:rPr>
        <w:t>,</w:t>
      </w:r>
      <w:r w:rsidR="007060A0" w:rsidRPr="007F6CEF">
        <w:rPr>
          <w:lang w:val="ru-RU"/>
        </w:rPr>
        <w:t xml:space="preserve"> ежегодно, и она должна быть равна той сумме, которую объединение могло бы сейчас получить, если бы данный актив уже достиг возраста и состояния, которые ожидаются в конце срока его полезного использования. </w:t>
      </w:r>
      <w:r w:rsidR="00BB7588" w:rsidRPr="007F6CEF">
        <w:rPr>
          <w:lang w:val="ru-RU"/>
        </w:rPr>
        <w:t>З</w:t>
      </w:r>
      <w:r w:rsidR="007060A0" w:rsidRPr="007F6CEF">
        <w:rPr>
          <w:lang w:val="ru-RU"/>
        </w:rPr>
        <w:t xml:space="preserve">емля и здания являются </w:t>
      </w:r>
      <w:r w:rsidR="00BB7588" w:rsidRPr="007F6CEF">
        <w:rPr>
          <w:lang w:val="ru-RU"/>
        </w:rPr>
        <w:t xml:space="preserve">делимыми активами и учитываются отдельно, даже если они приобретены вместе. </w:t>
      </w:r>
    </w:p>
    <w:p w:rsidR="00AA0135" w:rsidRPr="007F6CEF" w:rsidRDefault="00027657" w:rsidP="00170B2C">
      <w:pPr>
        <w:rPr>
          <w:lang w:val="ru-RU"/>
        </w:rPr>
      </w:pPr>
      <w:r w:rsidRPr="007F6CEF">
        <w:rPr>
          <w:lang w:val="ru-RU"/>
        </w:rPr>
        <w:t>37</w:t>
      </w:r>
      <w:r w:rsidR="0006734D" w:rsidRPr="007F6CEF">
        <w:rPr>
          <w:lang w:val="ru-RU"/>
        </w:rPr>
        <w:tab/>
      </w:r>
      <w:r w:rsidR="005C6936" w:rsidRPr="007F6CEF">
        <w:rPr>
          <w:lang w:val="ru-RU"/>
        </w:rPr>
        <w:t>Согласно Приложению</w:t>
      </w:r>
      <w:r w:rsidR="00AA0135" w:rsidRPr="007F6CEF">
        <w:rPr>
          <w:lang w:val="ru-RU"/>
        </w:rPr>
        <w:t xml:space="preserve"> </w:t>
      </w:r>
      <w:r w:rsidR="005C6936" w:rsidRPr="007F6CEF">
        <w:rPr>
          <w:lang w:val="ru-RU"/>
        </w:rPr>
        <w:t>II Финансового</w:t>
      </w:r>
      <w:r w:rsidR="004F53D6" w:rsidRPr="007F6CEF">
        <w:rPr>
          <w:lang w:val="ru-RU"/>
        </w:rPr>
        <w:t xml:space="preserve"> регламента МСЭ в</w:t>
      </w:r>
      <w:r w:rsidR="005C6936" w:rsidRPr="007F6CEF">
        <w:rPr>
          <w:lang w:val="ru-RU"/>
        </w:rPr>
        <w:t>нешний аудитор должен высказать мнение по поводу того, что "</w:t>
      </w:r>
      <w:r w:rsidR="005C6936" w:rsidRPr="007F6CEF">
        <w:rPr>
          <w:lang w:val="ru-RU" w:eastAsia="zh-CN"/>
        </w:rPr>
        <w:t xml:space="preserve">при учете всех активов, пассивов, излишков и дефицитов средств применялись процедуры, которые </w:t>
      </w:r>
      <w:r w:rsidR="0061533B" w:rsidRPr="007F6CEF">
        <w:rPr>
          <w:lang w:val="ru-RU" w:eastAsia="zh-CN"/>
        </w:rPr>
        <w:t xml:space="preserve">Внешний </w:t>
      </w:r>
      <w:r w:rsidR="005C6936" w:rsidRPr="007F6CEF">
        <w:rPr>
          <w:lang w:val="ru-RU" w:eastAsia="zh-CN"/>
        </w:rPr>
        <w:t>аудитор считает удовлетворительными".</w:t>
      </w:r>
      <w:r w:rsidR="005C6936" w:rsidRPr="007F6CEF">
        <w:rPr>
          <w:sz w:val="20"/>
          <w:lang w:val="ru-RU" w:eastAsia="zh-CN"/>
        </w:rPr>
        <w:t xml:space="preserve"> </w:t>
      </w:r>
    </w:p>
    <w:p w:rsidR="00AA0135" w:rsidRPr="007F6CEF" w:rsidRDefault="00027657" w:rsidP="00170B2C">
      <w:pPr>
        <w:rPr>
          <w:lang w:val="ru-RU"/>
        </w:rPr>
      </w:pPr>
      <w:r w:rsidRPr="007F6CEF">
        <w:rPr>
          <w:lang w:val="ru-RU"/>
        </w:rPr>
        <w:t>38</w:t>
      </w:r>
      <w:r w:rsidR="0006734D" w:rsidRPr="007F6CEF">
        <w:rPr>
          <w:lang w:val="ru-RU"/>
        </w:rPr>
        <w:tab/>
      </w:r>
      <w:r w:rsidR="005C6936" w:rsidRPr="007F6CEF">
        <w:rPr>
          <w:lang w:val="ru-RU"/>
        </w:rPr>
        <w:t xml:space="preserve">В Примечании </w:t>
      </w:r>
      <w:r w:rsidR="00AA0135" w:rsidRPr="007F6CEF">
        <w:rPr>
          <w:lang w:val="ru-RU"/>
        </w:rPr>
        <w:t xml:space="preserve">3 </w:t>
      </w:r>
      <w:r w:rsidR="00070A8E" w:rsidRPr="007F6CEF">
        <w:rPr>
          <w:lang w:val="ru-RU"/>
        </w:rPr>
        <w:t>Отчет</w:t>
      </w:r>
      <w:r w:rsidR="005C6936" w:rsidRPr="007F6CEF">
        <w:rPr>
          <w:lang w:val="ru-RU"/>
        </w:rPr>
        <w:t>а</w:t>
      </w:r>
      <w:r w:rsidR="00070A8E" w:rsidRPr="007F6CEF">
        <w:rPr>
          <w:lang w:val="ru-RU"/>
        </w:rPr>
        <w:t xml:space="preserve"> о финансовой деятельности</w:t>
      </w:r>
      <w:r w:rsidR="005C6936" w:rsidRPr="007F6CEF">
        <w:rPr>
          <w:lang w:val="ru-RU"/>
        </w:rPr>
        <w:t xml:space="preserve"> "Основные принципы бухгалтерского учета" в подпункте </w:t>
      </w:r>
      <w:r w:rsidR="00E11C10" w:rsidRPr="007F6CEF">
        <w:rPr>
          <w:lang w:val="ru-RU"/>
        </w:rPr>
        <w:t>"М</w:t>
      </w:r>
      <w:r w:rsidR="00C52AA8" w:rsidRPr="007F6CEF">
        <w:rPr>
          <w:lang w:val="ru-RU"/>
        </w:rPr>
        <w:t>атериальные активы</w:t>
      </w:r>
      <w:r w:rsidR="00E11C10" w:rsidRPr="007F6CEF">
        <w:rPr>
          <w:lang w:val="ru-RU"/>
        </w:rPr>
        <w:t>"</w:t>
      </w:r>
      <w:r w:rsidR="00AA0135" w:rsidRPr="007F6CEF">
        <w:rPr>
          <w:lang w:val="ru-RU"/>
        </w:rPr>
        <w:t xml:space="preserve"> </w:t>
      </w:r>
      <w:r w:rsidR="00E11C10" w:rsidRPr="007F6CEF">
        <w:rPr>
          <w:lang w:val="ru-RU"/>
        </w:rPr>
        <w:t>отмечается, что первоначальный учет зданий был произведен по "</w:t>
      </w:r>
      <w:r w:rsidR="00E11C10" w:rsidRPr="007F6CEF">
        <w:rPr>
          <w:i/>
          <w:lang w:val="ru-RU"/>
        </w:rPr>
        <w:t>фактической стоимости</w:t>
      </w:r>
      <w:r w:rsidR="00E11C10" w:rsidRPr="007F6CEF">
        <w:rPr>
          <w:lang w:val="ru-RU"/>
        </w:rPr>
        <w:t>" "</w:t>
      </w:r>
      <w:r w:rsidR="00E11C10" w:rsidRPr="007F6CEF">
        <w:rPr>
          <w:i/>
          <w:lang w:val="ru-RU"/>
        </w:rPr>
        <w:t>на основе оценки, проведенной внешней организацией</w:t>
      </w:r>
      <w:r w:rsidR="00E11C10" w:rsidRPr="007F6CEF">
        <w:rPr>
          <w:lang w:val="ru-RU"/>
        </w:rPr>
        <w:t>" для определения величины начального баланса согласно</w:t>
      </w:r>
      <w:r w:rsidR="00AA0135" w:rsidRPr="007F6CEF">
        <w:rPr>
          <w:lang w:val="ru-RU"/>
        </w:rPr>
        <w:t xml:space="preserve"> IPSAS</w:t>
      </w:r>
      <w:r w:rsidR="00E11C10" w:rsidRPr="007F6CEF">
        <w:rPr>
          <w:lang w:val="ru-RU"/>
        </w:rPr>
        <w:t xml:space="preserve">. Эта величина </w:t>
      </w:r>
      <w:r w:rsidR="00190912" w:rsidRPr="007F6CEF">
        <w:rPr>
          <w:lang w:val="ru-RU"/>
        </w:rPr>
        <w:t>считалась "</w:t>
      </w:r>
      <w:r w:rsidR="00340A27" w:rsidRPr="007F6CEF">
        <w:rPr>
          <w:lang w:val="ru-RU"/>
        </w:rPr>
        <w:t>стоимость</w:t>
      </w:r>
      <w:r w:rsidR="00190912" w:rsidRPr="007F6CEF">
        <w:rPr>
          <w:lang w:val="ru-RU"/>
        </w:rPr>
        <w:t>ю</w:t>
      </w:r>
      <w:r w:rsidR="00340A27" w:rsidRPr="007F6CEF">
        <w:rPr>
          <w:lang w:val="ru-RU"/>
        </w:rPr>
        <w:t xml:space="preserve"> приобретения</w:t>
      </w:r>
      <w:r w:rsidR="00190912" w:rsidRPr="007F6CEF">
        <w:rPr>
          <w:lang w:val="ru-RU"/>
        </w:rPr>
        <w:t xml:space="preserve">", а амортизация </w:t>
      </w:r>
      <w:r w:rsidR="005D1A7E" w:rsidRPr="007F6CEF">
        <w:rPr>
          <w:lang w:val="ru-RU"/>
        </w:rPr>
        <w:t>осуществлялась</w:t>
      </w:r>
      <w:r w:rsidR="00190912" w:rsidRPr="007F6CEF">
        <w:rPr>
          <w:lang w:val="ru-RU"/>
        </w:rPr>
        <w:t xml:space="preserve"> на основе "</w:t>
      </w:r>
      <w:r w:rsidR="002E66FA" w:rsidRPr="007F6CEF">
        <w:rPr>
          <w:i/>
          <w:lang w:val="ru-RU"/>
        </w:rPr>
        <w:t>прогнозируем</w:t>
      </w:r>
      <w:r w:rsidR="00190912" w:rsidRPr="007F6CEF">
        <w:rPr>
          <w:i/>
          <w:lang w:val="ru-RU"/>
        </w:rPr>
        <w:t>ой</w:t>
      </w:r>
      <w:r w:rsidR="002E66FA" w:rsidRPr="007F6CEF">
        <w:rPr>
          <w:i/>
          <w:lang w:val="ru-RU"/>
        </w:rPr>
        <w:t xml:space="preserve"> </w:t>
      </w:r>
      <w:r w:rsidR="002E66FA" w:rsidRPr="007F6CEF">
        <w:rPr>
          <w:rFonts w:cs="Segoe UI"/>
          <w:i/>
          <w:color w:val="000000"/>
          <w:lang w:val="ru-RU"/>
        </w:rPr>
        <w:t>продолжительност</w:t>
      </w:r>
      <w:r w:rsidR="00190912" w:rsidRPr="007F6CEF">
        <w:rPr>
          <w:rFonts w:cs="Segoe UI"/>
          <w:i/>
          <w:color w:val="000000"/>
          <w:lang w:val="ru-RU"/>
        </w:rPr>
        <w:t>и</w:t>
      </w:r>
      <w:r w:rsidR="00340A27" w:rsidRPr="007F6CEF">
        <w:rPr>
          <w:rFonts w:cs="Segoe UI"/>
          <w:i/>
          <w:color w:val="000000"/>
          <w:lang w:val="ru-RU"/>
        </w:rPr>
        <w:t xml:space="preserve"> полезного использования</w:t>
      </w:r>
      <w:r w:rsidR="00190912" w:rsidRPr="007F6CEF">
        <w:rPr>
          <w:rFonts w:cs="Segoe UI"/>
          <w:color w:val="000000"/>
          <w:lang w:val="ru-RU"/>
        </w:rPr>
        <w:t>", которая составляет для сооружений 100 лет. При определении пе</w:t>
      </w:r>
      <w:r w:rsidR="005D1A7E" w:rsidRPr="007F6CEF">
        <w:rPr>
          <w:rFonts w:cs="Segoe UI"/>
          <w:color w:val="000000"/>
          <w:lang w:val="ru-RU"/>
        </w:rPr>
        <w:t>рвоначальной стоимости зданий не</w:t>
      </w:r>
      <w:r w:rsidR="00190912" w:rsidRPr="007F6CEF">
        <w:rPr>
          <w:rFonts w:cs="Segoe UI"/>
          <w:color w:val="000000"/>
          <w:lang w:val="ru-RU"/>
        </w:rPr>
        <w:t xml:space="preserve"> учитывались земельные площади, на которые МСЭ имеет бесплатное "</w:t>
      </w:r>
      <w:r w:rsidR="00190912" w:rsidRPr="007F6CEF">
        <w:rPr>
          <w:rFonts w:cs="Segoe UI"/>
          <w:i/>
          <w:color w:val="000000"/>
          <w:lang w:val="ru-RU"/>
        </w:rPr>
        <w:t xml:space="preserve">право </w:t>
      </w:r>
      <w:r w:rsidR="00157851" w:rsidRPr="007F6CEF">
        <w:rPr>
          <w:rFonts w:cs="Segoe UI"/>
          <w:i/>
          <w:color w:val="000000"/>
          <w:lang w:val="ru-RU"/>
        </w:rPr>
        <w:t>суперфиция</w:t>
      </w:r>
      <w:r w:rsidR="00190912" w:rsidRPr="007F6CEF">
        <w:rPr>
          <w:rFonts w:cs="Segoe UI"/>
          <w:color w:val="000000"/>
          <w:lang w:val="ru-RU"/>
        </w:rPr>
        <w:t xml:space="preserve">". </w:t>
      </w:r>
    </w:p>
    <w:p w:rsidR="00AA0135" w:rsidRPr="007F6CEF" w:rsidRDefault="000726BC" w:rsidP="00170B2C">
      <w:pPr>
        <w:rPr>
          <w:lang w:val="ru-RU"/>
        </w:rPr>
      </w:pPr>
      <w:r w:rsidRPr="007F6CEF">
        <w:rPr>
          <w:lang w:val="ru-RU"/>
        </w:rPr>
        <w:t>39</w:t>
      </w:r>
      <w:r w:rsidR="0006734D" w:rsidRPr="007F6CEF">
        <w:rPr>
          <w:lang w:val="ru-RU"/>
        </w:rPr>
        <w:tab/>
      </w:r>
      <w:r w:rsidR="00190912" w:rsidRPr="007F6CEF">
        <w:rPr>
          <w:lang w:val="ru-RU"/>
        </w:rPr>
        <w:t>В</w:t>
      </w:r>
      <w:r w:rsidR="00AA0135" w:rsidRPr="007F6CEF">
        <w:rPr>
          <w:lang w:val="ru-RU"/>
        </w:rPr>
        <w:t xml:space="preserve"> </w:t>
      </w:r>
      <w:r w:rsidR="00190912" w:rsidRPr="007F6CEF">
        <w:rPr>
          <w:lang w:val="ru-RU"/>
        </w:rPr>
        <w:t>Примечании</w:t>
      </w:r>
      <w:r w:rsidRPr="007F6CEF">
        <w:rPr>
          <w:lang w:val="ru-RU"/>
        </w:rPr>
        <w:t xml:space="preserve"> 12</w:t>
      </w:r>
      <w:r w:rsidR="00AA0135" w:rsidRPr="007F6CEF">
        <w:rPr>
          <w:lang w:val="ru-RU"/>
        </w:rPr>
        <w:t xml:space="preserve"> </w:t>
      </w:r>
      <w:r w:rsidR="00190912" w:rsidRPr="007F6CEF">
        <w:rPr>
          <w:lang w:val="ru-RU"/>
        </w:rPr>
        <w:t xml:space="preserve">к финансовой отчетности зданиями, </w:t>
      </w:r>
      <w:r w:rsidR="00FF5CFA" w:rsidRPr="007F6CEF">
        <w:rPr>
          <w:lang w:val="ru-RU"/>
        </w:rPr>
        <w:t>учтенным</w:t>
      </w:r>
      <w:r w:rsidR="00190912" w:rsidRPr="007F6CEF">
        <w:rPr>
          <w:lang w:val="ru-RU"/>
        </w:rPr>
        <w:t xml:space="preserve"> в качестве нетекущих активов, были здания "Башня", "</w:t>
      </w:r>
      <w:r w:rsidR="00A900A8" w:rsidRPr="007F6CEF">
        <w:rPr>
          <w:lang w:val="ru-RU"/>
        </w:rPr>
        <w:t>Варембе</w:t>
      </w:r>
      <w:r w:rsidR="00190912" w:rsidRPr="007F6CEF">
        <w:rPr>
          <w:lang w:val="ru-RU"/>
        </w:rPr>
        <w:t>"</w:t>
      </w:r>
      <w:r w:rsidR="00AA0135" w:rsidRPr="007F6CEF">
        <w:rPr>
          <w:lang w:val="ru-RU"/>
        </w:rPr>
        <w:t xml:space="preserve">, </w:t>
      </w:r>
      <w:r w:rsidR="00190912" w:rsidRPr="007F6CEF">
        <w:rPr>
          <w:lang w:val="ru-RU"/>
        </w:rPr>
        <w:t>пристройка С и кафетерий, а также здание "</w:t>
      </w:r>
      <w:r w:rsidR="00340A27" w:rsidRPr="007F6CEF">
        <w:rPr>
          <w:lang w:val="ru-RU"/>
        </w:rPr>
        <w:t>Монбрийан"</w:t>
      </w:r>
      <w:r w:rsidR="00AA0135" w:rsidRPr="007F6CEF">
        <w:rPr>
          <w:lang w:val="ru-RU"/>
        </w:rPr>
        <w:t xml:space="preserve">. </w:t>
      </w:r>
      <w:r w:rsidR="00190912" w:rsidRPr="007F6CEF">
        <w:rPr>
          <w:lang w:val="ru-RU"/>
        </w:rPr>
        <w:t xml:space="preserve">В том что касается зданий, как уже отмечено выше, чистая балансовая стоимость колеблется от </w:t>
      </w:r>
      <w:r w:rsidR="006203A5" w:rsidRPr="007F6CEF">
        <w:rPr>
          <w:lang w:val="ru-RU"/>
        </w:rPr>
        <w:t>11</w:t>
      </w:r>
      <w:r w:rsidRPr="007F6CEF">
        <w:rPr>
          <w:lang w:val="ru-RU"/>
        </w:rPr>
        <w:t>2</w:t>
      </w:r>
      <w:r w:rsidR="006203A5" w:rsidRPr="007F6CEF">
        <w:rPr>
          <w:lang w:val="ru-RU"/>
        </w:rPr>
        <w:t>,</w:t>
      </w:r>
      <w:r w:rsidRPr="007F6CEF">
        <w:rPr>
          <w:lang w:val="ru-RU"/>
        </w:rPr>
        <w:t>0</w:t>
      </w:r>
      <w:r w:rsidR="009040C2" w:rsidRPr="007F6CEF">
        <w:rPr>
          <w:lang w:val="ru-RU"/>
        </w:rPr>
        <w:t> </w:t>
      </w:r>
      <w:r w:rsidR="00345A13" w:rsidRPr="007F6CEF">
        <w:rPr>
          <w:spacing w:val="1"/>
          <w:lang w:val="ru-RU"/>
        </w:rPr>
        <w:t>млн. швейцарских франков</w:t>
      </w:r>
      <w:r w:rsidR="00345A13" w:rsidRPr="007F6CEF">
        <w:rPr>
          <w:lang w:val="ru-RU"/>
        </w:rPr>
        <w:t xml:space="preserve"> </w:t>
      </w:r>
      <w:r w:rsidR="006203A5" w:rsidRPr="007F6CEF">
        <w:rPr>
          <w:lang w:val="ru-RU"/>
        </w:rPr>
        <w:t>по состоянию на</w:t>
      </w:r>
      <w:r w:rsidR="00AA0135" w:rsidRPr="007F6CEF">
        <w:rPr>
          <w:lang w:val="ru-RU"/>
        </w:rPr>
        <w:t xml:space="preserve"> 1 </w:t>
      </w:r>
      <w:r w:rsidR="006203A5" w:rsidRPr="007F6CEF">
        <w:rPr>
          <w:lang w:val="ru-RU"/>
        </w:rPr>
        <w:t>января</w:t>
      </w:r>
      <w:r w:rsidR="00AA0135" w:rsidRPr="007F6CEF">
        <w:rPr>
          <w:lang w:val="ru-RU"/>
        </w:rPr>
        <w:t xml:space="preserve"> 201</w:t>
      </w:r>
      <w:r w:rsidRPr="007F6CEF">
        <w:rPr>
          <w:lang w:val="ru-RU"/>
        </w:rPr>
        <w:t>3</w:t>
      </w:r>
      <w:r w:rsidR="00AA0135" w:rsidRPr="007F6CEF">
        <w:rPr>
          <w:lang w:val="ru-RU"/>
        </w:rPr>
        <w:t xml:space="preserve"> </w:t>
      </w:r>
      <w:r w:rsidR="006203A5" w:rsidRPr="007F6CEF">
        <w:rPr>
          <w:lang w:val="ru-RU"/>
        </w:rPr>
        <w:t>года до</w:t>
      </w:r>
      <w:r w:rsidR="00AA0135" w:rsidRPr="007F6CEF">
        <w:rPr>
          <w:lang w:val="ru-RU"/>
        </w:rPr>
        <w:t xml:space="preserve"> 1</w:t>
      </w:r>
      <w:r w:rsidRPr="007F6CEF">
        <w:rPr>
          <w:lang w:val="ru-RU"/>
        </w:rPr>
        <w:t>08</w:t>
      </w:r>
      <w:r w:rsidR="006203A5" w:rsidRPr="007F6CEF">
        <w:rPr>
          <w:lang w:val="ru-RU"/>
        </w:rPr>
        <w:t>,</w:t>
      </w:r>
      <w:r w:rsidRPr="007F6CEF">
        <w:rPr>
          <w:lang w:val="ru-RU"/>
        </w:rPr>
        <w:t>6</w:t>
      </w:r>
      <w:r w:rsidR="00AA0135" w:rsidRPr="007F6CEF">
        <w:rPr>
          <w:lang w:val="ru-RU"/>
        </w:rPr>
        <w:t xml:space="preserve"> </w:t>
      </w:r>
      <w:r w:rsidR="00345A13" w:rsidRPr="007F6CEF">
        <w:rPr>
          <w:spacing w:val="1"/>
          <w:lang w:val="ru-RU"/>
        </w:rPr>
        <w:t>млн. швейцарских франков</w:t>
      </w:r>
      <w:r w:rsidR="00345A13" w:rsidRPr="007F6CEF">
        <w:rPr>
          <w:lang w:val="ru-RU"/>
        </w:rPr>
        <w:t xml:space="preserve"> </w:t>
      </w:r>
      <w:r w:rsidR="006203A5" w:rsidRPr="007F6CEF">
        <w:rPr>
          <w:lang w:val="ru-RU"/>
        </w:rPr>
        <w:t>на</w:t>
      </w:r>
      <w:r w:rsidR="00AA0135" w:rsidRPr="007F6CEF">
        <w:rPr>
          <w:lang w:val="ru-RU"/>
        </w:rPr>
        <w:t xml:space="preserve"> 31 </w:t>
      </w:r>
      <w:r w:rsidR="006203A5" w:rsidRPr="007F6CEF">
        <w:rPr>
          <w:lang w:val="ru-RU"/>
        </w:rPr>
        <w:t>декабря</w:t>
      </w:r>
      <w:r w:rsidR="00AA0135" w:rsidRPr="007F6CEF">
        <w:rPr>
          <w:lang w:val="ru-RU"/>
        </w:rPr>
        <w:t xml:space="preserve"> 201</w:t>
      </w:r>
      <w:r w:rsidRPr="007F6CEF">
        <w:rPr>
          <w:lang w:val="ru-RU"/>
        </w:rPr>
        <w:t>3</w:t>
      </w:r>
      <w:r w:rsidR="006203A5" w:rsidRPr="007F6CEF">
        <w:rPr>
          <w:lang w:val="ru-RU"/>
        </w:rPr>
        <w:t xml:space="preserve"> года</w:t>
      </w:r>
      <w:r w:rsidRPr="007F6CEF">
        <w:rPr>
          <w:lang w:val="ru-RU"/>
        </w:rPr>
        <w:t xml:space="preserve"> (</w:t>
      </w:r>
      <w:r w:rsidR="00A971B8" w:rsidRPr="007F6CEF">
        <w:rPr>
          <w:lang w:val="ru-RU"/>
        </w:rPr>
        <w:t xml:space="preserve">тогда как за предыдущий год она колебалась от </w:t>
      </w:r>
      <w:r w:rsidRPr="007F6CEF">
        <w:rPr>
          <w:lang w:val="ru-RU"/>
        </w:rPr>
        <w:t>115,3 млн. швейцарских франков по состоянию на 1 января 2012 г. до 112,0</w:t>
      </w:r>
      <w:r w:rsidR="00A971B8" w:rsidRPr="007F6CEF">
        <w:rPr>
          <w:lang w:val="ru-RU"/>
        </w:rPr>
        <w:t> млн. швейцарских франков на 31 </w:t>
      </w:r>
      <w:r w:rsidRPr="007F6CEF">
        <w:rPr>
          <w:lang w:val="ru-RU"/>
        </w:rPr>
        <w:t>декабря 2012 г.)</w:t>
      </w:r>
      <w:r w:rsidR="00AA0135" w:rsidRPr="007F6CEF">
        <w:rPr>
          <w:lang w:val="ru-RU"/>
        </w:rPr>
        <w:t xml:space="preserve">, </w:t>
      </w:r>
      <w:r w:rsidR="006203A5" w:rsidRPr="007F6CEF">
        <w:rPr>
          <w:lang w:val="ru-RU"/>
        </w:rPr>
        <w:t>что вызвано добавлением 0,</w:t>
      </w:r>
      <w:r w:rsidRPr="007F6CEF">
        <w:rPr>
          <w:lang w:val="ru-RU"/>
        </w:rPr>
        <w:t>09</w:t>
      </w:r>
      <w:r w:rsidR="00AA0135" w:rsidRPr="007F6CEF">
        <w:rPr>
          <w:lang w:val="ru-RU"/>
        </w:rPr>
        <w:t xml:space="preserve"> </w:t>
      </w:r>
      <w:r w:rsidR="00345A13" w:rsidRPr="007F6CEF">
        <w:rPr>
          <w:spacing w:val="1"/>
          <w:lang w:val="ru-RU"/>
        </w:rPr>
        <w:t>млн. швейцарских франков</w:t>
      </w:r>
      <w:r w:rsidRPr="007F6CEF">
        <w:rPr>
          <w:spacing w:val="1"/>
          <w:lang w:val="ru-RU"/>
        </w:rPr>
        <w:t xml:space="preserve"> </w:t>
      </w:r>
      <w:r w:rsidR="006203A5" w:rsidRPr="007F6CEF">
        <w:rPr>
          <w:lang w:val="ru-RU"/>
        </w:rPr>
        <w:t>и амортизацией, учтенной в течение года, в размере 3,</w:t>
      </w:r>
      <w:r w:rsidR="00AA0135" w:rsidRPr="007F6CEF">
        <w:rPr>
          <w:lang w:val="ru-RU"/>
        </w:rPr>
        <w:t>5</w:t>
      </w:r>
      <w:r w:rsidR="009040C2" w:rsidRPr="007F6CEF">
        <w:rPr>
          <w:lang w:val="ru-RU"/>
        </w:rPr>
        <w:t> </w:t>
      </w:r>
      <w:r w:rsidR="00345A13" w:rsidRPr="007F6CEF">
        <w:rPr>
          <w:spacing w:val="1"/>
          <w:lang w:val="ru-RU"/>
        </w:rPr>
        <w:t>млн. швейцарских франков</w:t>
      </w:r>
      <w:r w:rsidR="00AA0135" w:rsidRPr="007F6CEF">
        <w:rPr>
          <w:lang w:val="ru-RU"/>
        </w:rPr>
        <w:t>.</w:t>
      </w:r>
    </w:p>
    <w:p w:rsidR="00AA0135" w:rsidRPr="007F6CEF" w:rsidRDefault="008601E4" w:rsidP="00170B2C">
      <w:pPr>
        <w:rPr>
          <w:lang w:val="ru-RU"/>
        </w:rPr>
      </w:pPr>
      <w:r w:rsidRPr="007F6CEF">
        <w:rPr>
          <w:lang w:val="ru-RU"/>
        </w:rPr>
        <w:t>40</w:t>
      </w:r>
      <w:r w:rsidR="0006734D" w:rsidRPr="007F6CEF">
        <w:rPr>
          <w:lang w:val="ru-RU"/>
        </w:rPr>
        <w:tab/>
      </w:r>
      <w:r w:rsidR="00BF3395" w:rsidRPr="007F6CEF">
        <w:rPr>
          <w:lang w:val="ru-RU"/>
        </w:rPr>
        <w:t xml:space="preserve">Финансирование строительства зданий для международных организаций обеспечивается Швейцарской </w:t>
      </w:r>
      <w:r w:rsidR="00A971B8" w:rsidRPr="007F6CEF">
        <w:rPr>
          <w:lang w:val="ru-RU"/>
        </w:rPr>
        <w:t>К</w:t>
      </w:r>
      <w:r w:rsidR="00BF3395" w:rsidRPr="007F6CEF">
        <w:rPr>
          <w:lang w:val="ru-RU"/>
        </w:rPr>
        <w:t xml:space="preserve">онфедераций через Фонд недвижимого имущества для международных организаций (ФИПОИ) в форме займа, предоставляемого на благоприятных условиях, </w:t>
      </w:r>
      <w:r w:rsidR="005D1A7E" w:rsidRPr="007F6CEF">
        <w:rPr>
          <w:lang w:val="ru-RU"/>
        </w:rPr>
        <w:t>а именно</w:t>
      </w:r>
      <w:r w:rsidR="00BF3395" w:rsidRPr="007F6CEF">
        <w:rPr>
          <w:lang w:val="ru-RU"/>
        </w:rPr>
        <w:t xml:space="preserve"> на период 50 лет с процентной ставкой в размере</w:t>
      </w:r>
      <w:r w:rsidR="00AA0135" w:rsidRPr="007F6CEF">
        <w:rPr>
          <w:lang w:val="ru-RU"/>
        </w:rPr>
        <w:t xml:space="preserve"> 0%, </w:t>
      </w:r>
      <w:r w:rsidR="00BF3395" w:rsidRPr="007F6CEF">
        <w:rPr>
          <w:lang w:val="ru-RU"/>
        </w:rPr>
        <w:t>а зем</w:t>
      </w:r>
      <w:r w:rsidR="005D1A7E" w:rsidRPr="007F6CEF">
        <w:rPr>
          <w:lang w:val="ru-RU"/>
        </w:rPr>
        <w:t>ельные площади предоставляю</w:t>
      </w:r>
      <w:r w:rsidR="00A971B8" w:rsidRPr="007F6CEF">
        <w:rPr>
          <w:lang w:val="ru-RU"/>
        </w:rPr>
        <w:t>тся на бесплатной основе А</w:t>
      </w:r>
      <w:r w:rsidR="00BF3395" w:rsidRPr="007F6CEF">
        <w:rPr>
          <w:lang w:val="ru-RU"/>
        </w:rPr>
        <w:t>дминистрацией Женевы в виде "</w:t>
      </w:r>
      <w:r w:rsidR="00BF3395" w:rsidRPr="007F6CEF">
        <w:rPr>
          <w:i/>
          <w:lang w:val="ru-RU"/>
        </w:rPr>
        <w:t xml:space="preserve">права </w:t>
      </w:r>
      <w:r w:rsidR="00157851" w:rsidRPr="007F6CEF">
        <w:rPr>
          <w:i/>
          <w:lang w:val="ru-RU"/>
        </w:rPr>
        <w:t>суперфиция</w:t>
      </w:r>
      <w:r w:rsidR="00BF3395" w:rsidRPr="007F6CEF">
        <w:rPr>
          <w:lang w:val="ru-RU"/>
        </w:rPr>
        <w:t>". Объем займов из ФИПОИ показан в Примечании</w:t>
      </w:r>
      <w:r w:rsidR="005D1A7E" w:rsidRPr="007F6CEF">
        <w:rPr>
          <w:lang w:val="ru-RU"/>
        </w:rPr>
        <w:t> </w:t>
      </w:r>
      <w:r w:rsidR="00AA0135" w:rsidRPr="007F6CEF">
        <w:rPr>
          <w:lang w:val="ru-RU"/>
        </w:rPr>
        <w:t>1</w:t>
      </w:r>
      <w:r w:rsidRPr="007F6CEF">
        <w:rPr>
          <w:lang w:val="ru-RU"/>
        </w:rPr>
        <w:t>6</w:t>
      </w:r>
      <w:r w:rsidR="00AA0135" w:rsidRPr="007F6CEF">
        <w:rPr>
          <w:lang w:val="ru-RU"/>
        </w:rPr>
        <w:t xml:space="preserve"> </w:t>
      </w:r>
      <w:r w:rsidR="004C17DC" w:rsidRPr="007F6CEF">
        <w:rPr>
          <w:lang w:val="ru-RU"/>
        </w:rPr>
        <w:t>Отчет</w:t>
      </w:r>
      <w:r w:rsidR="00BF3395" w:rsidRPr="007F6CEF">
        <w:rPr>
          <w:lang w:val="ru-RU"/>
        </w:rPr>
        <w:t>а</w:t>
      </w:r>
      <w:r w:rsidR="004C17DC" w:rsidRPr="007F6CEF">
        <w:rPr>
          <w:lang w:val="ru-RU"/>
        </w:rPr>
        <w:t xml:space="preserve"> о финансовой деятельности</w:t>
      </w:r>
      <w:r w:rsidR="00BF3395" w:rsidRPr="007F6CEF">
        <w:rPr>
          <w:lang w:val="ru-RU"/>
        </w:rPr>
        <w:t xml:space="preserve"> за 201</w:t>
      </w:r>
      <w:r w:rsidRPr="007F6CEF">
        <w:rPr>
          <w:lang w:val="ru-RU"/>
        </w:rPr>
        <w:t>3</w:t>
      </w:r>
      <w:r w:rsidR="00BF3395" w:rsidRPr="007F6CEF">
        <w:rPr>
          <w:lang w:val="ru-RU"/>
        </w:rPr>
        <w:t xml:space="preserve"> год</w:t>
      </w:r>
      <w:r w:rsidR="00AA0135" w:rsidRPr="007F6CEF">
        <w:rPr>
          <w:lang w:val="ru-RU"/>
        </w:rPr>
        <w:t>.</w:t>
      </w:r>
      <w:r w:rsidR="00E1603F" w:rsidRPr="007F6CEF">
        <w:rPr>
          <w:lang w:val="ru-RU"/>
        </w:rPr>
        <w:t xml:space="preserve"> </w:t>
      </w:r>
    </w:p>
    <w:p w:rsidR="00AA0135" w:rsidRPr="007F6CEF" w:rsidRDefault="008601E4" w:rsidP="00170B2C">
      <w:pPr>
        <w:rPr>
          <w:lang w:val="ru-RU"/>
        </w:rPr>
      </w:pPr>
      <w:r w:rsidRPr="007F6CEF">
        <w:rPr>
          <w:lang w:val="ru-RU"/>
        </w:rPr>
        <w:t>41</w:t>
      </w:r>
      <w:r w:rsidRPr="007F6CEF">
        <w:rPr>
          <w:lang w:val="ru-RU"/>
        </w:rPr>
        <w:tab/>
      </w:r>
      <w:r w:rsidR="00A971B8" w:rsidRPr="007F6CEF">
        <w:rPr>
          <w:lang w:val="ru-RU"/>
        </w:rPr>
        <w:t xml:space="preserve">В прошлом году мы рекомендовали обсудить условия расширения </w:t>
      </w:r>
      <w:r w:rsidR="00240819" w:rsidRPr="007F6CEF">
        <w:rPr>
          <w:lang w:val="ru-RU"/>
        </w:rPr>
        <w:t>"</w:t>
      </w:r>
      <w:r w:rsidR="00240819" w:rsidRPr="007F6CEF">
        <w:rPr>
          <w:i/>
          <w:lang w:val="ru-RU"/>
        </w:rPr>
        <w:t>права</w:t>
      </w:r>
      <w:r w:rsidR="00C52AA8" w:rsidRPr="007F6CEF">
        <w:rPr>
          <w:i/>
          <w:lang w:val="ru-RU"/>
        </w:rPr>
        <w:t xml:space="preserve"> </w:t>
      </w:r>
      <w:r w:rsidR="00157851" w:rsidRPr="007F6CEF">
        <w:rPr>
          <w:i/>
          <w:lang w:val="ru-RU"/>
        </w:rPr>
        <w:t>суперфиция</w:t>
      </w:r>
      <w:r w:rsidR="00240819" w:rsidRPr="007F6CEF">
        <w:rPr>
          <w:lang w:val="ru-RU"/>
        </w:rPr>
        <w:t>"</w:t>
      </w:r>
      <w:r w:rsidR="00A971B8" w:rsidRPr="007F6CEF">
        <w:rPr>
          <w:lang w:val="ru-RU"/>
        </w:rPr>
        <w:t>,</w:t>
      </w:r>
      <w:r w:rsidR="00AA0135" w:rsidRPr="007F6CEF">
        <w:rPr>
          <w:lang w:val="ru-RU"/>
        </w:rPr>
        <w:t xml:space="preserve"> </w:t>
      </w:r>
      <w:r w:rsidR="00A971B8" w:rsidRPr="007F6CEF">
        <w:rPr>
          <w:lang w:val="ru-RU"/>
        </w:rPr>
        <w:t>предоставленного Администрацией Женевы МСЭ. В январе 2013 года советник по правовым вопросам связался с компетентными органами принимающей страны, с тем чтобы начать процесс переговоров. Однако дальнейшие шаги при переговорах связаны с решением</w:t>
      </w:r>
      <w:r w:rsidRPr="007F6CEF">
        <w:rPr>
          <w:lang w:val="ru-RU"/>
        </w:rPr>
        <w:t xml:space="preserve"> </w:t>
      </w:r>
      <w:r w:rsidR="00A971B8" w:rsidRPr="007F6CEF">
        <w:rPr>
          <w:lang w:val="ru-RU"/>
        </w:rPr>
        <w:t xml:space="preserve">о замене здания "Варембе", и этот вопрос сейчас </w:t>
      </w:r>
      <w:r w:rsidR="0036638F" w:rsidRPr="007F6CEF">
        <w:rPr>
          <w:lang w:val="ru-RU"/>
        </w:rPr>
        <w:t xml:space="preserve">находится в центре внимания Совета и ожидает решения Полномочной конференции. </w:t>
      </w:r>
    </w:p>
    <w:p w:rsidR="00AA0135" w:rsidRPr="007F6CEF" w:rsidRDefault="00477B2A" w:rsidP="00170B2C">
      <w:pPr>
        <w:rPr>
          <w:lang w:val="ru-RU"/>
        </w:rPr>
      </w:pPr>
      <w:r w:rsidRPr="007F6CEF">
        <w:rPr>
          <w:lang w:val="ru-RU"/>
        </w:rPr>
        <w:t>42</w:t>
      </w:r>
      <w:r w:rsidRPr="007F6CEF">
        <w:rPr>
          <w:lang w:val="ru-RU"/>
        </w:rPr>
        <w:tab/>
      </w:r>
      <w:r w:rsidR="0036638F" w:rsidRPr="007F6CEF">
        <w:rPr>
          <w:lang w:val="ru-RU"/>
        </w:rPr>
        <w:t xml:space="preserve">Кроме того, в прошлогоднем Отчете об аудиторской проверке мы сочли, что </w:t>
      </w:r>
      <w:r w:rsidRPr="007F6CEF">
        <w:rPr>
          <w:lang w:val="ru-RU"/>
        </w:rPr>
        <w:t xml:space="preserve">амортизацию </w:t>
      </w:r>
      <w:r w:rsidR="00085F56" w:rsidRPr="007F6CEF">
        <w:rPr>
          <w:lang w:val="ru-RU"/>
        </w:rPr>
        <w:t xml:space="preserve">следует проводить в соответствии со сроком </w:t>
      </w:r>
      <w:r w:rsidR="00157851" w:rsidRPr="007F6CEF">
        <w:rPr>
          <w:lang w:val="ru-RU"/>
        </w:rPr>
        <w:t>действия</w:t>
      </w:r>
      <w:r w:rsidR="00085F56" w:rsidRPr="007F6CEF">
        <w:rPr>
          <w:lang w:val="ru-RU"/>
        </w:rPr>
        <w:t xml:space="preserve"> </w:t>
      </w:r>
      <w:r w:rsidR="009040C2" w:rsidRPr="007F6CEF">
        <w:rPr>
          <w:lang w:val="ru-RU"/>
        </w:rPr>
        <w:t>права пользования землей</w:t>
      </w:r>
      <w:r w:rsidR="00957CE1" w:rsidRPr="007F6CEF">
        <w:rPr>
          <w:lang w:val="ru-RU"/>
        </w:rPr>
        <w:t>, и</w:t>
      </w:r>
      <w:r w:rsidR="004E7288" w:rsidRPr="007F6CEF">
        <w:rPr>
          <w:lang w:val="ru-RU"/>
        </w:rPr>
        <w:t xml:space="preserve"> обнаружили, что амортизация двух зданий была продлена на период, который не соответствует сроку истечения действия права пользования землей</w:t>
      </w:r>
      <w:r w:rsidR="002E229A" w:rsidRPr="007F6CEF">
        <w:rPr>
          <w:lang w:val="ru-RU"/>
        </w:rPr>
        <w:t>, хотя разница в стоимости была</w:t>
      </w:r>
      <w:r w:rsidR="0036638F" w:rsidRPr="007F6CEF">
        <w:rPr>
          <w:lang w:val="ru-RU"/>
        </w:rPr>
        <w:t xml:space="preserve"> сочтена несущественной. </w:t>
      </w:r>
    </w:p>
    <w:p w:rsidR="00AA0135" w:rsidRPr="007F6CEF" w:rsidRDefault="00957CE1" w:rsidP="00170B2C">
      <w:pPr>
        <w:rPr>
          <w:lang w:val="ru-RU"/>
        </w:rPr>
      </w:pPr>
      <w:r w:rsidRPr="007F6CEF">
        <w:rPr>
          <w:lang w:val="ru-RU"/>
        </w:rPr>
        <w:t>43</w:t>
      </w:r>
      <w:r w:rsidR="00545064" w:rsidRPr="007F6CEF">
        <w:rPr>
          <w:lang w:val="ru-RU"/>
        </w:rPr>
        <w:tab/>
      </w:r>
      <w:r w:rsidR="0036638F" w:rsidRPr="007F6CEF">
        <w:rPr>
          <w:lang w:val="ru-RU"/>
        </w:rPr>
        <w:t>На основе этого</w:t>
      </w:r>
      <w:r w:rsidR="004E7288" w:rsidRPr="007F6CEF">
        <w:rPr>
          <w:lang w:val="ru-RU"/>
        </w:rPr>
        <w:t xml:space="preserve"> </w:t>
      </w:r>
      <w:r w:rsidR="0036638F" w:rsidRPr="007F6CEF">
        <w:rPr>
          <w:lang w:val="ru-RU"/>
        </w:rPr>
        <w:t>мы с руководством решили</w:t>
      </w:r>
      <w:r w:rsidR="009133E9" w:rsidRPr="007F6CEF">
        <w:rPr>
          <w:lang w:val="ru-RU"/>
        </w:rPr>
        <w:t xml:space="preserve"> рассмотреть вопрос о корректировке счетов только в том случае, если </w:t>
      </w:r>
      <w:r w:rsidR="00BC6AA7" w:rsidRPr="007F6CEF">
        <w:rPr>
          <w:lang w:val="ru-RU"/>
        </w:rPr>
        <w:t>новое</w:t>
      </w:r>
      <w:r w:rsidR="009133E9" w:rsidRPr="007F6CEF">
        <w:rPr>
          <w:lang w:val="ru-RU"/>
        </w:rPr>
        <w:t xml:space="preserve"> соглашение </w:t>
      </w:r>
      <w:r w:rsidR="00BC6AA7" w:rsidRPr="007F6CEF">
        <w:rPr>
          <w:lang w:val="ru-RU"/>
        </w:rPr>
        <w:t>о "</w:t>
      </w:r>
      <w:r w:rsidR="00BC6AA7" w:rsidRPr="007F6CEF">
        <w:rPr>
          <w:i/>
          <w:lang w:val="ru-RU"/>
        </w:rPr>
        <w:t>праве суперфиция</w:t>
      </w:r>
      <w:r w:rsidR="00BC6AA7" w:rsidRPr="007F6CEF">
        <w:rPr>
          <w:lang w:val="ru-RU"/>
        </w:rPr>
        <w:t xml:space="preserve">" </w:t>
      </w:r>
      <w:r w:rsidR="009133E9" w:rsidRPr="007F6CEF">
        <w:rPr>
          <w:lang w:val="ru-RU"/>
        </w:rPr>
        <w:t xml:space="preserve">не будет достигнуто. </w:t>
      </w:r>
    </w:p>
    <w:p w:rsidR="00BC6AA7" w:rsidRPr="007F6CEF" w:rsidRDefault="00BC6AA7" w:rsidP="00170B2C">
      <w:pPr>
        <w:rPr>
          <w:lang w:val="ru-RU"/>
        </w:rPr>
      </w:pPr>
      <w:r w:rsidRPr="007F6CEF">
        <w:rPr>
          <w:lang w:val="ru-RU"/>
        </w:rPr>
        <w:t>44</w:t>
      </w:r>
      <w:r w:rsidRPr="007F6CEF">
        <w:rPr>
          <w:lang w:val="ru-RU"/>
        </w:rPr>
        <w:tab/>
      </w:r>
      <w:r w:rsidR="00965A9A" w:rsidRPr="007F6CEF">
        <w:rPr>
          <w:lang w:val="ru-RU"/>
        </w:rPr>
        <w:t xml:space="preserve">Поскольку переговоры временно и обоснованно были приостановлены, как указано выше в пункте 39, на 2013 финансовый год все же нет абсолютной необходимости в пересчете продленной амортизации. Тем не менее, в будущем мы снова будем рассматривать этот вопрос с учетом обновленной ситуации. </w:t>
      </w:r>
    </w:p>
    <w:p w:rsidR="00BC6AA7" w:rsidRPr="007F6CEF" w:rsidRDefault="00BC6AA7" w:rsidP="00170B2C">
      <w:pPr>
        <w:rPr>
          <w:lang w:val="ru-RU"/>
        </w:rPr>
      </w:pPr>
      <w:r w:rsidRPr="007F6CEF">
        <w:rPr>
          <w:lang w:val="ru-RU"/>
        </w:rPr>
        <w:t>45</w:t>
      </w:r>
      <w:r w:rsidRPr="007F6CEF">
        <w:rPr>
          <w:lang w:val="ru-RU"/>
        </w:rPr>
        <w:tab/>
      </w:r>
      <w:r w:rsidR="00965A9A" w:rsidRPr="007F6CEF">
        <w:rPr>
          <w:lang w:val="ru-RU"/>
        </w:rPr>
        <w:t xml:space="preserve">В прошлом году мы отметили большое количество </w:t>
      </w:r>
      <w:r w:rsidR="004D5CAA" w:rsidRPr="007F6CEF">
        <w:rPr>
          <w:lang w:val="ru-RU"/>
        </w:rPr>
        <w:t xml:space="preserve">ненайденных позиций и рекомендовали повысить эффективность отслеживания этих позиций и в соответствующих случаях их списывать. Руководство обеспечило продолжение усилий по поиску этих предметов. </w:t>
      </w:r>
    </w:p>
    <w:p w:rsidR="00BC6AA7" w:rsidRPr="007F6CEF" w:rsidRDefault="00BC6AA7" w:rsidP="00170B2C">
      <w:pPr>
        <w:rPr>
          <w:lang w:val="ru-RU"/>
        </w:rPr>
      </w:pPr>
      <w:r w:rsidRPr="007F6CEF">
        <w:rPr>
          <w:lang w:val="ru-RU"/>
        </w:rPr>
        <w:t>46</w:t>
      </w:r>
      <w:r w:rsidRPr="007F6CEF">
        <w:rPr>
          <w:lang w:val="ru-RU"/>
        </w:rPr>
        <w:tab/>
      </w:r>
      <w:r w:rsidR="009C345C" w:rsidRPr="007F6CEF">
        <w:rPr>
          <w:lang w:val="ru-RU"/>
        </w:rPr>
        <w:t xml:space="preserve">Была учтена сумма в </w:t>
      </w:r>
      <w:r w:rsidRPr="007F6CEF">
        <w:rPr>
          <w:lang w:val="ru-RU"/>
        </w:rPr>
        <w:t>392 744 швейцарск</w:t>
      </w:r>
      <w:r w:rsidR="009C345C" w:rsidRPr="007F6CEF">
        <w:rPr>
          <w:lang w:val="ru-RU"/>
        </w:rPr>
        <w:t>ого</w:t>
      </w:r>
      <w:r w:rsidRPr="007F6CEF">
        <w:rPr>
          <w:lang w:val="ru-RU"/>
        </w:rPr>
        <w:t xml:space="preserve"> франк</w:t>
      </w:r>
      <w:r w:rsidR="009C345C" w:rsidRPr="007F6CEF">
        <w:rPr>
          <w:lang w:val="ru-RU"/>
        </w:rPr>
        <w:t xml:space="preserve">а, относящаяся к списку активов, не найденных на начало 2013 года, а в результате инвентаризации 2013 года были найдены активы из этого списка </w:t>
      </w:r>
      <w:r w:rsidR="002672E6" w:rsidRPr="007F6CEF">
        <w:rPr>
          <w:lang w:val="ru-RU"/>
        </w:rPr>
        <w:t>стоимостью</w:t>
      </w:r>
      <w:r w:rsidR="009C345C" w:rsidRPr="007F6CEF">
        <w:rPr>
          <w:lang w:val="ru-RU"/>
        </w:rPr>
        <w:t xml:space="preserve"> </w:t>
      </w:r>
      <w:r w:rsidRPr="007F6CEF">
        <w:rPr>
          <w:lang w:val="ru-RU"/>
        </w:rPr>
        <w:t>251 060 швейцарских франков</w:t>
      </w:r>
      <w:r w:rsidR="009C345C" w:rsidRPr="007F6CEF">
        <w:rPr>
          <w:lang w:val="ru-RU"/>
        </w:rPr>
        <w:t xml:space="preserve">. Учитывая, что часть этих активов </w:t>
      </w:r>
      <w:r w:rsidR="002672E6" w:rsidRPr="007F6CEF">
        <w:rPr>
          <w:lang w:val="ru-RU"/>
        </w:rPr>
        <w:t>стоимостью</w:t>
      </w:r>
      <w:r w:rsidR="009C345C" w:rsidRPr="007F6CEF">
        <w:rPr>
          <w:lang w:val="ru-RU"/>
        </w:rPr>
        <w:t xml:space="preserve"> </w:t>
      </w:r>
      <w:r w:rsidRPr="007F6CEF">
        <w:rPr>
          <w:lang w:val="ru-RU"/>
        </w:rPr>
        <w:t xml:space="preserve">110 286 швейцарских франков </w:t>
      </w:r>
      <w:r w:rsidR="009C345C" w:rsidRPr="007F6CEF">
        <w:rPr>
          <w:lang w:val="ru-RU"/>
        </w:rPr>
        <w:t>б</w:t>
      </w:r>
      <w:r w:rsidR="002672E6" w:rsidRPr="007F6CEF">
        <w:rPr>
          <w:lang w:val="ru-RU"/>
        </w:rPr>
        <w:t>ыла включена</w:t>
      </w:r>
      <w:r w:rsidR="009C345C" w:rsidRPr="007F6CEF">
        <w:rPr>
          <w:lang w:val="ru-RU"/>
        </w:rPr>
        <w:t xml:space="preserve"> в список активов, </w:t>
      </w:r>
      <w:r w:rsidR="002672E6" w:rsidRPr="007F6CEF">
        <w:rPr>
          <w:lang w:val="ru-RU"/>
        </w:rPr>
        <w:t xml:space="preserve">списанных в 2013 году, на конец </w:t>
      </w:r>
      <w:r w:rsidRPr="007F6CEF">
        <w:rPr>
          <w:lang w:val="ru-RU"/>
        </w:rPr>
        <w:t xml:space="preserve">2013 года </w:t>
      </w:r>
      <w:r w:rsidR="002672E6" w:rsidRPr="007F6CEF">
        <w:rPr>
          <w:lang w:val="ru-RU"/>
        </w:rPr>
        <w:t xml:space="preserve">все еще не найдены активы на сумму </w:t>
      </w:r>
      <w:r w:rsidRPr="007F6CEF">
        <w:rPr>
          <w:lang w:val="ru-RU"/>
        </w:rPr>
        <w:t>31 398 швейцарских франков.</w:t>
      </w:r>
    </w:p>
    <w:p w:rsidR="00BC6AA7" w:rsidRPr="007F6CEF" w:rsidRDefault="00BC6AA7" w:rsidP="00170B2C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1"/>
      </w:tblGrid>
      <w:tr w:rsidR="00BC6AA7" w:rsidRPr="00C21591" w:rsidTr="006521C2">
        <w:tc>
          <w:tcPr>
            <w:tcW w:w="9631" w:type="dxa"/>
          </w:tcPr>
          <w:p w:rsidR="00BC6AA7" w:rsidRPr="007F6CEF" w:rsidRDefault="00C07940" w:rsidP="00170B2C">
            <w:pPr>
              <w:rPr>
                <w:b/>
                <w:bCs/>
                <w:u w:val="single"/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Предложение</w:t>
            </w:r>
            <w:r w:rsidR="00BC6AA7" w:rsidRPr="007F6CEF">
              <w:rPr>
                <w:b/>
                <w:bCs/>
                <w:u w:val="single"/>
                <w:lang w:val="ru-RU"/>
              </w:rPr>
              <w:t xml:space="preserve"> 1</w:t>
            </w:r>
          </w:p>
          <w:p w:rsidR="00BC6AA7" w:rsidRPr="007F6CEF" w:rsidRDefault="00BC6AA7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>47</w:t>
            </w:r>
            <w:r w:rsidRPr="007F6CEF">
              <w:rPr>
                <w:lang w:val="ru-RU"/>
              </w:rPr>
              <w:tab/>
            </w:r>
            <w:r w:rsidR="002672E6" w:rsidRPr="007F6CEF">
              <w:rPr>
                <w:lang w:val="ru-RU"/>
              </w:rPr>
              <w:t xml:space="preserve">Хотя мы признаем усилия и результаты </w:t>
            </w:r>
            <w:r w:rsidR="002E229A" w:rsidRPr="007F6CEF">
              <w:rPr>
                <w:lang w:val="ru-RU"/>
              </w:rPr>
              <w:t>проведенной</w:t>
            </w:r>
            <w:r w:rsidR="002672E6" w:rsidRPr="007F6CEF">
              <w:rPr>
                <w:lang w:val="ru-RU"/>
              </w:rPr>
              <w:t xml:space="preserve"> работы по инвентаризации, мы отметили, что были списаны ненайденные активы стоимостью</w:t>
            </w:r>
            <w:r w:rsidRPr="007F6CEF">
              <w:rPr>
                <w:lang w:val="ru-RU"/>
              </w:rPr>
              <w:t xml:space="preserve"> 110 286 швейцарских франков</w:t>
            </w:r>
            <w:r w:rsidR="002672E6" w:rsidRPr="007F6CEF">
              <w:rPr>
                <w:lang w:val="ru-RU"/>
              </w:rPr>
              <w:t xml:space="preserve">, которые до этого времени не были обнаружены. В связи с </w:t>
            </w:r>
            <w:r w:rsidR="00034952" w:rsidRPr="007F6CEF">
              <w:rPr>
                <w:lang w:val="ru-RU"/>
              </w:rPr>
              <w:t xml:space="preserve">тем, что эти ненайденные и списанные активы вышли из употребления, и с учетом их небольшой стоимости такое решение для них может быть принято на 2013 год. Но в дальнейшем любые активы, которые не предназначены для списания, должны обозначаться как "не найденные" в форме заявки на списание, введенной </w:t>
            </w:r>
            <w:r w:rsidR="00BC5D34" w:rsidRPr="007F6CEF">
              <w:rPr>
                <w:lang w:val="ru-RU"/>
              </w:rPr>
              <w:t xml:space="preserve">Подразделением управления активами. </w:t>
            </w:r>
          </w:p>
        </w:tc>
      </w:tr>
    </w:tbl>
    <w:p w:rsidR="00BC6AA7" w:rsidRPr="007F6CEF" w:rsidRDefault="00BC6AA7" w:rsidP="00170B2C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1"/>
      </w:tblGrid>
      <w:tr w:rsidR="00BC6AA7" w:rsidRPr="00C21591" w:rsidTr="006521C2">
        <w:trPr>
          <w:cantSplit/>
        </w:trPr>
        <w:tc>
          <w:tcPr>
            <w:tcW w:w="9631" w:type="dxa"/>
          </w:tcPr>
          <w:p w:rsidR="00BC6AA7" w:rsidRPr="007F6CEF" w:rsidRDefault="00BC6AA7" w:rsidP="00170B2C">
            <w:pPr>
              <w:rPr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7F6CEF">
              <w:rPr>
                <w:lang w:val="ru-RU"/>
              </w:rPr>
              <w:t>:</w:t>
            </w:r>
          </w:p>
          <w:p w:rsidR="00BC6AA7" w:rsidRPr="007F6CEF" w:rsidRDefault="00BC5D34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>С 2014 года Подразделение управления активами</w:t>
            </w:r>
            <w:r w:rsidR="00BC6AA7" w:rsidRPr="007F6CEF">
              <w:rPr>
                <w:lang w:val="ru-RU"/>
              </w:rPr>
              <w:t xml:space="preserve"> </w:t>
            </w:r>
            <w:r w:rsidRPr="007F6CEF">
              <w:rPr>
                <w:lang w:val="ru-RU"/>
              </w:rPr>
              <w:t xml:space="preserve">внесло поправки в форму заявки на списание, </w:t>
            </w:r>
            <w:r w:rsidR="00560CD7" w:rsidRPr="007F6CEF">
              <w:rPr>
                <w:lang w:val="ru-RU"/>
              </w:rPr>
              <w:t xml:space="preserve">включив в нее поле, в котором предназначенные для списания активы можно обозначить как "не найденные" Следует отметить, что ненайденные и списанные активы использовались так долго, что уже не имели никакой остаточной чистой балансовой стоимости. </w:t>
            </w:r>
          </w:p>
        </w:tc>
      </w:tr>
    </w:tbl>
    <w:p w:rsidR="00AA0135" w:rsidRPr="007F6CEF" w:rsidRDefault="00D743FA" w:rsidP="00170B2C">
      <w:pPr>
        <w:pStyle w:val="Headingb"/>
        <w:spacing w:before="240"/>
        <w:rPr>
          <w:lang w:val="ru-RU"/>
        </w:rPr>
      </w:pPr>
      <w:bookmarkStart w:id="117" w:name="_Toc356330886"/>
      <w:bookmarkStart w:id="118" w:name="_Toc398125319"/>
      <w:bookmarkStart w:id="119" w:name="_Toc398125798"/>
      <w:bookmarkStart w:id="120" w:name="_Toc398127091"/>
      <w:r w:rsidRPr="007F6CEF">
        <w:rPr>
          <w:lang w:val="ru-RU"/>
        </w:rPr>
        <w:t>Нематериальные а</w:t>
      </w:r>
      <w:r w:rsidR="00D56180" w:rsidRPr="007F6CEF">
        <w:rPr>
          <w:lang w:val="ru-RU"/>
        </w:rPr>
        <w:t>ктивы</w:t>
      </w:r>
      <w:bookmarkEnd w:id="117"/>
      <w:bookmarkEnd w:id="118"/>
      <w:bookmarkEnd w:id="119"/>
      <w:bookmarkEnd w:id="120"/>
    </w:p>
    <w:p w:rsidR="00AA0135" w:rsidRPr="007F6CEF" w:rsidRDefault="00983F25" w:rsidP="00170B2C">
      <w:pPr>
        <w:rPr>
          <w:lang w:val="ru-RU"/>
        </w:rPr>
      </w:pPr>
      <w:r w:rsidRPr="007F6CEF">
        <w:rPr>
          <w:lang w:val="ru-RU"/>
        </w:rPr>
        <w:t>4</w:t>
      </w:r>
      <w:r w:rsidR="00A53776" w:rsidRPr="007F6CEF">
        <w:rPr>
          <w:lang w:val="ru-RU"/>
        </w:rPr>
        <w:t>8</w:t>
      </w:r>
      <w:r w:rsidRPr="007F6CEF">
        <w:rPr>
          <w:lang w:val="ru-RU"/>
        </w:rPr>
        <w:tab/>
      </w:r>
      <w:r w:rsidR="00D743FA" w:rsidRPr="007F6CEF">
        <w:rPr>
          <w:lang w:val="ru-RU"/>
        </w:rPr>
        <w:t>В</w:t>
      </w:r>
      <w:r w:rsidR="00AA0135" w:rsidRPr="007F6CEF">
        <w:rPr>
          <w:lang w:val="ru-RU"/>
        </w:rPr>
        <w:t xml:space="preserve"> 201</w:t>
      </w:r>
      <w:r w:rsidR="00A53776" w:rsidRPr="007F6CEF">
        <w:rPr>
          <w:lang w:val="ru-RU"/>
        </w:rPr>
        <w:t>3</w:t>
      </w:r>
      <w:r w:rsidR="00AA0135" w:rsidRPr="007F6CEF">
        <w:rPr>
          <w:lang w:val="ru-RU"/>
        </w:rPr>
        <w:t xml:space="preserve"> </w:t>
      </w:r>
      <w:r w:rsidR="00D743FA" w:rsidRPr="007F6CEF">
        <w:rPr>
          <w:lang w:val="ru-RU"/>
        </w:rPr>
        <w:t>году размер н</w:t>
      </w:r>
      <w:r w:rsidR="00A53776" w:rsidRPr="007F6CEF">
        <w:rPr>
          <w:lang w:val="ru-RU"/>
        </w:rPr>
        <w:t>ематериальных активов составил 2</w:t>
      </w:r>
      <w:r w:rsidR="00D743FA" w:rsidRPr="007F6CEF">
        <w:rPr>
          <w:lang w:val="ru-RU"/>
        </w:rPr>
        <w:t>,</w:t>
      </w:r>
      <w:r w:rsidR="00A53776" w:rsidRPr="007F6CEF">
        <w:rPr>
          <w:lang w:val="ru-RU"/>
        </w:rPr>
        <w:t>9</w:t>
      </w:r>
      <w:r w:rsidR="00AA0135" w:rsidRPr="007F6CEF">
        <w:rPr>
          <w:lang w:val="ru-RU"/>
        </w:rPr>
        <w:t xml:space="preserve"> </w:t>
      </w:r>
      <w:r w:rsidR="00345A13" w:rsidRPr="007F6CEF">
        <w:rPr>
          <w:lang w:val="ru-RU"/>
        </w:rPr>
        <w:t>млн. швейцарских франков</w:t>
      </w:r>
      <w:r w:rsidR="000D4A43" w:rsidRPr="007F6CEF">
        <w:rPr>
          <w:lang w:val="ru-RU"/>
        </w:rPr>
        <w:t xml:space="preserve">, более чем удвоившись </w:t>
      </w:r>
      <w:r w:rsidR="001620A7" w:rsidRPr="007F6CEF">
        <w:rPr>
          <w:lang w:val="ru-RU"/>
        </w:rPr>
        <w:t>по сравнению с 2012 год</w:t>
      </w:r>
      <w:r w:rsidR="000D4A43" w:rsidRPr="007F6CEF">
        <w:rPr>
          <w:lang w:val="ru-RU"/>
        </w:rPr>
        <w:t>ом</w:t>
      </w:r>
      <w:r w:rsidR="001620A7" w:rsidRPr="007F6CEF">
        <w:rPr>
          <w:lang w:val="ru-RU"/>
        </w:rPr>
        <w:t xml:space="preserve"> </w:t>
      </w:r>
      <w:r w:rsidR="00A53776" w:rsidRPr="007F6CEF">
        <w:rPr>
          <w:lang w:val="ru-RU"/>
        </w:rPr>
        <w:t xml:space="preserve">(1,2 млн. швейцарских франков); </w:t>
      </w:r>
      <w:r w:rsidR="000D4A43" w:rsidRPr="007F6CEF">
        <w:rPr>
          <w:lang w:val="ru-RU"/>
        </w:rPr>
        <w:t xml:space="preserve">это увеличение вызвано в основном тремя проектами, находящимися в процессе реализации: </w:t>
      </w:r>
      <w:r w:rsidR="00A53776" w:rsidRPr="007F6CEF">
        <w:rPr>
          <w:lang w:val="ru-RU"/>
        </w:rPr>
        <w:t>"</w:t>
      </w:r>
      <w:r w:rsidR="000F6414" w:rsidRPr="007F6CEF">
        <w:rPr>
          <w:lang w:val="ru-RU"/>
        </w:rPr>
        <w:t>Услуги по а</w:t>
      </w:r>
      <w:r w:rsidR="000D4A43" w:rsidRPr="007F6CEF">
        <w:rPr>
          <w:lang w:val="ru-RU"/>
        </w:rPr>
        <w:t>нализ</w:t>
      </w:r>
      <w:r w:rsidR="000F6414" w:rsidRPr="007F6CEF">
        <w:rPr>
          <w:lang w:val="ru-RU"/>
        </w:rPr>
        <w:t>у</w:t>
      </w:r>
      <w:r w:rsidR="000D4A43" w:rsidRPr="007F6CEF">
        <w:rPr>
          <w:lang w:val="ru-RU"/>
        </w:rPr>
        <w:t xml:space="preserve"> </w:t>
      </w:r>
      <w:r w:rsidR="00E80015" w:rsidRPr="007F6CEF">
        <w:rPr>
          <w:lang w:val="ru-RU"/>
        </w:rPr>
        <w:t xml:space="preserve">и реализации </w:t>
      </w:r>
      <w:r w:rsidR="000F6414" w:rsidRPr="007F6CEF">
        <w:rPr>
          <w:lang w:val="ru-RU"/>
        </w:rPr>
        <w:t xml:space="preserve">согласования расхождений </w:t>
      </w:r>
      <w:r w:rsidR="00E80015" w:rsidRPr="007F6CEF">
        <w:rPr>
          <w:lang w:val="ru-RU"/>
        </w:rPr>
        <w:t>в рамках управления</w:t>
      </w:r>
      <w:r w:rsidR="000D4A43" w:rsidRPr="007F6CEF">
        <w:rPr>
          <w:lang w:val="ru-RU"/>
        </w:rPr>
        <w:t xml:space="preserve"> отношениями с клиентами (</w:t>
      </w:r>
      <w:r w:rsidR="00A53776" w:rsidRPr="007F6CEF">
        <w:rPr>
          <w:lang w:val="ru-RU"/>
        </w:rPr>
        <w:t>CRM</w:t>
      </w:r>
      <w:r w:rsidR="000D4A43" w:rsidRPr="007F6CEF">
        <w:rPr>
          <w:lang w:val="ru-RU"/>
        </w:rPr>
        <w:t>)</w:t>
      </w:r>
      <w:r w:rsidR="00E80015" w:rsidRPr="007F6CEF">
        <w:rPr>
          <w:lang w:val="ru-RU"/>
        </w:rPr>
        <w:t>", "</w:t>
      </w:r>
      <w:r w:rsidR="00966CA4" w:rsidRPr="007F6CEF">
        <w:rPr>
          <w:lang w:val="ru-RU"/>
        </w:rPr>
        <w:t>Управление предложенной Конференцией системой управления платежами (</w:t>
      </w:r>
      <w:r w:rsidR="00A53776" w:rsidRPr="007F6CEF">
        <w:rPr>
          <w:lang w:val="ru-RU"/>
        </w:rPr>
        <w:t>PMS</w:t>
      </w:r>
      <w:r w:rsidR="00966CA4" w:rsidRPr="007F6CEF">
        <w:rPr>
          <w:lang w:val="ru-RU"/>
        </w:rPr>
        <w:t xml:space="preserve">)" и "Переход интернет/экстранет" </w:t>
      </w:r>
      <w:r w:rsidR="00A53776" w:rsidRPr="007F6CEF">
        <w:rPr>
          <w:lang w:val="ru-RU"/>
        </w:rPr>
        <w:t>(IPSAS 31).</w:t>
      </w:r>
    </w:p>
    <w:p w:rsidR="001620A7" w:rsidRPr="007F6CEF" w:rsidRDefault="00983F25" w:rsidP="00170B2C">
      <w:pPr>
        <w:rPr>
          <w:spacing w:val="1"/>
          <w:lang w:val="ru-RU"/>
        </w:rPr>
      </w:pPr>
      <w:r w:rsidRPr="007F6CEF">
        <w:rPr>
          <w:spacing w:val="1"/>
          <w:lang w:val="ru-RU"/>
        </w:rPr>
        <w:t>4</w:t>
      </w:r>
      <w:r w:rsidR="001620A7" w:rsidRPr="007F6CEF">
        <w:rPr>
          <w:spacing w:val="1"/>
          <w:lang w:val="ru-RU"/>
        </w:rPr>
        <w:t>9</w:t>
      </w:r>
      <w:r w:rsidRPr="007F6CEF">
        <w:rPr>
          <w:spacing w:val="1"/>
          <w:lang w:val="ru-RU"/>
        </w:rPr>
        <w:tab/>
      </w:r>
      <w:r w:rsidR="00966CA4" w:rsidRPr="007F6CEF">
        <w:rPr>
          <w:spacing w:val="1"/>
          <w:lang w:val="ru-RU"/>
        </w:rPr>
        <w:t xml:space="preserve">Как указано руководством в соответствующем Примечании 13 Отчета о финансовой деятельности, согласно </w:t>
      </w:r>
      <w:r w:rsidR="001620A7" w:rsidRPr="007F6CEF">
        <w:rPr>
          <w:spacing w:val="1"/>
          <w:lang w:val="ru-RU"/>
        </w:rPr>
        <w:t>IPSAS 31</w:t>
      </w:r>
      <w:r w:rsidR="00966CA4" w:rsidRPr="007F6CEF">
        <w:rPr>
          <w:spacing w:val="1"/>
          <w:lang w:val="ru-RU"/>
        </w:rPr>
        <w:t xml:space="preserve"> капитализация касалась внутренних разработок, связанных с совершенствованием некоторых конкретных услуг, предлагаемых членам</w:t>
      </w:r>
      <w:r w:rsidR="001620A7" w:rsidRPr="007F6CEF">
        <w:rPr>
          <w:spacing w:val="1"/>
          <w:lang w:val="ru-RU"/>
        </w:rPr>
        <w:t xml:space="preserve">, </w:t>
      </w:r>
      <w:r w:rsidR="00966CA4" w:rsidRPr="007F6CEF">
        <w:rPr>
          <w:spacing w:val="1"/>
          <w:lang w:val="ru-RU"/>
        </w:rPr>
        <w:t xml:space="preserve">в частности в отношении доступа, управления и архивирования документации МСЭ. </w:t>
      </w:r>
    </w:p>
    <w:p w:rsidR="00AA0135" w:rsidRPr="007F6CEF" w:rsidRDefault="001620A7" w:rsidP="00170B2C">
      <w:pPr>
        <w:rPr>
          <w:spacing w:val="1"/>
          <w:lang w:val="ru-RU"/>
        </w:rPr>
      </w:pPr>
      <w:r w:rsidRPr="007F6CEF">
        <w:rPr>
          <w:spacing w:val="1"/>
          <w:lang w:val="ru-RU"/>
        </w:rPr>
        <w:t>50</w:t>
      </w:r>
      <w:r w:rsidRPr="007F6CEF">
        <w:rPr>
          <w:spacing w:val="1"/>
          <w:lang w:val="ru-RU"/>
        </w:rPr>
        <w:tab/>
      </w:r>
      <w:r w:rsidR="00AC6833" w:rsidRPr="007F6CEF">
        <w:rPr>
          <w:lang w:val="ru-RU"/>
        </w:rPr>
        <w:t>Как также отмечали</w:t>
      </w:r>
      <w:r w:rsidRPr="007F6CEF">
        <w:rPr>
          <w:lang w:val="ru-RU"/>
        </w:rPr>
        <w:t xml:space="preserve"> </w:t>
      </w:r>
      <w:r w:rsidR="00D743FA" w:rsidRPr="007F6CEF">
        <w:rPr>
          <w:spacing w:val="1"/>
          <w:lang w:val="ru-RU"/>
        </w:rPr>
        <w:t>наши предшественник</w:t>
      </w:r>
      <w:r w:rsidRPr="007F6CEF">
        <w:rPr>
          <w:spacing w:val="1"/>
          <w:lang w:val="ru-RU"/>
        </w:rPr>
        <w:t>и</w:t>
      </w:r>
      <w:r w:rsidR="00D743FA" w:rsidRPr="007F6CEF">
        <w:rPr>
          <w:spacing w:val="1"/>
          <w:lang w:val="ru-RU"/>
        </w:rPr>
        <w:t xml:space="preserve"> из </w:t>
      </w:r>
      <w:r w:rsidR="00AC6833" w:rsidRPr="007F6CEF">
        <w:rPr>
          <w:rFonts w:cs="Calibri"/>
          <w:szCs w:val="22"/>
          <w:lang w:val="ru-RU" w:eastAsia="zh-CN"/>
        </w:rPr>
        <w:t>Швейцарского федерального аудиторского бюро</w:t>
      </w:r>
      <w:r w:rsidR="00AC6833" w:rsidRPr="007F6CEF">
        <w:rPr>
          <w:spacing w:val="1"/>
          <w:lang w:val="ru-RU"/>
        </w:rPr>
        <w:t xml:space="preserve"> (</w:t>
      </w:r>
      <w:r w:rsidR="00D743FA" w:rsidRPr="007F6CEF">
        <w:rPr>
          <w:spacing w:val="1"/>
          <w:lang w:val="ru-RU"/>
        </w:rPr>
        <w:t>ШФАБ</w:t>
      </w:r>
      <w:r w:rsidR="00AC6833" w:rsidRPr="007F6CEF">
        <w:rPr>
          <w:spacing w:val="1"/>
          <w:lang w:val="ru-RU"/>
        </w:rPr>
        <w:t>) в отношении стандарта IPSAS 31</w:t>
      </w:r>
      <w:r w:rsidR="00D743FA" w:rsidRPr="007F6CEF">
        <w:rPr>
          <w:spacing w:val="1"/>
          <w:lang w:val="ru-RU"/>
        </w:rPr>
        <w:t xml:space="preserve">, </w:t>
      </w:r>
      <w:r w:rsidR="003D4739" w:rsidRPr="007F6CEF">
        <w:rPr>
          <w:lang w:val="ru-RU"/>
        </w:rPr>
        <w:t>"</w:t>
      </w:r>
      <w:r w:rsidR="00A900A8" w:rsidRPr="007F6CEF">
        <w:rPr>
          <w:i/>
          <w:iCs/>
          <w:lang w:val="ru-RU"/>
        </w:rPr>
        <w:t>правильное применение данного стандарта означает, что проекты ИТ разбиты на разные этапы, и активы предусматриваются только для этапов проектирования и реализации</w:t>
      </w:r>
      <w:r w:rsidR="003D4739" w:rsidRPr="007F6CEF">
        <w:rPr>
          <w:lang w:val="ru-RU"/>
        </w:rPr>
        <w:t xml:space="preserve">". </w:t>
      </w:r>
    </w:p>
    <w:p w:rsidR="00AA0135" w:rsidRPr="007F6CEF" w:rsidRDefault="00583C98" w:rsidP="00170B2C">
      <w:pPr>
        <w:rPr>
          <w:lang w:val="ru-RU"/>
        </w:rPr>
      </w:pPr>
      <w:r w:rsidRPr="007F6CEF">
        <w:rPr>
          <w:lang w:val="ru-RU"/>
        </w:rPr>
        <w:t>51</w:t>
      </w:r>
      <w:r w:rsidR="00983F25" w:rsidRPr="007F6CEF">
        <w:rPr>
          <w:lang w:val="ru-RU"/>
        </w:rPr>
        <w:tab/>
      </w:r>
      <w:r w:rsidR="00127E37" w:rsidRPr="007F6CEF">
        <w:rPr>
          <w:lang w:val="ru-RU"/>
        </w:rPr>
        <w:t>Хотя при</w:t>
      </w:r>
      <w:r w:rsidRPr="007F6CEF">
        <w:rPr>
          <w:lang w:val="ru-RU"/>
        </w:rPr>
        <w:t xml:space="preserve"> </w:t>
      </w:r>
      <w:r w:rsidR="007D4483" w:rsidRPr="007F6CEF">
        <w:rPr>
          <w:lang w:val="ru-RU"/>
        </w:rPr>
        <w:t>перво</w:t>
      </w:r>
      <w:r w:rsidR="00127E37" w:rsidRPr="007F6CEF">
        <w:rPr>
          <w:lang w:val="ru-RU"/>
        </w:rPr>
        <w:t>м</w:t>
      </w:r>
      <w:r w:rsidR="007D4483" w:rsidRPr="007F6CEF">
        <w:rPr>
          <w:lang w:val="ru-RU"/>
        </w:rPr>
        <w:t xml:space="preserve"> применени</w:t>
      </w:r>
      <w:r w:rsidR="00127E37" w:rsidRPr="007F6CEF">
        <w:rPr>
          <w:lang w:val="ru-RU"/>
        </w:rPr>
        <w:t>и</w:t>
      </w:r>
      <w:r w:rsidR="007D4483" w:rsidRPr="007F6CEF">
        <w:rPr>
          <w:lang w:val="ru-RU"/>
        </w:rPr>
        <w:t xml:space="preserve"> стандарта I</w:t>
      </w:r>
      <w:r w:rsidR="00AA0135" w:rsidRPr="007F6CEF">
        <w:rPr>
          <w:lang w:val="ru-RU"/>
        </w:rPr>
        <w:t xml:space="preserve">PSAS 31 </w:t>
      </w:r>
      <w:r w:rsidR="00127E37" w:rsidRPr="007F6CEF">
        <w:rPr>
          <w:lang w:val="ru-RU"/>
        </w:rPr>
        <w:t xml:space="preserve">в годовых счетах МСЭ за 2012 год в связи с этим не было обнаружено никаких крупных </w:t>
      </w:r>
      <w:r w:rsidR="00883921" w:rsidRPr="007F6CEF">
        <w:rPr>
          <w:lang w:val="ru-RU"/>
        </w:rPr>
        <w:t>проблем</w:t>
      </w:r>
      <w:r w:rsidR="00127E37" w:rsidRPr="007F6CEF">
        <w:rPr>
          <w:lang w:val="ru-RU"/>
        </w:rPr>
        <w:t>, в финансовой отчетности МСЭ за 2013 год высокая капитализированная стоимость, относящаяся к разрабатываемым проектам, заслуживает более подробного описания.</w:t>
      </w:r>
    </w:p>
    <w:p w:rsidR="00583C98" w:rsidRPr="007F6CEF" w:rsidRDefault="00583C98" w:rsidP="00170B2C">
      <w:pPr>
        <w:rPr>
          <w:lang w:val="ru-RU"/>
        </w:rPr>
      </w:pPr>
      <w:r w:rsidRPr="007F6CEF">
        <w:rPr>
          <w:lang w:val="ru-RU"/>
        </w:rPr>
        <w:t>52</w:t>
      </w:r>
      <w:r w:rsidRPr="007F6CEF">
        <w:rPr>
          <w:lang w:val="ru-RU"/>
        </w:rPr>
        <w:tab/>
      </w:r>
      <w:r w:rsidR="0029089C" w:rsidRPr="007F6CEF">
        <w:rPr>
          <w:lang w:val="ru-RU"/>
        </w:rPr>
        <w:t xml:space="preserve">Поэтому мы согласны с руководством в том, что </w:t>
      </w:r>
      <w:r w:rsidR="00671B2A" w:rsidRPr="007F6CEF">
        <w:rPr>
          <w:lang w:val="ru-RU"/>
        </w:rPr>
        <w:t>по</w:t>
      </w:r>
      <w:r w:rsidR="0029089C" w:rsidRPr="007F6CEF">
        <w:rPr>
          <w:lang w:val="ru-RU"/>
        </w:rPr>
        <w:t xml:space="preserve"> проект</w:t>
      </w:r>
      <w:r w:rsidR="00671B2A" w:rsidRPr="007F6CEF">
        <w:rPr>
          <w:lang w:val="ru-RU"/>
        </w:rPr>
        <w:t>у</w:t>
      </w:r>
      <w:r w:rsidRPr="007F6CEF">
        <w:rPr>
          <w:lang w:val="ru-RU"/>
        </w:rPr>
        <w:t xml:space="preserve"> "</w:t>
      </w:r>
      <w:r w:rsidR="00E80015" w:rsidRPr="007F6CEF">
        <w:rPr>
          <w:lang w:val="ru-RU"/>
        </w:rPr>
        <w:t>Услуги по анализу и реализации согласования расхождений в рамках управления отношениями с клиентами (CRM)</w:t>
      </w:r>
      <w:r w:rsidR="0029089C" w:rsidRPr="007F6CEF">
        <w:rPr>
          <w:lang w:val="ru-RU"/>
        </w:rPr>
        <w:t xml:space="preserve">" </w:t>
      </w:r>
      <w:r w:rsidR="00671B2A" w:rsidRPr="007F6CEF">
        <w:rPr>
          <w:lang w:val="ru-RU"/>
        </w:rPr>
        <w:t xml:space="preserve">некоторые затраты по профессиональной подготовке не были капитализированы, если они относились к этапам после реализации. </w:t>
      </w:r>
    </w:p>
    <w:p w:rsidR="00AA0135" w:rsidRPr="007F6CEF" w:rsidRDefault="00F26975" w:rsidP="00170B2C">
      <w:pPr>
        <w:pStyle w:val="Headingb"/>
        <w:rPr>
          <w:lang w:val="ru-RU"/>
        </w:rPr>
      </w:pPr>
      <w:bookmarkStart w:id="121" w:name="_Toc358192836"/>
      <w:bookmarkStart w:id="122" w:name="_Toc398125320"/>
      <w:bookmarkStart w:id="123" w:name="_Toc398125799"/>
      <w:bookmarkStart w:id="124" w:name="_Toc398127092"/>
      <w:r w:rsidRPr="007F6CEF">
        <w:rPr>
          <w:lang w:val="ru-RU"/>
        </w:rPr>
        <w:t>Пассивы</w:t>
      </w:r>
      <w:bookmarkEnd w:id="121"/>
      <w:bookmarkEnd w:id="122"/>
      <w:bookmarkEnd w:id="123"/>
      <w:bookmarkEnd w:id="124"/>
    </w:p>
    <w:p w:rsidR="00AA0135" w:rsidRPr="007F6CEF" w:rsidRDefault="00583C98" w:rsidP="00170B2C">
      <w:pPr>
        <w:rPr>
          <w:lang w:val="ru-RU"/>
        </w:rPr>
      </w:pPr>
      <w:r w:rsidRPr="007F6CEF">
        <w:rPr>
          <w:lang w:val="ru-RU"/>
        </w:rPr>
        <w:t>53</w:t>
      </w:r>
      <w:r w:rsidR="00983F25" w:rsidRPr="007F6CEF">
        <w:rPr>
          <w:lang w:val="ru-RU"/>
        </w:rPr>
        <w:tab/>
      </w:r>
      <w:r w:rsidR="00A30082" w:rsidRPr="007F6CEF">
        <w:rPr>
          <w:lang w:val="ru-RU"/>
        </w:rPr>
        <w:t>В</w:t>
      </w:r>
      <w:r w:rsidR="00AA0135" w:rsidRPr="007F6CEF">
        <w:rPr>
          <w:lang w:val="ru-RU"/>
        </w:rPr>
        <w:t xml:space="preserve"> 201</w:t>
      </w:r>
      <w:r w:rsidRPr="007F6CEF">
        <w:rPr>
          <w:lang w:val="ru-RU"/>
        </w:rPr>
        <w:t>3</w:t>
      </w:r>
      <w:r w:rsidR="00AA0135" w:rsidRPr="007F6CEF">
        <w:rPr>
          <w:lang w:val="ru-RU"/>
        </w:rPr>
        <w:t xml:space="preserve"> </w:t>
      </w:r>
      <w:r w:rsidR="00A30082" w:rsidRPr="007F6CEF">
        <w:rPr>
          <w:lang w:val="ru-RU"/>
        </w:rPr>
        <w:t>году п</w:t>
      </w:r>
      <w:r w:rsidR="00F26975" w:rsidRPr="007F6CEF">
        <w:rPr>
          <w:lang w:val="ru-RU"/>
        </w:rPr>
        <w:t>ассивы</w:t>
      </w:r>
      <w:r w:rsidR="00AA0135" w:rsidRPr="007F6CEF">
        <w:rPr>
          <w:lang w:val="ru-RU"/>
        </w:rPr>
        <w:t xml:space="preserve"> </w:t>
      </w:r>
      <w:r w:rsidR="00A30082" w:rsidRPr="007F6CEF">
        <w:rPr>
          <w:lang w:val="ru-RU"/>
        </w:rPr>
        <w:t>составили 5</w:t>
      </w:r>
      <w:r w:rsidRPr="007F6CEF">
        <w:rPr>
          <w:lang w:val="ru-RU"/>
        </w:rPr>
        <w:t>52</w:t>
      </w:r>
      <w:r w:rsidR="00A30082" w:rsidRPr="007F6CEF">
        <w:rPr>
          <w:lang w:val="ru-RU"/>
        </w:rPr>
        <w:t>,</w:t>
      </w:r>
      <w:r w:rsidRPr="007F6CEF">
        <w:rPr>
          <w:lang w:val="ru-RU"/>
        </w:rPr>
        <w:t>2</w:t>
      </w:r>
      <w:r w:rsidR="00AA0135" w:rsidRPr="007F6CEF">
        <w:rPr>
          <w:lang w:val="ru-RU"/>
        </w:rPr>
        <w:t xml:space="preserve"> </w:t>
      </w:r>
      <w:r w:rsidR="00345A13" w:rsidRPr="007F6CEF">
        <w:rPr>
          <w:lang w:val="ru-RU"/>
        </w:rPr>
        <w:t>млн. швейцарских франков</w:t>
      </w:r>
      <w:r w:rsidRPr="007F6CEF">
        <w:rPr>
          <w:lang w:val="ru-RU"/>
        </w:rPr>
        <w:t>,</w:t>
      </w:r>
      <w:r w:rsidR="00A30082" w:rsidRPr="007F6CEF">
        <w:rPr>
          <w:lang w:val="ru-RU"/>
        </w:rPr>
        <w:t xml:space="preserve"> </w:t>
      </w:r>
      <w:r w:rsidRPr="007F6CEF">
        <w:rPr>
          <w:lang w:val="ru-RU"/>
        </w:rPr>
        <w:t>уменьшившись</w:t>
      </w:r>
      <w:r w:rsidR="00A30082" w:rsidRPr="007F6CEF">
        <w:rPr>
          <w:lang w:val="ru-RU"/>
        </w:rPr>
        <w:t xml:space="preserve"> на </w:t>
      </w:r>
      <w:r w:rsidRPr="007F6CEF">
        <w:rPr>
          <w:lang w:val="ru-RU"/>
        </w:rPr>
        <w:t>35</w:t>
      </w:r>
      <w:r w:rsidR="00A30082" w:rsidRPr="007F6CEF">
        <w:rPr>
          <w:lang w:val="ru-RU"/>
        </w:rPr>
        <w:t>,</w:t>
      </w:r>
      <w:r w:rsidRPr="007F6CEF">
        <w:rPr>
          <w:lang w:val="ru-RU"/>
        </w:rPr>
        <w:t>8 </w:t>
      </w:r>
      <w:r w:rsidR="00345A13" w:rsidRPr="007F6CEF">
        <w:rPr>
          <w:lang w:val="ru-RU"/>
        </w:rPr>
        <w:t xml:space="preserve">млн. швейцарских франков </w:t>
      </w:r>
      <w:r w:rsidR="00190B49" w:rsidRPr="007F6CEF">
        <w:rPr>
          <w:lang w:val="ru-RU"/>
        </w:rPr>
        <w:t>(−6,1</w:t>
      </w:r>
      <w:r w:rsidR="00AA0135" w:rsidRPr="007F6CEF">
        <w:rPr>
          <w:lang w:val="ru-RU"/>
        </w:rPr>
        <w:t xml:space="preserve">%) </w:t>
      </w:r>
      <w:r w:rsidR="00A30082" w:rsidRPr="007F6CEF">
        <w:rPr>
          <w:lang w:val="ru-RU"/>
        </w:rPr>
        <w:t xml:space="preserve">по сравнению с величиной, учтенной в </w:t>
      </w:r>
      <w:r w:rsidR="005B7C83" w:rsidRPr="007F6CEF">
        <w:rPr>
          <w:lang w:val="ru-RU"/>
        </w:rPr>
        <w:t>201</w:t>
      </w:r>
      <w:r w:rsidR="00190B49" w:rsidRPr="007F6CEF">
        <w:rPr>
          <w:lang w:val="ru-RU"/>
        </w:rPr>
        <w:t>2</w:t>
      </w:r>
      <w:r w:rsidR="005B7C83" w:rsidRPr="007F6CEF">
        <w:rPr>
          <w:lang w:val="ru-RU"/>
        </w:rPr>
        <w:t> </w:t>
      </w:r>
      <w:r w:rsidR="00600344" w:rsidRPr="007F6CEF">
        <w:rPr>
          <w:lang w:val="ru-RU"/>
        </w:rPr>
        <w:t>году</w:t>
      </w:r>
      <w:r w:rsidR="00A30082" w:rsidRPr="007F6CEF">
        <w:rPr>
          <w:lang w:val="ru-RU"/>
        </w:rPr>
        <w:t xml:space="preserve"> (5</w:t>
      </w:r>
      <w:r w:rsidR="00190B49" w:rsidRPr="007F6CEF">
        <w:rPr>
          <w:lang w:val="ru-RU"/>
        </w:rPr>
        <w:t>88</w:t>
      </w:r>
      <w:r w:rsidR="00A30082" w:rsidRPr="007F6CEF">
        <w:rPr>
          <w:lang w:val="ru-RU"/>
        </w:rPr>
        <w:t>,</w:t>
      </w:r>
      <w:r w:rsidR="00190B49" w:rsidRPr="007F6CEF">
        <w:rPr>
          <w:lang w:val="ru-RU"/>
        </w:rPr>
        <w:t>0 </w:t>
      </w:r>
      <w:r w:rsidR="00345A13" w:rsidRPr="007F6CEF">
        <w:rPr>
          <w:lang w:val="ru-RU"/>
        </w:rPr>
        <w:t>млн. швейцарских франков</w:t>
      </w:r>
      <w:r w:rsidR="00AA0135" w:rsidRPr="007F6CEF">
        <w:rPr>
          <w:lang w:val="ru-RU"/>
        </w:rPr>
        <w:t xml:space="preserve">). </w:t>
      </w:r>
    </w:p>
    <w:p w:rsidR="00AA0135" w:rsidRPr="007F6CEF" w:rsidRDefault="00983F25" w:rsidP="00170B2C">
      <w:pPr>
        <w:rPr>
          <w:lang w:val="ru-RU"/>
        </w:rPr>
      </w:pPr>
      <w:r w:rsidRPr="007F6CEF">
        <w:rPr>
          <w:lang w:val="ru-RU"/>
        </w:rPr>
        <w:t>5</w:t>
      </w:r>
      <w:r w:rsidR="00190B49" w:rsidRPr="007F6CEF">
        <w:rPr>
          <w:lang w:val="ru-RU"/>
        </w:rPr>
        <w:t>4</w:t>
      </w:r>
      <w:r w:rsidRPr="007F6CEF">
        <w:rPr>
          <w:lang w:val="ru-RU"/>
        </w:rPr>
        <w:tab/>
      </w:r>
      <w:r w:rsidR="00A30082" w:rsidRPr="007F6CEF">
        <w:rPr>
          <w:lang w:val="ru-RU"/>
        </w:rPr>
        <w:t>Пассивы включают т</w:t>
      </w:r>
      <w:r w:rsidR="00F26975" w:rsidRPr="007F6CEF">
        <w:rPr>
          <w:lang w:val="ru-RU"/>
        </w:rPr>
        <w:t>екущие пассивы</w:t>
      </w:r>
      <w:r w:rsidR="00A30082" w:rsidRPr="007F6CEF">
        <w:rPr>
          <w:lang w:val="ru-RU"/>
        </w:rPr>
        <w:t xml:space="preserve"> в размере 14</w:t>
      </w:r>
      <w:r w:rsidR="00190B49" w:rsidRPr="007F6CEF">
        <w:rPr>
          <w:lang w:val="ru-RU"/>
        </w:rPr>
        <w:t>2</w:t>
      </w:r>
      <w:r w:rsidR="00A30082" w:rsidRPr="007F6CEF">
        <w:rPr>
          <w:lang w:val="ru-RU"/>
        </w:rPr>
        <w:t>,</w:t>
      </w:r>
      <w:r w:rsidR="00190B49" w:rsidRPr="007F6CEF">
        <w:rPr>
          <w:lang w:val="ru-RU"/>
        </w:rPr>
        <w:t>1</w:t>
      </w:r>
      <w:r w:rsidR="00AA0135" w:rsidRPr="007F6CEF">
        <w:rPr>
          <w:lang w:val="ru-RU"/>
        </w:rPr>
        <w:t xml:space="preserve"> </w:t>
      </w:r>
      <w:r w:rsidR="00345A13" w:rsidRPr="007F6CEF">
        <w:rPr>
          <w:lang w:val="ru-RU"/>
        </w:rPr>
        <w:t>млн. швейцарских франков</w:t>
      </w:r>
      <w:r w:rsidR="00AA0135" w:rsidRPr="007F6CEF">
        <w:rPr>
          <w:lang w:val="ru-RU"/>
        </w:rPr>
        <w:t xml:space="preserve">, </w:t>
      </w:r>
      <w:r w:rsidR="00A30082" w:rsidRPr="007F6CEF">
        <w:rPr>
          <w:lang w:val="ru-RU"/>
        </w:rPr>
        <w:t>что составляет 2</w:t>
      </w:r>
      <w:r w:rsidR="00190B49" w:rsidRPr="007F6CEF">
        <w:rPr>
          <w:lang w:val="ru-RU"/>
        </w:rPr>
        <w:t>5</w:t>
      </w:r>
      <w:r w:rsidR="00A30082" w:rsidRPr="007F6CEF">
        <w:rPr>
          <w:lang w:val="ru-RU"/>
        </w:rPr>
        <w:t>,</w:t>
      </w:r>
      <w:r w:rsidR="00AA0135" w:rsidRPr="007F6CEF">
        <w:rPr>
          <w:lang w:val="ru-RU"/>
        </w:rPr>
        <w:t xml:space="preserve">7% </w:t>
      </w:r>
      <w:r w:rsidR="00A30082" w:rsidRPr="007F6CEF">
        <w:rPr>
          <w:lang w:val="ru-RU"/>
        </w:rPr>
        <w:t>от общего размера</w:t>
      </w:r>
      <w:r w:rsidR="00AA0135" w:rsidRPr="007F6CEF">
        <w:rPr>
          <w:lang w:val="ru-RU"/>
        </w:rPr>
        <w:t xml:space="preserve"> </w:t>
      </w:r>
      <w:r w:rsidR="00A30082" w:rsidRPr="007F6CEF">
        <w:rPr>
          <w:lang w:val="ru-RU"/>
        </w:rPr>
        <w:t>пассивов</w:t>
      </w:r>
      <w:r w:rsidR="00AA0135" w:rsidRPr="007F6CEF">
        <w:rPr>
          <w:lang w:val="ru-RU"/>
        </w:rPr>
        <w:t xml:space="preserve"> (</w:t>
      </w:r>
      <w:r w:rsidR="00600344" w:rsidRPr="007F6CEF">
        <w:rPr>
          <w:lang w:val="ru-RU"/>
        </w:rPr>
        <w:t>в 201</w:t>
      </w:r>
      <w:r w:rsidR="00190B49" w:rsidRPr="007F6CEF">
        <w:rPr>
          <w:lang w:val="ru-RU"/>
        </w:rPr>
        <w:t>2</w:t>
      </w:r>
      <w:r w:rsidR="00600344" w:rsidRPr="007F6CEF">
        <w:rPr>
          <w:lang w:val="ru-RU"/>
        </w:rPr>
        <w:t xml:space="preserve"> г</w:t>
      </w:r>
      <w:r w:rsidR="00190B49" w:rsidRPr="007F6CEF">
        <w:rPr>
          <w:lang w:val="ru-RU"/>
        </w:rPr>
        <w:t>. − 24</w:t>
      </w:r>
      <w:r w:rsidR="00A30082" w:rsidRPr="007F6CEF">
        <w:rPr>
          <w:lang w:val="ru-RU"/>
        </w:rPr>
        <w:t>,</w:t>
      </w:r>
      <w:r w:rsidR="00190B49" w:rsidRPr="007F6CEF">
        <w:rPr>
          <w:lang w:val="ru-RU"/>
        </w:rPr>
        <w:t>7</w:t>
      </w:r>
      <w:r w:rsidR="00AA0135" w:rsidRPr="007F6CEF">
        <w:rPr>
          <w:lang w:val="ru-RU"/>
        </w:rPr>
        <w:t xml:space="preserve">%), </w:t>
      </w:r>
      <w:r w:rsidR="00A30082" w:rsidRPr="007F6CEF">
        <w:rPr>
          <w:lang w:val="ru-RU"/>
        </w:rPr>
        <w:t>и н</w:t>
      </w:r>
      <w:r w:rsidR="00340A27" w:rsidRPr="007F6CEF">
        <w:rPr>
          <w:lang w:val="ru-RU"/>
        </w:rPr>
        <w:t>етекущие</w:t>
      </w:r>
      <w:r w:rsidR="00AA0135" w:rsidRPr="007F6CEF">
        <w:rPr>
          <w:lang w:val="ru-RU"/>
        </w:rPr>
        <w:t xml:space="preserve"> </w:t>
      </w:r>
      <w:r w:rsidR="00A30082" w:rsidRPr="007F6CEF">
        <w:rPr>
          <w:lang w:val="ru-RU"/>
        </w:rPr>
        <w:t>п</w:t>
      </w:r>
      <w:r w:rsidR="00F26975" w:rsidRPr="007F6CEF">
        <w:rPr>
          <w:lang w:val="ru-RU"/>
        </w:rPr>
        <w:t>ассивы</w:t>
      </w:r>
      <w:r w:rsidR="00AA0135" w:rsidRPr="007F6CEF">
        <w:rPr>
          <w:lang w:val="ru-RU"/>
        </w:rPr>
        <w:t xml:space="preserve">, </w:t>
      </w:r>
      <w:r w:rsidR="007F084E" w:rsidRPr="007F6CEF">
        <w:rPr>
          <w:lang w:val="ru-RU"/>
        </w:rPr>
        <w:t>составляющие 4</w:t>
      </w:r>
      <w:r w:rsidR="00190B49" w:rsidRPr="007F6CEF">
        <w:rPr>
          <w:lang w:val="ru-RU"/>
        </w:rPr>
        <w:t>10</w:t>
      </w:r>
      <w:r w:rsidR="007F084E" w:rsidRPr="007F6CEF">
        <w:rPr>
          <w:lang w:val="ru-RU"/>
        </w:rPr>
        <w:t>,</w:t>
      </w:r>
      <w:r w:rsidR="00AA0135" w:rsidRPr="007F6CEF">
        <w:rPr>
          <w:lang w:val="ru-RU"/>
        </w:rPr>
        <w:t xml:space="preserve">1 </w:t>
      </w:r>
      <w:r w:rsidR="00345A13" w:rsidRPr="007F6CEF">
        <w:rPr>
          <w:lang w:val="ru-RU"/>
        </w:rPr>
        <w:t>млн. швейцарских франков</w:t>
      </w:r>
      <w:r w:rsidR="00AA0135" w:rsidRPr="007F6CEF">
        <w:rPr>
          <w:lang w:val="ru-RU"/>
        </w:rPr>
        <w:t xml:space="preserve">, </w:t>
      </w:r>
      <w:r w:rsidR="007F084E" w:rsidRPr="007F6CEF">
        <w:rPr>
          <w:lang w:val="ru-RU"/>
        </w:rPr>
        <w:t>на которые приходится 7</w:t>
      </w:r>
      <w:r w:rsidR="00190B49" w:rsidRPr="007F6CEF">
        <w:rPr>
          <w:lang w:val="ru-RU"/>
        </w:rPr>
        <w:t>4</w:t>
      </w:r>
      <w:r w:rsidR="007F084E" w:rsidRPr="007F6CEF">
        <w:rPr>
          <w:lang w:val="ru-RU"/>
        </w:rPr>
        <w:t>,</w:t>
      </w:r>
      <w:r w:rsidR="00AA0135" w:rsidRPr="007F6CEF">
        <w:rPr>
          <w:lang w:val="ru-RU"/>
        </w:rPr>
        <w:t xml:space="preserve">3% </w:t>
      </w:r>
      <w:r w:rsidR="007F084E" w:rsidRPr="007F6CEF">
        <w:rPr>
          <w:lang w:val="ru-RU"/>
        </w:rPr>
        <w:t>от общего размера</w:t>
      </w:r>
      <w:r w:rsidR="00AA0135" w:rsidRPr="007F6CEF">
        <w:rPr>
          <w:lang w:val="ru-RU"/>
        </w:rPr>
        <w:t xml:space="preserve"> </w:t>
      </w:r>
      <w:r w:rsidR="007F084E" w:rsidRPr="007F6CEF">
        <w:rPr>
          <w:lang w:val="ru-RU"/>
        </w:rPr>
        <w:t>пассивов</w:t>
      </w:r>
      <w:r w:rsidR="00AA0135" w:rsidRPr="007F6CEF">
        <w:rPr>
          <w:lang w:val="ru-RU"/>
        </w:rPr>
        <w:t xml:space="preserve"> (</w:t>
      </w:r>
      <w:r w:rsidR="00600344" w:rsidRPr="007F6CEF">
        <w:rPr>
          <w:lang w:val="ru-RU"/>
        </w:rPr>
        <w:t>в 201</w:t>
      </w:r>
      <w:r w:rsidR="002854BE" w:rsidRPr="007F6CEF">
        <w:rPr>
          <w:lang w:val="ru-RU"/>
        </w:rPr>
        <w:t>2</w:t>
      </w:r>
      <w:r w:rsidR="00600344" w:rsidRPr="007F6CEF">
        <w:rPr>
          <w:lang w:val="ru-RU"/>
        </w:rPr>
        <w:t xml:space="preserve"> г</w:t>
      </w:r>
      <w:r w:rsidR="00190B49" w:rsidRPr="007F6CEF">
        <w:rPr>
          <w:lang w:val="ru-RU"/>
        </w:rPr>
        <w:t>. −</w:t>
      </w:r>
      <w:r w:rsidR="007F084E" w:rsidRPr="007F6CEF">
        <w:rPr>
          <w:lang w:val="ru-RU"/>
        </w:rPr>
        <w:t xml:space="preserve"> 7</w:t>
      </w:r>
      <w:r w:rsidR="00190B49" w:rsidRPr="007F6CEF">
        <w:rPr>
          <w:lang w:val="ru-RU"/>
        </w:rPr>
        <w:t>5</w:t>
      </w:r>
      <w:r w:rsidR="007F084E" w:rsidRPr="007F6CEF">
        <w:rPr>
          <w:lang w:val="ru-RU"/>
        </w:rPr>
        <w:t>,</w:t>
      </w:r>
      <w:r w:rsidR="00190B49" w:rsidRPr="007F6CEF">
        <w:rPr>
          <w:lang w:val="ru-RU"/>
        </w:rPr>
        <w:t>3</w:t>
      </w:r>
      <w:r w:rsidR="00AA0135" w:rsidRPr="007F6CEF">
        <w:rPr>
          <w:lang w:val="ru-RU"/>
        </w:rPr>
        <w:t>%).</w:t>
      </w:r>
    </w:p>
    <w:p w:rsidR="00AA0135" w:rsidRPr="007F6CEF" w:rsidRDefault="00F26975" w:rsidP="00170B2C">
      <w:pPr>
        <w:pStyle w:val="Headingb"/>
        <w:rPr>
          <w:lang w:val="ru-RU"/>
        </w:rPr>
      </w:pPr>
      <w:bookmarkStart w:id="125" w:name="_Toc358192837"/>
      <w:bookmarkStart w:id="126" w:name="_Toc398125321"/>
      <w:bookmarkStart w:id="127" w:name="_Toc398125800"/>
      <w:bookmarkStart w:id="128" w:name="_Toc398127093"/>
      <w:r w:rsidRPr="007F6CEF">
        <w:rPr>
          <w:lang w:val="ru-RU"/>
        </w:rPr>
        <w:t>Текущие пассивы</w:t>
      </w:r>
      <w:bookmarkEnd w:id="125"/>
      <w:bookmarkEnd w:id="126"/>
      <w:bookmarkEnd w:id="127"/>
      <w:bookmarkEnd w:id="128"/>
    </w:p>
    <w:p w:rsidR="00AA0135" w:rsidRPr="007F6CEF" w:rsidRDefault="00983F25" w:rsidP="00170B2C">
      <w:pPr>
        <w:rPr>
          <w:lang w:val="ru-RU"/>
        </w:rPr>
      </w:pPr>
      <w:r w:rsidRPr="007F6CEF">
        <w:rPr>
          <w:lang w:val="ru-RU"/>
        </w:rPr>
        <w:t>5</w:t>
      </w:r>
      <w:r w:rsidR="00116E4A" w:rsidRPr="007F6CEF">
        <w:rPr>
          <w:lang w:val="ru-RU"/>
        </w:rPr>
        <w:t>5</w:t>
      </w:r>
      <w:r w:rsidRPr="007F6CEF">
        <w:rPr>
          <w:lang w:val="ru-RU"/>
        </w:rPr>
        <w:tab/>
      </w:r>
      <w:r w:rsidR="007F084E" w:rsidRPr="007F6CEF">
        <w:rPr>
          <w:lang w:val="ru-RU"/>
        </w:rPr>
        <w:t>Общ</w:t>
      </w:r>
      <w:r w:rsidR="005B7C83" w:rsidRPr="007F6CEF">
        <w:rPr>
          <w:lang w:val="ru-RU"/>
        </w:rPr>
        <w:t>ий</w:t>
      </w:r>
      <w:r w:rsidR="007F084E" w:rsidRPr="007F6CEF">
        <w:rPr>
          <w:lang w:val="ru-RU"/>
        </w:rPr>
        <w:t xml:space="preserve"> </w:t>
      </w:r>
      <w:r w:rsidR="005B7C83" w:rsidRPr="007F6CEF">
        <w:rPr>
          <w:lang w:val="ru-RU"/>
        </w:rPr>
        <w:t>размер</w:t>
      </w:r>
      <w:r w:rsidR="007F084E" w:rsidRPr="007F6CEF">
        <w:rPr>
          <w:lang w:val="ru-RU"/>
        </w:rPr>
        <w:t xml:space="preserve"> т</w:t>
      </w:r>
      <w:r w:rsidR="00F26975" w:rsidRPr="007F6CEF">
        <w:rPr>
          <w:lang w:val="ru-RU"/>
        </w:rPr>
        <w:t>екущи</w:t>
      </w:r>
      <w:r w:rsidR="007F084E" w:rsidRPr="007F6CEF">
        <w:rPr>
          <w:lang w:val="ru-RU"/>
        </w:rPr>
        <w:t>х пассивов</w:t>
      </w:r>
      <w:r w:rsidR="00AA0135" w:rsidRPr="007F6CEF">
        <w:rPr>
          <w:lang w:val="ru-RU"/>
        </w:rPr>
        <w:t xml:space="preserve"> </w:t>
      </w:r>
      <w:r w:rsidR="007F084E" w:rsidRPr="007F6CEF">
        <w:rPr>
          <w:lang w:val="ru-RU"/>
        </w:rPr>
        <w:t>в</w:t>
      </w:r>
      <w:r w:rsidR="00AA0135" w:rsidRPr="007F6CEF">
        <w:rPr>
          <w:lang w:val="ru-RU"/>
        </w:rPr>
        <w:t xml:space="preserve"> 201</w:t>
      </w:r>
      <w:r w:rsidR="00116E4A" w:rsidRPr="007F6CEF">
        <w:rPr>
          <w:lang w:val="ru-RU"/>
        </w:rPr>
        <w:t>3</w:t>
      </w:r>
      <w:r w:rsidR="00AA0135" w:rsidRPr="007F6CEF">
        <w:rPr>
          <w:lang w:val="ru-RU"/>
        </w:rPr>
        <w:t xml:space="preserve"> </w:t>
      </w:r>
      <w:r w:rsidR="007F084E" w:rsidRPr="007F6CEF">
        <w:rPr>
          <w:lang w:val="ru-RU"/>
        </w:rPr>
        <w:t>году составил 14</w:t>
      </w:r>
      <w:r w:rsidR="00116E4A" w:rsidRPr="007F6CEF">
        <w:rPr>
          <w:lang w:val="ru-RU"/>
        </w:rPr>
        <w:t>2</w:t>
      </w:r>
      <w:r w:rsidR="007F084E" w:rsidRPr="007F6CEF">
        <w:rPr>
          <w:lang w:val="ru-RU"/>
        </w:rPr>
        <w:t>,</w:t>
      </w:r>
      <w:r w:rsidR="00116E4A" w:rsidRPr="007F6CEF">
        <w:rPr>
          <w:lang w:val="ru-RU"/>
        </w:rPr>
        <w:t>1</w:t>
      </w:r>
      <w:r w:rsidR="00AA0135" w:rsidRPr="007F6CEF">
        <w:rPr>
          <w:lang w:val="ru-RU"/>
        </w:rPr>
        <w:t xml:space="preserve"> </w:t>
      </w:r>
      <w:r w:rsidR="00345A13" w:rsidRPr="007F6CEF">
        <w:rPr>
          <w:lang w:val="ru-RU"/>
        </w:rPr>
        <w:t>млн. швейцарских франков</w:t>
      </w:r>
      <w:r w:rsidR="00116E4A" w:rsidRPr="007F6CEF">
        <w:rPr>
          <w:lang w:val="ru-RU"/>
        </w:rPr>
        <w:t>, уменьшившись на 2</w:t>
      </w:r>
      <w:r w:rsidR="007F084E" w:rsidRPr="007F6CEF">
        <w:rPr>
          <w:lang w:val="ru-RU"/>
        </w:rPr>
        <w:t>,</w:t>
      </w:r>
      <w:r w:rsidR="00116E4A" w:rsidRPr="007F6CEF">
        <w:rPr>
          <w:lang w:val="ru-RU"/>
        </w:rPr>
        <w:t>8</w:t>
      </w:r>
      <w:r w:rsidR="00AA0135" w:rsidRPr="007F6CEF">
        <w:rPr>
          <w:lang w:val="ru-RU"/>
        </w:rPr>
        <w:t xml:space="preserve"> </w:t>
      </w:r>
      <w:r w:rsidR="00345A13" w:rsidRPr="007F6CEF">
        <w:rPr>
          <w:lang w:val="ru-RU"/>
        </w:rPr>
        <w:t xml:space="preserve">млн. швейцарских франков </w:t>
      </w:r>
      <w:r w:rsidR="007F084E" w:rsidRPr="007F6CEF">
        <w:rPr>
          <w:lang w:val="ru-RU"/>
        </w:rPr>
        <w:t>(</w:t>
      </w:r>
      <w:r w:rsidR="009040C2" w:rsidRPr="007F6CEF">
        <w:rPr>
          <w:lang w:val="ru-RU"/>
        </w:rPr>
        <w:t>−</w:t>
      </w:r>
      <w:r w:rsidR="00116E4A" w:rsidRPr="007F6CEF">
        <w:rPr>
          <w:lang w:val="ru-RU"/>
        </w:rPr>
        <w:t>1</w:t>
      </w:r>
      <w:r w:rsidR="007F084E" w:rsidRPr="007F6CEF">
        <w:rPr>
          <w:lang w:val="ru-RU"/>
        </w:rPr>
        <w:t>,</w:t>
      </w:r>
      <w:r w:rsidR="00116E4A" w:rsidRPr="007F6CEF">
        <w:rPr>
          <w:lang w:val="ru-RU"/>
        </w:rPr>
        <w:t>9</w:t>
      </w:r>
      <w:r w:rsidR="00AA0135" w:rsidRPr="007F6CEF">
        <w:rPr>
          <w:lang w:val="ru-RU"/>
        </w:rPr>
        <w:t xml:space="preserve">%) </w:t>
      </w:r>
      <w:r w:rsidR="0037746C" w:rsidRPr="007F6CEF">
        <w:rPr>
          <w:lang w:val="ru-RU"/>
        </w:rPr>
        <w:t>по сравнению с</w:t>
      </w:r>
      <w:r w:rsidR="00AA0135" w:rsidRPr="007F6CEF">
        <w:rPr>
          <w:lang w:val="ru-RU"/>
        </w:rPr>
        <w:t xml:space="preserve"> 201</w:t>
      </w:r>
      <w:r w:rsidR="00116E4A" w:rsidRPr="007F6CEF">
        <w:rPr>
          <w:lang w:val="ru-RU"/>
        </w:rPr>
        <w:t>2</w:t>
      </w:r>
      <w:r w:rsidR="00AA0135" w:rsidRPr="007F6CEF">
        <w:rPr>
          <w:lang w:val="ru-RU"/>
        </w:rPr>
        <w:t xml:space="preserve"> </w:t>
      </w:r>
      <w:r w:rsidR="007F084E" w:rsidRPr="007F6CEF">
        <w:rPr>
          <w:lang w:val="ru-RU"/>
        </w:rPr>
        <w:t xml:space="preserve">годом </w:t>
      </w:r>
      <w:r w:rsidR="00AA0135" w:rsidRPr="007F6CEF">
        <w:rPr>
          <w:lang w:val="ru-RU"/>
        </w:rPr>
        <w:t>(14</w:t>
      </w:r>
      <w:r w:rsidR="00116E4A" w:rsidRPr="007F6CEF">
        <w:rPr>
          <w:lang w:val="ru-RU"/>
        </w:rPr>
        <w:t>4</w:t>
      </w:r>
      <w:r w:rsidR="007F084E" w:rsidRPr="007F6CEF">
        <w:rPr>
          <w:lang w:val="ru-RU"/>
        </w:rPr>
        <w:t>,</w:t>
      </w:r>
      <w:r w:rsidR="00116E4A" w:rsidRPr="007F6CEF">
        <w:rPr>
          <w:lang w:val="ru-RU"/>
        </w:rPr>
        <w:t>9 </w:t>
      </w:r>
      <w:r w:rsidR="00345A13" w:rsidRPr="007F6CEF">
        <w:rPr>
          <w:lang w:val="ru-RU"/>
        </w:rPr>
        <w:t>млн. швейцарских франков</w:t>
      </w:r>
      <w:r w:rsidR="00AA0135" w:rsidRPr="007F6CEF">
        <w:rPr>
          <w:lang w:val="ru-RU"/>
        </w:rPr>
        <w:t xml:space="preserve">). </w:t>
      </w:r>
      <w:r w:rsidR="007F084E" w:rsidRPr="007F6CEF">
        <w:rPr>
          <w:lang w:val="ru-RU"/>
        </w:rPr>
        <w:t>Это уменьшение в целом вызвано</w:t>
      </w:r>
      <w:r w:rsidR="00625C14" w:rsidRPr="007F6CEF">
        <w:rPr>
          <w:lang w:val="ru-RU"/>
        </w:rPr>
        <w:t xml:space="preserve"> воздействием, с одной стороны, </w:t>
      </w:r>
      <w:r w:rsidR="00116E4A" w:rsidRPr="007F6CEF">
        <w:rPr>
          <w:lang w:val="ru-RU"/>
        </w:rPr>
        <w:t>уменьшения разделов</w:t>
      </w:r>
      <w:r w:rsidR="007F084E" w:rsidRPr="007F6CEF">
        <w:rPr>
          <w:lang w:val="ru-RU"/>
        </w:rPr>
        <w:t xml:space="preserve"> </w:t>
      </w:r>
      <w:r w:rsidR="00116E4A" w:rsidRPr="007F6CEF">
        <w:rPr>
          <w:lang w:val="ru-RU"/>
        </w:rPr>
        <w:t xml:space="preserve">"Доходы будущих периодов" </w:t>
      </w:r>
      <w:r w:rsidR="00625C14" w:rsidRPr="007F6CEF">
        <w:rPr>
          <w:lang w:val="ru-RU"/>
        </w:rPr>
        <w:t>(</w:t>
      </w:r>
      <w:r w:rsidR="009040C2" w:rsidRPr="007F6CEF">
        <w:rPr>
          <w:lang w:val="ru-RU"/>
        </w:rPr>
        <w:t>−</w:t>
      </w:r>
      <w:r w:rsidR="00625C14" w:rsidRPr="007F6CEF">
        <w:rPr>
          <w:lang w:val="ru-RU"/>
        </w:rPr>
        <w:t>4,</w:t>
      </w:r>
      <w:r w:rsidR="00AA0135" w:rsidRPr="007F6CEF">
        <w:rPr>
          <w:lang w:val="ru-RU"/>
        </w:rPr>
        <w:t xml:space="preserve">3 </w:t>
      </w:r>
      <w:r w:rsidR="00345A13" w:rsidRPr="007F6CEF">
        <w:rPr>
          <w:lang w:val="ru-RU"/>
        </w:rPr>
        <w:t>млн. швейцарских франков</w:t>
      </w:r>
      <w:r w:rsidR="00AA0135" w:rsidRPr="007F6CEF">
        <w:rPr>
          <w:lang w:val="ru-RU"/>
        </w:rPr>
        <w:t xml:space="preserve">) </w:t>
      </w:r>
      <w:r w:rsidR="00625C14" w:rsidRPr="007F6CEF">
        <w:rPr>
          <w:lang w:val="ru-RU"/>
        </w:rPr>
        <w:t>и</w:t>
      </w:r>
      <w:r w:rsidR="00116E4A" w:rsidRPr="007F6CEF">
        <w:rPr>
          <w:lang w:val="ru-RU"/>
        </w:rPr>
        <w:t xml:space="preserve"> "</w:t>
      </w:r>
      <w:r w:rsidR="00B459C0" w:rsidRPr="007F6CEF">
        <w:rPr>
          <w:lang w:val="ru-RU"/>
        </w:rPr>
        <w:t>Вознаграждение сотрудников</w:t>
      </w:r>
      <w:r w:rsidR="00116E4A" w:rsidRPr="007F6CEF">
        <w:rPr>
          <w:lang w:val="ru-RU"/>
        </w:rPr>
        <w:t>" (−0,7 млн. швейцарских франков)</w:t>
      </w:r>
      <w:r w:rsidR="00625C14" w:rsidRPr="007F6CEF">
        <w:rPr>
          <w:lang w:val="ru-RU"/>
        </w:rPr>
        <w:t xml:space="preserve">, </w:t>
      </w:r>
      <w:r w:rsidR="000E4B10" w:rsidRPr="007F6CEF">
        <w:rPr>
          <w:lang w:val="ru-RU"/>
        </w:rPr>
        <w:t>и</w:t>
      </w:r>
      <w:r w:rsidR="00116E4A" w:rsidRPr="007F6CEF">
        <w:rPr>
          <w:lang w:val="ru-RU"/>
        </w:rPr>
        <w:t xml:space="preserve">, </w:t>
      </w:r>
      <w:r w:rsidR="00625C14" w:rsidRPr="007F6CEF">
        <w:rPr>
          <w:lang w:val="ru-RU"/>
        </w:rPr>
        <w:t>с другой стороны, увеличени</w:t>
      </w:r>
      <w:r w:rsidR="005B7C83" w:rsidRPr="007F6CEF">
        <w:rPr>
          <w:lang w:val="ru-RU"/>
        </w:rPr>
        <w:t>я</w:t>
      </w:r>
      <w:r w:rsidR="00625C14" w:rsidRPr="007F6CEF">
        <w:rPr>
          <w:lang w:val="ru-RU"/>
        </w:rPr>
        <w:t xml:space="preserve"> раздела </w:t>
      </w:r>
      <w:r w:rsidR="00116E4A" w:rsidRPr="007F6CEF">
        <w:rPr>
          <w:lang w:val="ru-RU"/>
        </w:rPr>
        <w:t>"Поставщики и прочие кредиторы" (+2</w:t>
      </w:r>
      <w:r w:rsidR="00625C14" w:rsidRPr="007F6CEF">
        <w:rPr>
          <w:lang w:val="ru-RU"/>
        </w:rPr>
        <w:t>,</w:t>
      </w:r>
      <w:r w:rsidR="00116E4A" w:rsidRPr="007F6CEF">
        <w:rPr>
          <w:lang w:val="ru-RU"/>
        </w:rPr>
        <w:t>6</w:t>
      </w:r>
      <w:r w:rsidR="00AA0135" w:rsidRPr="007F6CEF">
        <w:rPr>
          <w:lang w:val="ru-RU"/>
        </w:rPr>
        <w:t xml:space="preserve"> </w:t>
      </w:r>
      <w:r w:rsidR="00345A13" w:rsidRPr="007F6CEF">
        <w:rPr>
          <w:lang w:val="ru-RU"/>
        </w:rPr>
        <w:t>млн. швейцарских франков</w:t>
      </w:r>
      <w:r w:rsidR="00AA0135" w:rsidRPr="007F6CEF">
        <w:rPr>
          <w:lang w:val="ru-RU"/>
        </w:rPr>
        <w:t xml:space="preserve">). </w:t>
      </w:r>
      <w:r w:rsidR="00625C14" w:rsidRPr="007F6CEF">
        <w:rPr>
          <w:lang w:val="ru-RU"/>
        </w:rPr>
        <w:t>Основа оценки текущих пассивов и</w:t>
      </w:r>
      <w:r w:rsidR="00AA0135" w:rsidRPr="007F6CEF">
        <w:rPr>
          <w:lang w:val="ru-RU"/>
        </w:rPr>
        <w:t xml:space="preserve"> </w:t>
      </w:r>
      <w:r w:rsidR="00D56180" w:rsidRPr="007F6CEF">
        <w:rPr>
          <w:lang w:val="ru-RU"/>
        </w:rPr>
        <w:t>актив</w:t>
      </w:r>
      <w:r w:rsidR="00625C14" w:rsidRPr="007F6CEF">
        <w:rPr>
          <w:lang w:val="ru-RU"/>
        </w:rPr>
        <w:t xml:space="preserve">ов приводится в Принципах бухгалтерского учета </w:t>
      </w:r>
      <w:r w:rsidR="00AA0135" w:rsidRPr="007F6CEF">
        <w:rPr>
          <w:lang w:val="ru-RU"/>
        </w:rPr>
        <w:t>(</w:t>
      </w:r>
      <w:r w:rsidR="00340A27" w:rsidRPr="007F6CEF">
        <w:rPr>
          <w:lang w:val="ru-RU"/>
        </w:rPr>
        <w:t>Примечание</w:t>
      </w:r>
      <w:r w:rsidR="00AA0135" w:rsidRPr="007F6CEF">
        <w:rPr>
          <w:lang w:val="ru-RU"/>
        </w:rPr>
        <w:t xml:space="preserve"> 3). </w:t>
      </w:r>
    </w:p>
    <w:p w:rsidR="00AA0135" w:rsidRPr="007F6CEF" w:rsidRDefault="00F26975" w:rsidP="00170B2C">
      <w:pPr>
        <w:pStyle w:val="Headingb"/>
        <w:rPr>
          <w:spacing w:val="6"/>
          <w:lang w:val="ru-RU"/>
        </w:rPr>
      </w:pPr>
      <w:bookmarkStart w:id="129" w:name="_Toc358192838"/>
      <w:bookmarkStart w:id="130" w:name="_Toc398125322"/>
      <w:bookmarkStart w:id="131" w:name="_Toc398125801"/>
      <w:bookmarkStart w:id="132" w:name="_Toc398127094"/>
      <w:r w:rsidRPr="007F6CEF">
        <w:rPr>
          <w:lang w:val="ru-RU"/>
        </w:rPr>
        <w:t>Поставщики и прочие кредиторы</w:t>
      </w:r>
      <w:bookmarkEnd w:id="129"/>
      <w:bookmarkEnd w:id="130"/>
      <w:bookmarkEnd w:id="131"/>
      <w:bookmarkEnd w:id="132"/>
      <w:r w:rsidR="00AA0135" w:rsidRPr="007F6CEF">
        <w:rPr>
          <w:spacing w:val="6"/>
          <w:lang w:val="ru-RU"/>
        </w:rPr>
        <w:t xml:space="preserve"> </w:t>
      </w:r>
    </w:p>
    <w:p w:rsidR="00AA0135" w:rsidRPr="007F6CEF" w:rsidRDefault="00983F25" w:rsidP="00170B2C">
      <w:pPr>
        <w:rPr>
          <w:spacing w:val="6"/>
          <w:lang w:val="ru-RU"/>
        </w:rPr>
      </w:pPr>
      <w:r w:rsidRPr="007F6CEF">
        <w:rPr>
          <w:spacing w:val="-1"/>
          <w:lang w:val="ru-RU"/>
        </w:rPr>
        <w:t>5</w:t>
      </w:r>
      <w:r w:rsidR="000E4B10" w:rsidRPr="007F6CEF">
        <w:rPr>
          <w:spacing w:val="-1"/>
          <w:lang w:val="ru-RU"/>
        </w:rPr>
        <w:t>6</w:t>
      </w:r>
      <w:r w:rsidRPr="007F6CEF">
        <w:rPr>
          <w:spacing w:val="-1"/>
          <w:lang w:val="ru-RU"/>
        </w:rPr>
        <w:tab/>
      </w:r>
      <w:r w:rsidR="00625C14" w:rsidRPr="007F6CEF">
        <w:rPr>
          <w:spacing w:val="-1"/>
          <w:lang w:val="ru-RU"/>
        </w:rPr>
        <w:t>В разделе "</w:t>
      </w:r>
      <w:r w:rsidR="00625C14" w:rsidRPr="007F6CEF">
        <w:rPr>
          <w:lang w:val="ru-RU"/>
        </w:rPr>
        <w:t xml:space="preserve">Поставщики и прочие кредиторы" заключительного баланса приводится сумма в размере </w:t>
      </w:r>
      <w:r w:rsidR="000E4B10" w:rsidRPr="007F6CEF">
        <w:rPr>
          <w:spacing w:val="-1"/>
          <w:lang w:val="ru-RU"/>
        </w:rPr>
        <w:t>9</w:t>
      </w:r>
      <w:r w:rsidR="00625C14" w:rsidRPr="007F6CEF">
        <w:rPr>
          <w:spacing w:val="-1"/>
          <w:lang w:val="ru-RU"/>
        </w:rPr>
        <w:t>,</w:t>
      </w:r>
      <w:r w:rsidR="000E4B10" w:rsidRPr="007F6CEF">
        <w:rPr>
          <w:spacing w:val="-1"/>
          <w:lang w:val="ru-RU"/>
        </w:rPr>
        <w:t>7</w:t>
      </w:r>
      <w:r w:rsidR="00AA0135" w:rsidRPr="007F6CEF">
        <w:rPr>
          <w:spacing w:val="-1"/>
          <w:lang w:val="ru-RU"/>
        </w:rPr>
        <w:t xml:space="preserve"> </w:t>
      </w:r>
      <w:r w:rsidR="00345A13" w:rsidRPr="007F6CEF">
        <w:rPr>
          <w:lang w:val="ru-RU"/>
        </w:rPr>
        <w:t>млн. швейцарских франков</w:t>
      </w:r>
      <w:r w:rsidR="00345A13" w:rsidRPr="007F6CEF">
        <w:rPr>
          <w:spacing w:val="-1"/>
          <w:lang w:val="ru-RU"/>
        </w:rPr>
        <w:t xml:space="preserve"> </w:t>
      </w:r>
      <w:r w:rsidR="00527C31" w:rsidRPr="007F6CEF">
        <w:rPr>
          <w:spacing w:val="-1"/>
          <w:lang w:val="ru-RU"/>
        </w:rPr>
        <w:t>(в 2012 г. − 7</w:t>
      </w:r>
      <w:r w:rsidR="00625C14" w:rsidRPr="007F6CEF">
        <w:rPr>
          <w:spacing w:val="-1"/>
          <w:lang w:val="ru-RU"/>
        </w:rPr>
        <w:t>,</w:t>
      </w:r>
      <w:r w:rsidR="00527C31" w:rsidRPr="007F6CEF">
        <w:rPr>
          <w:spacing w:val="-1"/>
          <w:lang w:val="ru-RU"/>
        </w:rPr>
        <w:t>1</w:t>
      </w:r>
      <w:r w:rsidR="00AA0135" w:rsidRPr="007F6CEF">
        <w:rPr>
          <w:spacing w:val="-1"/>
          <w:lang w:val="ru-RU"/>
        </w:rPr>
        <w:t xml:space="preserve"> </w:t>
      </w:r>
      <w:r w:rsidR="00345A13" w:rsidRPr="007F6CEF">
        <w:rPr>
          <w:lang w:val="ru-RU"/>
        </w:rPr>
        <w:t>млн. швейцарских франков</w:t>
      </w:r>
      <w:r w:rsidR="00AA0135" w:rsidRPr="007F6CEF">
        <w:rPr>
          <w:spacing w:val="-1"/>
          <w:lang w:val="ru-RU"/>
        </w:rPr>
        <w:t>)</w:t>
      </w:r>
      <w:r w:rsidR="00625C14" w:rsidRPr="007F6CEF">
        <w:rPr>
          <w:spacing w:val="-1"/>
          <w:lang w:val="ru-RU"/>
        </w:rPr>
        <w:t xml:space="preserve">. Подробная разбивка </w:t>
      </w:r>
      <w:r w:rsidR="005B7C83" w:rsidRPr="007F6CEF">
        <w:rPr>
          <w:spacing w:val="-1"/>
          <w:lang w:val="ru-RU"/>
        </w:rPr>
        <w:t>показана</w:t>
      </w:r>
      <w:r w:rsidR="00625C14" w:rsidRPr="007F6CEF">
        <w:rPr>
          <w:spacing w:val="-1"/>
          <w:lang w:val="ru-RU"/>
        </w:rPr>
        <w:t xml:space="preserve"> в </w:t>
      </w:r>
      <w:r w:rsidR="00340A27" w:rsidRPr="007F6CEF">
        <w:rPr>
          <w:lang w:val="ru-RU"/>
        </w:rPr>
        <w:t>Примечани</w:t>
      </w:r>
      <w:r w:rsidR="00625C14" w:rsidRPr="007F6CEF">
        <w:rPr>
          <w:lang w:val="ru-RU"/>
        </w:rPr>
        <w:t>и</w:t>
      </w:r>
      <w:r w:rsidR="00AA0135" w:rsidRPr="007F6CEF">
        <w:rPr>
          <w:lang w:val="ru-RU"/>
        </w:rPr>
        <w:t xml:space="preserve"> 1</w:t>
      </w:r>
      <w:r w:rsidR="00527C31" w:rsidRPr="007F6CEF">
        <w:rPr>
          <w:lang w:val="ru-RU"/>
        </w:rPr>
        <w:t>4</w:t>
      </w:r>
      <w:r w:rsidR="00AA0135" w:rsidRPr="007F6CEF">
        <w:rPr>
          <w:lang w:val="ru-RU"/>
        </w:rPr>
        <w:t xml:space="preserve"> </w:t>
      </w:r>
      <w:r w:rsidR="004C17DC" w:rsidRPr="007F6CEF">
        <w:rPr>
          <w:lang w:val="ru-RU"/>
        </w:rPr>
        <w:t>Отчет</w:t>
      </w:r>
      <w:r w:rsidR="00625C14" w:rsidRPr="007F6CEF">
        <w:rPr>
          <w:lang w:val="ru-RU"/>
        </w:rPr>
        <w:t>а</w:t>
      </w:r>
      <w:r w:rsidR="004C17DC" w:rsidRPr="007F6CEF">
        <w:rPr>
          <w:lang w:val="ru-RU"/>
        </w:rPr>
        <w:t xml:space="preserve"> о финансовой деятельности</w:t>
      </w:r>
      <w:r w:rsidR="00AA0135" w:rsidRPr="007F6CEF">
        <w:rPr>
          <w:lang w:val="ru-RU"/>
        </w:rPr>
        <w:t>.</w:t>
      </w:r>
    </w:p>
    <w:p w:rsidR="00AA0135" w:rsidRPr="007F6CEF" w:rsidRDefault="00F26975" w:rsidP="00170B2C">
      <w:pPr>
        <w:pStyle w:val="Headingb"/>
        <w:rPr>
          <w:lang w:val="ru-RU"/>
        </w:rPr>
      </w:pPr>
      <w:bookmarkStart w:id="133" w:name="_Toc358192839"/>
      <w:bookmarkStart w:id="134" w:name="_Toc398125323"/>
      <w:bookmarkStart w:id="135" w:name="_Toc398125802"/>
      <w:bookmarkStart w:id="136" w:name="_Toc398127095"/>
      <w:r w:rsidRPr="007F6CEF">
        <w:rPr>
          <w:lang w:val="ru-RU"/>
        </w:rPr>
        <w:t>Доходы будущих периодов</w:t>
      </w:r>
      <w:bookmarkEnd w:id="133"/>
      <w:bookmarkEnd w:id="134"/>
      <w:bookmarkEnd w:id="135"/>
      <w:bookmarkEnd w:id="136"/>
    </w:p>
    <w:p w:rsidR="00AA0135" w:rsidRPr="007F6CEF" w:rsidRDefault="00983F25" w:rsidP="00170B2C">
      <w:pPr>
        <w:rPr>
          <w:spacing w:val="1"/>
          <w:lang w:val="ru-RU"/>
        </w:rPr>
      </w:pPr>
      <w:r w:rsidRPr="007F6CEF">
        <w:rPr>
          <w:lang w:val="ru-RU"/>
        </w:rPr>
        <w:t>5</w:t>
      </w:r>
      <w:r w:rsidR="00527C31" w:rsidRPr="007F6CEF">
        <w:rPr>
          <w:lang w:val="ru-RU"/>
        </w:rPr>
        <w:t>7</w:t>
      </w:r>
      <w:r w:rsidRPr="007F6CEF">
        <w:rPr>
          <w:lang w:val="ru-RU"/>
        </w:rPr>
        <w:tab/>
      </w:r>
      <w:r w:rsidR="00F26975" w:rsidRPr="007F6CEF">
        <w:rPr>
          <w:lang w:val="ru-RU"/>
        </w:rPr>
        <w:t>Подраздел</w:t>
      </w:r>
      <w:r w:rsidR="00AA0135" w:rsidRPr="007F6CEF">
        <w:rPr>
          <w:lang w:val="ru-RU"/>
        </w:rPr>
        <w:t xml:space="preserve"> "</w:t>
      </w:r>
      <w:r w:rsidR="00F26975" w:rsidRPr="007F6CEF">
        <w:rPr>
          <w:lang w:val="ru-RU"/>
        </w:rPr>
        <w:t>Доходы будущих периодов</w:t>
      </w:r>
      <w:r w:rsidR="00193D5E" w:rsidRPr="007F6CEF">
        <w:rPr>
          <w:lang w:val="ru-RU"/>
        </w:rPr>
        <w:t>"</w:t>
      </w:r>
      <w:r w:rsidR="00625C14" w:rsidRPr="007F6CEF">
        <w:rPr>
          <w:lang w:val="ru-RU"/>
        </w:rPr>
        <w:t xml:space="preserve"> составил в 201</w:t>
      </w:r>
      <w:r w:rsidR="00193D5E" w:rsidRPr="007F6CEF">
        <w:rPr>
          <w:lang w:val="ru-RU"/>
        </w:rPr>
        <w:t>3</w:t>
      </w:r>
      <w:r w:rsidR="00625C14" w:rsidRPr="007F6CEF">
        <w:rPr>
          <w:lang w:val="ru-RU"/>
        </w:rPr>
        <w:t xml:space="preserve"> году </w:t>
      </w:r>
      <w:r w:rsidR="00AA0135" w:rsidRPr="007F6CEF">
        <w:rPr>
          <w:lang w:val="ru-RU"/>
        </w:rPr>
        <w:t>1</w:t>
      </w:r>
      <w:r w:rsidR="00193D5E" w:rsidRPr="007F6CEF">
        <w:rPr>
          <w:lang w:val="ru-RU"/>
        </w:rPr>
        <w:t>28</w:t>
      </w:r>
      <w:r w:rsidR="00625C14" w:rsidRPr="007F6CEF">
        <w:rPr>
          <w:lang w:val="ru-RU"/>
        </w:rPr>
        <w:t>,</w:t>
      </w:r>
      <w:r w:rsidR="00193D5E" w:rsidRPr="007F6CEF">
        <w:rPr>
          <w:lang w:val="ru-RU"/>
        </w:rPr>
        <w:t>0</w:t>
      </w:r>
      <w:r w:rsidR="00AA0135" w:rsidRPr="007F6CEF">
        <w:rPr>
          <w:lang w:val="ru-RU"/>
        </w:rPr>
        <w:t xml:space="preserve"> </w:t>
      </w:r>
      <w:r w:rsidR="00345A13" w:rsidRPr="007F6CEF">
        <w:rPr>
          <w:spacing w:val="1"/>
          <w:lang w:val="ru-RU"/>
        </w:rPr>
        <w:t>млн. швейцарских франков</w:t>
      </w:r>
      <w:r w:rsidR="00AA0135" w:rsidRPr="007F6CEF">
        <w:rPr>
          <w:lang w:val="ru-RU"/>
        </w:rPr>
        <w:t xml:space="preserve">, </w:t>
      </w:r>
      <w:r w:rsidR="00193D5E" w:rsidRPr="007F6CEF">
        <w:rPr>
          <w:lang w:val="ru-RU"/>
        </w:rPr>
        <w:t>уменьшившись</w:t>
      </w:r>
      <w:r w:rsidR="00AA0135" w:rsidRPr="007F6CEF">
        <w:rPr>
          <w:lang w:val="ru-RU"/>
        </w:rPr>
        <w:t xml:space="preserve"> </w:t>
      </w:r>
      <w:r w:rsidR="00625C14" w:rsidRPr="007F6CEF">
        <w:rPr>
          <w:lang w:val="ru-RU"/>
        </w:rPr>
        <w:t xml:space="preserve">на </w:t>
      </w:r>
      <w:r w:rsidR="00193D5E" w:rsidRPr="007F6CEF">
        <w:rPr>
          <w:lang w:val="ru-RU"/>
        </w:rPr>
        <w:t>4</w:t>
      </w:r>
      <w:r w:rsidR="00625C14" w:rsidRPr="007F6CEF">
        <w:rPr>
          <w:lang w:val="ru-RU"/>
        </w:rPr>
        <w:t>,</w:t>
      </w:r>
      <w:r w:rsidR="00193D5E" w:rsidRPr="007F6CEF">
        <w:rPr>
          <w:lang w:val="ru-RU"/>
        </w:rPr>
        <w:t>3</w:t>
      </w:r>
      <w:r w:rsidR="00AA0135" w:rsidRPr="007F6CEF">
        <w:rPr>
          <w:lang w:val="ru-RU"/>
        </w:rPr>
        <w:t xml:space="preserve"> </w:t>
      </w:r>
      <w:r w:rsidR="00345A13" w:rsidRPr="007F6CEF">
        <w:rPr>
          <w:spacing w:val="1"/>
          <w:lang w:val="ru-RU"/>
        </w:rPr>
        <w:t>млн. швейцарских франков</w:t>
      </w:r>
      <w:r w:rsidR="00345A13" w:rsidRPr="007F6CEF">
        <w:rPr>
          <w:lang w:val="ru-RU"/>
        </w:rPr>
        <w:t xml:space="preserve"> </w:t>
      </w:r>
      <w:r w:rsidR="00625C14" w:rsidRPr="007F6CEF">
        <w:rPr>
          <w:lang w:val="ru-RU"/>
        </w:rPr>
        <w:t>(</w:t>
      </w:r>
      <w:r w:rsidR="00193D5E" w:rsidRPr="007F6CEF">
        <w:rPr>
          <w:lang w:val="ru-RU"/>
        </w:rPr>
        <w:t>−3</w:t>
      </w:r>
      <w:r w:rsidR="00625C14" w:rsidRPr="007F6CEF">
        <w:rPr>
          <w:lang w:val="ru-RU"/>
        </w:rPr>
        <w:t>,</w:t>
      </w:r>
      <w:r w:rsidR="00193D5E" w:rsidRPr="007F6CEF">
        <w:rPr>
          <w:lang w:val="ru-RU"/>
        </w:rPr>
        <w:t>3</w:t>
      </w:r>
      <w:r w:rsidR="00AA0135" w:rsidRPr="007F6CEF">
        <w:rPr>
          <w:lang w:val="ru-RU"/>
        </w:rPr>
        <w:t xml:space="preserve">%) </w:t>
      </w:r>
      <w:r w:rsidR="00625C14" w:rsidRPr="007F6CEF">
        <w:rPr>
          <w:lang w:val="ru-RU"/>
        </w:rPr>
        <w:t>по сравнению с</w:t>
      </w:r>
      <w:r w:rsidR="00C07940" w:rsidRPr="007F6CEF">
        <w:rPr>
          <w:lang w:val="ru-RU"/>
        </w:rPr>
        <w:t>о</w:t>
      </w:r>
      <w:r w:rsidR="00625C14" w:rsidRPr="007F6CEF">
        <w:rPr>
          <w:lang w:val="ru-RU"/>
        </w:rPr>
        <w:t xml:space="preserve"> </w:t>
      </w:r>
      <w:r w:rsidR="00AA0135" w:rsidRPr="007F6CEF">
        <w:rPr>
          <w:lang w:val="ru-RU"/>
        </w:rPr>
        <w:t>1</w:t>
      </w:r>
      <w:r w:rsidR="00193D5E" w:rsidRPr="007F6CEF">
        <w:rPr>
          <w:lang w:val="ru-RU"/>
        </w:rPr>
        <w:t>32</w:t>
      </w:r>
      <w:r w:rsidR="00625C14" w:rsidRPr="007F6CEF">
        <w:rPr>
          <w:lang w:val="ru-RU"/>
        </w:rPr>
        <w:t>,</w:t>
      </w:r>
      <w:r w:rsidR="00193D5E" w:rsidRPr="007F6CEF">
        <w:rPr>
          <w:lang w:val="ru-RU"/>
        </w:rPr>
        <w:t>3 </w:t>
      </w:r>
      <w:r w:rsidR="00345A13" w:rsidRPr="007F6CEF">
        <w:rPr>
          <w:spacing w:val="1"/>
          <w:lang w:val="ru-RU"/>
        </w:rPr>
        <w:t>млн. швейцарских франков</w:t>
      </w:r>
      <w:r w:rsidR="00345A13" w:rsidRPr="007F6CEF">
        <w:rPr>
          <w:lang w:val="ru-RU"/>
        </w:rPr>
        <w:t xml:space="preserve"> </w:t>
      </w:r>
      <w:r w:rsidR="00600344" w:rsidRPr="007F6CEF">
        <w:rPr>
          <w:lang w:val="ru-RU"/>
        </w:rPr>
        <w:t>в 201</w:t>
      </w:r>
      <w:r w:rsidR="00193D5E" w:rsidRPr="007F6CEF">
        <w:rPr>
          <w:lang w:val="ru-RU"/>
        </w:rPr>
        <w:t>2</w:t>
      </w:r>
      <w:r w:rsidR="00600344" w:rsidRPr="007F6CEF">
        <w:rPr>
          <w:lang w:val="ru-RU"/>
        </w:rPr>
        <w:t xml:space="preserve"> году</w:t>
      </w:r>
      <w:r w:rsidR="00AA0135" w:rsidRPr="007F6CEF">
        <w:rPr>
          <w:lang w:val="ru-RU"/>
        </w:rPr>
        <w:t xml:space="preserve">. </w:t>
      </w:r>
      <w:r w:rsidR="00625C14" w:rsidRPr="007F6CEF">
        <w:rPr>
          <w:lang w:val="ru-RU"/>
        </w:rPr>
        <w:t xml:space="preserve">Большая часть этой суммы приходится на взносы </w:t>
      </w:r>
      <w:r w:rsidR="00B459C0" w:rsidRPr="007F6CEF">
        <w:rPr>
          <w:lang w:val="ru-RU"/>
        </w:rPr>
        <w:t>ч</w:t>
      </w:r>
      <w:r w:rsidR="002A2CDD" w:rsidRPr="007F6CEF">
        <w:rPr>
          <w:lang w:val="ru-RU"/>
        </w:rPr>
        <w:t xml:space="preserve">ленов </w:t>
      </w:r>
      <w:r w:rsidR="00625C14" w:rsidRPr="007F6CEF">
        <w:rPr>
          <w:lang w:val="ru-RU"/>
        </w:rPr>
        <w:t>МСЭ (Государств-Членов, Членов Секторов, Ассоциированных членов)</w:t>
      </w:r>
      <w:r w:rsidR="00193D5E" w:rsidRPr="007F6CEF">
        <w:rPr>
          <w:lang w:val="ru-RU"/>
        </w:rPr>
        <w:t xml:space="preserve"> </w:t>
      </w:r>
      <w:r w:rsidR="00625C14" w:rsidRPr="007F6CEF">
        <w:rPr>
          <w:lang w:val="ru-RU"/>
        </w:rPr>
        <w:t>и на доходы от обработки заявок н</w:t>
      </w:r>
      <w:r w:rsidR="00193D5E" w:rsidRPr="007F6CEF">
        <w:rPr>
          <w:lang w:val="ru-RU"/>
        </w:rPr>
        <w:t>а регистрацию спутниковых сетей</w:t>
      </w:r>
      <w:r w:rsidR="00891DB8" w:rsidRPr="007F6CEF">
        <w:rPr>
          <w:lang w:val="ru-RU"/>
        </w:rPr>
        <w:t xml:space="preserve">, </w:t>
      </w:r>
      <w:r w:rsidR="00B459C0" w:rsidRPr="007F6CEF">
        <w:rPr>
          <w:lang w:val="ru-RU"/>
        </w:rPr>
        <w:t xml:space="preserve">еще окончательно не определенных </w:t>
      </w:r>
      <w:r w:rsidR="007450F0" w:rsidRPr="007F6CEF">
        <w:rPr>
          <w:lang w:val="ru-RU"/>
        </w:rPr>
        <w:t>на конец 201</w:t>
      </w:r>
      <w:r w:rsidR="00193D5E" w:rsidRPr="007F6CEF">
        <w:rPr>
          <w:lang w:val="ru-RU"/>
        </w:rPr>
        <w:t>3</w:t>
      </w:r>
      <w:r w:rsidR="007450F0" w:rsidRPr="007F6CEF">
        <w:rPr>
          <w:lang w:val="ru-RU"/>
        </w:rPr>
        <w:t xml:space="preserve"> года</w:t>
      </w:r>
      <w:r w:rsidR="00B459C0" w:rsidRPr="007F6CEF">
        <w:rPr>
          <w:lang w:val="ru-RU"/>
        </w:rPr>
        <w:t xml:space="preserve">. </w:t>
      </w:r>
      <w:r w:rsidR="007450F0" w:rsidRPr="007F6CEF">
        <w:rPr>
          <w:lang w:val="ru-RU"/>
        </w:rPr>
        <w:t>Подобная разбивка д</w:t>
      </w:r>
      <w:r w:rsidR="00F26975" w:rsidRPr="007F6CEF">
        <w:rPr>
          <w:lang w:val="ru-RU"/>
        </w:rPr>
        <w:t>оход</w:t>
      </w:r>
      <w:r w:rsidR="007450F0" w:rsidRPr="007F6CEF">
        <w:rPr>
          <w:lang w:val="ru-RU"/>
        </w:rPr>
        <w:t>ов</w:t>
      </w:r>
      <w:r w:rsidR="00F26975" w:rsidRPr="007F6CEF">
        <w:rPr>
          <w:lang w:val="ru-RU"/>
        </w:rPr>
        <w:t xml:space="preserve"> будущих периодов</w:t>
      </w:r>
      <w:r w:rsidR="00AA0135" w:rsidRPr="007F6CEF">
        <w:rPr>
          <w:lang w:val="ru-RU"/>
        </w:rPr>
        <w:t xml:space="preserve"> </w:t>
      </w:r>
      <w:r w:rsidR="007450F0" w:rsidRPr="007F6CEF">
        <w:rPr>
          <w:lang w:val="ru-RU"/>
        </w:rPr>
        <w:t>приводится в</w:t>
      </w:r>
      <w:r w:rsidR="00AA0135" w:rsidRPr="007F6CEF">
        <w:rPr>
          <w:lang w:val="ru-RU"/>
        </w:rPr>
        <w:t xml:space="preserve"> </w:t>
      </w:r>
      <w:r w:rsidR="00340A27" w:rsidRPr="007F6CEF">
        <w:rPr>
          <w:lang w:val="ru-RU"/>
        </w:rPr>
        <w:t>Примечани</w:t>
      </w:r>
      <w:r w:rsidR="007450F0" w:rsidRPr="007F6CEF">
        <w:rPr>
          <w:lang w:val="ru-RU"/>
        </w:rPr>
        <w:t>и</w:t>
      </w:r>
      <w:r w:rsidR="00AA0135" w:rsidRPr="007F6CEF">
        <w:rPr>
          <w:lang w:val="ru-RU"/>
        </w:rPr>
        <w:t xml:space="preserve"> 1</w:t>
      </w:r>
      <w:r w:rsidR="00193D5E" w:rsidRPr="007F6CEF">
        <w:rPr>
          <w:lang w:val="ru-RU"/>
        </w:rPr>
        <w:t>5</w:t>
      </w:r>
      <w:r w:rsidR="00AA0135" w:rsidRPr="007F6CEF">
        <w:rPr>
          <w:lang w:val="ru-RU"/>
        </w:rPr>
        <w:t xml:space="preserve"> </w:t>
      </w:r>
      <w:r w:rsidR="004C17DC" w:rsidRPr="007F6CEF">
        <w:rPr>
          <w:lang w:val="ru-RU"/>
        </w:rPr>
        <w:t>Отчет</w:t>
      </w:r>
      <w:r w:rsidR="007450F0" w:rsidRPr="007F6CEF">
        <w:rPr>
          <w:lang w:val="ru-RU"/>
        </w:rPr>
        <w:t>а</w:t>
      </w:r>
      <w:r w:rsidR="004C17DC" w:rsidRPr="007F6CEF">
        <w:rPr>
          <w:lang w:val="ru-RU"/>
        </w:rPr>
        <w:t xml:space="preserve"> о финансовой деятельности</w:t>
      </w:r>
      <w:r w:rsidR="00AA0135" w:rsidRPr="007F6CEF">
        <w:rPr>
          <w:lang w:val="ru-RU"/>
        </w:rPr>
        <w:t>.</w:t>
      </w:r>
    </w:p>
    <w:p w:rsidR="00AA0135" w:rsidRPr="007F6CEF" w:rsidRDefault="00F26975" w:rsidP="00170B2C">
      <w:pPr>
        <w:pStyle w:val="Headingb"/>
        <w:rPr>
          <w:lang w:val="ru-RU"/>
        </w:rPr>
      </w:pPr>
      <w:bookmarkStart w:id="137" w:name="_Toc358192840"/>
      <w:bookmarkStart w:id="138" w:name="_Toc398125324"/>
      <w:bookmarkStart w:id="139" w:name="_Toc398125803"/>
      <w:bookmarkStart w:id="140" w:name="_Toc398127096"/>
      <w:r w:rsidRPr="007F6CEF">
        <w:rPr>
          <w:lang w:val="ru-RU"/>
        </w:rPr>
        <w:t>Резервные фонды</w:t>
      </w:r>
      <w:bookmarkEnd w:id="137"/>
      <w:bookmarkEnd w:id="138"/>
      <w:bookmarkEnd w:id="139"/>
      <w:bookmarkEnd w:id="140"/>
    </w:p>
    <w:p w:rsidR="00AA0135" w:rsidRPr="007F6CEF" w:rsidRDefault="00983F25" w:rsidP="00E84AA7">
      <w:pPr>
        <w:spacing w:after="120"/>
        <w:rPr>
          <w:lang w:val="ru-RU"/>
        </w:rPr>
      </w:pPr>
      <w:r w:rsidRPr="007F6CEF">
        <w:rPr>
          <w:lang w:val="ru-RU"/>
        </w:rPr>
        <w:t>5</w:t>
      </w:r>
      <w:r w:rsidR="00C07940" w:rsidRPr="007F6CEF">
        <w:rPr>
          <w:lang w:val="ru-RU"/>
        </w:rPr>
        <w:t>8</w:t>
      </w:r>
      <w:r w:rsidRPr="007F6CEF">
        <w:rPr>
          <w:lang w:val="ru-RU"/>
        </w:rPr>
        <w:tab/>
      </w:r>
      <w:r w:rsidR="00F26975" w:rsidRPr="007F6CEF">
        <w:rPr>
          <w:lang w:val="ru-RU"/>
        </w:rPr>
        <w:t>Подраздел</w:t>
      </w:r>
      <w:r w:rsidR="00AA0135" w:rsidRPr="007F6CEF">
        <w:rPr>
          <w:lang w:val="ru-RU"/>
        </w:rPr>
        <w:t xml:space="preserve"> "</w:t>
      </w:r>
      <w:r w:rsidR="00F26975" w:rsidRPr="007F6CEF">
        <w:rPr>
          <w:lang w:val="ru-RU"/>
        </w:rPr>
        <w:t>Резервные фонды</w:t>
      </w:r>
      <w:r w:rsidR="009E7B1B" w:rsidRPr="007F6CEF">
        <w:rPr>
          <w:lang w:val="ru-RU"/>
        </w:rPr>
        <w:t>"</w:t>
      </w:r>
      <w:r w:rsidR="00AA0135" w:rsidRPr="007F6CEF">
        <w:rPr>
          <w:lang w:val="ru-RU"/>
        </w:rPr>
        <w:t xml:space="preserve"> </w:t>
      </w:r>
      <w:r w:rsidR="009E7B1B" w:rsidRPr="007F6CEF">
        <w:rPr>
          <w:lang w:val="ru-RU"/>
        </w:rPr>
        <w:t>составил в</w:t>
      </w:r>
      <w:r w:rsidR="00C07940" w:rsidRPr="007F6CEF">
        <w:rPr>
          <w:lang w:val="ru-RU"/>
        </w:rPr>
        <w:t xml:space="preserve"> 2013</w:t>
      </w:r>
      <w:r w:rsidR="00AA0135" w:rsidRPr="007F6CEF">
        <w:rPr>
          <w:lang w:val="ru-RU"/>
        </w:rPr>
        <w:t xml:space="preserve"> </w:t>
      </w:r>
      <w:r w:rsidR="009E7B1B" w:rsidRPr="007F6CEF">
        <w:rPr>
          <w:lang w:val="ru-RU"/>
        </w:rPr>
        <w:t xml:space="preserve">году </w:t>
      </w:r>
      <w:r w:rsidR="00C07940" w:rsidRPr="007F6CEF">
        <w:rPr>
          <w:lang w:val="ru-RU"/>
        </w:rPr>
        <w:t>0</w:t>
      </w:r>
      <w:r w:rsidR="009E7B1B" w:rsidRPr="007F6CEF">
        <w:rPr>
          <w:lang w:val="ru-RU"/>
        </w:rPr>
        <w:t>,</w:t>
      </w:r>
      <w:r w:rsidR="00AA0135" w:rsidRPr="007F6CEF">
        <w:rPr>
          <w:lang w:val="ru-RU"/>
        </w:rPr>
        <w:t>9</w:t>
      </w:r>
      <w:r w:rsidR="00C07940" w:rsidRPr="007F6CEF">
        <w:rPr>
          <w:lang w:val="ru-RU"/>
        </w:rPr>
        <w:t>0</w:t>
      </w:r>
      <w:r w:rsidR="00AA0135" w:rsidRPr="007F6CEF">
        <w:rPr>
          <w:lang w:val="ru-RU"/>
        </w:rPr>
        <w:t xml:space="preserve"> </w:t>
      </w:r>
      <w:r w:rsidR="00345A13" w:rsidRPr="007F6CEF">
        <w:rPr>
          <w:spacing w:val="1"/>
          <w:lang w:val="ru-RU"/>
        </w:rPr>
        <w:t>млн. швейцарских франков</w:t>
      </w:r>
      <w:r w:rsidR="00AA0135" w:rsidRPr="007F6CEF">
        <w:rPr>
          <w:lang w:val="ru-RU"/>
        </w:rPr>
        <w:t xml:space="preserve">, </w:t>
      </w:r>
      <w:r w:rsidR="00B459C0" w:rsidRPr="007F6CEF">
        <w:rPr>
          <w:lang w:val="ru-RU"/>
        </w:rPr>
        <w:t xml:space="preserve">уменьшившись </w:t>
      </w:r>
      <w:r w:rsidR="009E7B1B" w:rsidRPr="007F6CEF">
        <w:rPr>
          <w:lang w:val="ru-RU"/>
        </w:rPr>
        <w:t>на 0,</w:t>
      </w:r>
      <w:r w:rsidR="00AA0135" w:rsidRPr="007F6CEF">
        <w:rPr>
          <w:lang w:val="ru-RU"/>
        </w:rPr>
        <w:t xml:space="preserve">2 </w:t>
      </w:r>
      <w:r w:rsidR="00345A13" w:rsidRPr="007F6CEF">
        <w:rPr>
          <w:spacing w:val="1"/>
          <w:lang w:val="ru-RU"/>
        </w:rPr>
        <w:t>млн. швейцарских франков</w:t>
      </w:r>
      <w:r w:rsidR="00345A13" w:rsidRPr="007F6CEF">
        <w:rPr>
          <w:lang w:val="ru-RU"/>
        </w:rPr>
        <w:t xml:space="preserve"> </w:t>
      </w:r>
      <w:r w:rsidR="00C07940" w:rsidRPr="007F6CEF">
        <w:rPr>
          <w:lang w:val="ru-RU"/>
        </w:rPr>
        <w:t>(</w:t>
      </w:r>
      <w:r w:rsidR="00E84AA7">
        <w:rPr>
          <w:lang w:val="ru-RU"/>
        </w:rPr>
        <w:t>−</w:t>
      </w:r>
      <w:r w:rsidR="00C07940" w:rsidRPr="007F6CEF">
        <w:rPr>
          <w:lang w:val="ru-RU"/>
        </w:rPr>
        <w:t>2</w:t>
      </w:r>
      <w:r w:rsidR="00AA0135" w:rsidRPr="007F6CEF">
        <w:rPr>
          <w:lang w:val="ru-RU"/>
        </w:rPr>
        <w:t xml:space="preserve">0%) </w:t>
      </w:r>
      <w:r w:rsidR="009E7B1B" w:rsidRPr="007F6CEF">
        <w:rPr>
          <w:lang w:val="ru-RU"/>
        </w:rPr>
        <w:t>по сравнению с 1,</w:t>
      </w:r>
      <w:r w:rsidR="00AA0135" w:rsidRPr="007F6CEF">
        <w:rPr>
          <w:lang w:val="ru-RU"/>
        </w:rPr>
        <w:t>1</w:t>
      </w:r>
      <w:r w:rsidR="00C07940" w:rsidRPr="007F6CEF">
        <w:rPr>
          <w:lang w:val="ru-RU"/>
        </w:rPr>
        <w:t>9 </w:t>
      </w:r>
      <w:r w:rsidR="00345A13" w:rsidRPr="007F6CEF">
        <w:rPr>
          <w:spacing w:val="1"/>
          <w:lang w:val="ru-RU"/>
        </w:rPr>
        <w:t>млн. швейцарских франков</w:t>
      </w:r>
      <w:r w:rsidR="00345A13" w:rsidRPr="007F6CEF">
        <w:rPr>
          <w:lang w:val="ru-RU"/>
        </w:rPr>
        <w:t xml:space="preserve"> </w:t>
      </w:r>
      <w:r w:rsidR="00600344" w:rsidRPr="007F6CEF">
        <w:rPr>
          <w:lang w:val="ru-RU"/>
        </w:rPr>
        <w:t>в 201</w:t>
      </w:r>
      <w:r w:rsidR="00C07940" w:rsidRPr="007F6CEF">
        <w:rPr>
          <w:lang w:val="ru-RU"/>
        </w:rPr>
        <w:t>2</w:t>
      </w:r>
      <w:r w:rsidR="00600344" w:rsidRPr="007F6CEF">
        <w:rPr>
          <w:lang w:val="ru-RU"/>
        </w:rPr>
        <w:t xml:space="preserve"> году</w:t>
      </w:r>
      <w:r w:rsidR="00AA0135" w:rsidRPr="007F6CEF">
        <w:rPr>
          <w:lang w:val="ru-RU"/>
        </w:rPr>
        <w:t xml:space="preserve">. </w:t>
      </w:r>
      <w:r w:rsidR="009E7B1B" w:rsidRPr="007F6CEF">
        <w:rPr>
          <w:lang w:val="ru-RU"/>
        </w:rPr>
        <w:t xml:space="preserve">Этот раздел включает резервный фонд для </w:t>
      </w:r>
      <w:r w:rsidR="002A2CDD" w:rsidRPr="007F6CEF">
        <w:rPr>
          <w:lang w:val="ru-RU"/>
        </w:rPr>
        <w:t xml:space="preserve">судебных </w:t>
      </w:r>
      <w:r w:rsidR="008E7943" w:rsidRPr="007F6CEF">
        <w:rPr>
          <w:lang w:val="ru-RU"/>
        </w:rPr>
        <w:t>разбирательств (0,</w:t>
      </w:r>
      <w:r w:rsidR="00C07940" w:rsidRPr="007F6CEF">
        <w:rPr>
          <w:lang w:val="ru-RU"/>
        </w:rPr>
        <w:t>5</w:t>
      </w:r>
      <w:r w:rsidR="00AA0135" w:rsidRPr="007F6CEF">
        <w:rPr>
          <w:lang w:val="ru-RU"/>
        </w:rPr>
        <w:t xml:space="preserve">2 </w:t>
      </w:r>
      <w:r w:rsidR="00345A13" w:rsidRPr="007F6CEF">
        <w:rPr>
          <w:spacing w:val="1"/>
          <w:lang w:val="ru-RU"/>
        </w:rPr>
        <w:t>млн. швейцарских франков</w:t>
      </w:r>
      <w:r w:rsidR="00AA0135" w:rsidRPr="007F6CEF">
        <w:rPr>
          <w:lang w:val="ru-RU"/>
        </w:rPr>
        <w:t xml:space="preserve">) </w:t>
      </w:r>
      <w:r w:rsidR="008E7943" w:rsidRPr="007F6CEF">
        <w:rPr>
          <w:lang w:val="ru-RU"/>
        </w:rPr>
        <w:t>и резервный фонд для бесплатной обработки заявок на регистрацию спутниковых сетей (0,</w:t>
      </w:r>
      <w:r w:rsidR="00C07940" w:rsidRPr="007F6CEF">
        <w:rPr>
          <w:lang w:val="ru-RU"/>
        </w:rPr>
        <w:t>38</w:t>
      </w:r>
      <w:r w:rsidR="00AA0135" w:rsidRPr="007F6CEF">
        <w:rPr>
          <w:lang w:val="ru-RU"/>
        </w:rPr>
        <w:t xml:space="preserve"> </w:t>
      </w:r>
      <w:r w:rsidR="00345A13" w:rsidRPr="007F6CEF">
        <w:rPr>
          <w:spacing w:val="1"/>
          <w:lang w:val="ru-RU"/>
        </w:rPr>
        <w:t>млн. швейцарских франков</w:t>
      </w:r>
      <w:r w:rsidR="00AA0135" w:rsidRPr="007F6CEF">
        <w:rPr>
          <w:lang w:val="ru-RU"/>
        </w:rPr>
        <w:t xml:space="preserve">). </w:t>
      </w:r>
    </w:p>
    <w:p w:rsidR="0080640B" w:rsidRPr="007F6CEF" w:rsidRDefault="0080640B" w:rsidP="00170B2C">
      <w:pPr>
        <w:spacing w:after="120"/>
        <w:rPr>
          <w:lang w:val="ru-RU"/>
        </w:rPr>
      </w:pPr>
      <w:r w:rsidRPr="007F6CEF">
        <w:rPr>
          <w:lang w:val="ru-RU"/>
        </w:rPr>
        <w:t>59</w:t>
      </w:r>
      <w:r w:rsidRPr="007F6CEF">
        <w:rPr>
          <w:lang w:val="ru-RU"/>
        </w:rPr>
        <w:tab/>
      </w:r>
      <w:r w:rsidR="00B459C0" w:rsidRPr="007F6CEF">
        <w:rPr>
          <w:lang w:val="ru-RU"/>
        </w:rPr>
        <w:t xml:space="preserve">Мы изучили отчеты советника МСЭ по правовым вопроса и считаем, что сумма, предусмотренная для </w:t>
      </w:r>
      <w:r w:rsidR="005616A1" w:rsidRPr="007F6CEF">
        <w:rPr>
          <w:lang w:val="ru-RU"/>
        </w:rPr>
        <w:t xml:space="preserve">возможных потерь при судебных разбирательствах, является по существу правильной. </w:t>
      </w:r>
    </w:p>
    <w:p w:rsidR="00CA5377" w:rsidRPr="007F6CEF" w:rsidRDefault="00CA5377" w:rsidP="00170B2C">
      <w:pPr>
        <w:pStyle w:val="Headingb"/>
        <w:rPr>
          <w:lang w:val="ru-RU"/>
        </w:rPr>
      </w:pPr>
      <w:bookmarkStart w:id="141" w:name="_Toc358192843"/>
      <w:bookmarkStart w:id="142" w:name="_Toc398125325"/>
      <w:bookmarkStart w:id="143" w:name="_Toc398125804"/>
      <w:bookmarkStart w:id="144" w:name="_Toc398127097"/>
      <w:r w:rsidRPr="007F6CEF">
        <w:rPr>
          <w:lang w:val="ru-RU"/>
        </w:rPr>
        <w:t>Займы и финансовая задолженность</w:t>
      </w:r>
      <w:bookmarkEnd w:id="141"/>
      <w:bookmarkEnd w:id="142"/>
      <w:bookmarkEnd w:id="143"/>
      <w:bookmarkEnd w:id="144"/>
    </w:p>
    <w:p w:rsidR="00CA5377" w:rsidRPr="007F6CEF" w:rsidRDefault="00F662A3" w:rsidP="00170B2C">
      <w:pPr>
        <w:rPr>
          <w:spacing w:val="3"/>
          <w:lang w:val="ru-RU"/>
        </w:rPr>
      </w:pPr>
      <w:r w:rsidRPr="007F6CEF">
        <w:rPr>
          <w:lang w:val="ru-RU"/>
        </w:rPr>
        <w:t>60</w:t>
      </w:r>
      <w:r w:rsidR="009B7B2E" w:rsidRPr="007F6CEF">
        <w:rPr>
          <w:lang w:val="ru-RU"/>
        </w:rPr>
        <w:tab/>
      </w:r>
      <w:r w:rsidR="00CA5377" w:rsidRPr="007F6CEF">
        <w:rPr>
          <w:lang w:val="ru-RU"/>
        </w:rPr>
        <w:t>Сумма, относящаяся к полученному МСЭ займу в ФИПОИ на строительство и капитальный ремонт некоторых его зданий</w:t>
      </w:r>
      <w:r w:rsidR="00CA5377" w:rsidRPr="007F6CEF">
        <w:rPr>
          <w:spacing w:val="3"/>
          <w:lang w:val="ru-RU"/>
        </w:rPr>
        <w:t>,</w:t>
      </w:r>
      <w:r w:rsidR="00CA5377" w:rsidRPr="007F6CEF">
        <w:rPr>
          <w:lang w:val="ru-RU"/>
        </w:rPr>
        <w:t xml:space="preserve"> правильно учитывается как краткосрочны</w:t>
      </w:r>
      <w:r w:rsidR="00883921" w:rsidRPr="007F6CEF">
        <w:rPr>
          <w:lang w:val="ru-RU"/>
        </w:rPr>
        <w:t>е</w:t>
      </w:r>
      <w:r w:rsidR="00CA5377" w:rsidRPr="007F6CEF">
        <w:rPr>
          <w:lang w:val="ru-RU"/>
        </w:rPr>
        <w:t xml:space="preserve"> </w:t>
      </w:r>
      <w:r w:rsidR="00883921" w:rsidRPr="007F6CEF">
        <w:rPr>
          <w:lang w:val="ru-RU"/>
        </w:rPr>
        <w:t>выплаты</w:t>
      </w:r>
      <w:r w:rsidR="00CA5377" w:rsidRPr="007F6CEF">
        <w:rPr>
          <w:lang w:val="ru-RU"/>
        </w:rPr>
        <w:t xml:space="preserve"> (1,5 млн. швейцарских франков, что составляет 1,0% от общей суммы текущих пассивов), и соответствует очередному платежу, подлежащему выплате МСЭ в ФИПОИ в </w:t>
      </w:r>
      <w:r w:rsidR="00CA5377" w:rsidRPr="007F6CEF">
        <w:rPr>
          <w:spacing w:val="3"/>
          <w:lang w:val="ru-RU"/>
        </w:rPr>
        <w:t>201</w:t>
      </w:r>
      <w:r w:rsidRPr="007F6CEF">
        <w:rPr>
          <w:spacing w:val="3"/>
          <w:lang w:val="ru-RU"/>
        </w:rPr>
        <w:t>4</w:t>
      </w:r>
      <w:r w:rsidR="00CA5377" w:rsidRPr="007F6CEF">
        <w:rPr>
          <w:spacing w:val="3"/>
          <w:lang w:val="ru-RU"/>
        </w:rPr>
        <w:t> году, и как долгосрочны</w:t>
      </w:r>
      <w:r w:rsidR="00883921" w:rsidRPr="007F6CEF">
        <w:rPr>
          <w:spacing w:val="3"/>
          <w:lang w:val="ru-RU"/>
        </w:rPr>
        <w:t>е</w:t>
      </w:r>
      <w:r w:rsidR="00CA5377" w:rsidRPr="007F6CEF">
        <w:rPr>
          <w:spacing w:val="3"/>
          <w:lang w:val="ru-RU"/>
        </w:rPr>
        <w:t xml:space="preserve"> </w:t>
      </w:r>
      <w:r w:rsidR="00883921" w:rsidRPr="007F6CEF">
        <w:rPr>
          <w:spacing w:val="3"/>
          <w:lang w:val="ru-RU"/>
        </w:rPr>
        <w:t>выплаты</w:t>
      </w:r>
      <w:r w:rsidR="00CA5377" w:rsidRPr="007F6CEF">
        <w:rPr>
          <w:lang w:val="ru-RU"/>
        </w:rPr>
        <w:t xml:space="preserve"> (4</w:t>
      </w:r>
      <w:r w:rsidRPr="007F6CEF">
        <w:rPr>
          <w:lang w:val="ru-RU"/>
        </w:rPr>
        <w:t>6</w:t>
      </w:r>
      <w:r w:rsidR="00CA5377" w:rsidRPr="007F6CEF">
        <w:rPr>
          <w:lang w:val="ru-RU"/>
        </w:rPr>
        <w:t>,</w:t>
      </w:r>
      <w:r w:rsidRPr="007F6CEF">
        <w:rPr>
          <w:lang w:val="ru-RU"/>
        </w:rPr>
        <w:t>8</w:t>
      </w:r>
      <w:r w:rsidR="00CA5377" w:rsidRPr="007F6CEF">
        <w:rPr>
          <w:lang w:val="ru-RU"/>
        </w:rPr>
        <w:t> млн. швейца</w:t>
      </w:r>
      <w:r w:rsidRPr="007F6CEF">
        <w:rPr>
          <w:lang w:val="ru-RU"/>
        </w:rPr>
        <w:t>рских франков, что составляет 11</w:t>
      </w:r>
      <w:r w:rsidR="00CA5377" w:rsidRPr="007F6CEF">
        <w:rPr>
          <w:lang w:val="ru-RU"/>
        </w:rPr>
        <w:t>,</w:t>
      </w:r>
      <w:r w:rsidRPr="007F6CEF">
        <w:rPr>
          <w:lang w:val="ru-RU"/>
        </w:rPr>
        <w:t>4</w:t>
      </w:r>
      <w:r w:rsidR="00CA5377" w:rsidRPr="007F6CEF">
        <w:rPr>
          <w:lang w:val="ru-RU"/>
        </w:rPr>
        <w:t>% от общей суммы нетекущих пассивов). Суммы, по которым представлена подробная информация в Примечании 1</w:t>
      </w:r>
      <w:r w:rsidRPr="007F6CEF">
        <w:rPr>
          <w:lang w:val="ru-RU"/>
        </w:rPr>
        <w:t>6</w:t>
      </w:r>
      <w:r w:rsidR="00CA5377" w:rsidRPr="007F6CEF">
        <w:rPr>
          <w:lang w:val="ru-RU"/>
        </w:rPr>
        <w:t xml:space="preserve"> Отчета о финансовой деятельности, также подтверждаются предоставленной</w:t>
      </w:r>
      <w:r w:rsidR="00CA5377" w:rsidRPr="007F6CEF">
        <w:rPr>
          <w:spacing w:val="3"/>
          <w:lang w:val="ru-RU"/>
        </w:rPr>
        <w:t xml:space="preserve"> ФИПОИ выпиской</w:t>
      </w:r>
      <w:r w:rsidRPr="007F6CEF">
        <w:rPr>
          <w:spacing w:val="3"/>
          <w:lang w:val="ru-RU"/>
        </w:rPr>
        <w:t xml:space="preserve"> от 7 апреля 2014 года</w:t>
      </w:r>
      <w:r w:rsidR="00CA5377" w:rsidRPr="007F6CEF">
        <w:rPr>
          <w:spacing w:val="3"/>
          <w:lang w:val="ru-RU"/>
        </w:rPr>
        <w:t>.</w:t>
      </w:r>
    </w:p>
    <w:p w:rsidR="00F662A3" w:rsidRPr="007F6CEF" w:rsidRDefault="00BE6D32" w:rsidP="00170B2C">
      <w:pPr>
        <w:pStyle w:val="Headingb"/>
        <w:rPr>
          <w:lang w:val="ru-RU"/>
        </w:rPr>
      </w:pPr>
      <w:bookmarkStart w:id="145" w:name="_Toc398125326"/>
      <w:bookmarkStart w:id="146" w:name="_Toc398125805"/>
      <w:bookmarkStart w:id="147" w:name="_Toc398127098"/>
      <w:r w:rsidRPr="007F6CEF">
        <w:rPr>
          <w:lang w:val="ru-RU"/>
        </w:rPr>
        <w:t>Прочие текущие пассивы</w:t>
      </w:r>
      <w:bookmarkEnd w:id="145"/>
      <w:bookmarkEnd w:id="146"/>
      <w:bookmarkEnd w:id="147"/>
    </w:p>
    <w:p w:rsidR="00F662A3" w:rsidRPr="007F6CEF" w:rsidRDefault="00F662A3" w:rsidP="00170B2C">
      <w:pPr>
        <w:rPr>
          <w:lang w:val="ru-RU"/>
        </w:rPr>
      </w:pPr>
      <w:r w:rsidRPr="007F6CEF">
        <w:rPr>
          <w:lang w:val="ru-RU"/>
        </w:rPr>
        <w:t>61</w:t>
      </w:r>
      <w:r w:rsidRPr="007F6CEF">
        <w:rPr>
          <w:lang w:val="ru-RU"/>
        </w:rPr>
        <w:tab/>
      </w:r>
      <w:r w:rsidR="00BE6D32" w:rsidRPr="007F6CEF">
        <w:rPr>
          <w:lang w:val="ru-RU"/>
        </w:rPr>
        <w:t>Подразделы</w:t>
      </w:r>
      <w:r w:rsidRPr="007F6CEF">
        <w:rPr>
          <w:lang w:val="ru-RU"/>
        </w:rPr>
        <w:t xml:space="preserve"> "</w:t>
      </w:r>
      <w:r w:rsidR="00BE6D32" w:rsidRPr="007F6CEF">
        <w:rPr>
          <w:lang w:val="ru-RU"/>
        </w:rPr>
        <w:t xml:space="preserve">Вознаграждение сотрудников" и </w:t>
      </w:r>
      <w:r w:rsidRPr="007F6CEF">
        <w:rPr>
          <w:lang w:val="ru-RU"/>
        </w:rPr>
        <w:t>"</w:t>
      </w:r>
      <w:r w:rsidR="00BE6D32" w:rsidRPr="007F6CEF">
        <w:rPr>
          <w:lang w:val="ru-RU"/>
        </w:rPr>
        <w:t xml:space="preserve">Прочая задолженность" составили в </w:t>
      </w:r>
      <w:r w:rsidRPr="007F6CEF">
        <w:rPr>
          <w:lang w:val="ru-RU"/>
        </w:rPr>
        <w:t>2013 году, соответственно, 0,5 </w:t>
      </w:r>
      <w:r w:rsidRPr="007F6CEF">
        <w:rPr>
          <w:spacing w:val="1"/>
          <w:lang w:val="ru-RU"/>
        </w:rPr>
        <w:t>млн. швейцарских франков</w:t>
      </w:r>
      <w:r w:rsidRPr="007F6CEF">
        <w:rPr>
          <w:lang w:val="ru-RU"/>
        </w:rPr>
        <w:t xml:space="preserve"> (в 2012 г. − 1,2 </w:t>
      </w:r>
      <w:r w:rsidRPr="007F6CEF">
        <w:rPr>
          <w:spacing w:val="1"/>
          <w:lang w:val="ru-RU"/>
        </w:rPr>
        <w:t>млн. швейцарских франков</w:t>
      </w:r>
      <w:r w:rsidRPr="007F6CEF">
        <w:rPr>
          <w:lang w:val="ru-RU"/>
        </w:rPr>
        <w:t>) и 1,6 </w:t>
      </w:r>
      <w:r w:rsidRPr="007F6CEF">
        <w:rPr>
          <w:spacing w:val="1"/>
          <w:lang w:val="ru-RU"/>
        </w:rPr>
        <w:t>млн. швейцарских франков</w:t>
      </w:r>
      <w:r w:rsidRPr="007F6CEF">
        <w:rPr>
          <w:lang w:val="ru-RU"/>
        </w:rPr>
        <w:t xml:space="preserve"> (в 2012 г. − 1,8 </w:t>
      </w:r>
      <w:r w:rsidRPr="007F6CEF">
        <w:rPr>
          <w:spacing w:val="1"/>
          <w:lang w:val="ru-RU"/>
        </w:rPr>
        <w:t>млн. швейцарских франков</w:t>
      </w:r>
      <w:r w:rsidRPr="007F6CEF">
        <w:rPr>
          <w:lang w:val="ru-RU"/>
        </w:rPr>
        <w:t xml:space="preserve">). </w:t>
      </w:r>
      <w:r w:rsidR="00BE6D32" w:rsidRPr="007F6CEF">
        <w:rPr>
          <w:lang w:val="ru-RU"/>
        </w:rPr>
        <w:t xml:space="preserve">Подробное описание и разбивка приводятся, соответственно, в Примечаниях </w:t>
      </w:r>
      <w:r w:rsidRPr="007F6CEF">
        <w:rPr>
          <w:lang w:val="ru-RU"/>
        </w:rPr>
        <w:t xml:space="preserve">16.1 и 18 </w:t>
      </w:r>
      <w:r w:rsidR="00BE6D32" w:rsidRPr="007F6CEF">
        <w:rPr>
          <w:lang w:val="ru-RU"/>
        </w:rPr>
        <w:t>Отчета о финансовой деятельности</w:t>
      </w:r>
      <w:r w:rsidRPr="007F6CEF">
        <w:rPr>
          <w:lang w:val="ru-RU"/>
        </w:rPr>
        <w:t>.</w:t>
      </w:r>
    </w:p>
    <w:p w:rsidR="00F662A3" w:rsidRPr="007F6CEF" w:rsidRDefault="00F662A3" w:rsidP="00170B2C">
      <w:pPr>
        <w:rPr>
          <w:lang w:val="ru-RU"/>
        </w:rPr>
      </w:pPr>
      <w:r w:rsidRPr="007F6CEF">
        <w:rPr>
          <w:lang w:val="ru-RU"/>
        </w:rPr>
        <w:t>62</w:t>
      </w:r>
      <w:r w:rsidRPr="007F6CEF">
        <w:rPr>
          <w:lang w:val="ru-RU"/>
        </w:rPr>
        <w:tab/>
      </w:r>
      <w:r w:rsidR="00BE6D32" w:rsidRPr="007F6CEF">
        <w:rPr>
          <w:lang w:val="ru-RU"/>
        </w:rPr>
        <w:t xml:space="preserve">В частности, </w:t>
      </w:r>
      <w:r w:rsidR="00312351" w:rsidRPr="007F6CEF">
        <w:rPr>
          <w:lang w:val="ru-RU"/>
        </w:rPr>
        <w:t xml:space="preserve">"Вознаграждение сотрудников (краткосрочные выплаты)", учтенное в "Текущих пассивах", относится к резервному фонду для оплаты сверхурочных часов </w:t>
      </w:r>
      <w:r w:rsidRPr="007F6CEF">
        <w:rPr>
          <w:lang w:val="ru-RU"/>
        </w:rPr>
        <w:t>(в 2013 г. − 0,04 </w:t>
      </w:r>
      <w:r w:rsidRPr="007F6CEF">
        <w:rPr>
          <w:spacing w:val="1"/>
          <w:lang w:val="ru-RU"/>
        </w:rPr>
        <w:t>млн. швейцарских франков</w:t>
      </w:r>
      <w:r w:rsidRPr="007F6CEF">
        <w:rPr>
          <w:lang w:val="ru-RU"/>
        </w:rPr>
        <w:t xml:space="preserve">) </w:t>
      </w:r>
      <w:r w:rsidR="00821A78" w:rsidRPr="007F6CEF">
        <w:rPr>
          <w:lang w:val="ru-RU"/>
        </w:rPr>
        <w:t xml:space="preserve">и к резервному фонду для оплаты накопленных дней отпуска </w:t>
      </w:r>
      <w:r w:rsidRPr="007F6CEF">
        <w:rPr>
          <w:lang w:val="ru-RU"/>
        </w:rPr>
        <w:t>(в 2013 г. </w:t>
      </w:r>
      <w:r w:rsidR="00EB65CB" w:rsidRPr="007F6CEF">
        <w:rPr>
          <w:lang w:val="ru-RU"/>
        </w:rPr>
        <w:t>− 0,4 </w:t>
      </w:r>
      <w:r w:rsidRPr="007F6CEF">
        <w:rPr>
          <w:spacing w:val="1"/>
          <w:lang w:val="ru-RU"/>
        </w:rPr>
        <w:t>млн. швейцарских франков</w:t>
      </w:r>
      <w:r w:rsidRPr="007F6CEF">
        <w:rPr>
          <w:lang w:val="ru-RU"/>
        </w:rPr>
        <w:t xml:space="preserve">). </w:t>
      </w:r>
      <w:r w:rsidR="00821A78" w:rsidRPr="007F6CEF">
        <w:rPr>
          <w:lang w:val="ru-RU"/>
        </w:rPr>
        <w:t>Проведенные нами проверки не выявили как</w:t>
      </w:r>
      <w:r w:rsidR="00883921" w:rsidRPr="007F6CEF">
        <w:rPr>
          <w:lang w:val="ru-RU"/>
        </w:rPr>
        <w:t>их</w:t>
      </w:r>
      <w:r w:rsidR="00821A78" w:rsidRPr="007F6CEF">
        <w:rPr>
          <w:lang w:val="ru-RU"/>
        </w:rPr>
        <w:t>-либо существенн</w:t>
      </w:r>
      <w:r w:rsidR="00883921" w:rsidRPr="007F6CEF">
        <w:rPr>
          <w:lang w:val="ru-RU"/>
        </w:rPr>
        <w:t>ых</w:t>
      </w:r>
      <w:r w:rsidR="00821A78" w:rsidRPr="007F6CEF">
        <w:rPr>
          <w:lang w:val="ru-RU"/>
        </w:rPr>
        <w:t xml:space="preserve"> </w:t>
      </w:r>
      <w:r w:rsidR="00883921" w:rsidRPr="007F6CEF">
        <w:rPr>
          <w:lang w:val="ru-RU"/>
        </w:rPr>
        <w:t>проблем</w:t>
      </w:r>
      <w:r w:rsidR="00821A78" w:rsidRPr="007F6CEF">
        <w:rPr>
          <w:lang w:val="ru-RU"/>
        </w:rPr>
        <w:t>, и данные по резервным фондам являются по существу точными.</w:t>
      </w:r>
      <w:r w:rsidR="0091029E" w:rsidRPr="007F6CEF">
        <w:rPr>
          <w:lang w:val="ru-RU"/>
        </w:rPr>
        <w:t xml:space="preserve"> </w:t>
      </w:r>
    </w:p>
    <w:p w:rsidR="00CA5377" w:rsidRPr="007F6CEF" w:rsidRDefault="00CA5377" w:rsidP="00170B2C">
      <w:pPr>
        <w:pStyle w:val="Headingb"/>
        <w:rPr>
          <w:u w:val="single"/>
          <w:lang w:val="ru-RU"/>
        </w:rPr>
      </w:pPr>
      <w:bookmarkStart w:id="148" w:name="_Toc358192844"/>
      <w:bookmarkStart w:id="149" w:name="_Toc398125327"/>
      <w:bookmarkStart w:id="150" w:name="_Toc398125806"/>
      <w:bookmarkStart w:id="151" w:name="_Toc398127099"/>
      <w:r w:rsidRPr="007F6CEF">
        <w:rPr>
          <w:lang w:val="ru-RU"/>
        </w:rPr>
        <w:t>Нетекущие пассивы</w:t>
      </w:r>
      <w:bookmarkEnd w:id="148"/>
      <w:bookmarkEnd w:id="149"/>
      <w:bookmarkEnd w:id="150"/>
      <w:bookmarkEnd w:id="151"/>
    </w:p>
    <w:p w:rsidR="00CA5377" w:rsidRPr="007F6CEF" w:rsidRDefault="00F662A3" w:rsidP="00170B2C">
      <w:pPr>
        <w:rPr>
          <w:lang w:val="ru-RU"/>
        </w:rPr>
      </w:pPr>
      <w:r w:rsidRPr="007F6CEF">
        <w:rPr>
          <w:lang w:val="ru-RU"/>
        </w:rPr>
        <w:t>63</w:t>
      </w:r>
      <w:r w:rsidR="009B7B2E" w:rsidRPr="007F6CEF">
        <w:rPr>
          <w:lang w:val="ru-RU"/>
        </w:rPr>
        <w:tab/>
      </w:r>
      <w:r w:rsidR="00CA5377" w:rsidRPr="007F6CEF">
        <w:rPr>
          <w:lang w:val="ru-RU"/>
        </w:rPr>
        <w:t>О</w:t>
      </w:r>
      <w:r w:rsidR="00440750" w:rsidRPr="007F6CEF">
        <w:rPr>
          <w:lang w:val="ru-RU"/>
        </w:rPr>
        <w:t xml:space="preserve">бщая сумма нетекущих пассивов в </w:t>
      </w:r>
      <w:r w:rsidR="00CA5377" w:rsidRPr="007F6CEF">
        <w:rPr>
          <w:lang w:val="ru-RU"/>
        </w:rPr>
        <w:t>201</w:t>
      </w:r>
      <w:r w:rsidR="009C6BF6" w:rsidRPr="007F6CEF">
        <w:rPr>
          <w:lang w:val="ru-RU"/>
        </w:rPr>
        <w:t>3</w:t>
      </w:r>
      <w:r w:rsidR="00CA5377" w:rsidRPr="007F6CEF">
        <w:rPr>
          <w:lang w:val="ru-RU"/>
        </w:rPr>
        <w:t> году составила 4</w:t>
      </w:r>
      <w:r w:rsidR="009C6BF6" w:rsidRPr="007F6CEF">
        <w:rPr>
          <w:lang w:val="ru-RU"/>
        </w:rPr>
        <w:t>10</w:t>
      </w:r>
      <w:r w:rsidR="00CA5377" w:rsidRPr="007F6CEF">
        <w:rPr>
          <w:lang w:val="ru-RU"/>
        </w:rPr>
        <w:t xml:space="preserve">,1 млн. швейцарских франков, что на </w:t>
      </w:r>
      <w:r w:rsidR="009C6BF6" w:rsidRPr="007F6CEF">
        <w:rPr>
          <w:lang w:val="ru-RU"/>
        </w:rPr>
        <w:t>33</w:t>
      </w:r>
      <w:r w:rsidR="00CA5377" w:rsidRPr="007F6CEF">
        <w:rPr>
          <w:lang w:val="ru-RU"/>
        </w:rPr>
        <w:t>,</w:t>
      </w:r>
      <w:r w:rsidR="009C6BF6" w:rsidRPr="007F6CEF">
        <w:rPr>
          <w:lang w:val="ru-RU"/>
        </w:rPr>
        <w:t>0</w:t>
      </w:r>
      <w:r w:rsidR="00CA5377" w:rsidRPr="007F6CEF">
        <w:rPr>
          <w:lang w:val="ru-RU"/>
        </w:rPr>
        <w:t> млн. швейцарских франков (</w:t>
      </w:r>
      <w:r w:rsidR="009C6BF6" w:rsidRPr="007F6CEF">
        <w:rPr>
          <w:lang w:val="ru-RU"/>
        </w:rPr>
        <w:t>−7</w:t>
      </w:r>
      <w:r w:rsidR="00CA5377" w:rsidRPr="007F6CEF">
        <w:rPr>
          <w:lang w:val="ru-RU"/>
        </w:rPr>
        <w:t>,</w:t>
      </w:r>
      <w:r w:rsidR="009C6BF6" w:rsidRPr="007F6CEF">
        <w:rPr>
          <w:lang w:val="ru-RU"/>
        </w:rPr>
        <w:t>4</w:t>
      </w:r>
      <w:r w:rsidR="00CA5377" w:rsidRPr="007F6CEF">
        <w:rPr>
          <w:lang w:val="ru-RU"/>
        </w:rPr>
        <w:t xml:space="preserve">%) </w:t>
      </w:r>
      <w:r w:rsidR="009C6BF6" w:rsidRPr="007F6CEF">
        <w:rPr>
          <w:lang w:val="ru-RU"/>
        </w:rPr>
        <w:t>меньше</w:t>
      </w:r>
      <w:r w:rsidR="00CA5377" w:rsidRPr="007F6CEF">
        <w:rPr>
          <w:lang w:val="ru-RU"/>
        </w:rPr>
        <w:t xml:space="preserve"> по сравнению с 201</w:t>
      </w:r>
      <w:r w:rsidR="009C6BF6" w:rsidRPr="007F6CEF">
        <w:rPr>
          <w:lang w:val="ru-RU"/>
        </w:rPr>
        <w:t>2</w:t>
      </w:r>
      <w:r w:rsidR="00CA5377" w:rsidRPr="007F6CEF">
        <w:rPr>
          <w:lang w:val="ru-RU"/>
        </w:rPr>
        <w:t> годом (</w:t>
      </w:r>
      <w:r w:rsidR="009C6BF6" w:rsidRPr="007F6CEF">
        <w:rPr>
          <w:lang w:val="ru-RU"/>
        </w:rPr>
        <w:t>443</w:t>
      </w:r>
      <w:r w:rsidR="00CA5377" w:rsidRPr="007F6CEF">
        <w:rPr>
          <w:lang w:val="ru-RU"/>
        </w:rPr>
        <w:t>,</w:t>
      </w:r>
      <w:r w:rsidR="009C6BF6" w:rsidRPr="007F6CEF">
        <w:rPr>
          <w:lang w:val="ru-RU"/>
        </w:rPr>
        <w:t>1</w:t>
      </w:r>
      <w:r w:rsidR="00CA5377" w:rsidRPr="007F6CEF">
        <w:rPr>
          <w:lang w:val="ru-RU"/>
        </w:rPr>
        <w:t xml:space="preserve"> млн. швейцарских франков). Это </w:t>
      </w:r>
      <w:r w:rsidR="009C6BF6" w:rsidRPr="007F6CEF">
        <w:rPr>
          <w:lang w:val="ru-RU"/>
        </w:rPr>
        <w:t>уменьшение</w:t>
      </w:r>
      <w:r w:rsidR="00CA5377" w:rsidRPr="007F6CEF">
        <w:rPr>
          <w:lang w:val="ru-RU"/>
        </w:rPr>
        <w:t xml:space="preserve"> </w:t>
      </w:r>
      <w:r w:rsidR="00BF237D" w:rsidRPr="007F6CEF">
        <w:rPr>
          <w:lang w:val="ru-RU"/>
        </w:rPr>
        <w:t xml:space="preserve">в </w:t>
      </w:r>
      <w:r w:rsidR="00821A78" w:rsidRPr="007F6CEF">
        <w:rPr>
          <w:lang w:val="ru-RU"/>
        </w:rPr>
        <w:t>целом</w:t>
      </w:r>
      <w:r w:rsidR="00CA5377" w:rsidRPr="007F6CEF">
        <w:rPr>
          <w:lang w:val="ru-RU"/>
        </w:rPr>
        <w:t xml:space="preserve"> объясняется </w:t>
      </w:r>
      <w:r w:rsidR="009C6BF6" w:rsidRPr="007F6CEF">
        <w:rPr>
          <w:lang w:val="ru-RU"/>
        </w:rPr>
        <w:t>уменьшением</w:t>
      </w:r>
      <w:r w:rsidR="00CA5377" w:rsidRPr="007F6CEF">
        <w:rPr>
          <w:lang w:val="ru-RU"/>
        </w:rPr>
        <w:t xml:space="preserve"> суммы вознаграждения сотрудников</w:t>
      </w:r>
      <w:r w:rsidR="00CA5377" w:rsidRPr="007F6CEF">
        <w:rPr>
          <w:spacing w:val="1"/>
          <w:lang w:val="ru-RU"/>
        </w:rPr>
        <w:t xml:space="preserve"> (</w:t>
      </w:r>
      <w:r w:rsidR="009C6BF6" w:rsidRPr="007F6CEF">
        <w:rPr>
          <w:spacing w:val="1"/>
          <w:lang w:val="ru-RU"/>
        </w:rPr>
        <w:t>−21</w:t>
      </w:r>
      <w:r w:rsidR="00CA5377" w:rsidRPr="007F6CEF">
        <w:rPr>
          <w:spacing w:val="1"/>
          <w:lang w:val="ru-RU"/>
        </w:rPr>
        <w:t>,</w:t>
      </w:r>
      <w:r w:rsidR="009C6BF6" w:rsidRPr="007F6CEF">
        <w:rPr>
          <w:spacing w:val="1"/>
          <w:lang w:val="ru-RU"/>
        </w:rPr>
        <w:t>1</w:t>
      </w:r>
      <w:r w:rsidR="00CA5377" w:rsidRPr="007F6CEF">
        <w:rPr>
          <w:lang w:val="ru-RU"/>
        </w:rPr>
        <w:t> млн. швейцарских франков</w:t>
      </w:r>
      <w:r w:rsidR="009C6BF6" w:rsidRPr="007F6CEF">
        <w:rPr>
          <w:spacing w:val="1"/>
          <w:lang w:val="ru-RU"/>
        </w:rPr>
        <w:t xml:space="preserve">, </w:t>
      </w:r>
      <w:r w:rsidR="00BF237D" w:rsidRPr="007F6CEF">
        <w:rPr>
          <w:spacing w:val="1"/>
          <w:lang w:val="ru-RU"/>
        </w:rPr>
        <w:t xml:space="preserve">или </w:t>
      </w:r>
      <w:r w:rsidR="009C6BF6" w:rsidRPr="007F6CEF">
        <w:rPr>
          <w:spacing w:val="1"/>
          <w:lang w:val="ru-RU"/>
        </w:rPr>
        <w:t>−5</w:t>
      </w:r>
      <w:r w:rsidR="00CA5377" w:rsidRPr="007F6CEF">
        <w:rPr>
          <w:spacing w:val="1"/>
          <w:lang w:val="ru-RU"/>
        </w:rPr>
        <w:t>,</w:t>
      </w:r>
      <w:r w:rsidR="009C6BF6" w:rsidRPr="007F6CEF">
        <w:rPr>
          <w:spacing w:val="1"/>
          <w:lang w:val="ru-RU"/>
        </w:rPr>
        <w:t>9</w:t>
      </w:r>
      <w:r w:rsidR="00CA5377" w:rsidRPr="007F6CEF">
        <w:rPr>
          <w:spacing w:val="1"/>
          <w:lang w:val="ru-RU"/>
        </w:rPr>
        <w:t xml:space="preserve">%). Основа для оценки </w:t>
      </w:r>
      <w:r w:rsidR="00821A78" w:rsidRPr="007F6CEF">
        <w:rPr>
          <w:spacing w:val="1"/>
          <w:lang w:val="ru-RU"/>
        </w:rPr>
        <w:t>нетекущих пассивов приводится в П</w:t>
      </w:r>
      <w:r w:rsidR="00CA5377" w:rsidRPr="007F6CEF">
        <w:rPr>
          <w:spacing w:val="1"/>
          <w:lang w:val="ru-RU"/>
        </w:rPr>
        <w:t>ринципах</w:t>
      </w:r>
      <w:r w:rsidR="00821A78" w:rsidRPr="007F6CEF">
        <w:rPr>
          <w:spacing w:val="1"/>
          <w:lang w:val="ru-RU"/>
        </w:rPr>
        <w:t xml:space="preserve"> бухгалтерского</w:t>
      </w:r>
      <w:r w:rsidR="00CA5377" w:rsidRPr="007F6CEF">
        <w:rPr>
          <w:spacing w:val="1"/>
          <w:lang w:val="ru-RU"/>
        </w:rPr>
        <w:t xml:space="preserve"> учета (</w:t>
      </w:r>
      <w:r w:rsidR="00826BCE" w:rsidRPr="007F6CEF">
        <w:rPr>
          <w:spacing w:val="1"/>
          <w:lang w:val="ru-RU"/>
        </w:rPr>
        <w:t>Примечание </w:t>
      </w:r>
      <w:r w:rsidR="00CA5377" w:rsidRPr="007F6CEF">
        <w:rPr>
          <w:spacing w:val="1"/>
          <w:lang w:val="ru-RU"/>
        </w:rPr>
        <w:t>3).</w:t>
      </w:r>
    </w:p>
    <w:p w:rsidR="00CA5377" w:rsidRPr="007F6CEF" w:rsidRDefault="009B7B2E" w:rsidP="00170B2C">
      <w:pPr>
        <w:rPr>
          <w:lang w:val="ru-RU"/>
        </w:rPr>
      </w:pPr>
      <w:r w:rsidRPr="007F6CEF">
        <w:rPr>
          <w:lang w:val="ru-RU"/>
        </w:rPr>
        <w:t>6</w:t>
      </w:r>
      <w:r w:rsidR="00BF237D" w:rsidRPr="007F6CEF">
        <w:rPr>
          <w:lang w:val="ru-RU"/>
        </w:rPr>
        <w:t>4</w:t>
      </w:r>
      <w:r w:rsidRPr="007F6CEF">
        <w:rPr>
          <w:lang w:val="ru-RU"/>
        </w:rPr>
        <w:tab/>
      </w:r>
      <w:r w:rsidR="001B24C6" w:rsidRPr="007F6CEF">
        <w:rPr>
          <w:lang w:val="ru-RU"/>
        </w:rPr>
        <w:t>Этот</w:t>
      </w:r>
      <w:r w:rsidR="00CA5377" w:rsidRPr="007F6CEF">
        <w:rPr>
          <w:lang w:val="ru-RU"/>
        </w:rPr>
        <w:t xml:space="preserve"> раздел состоит из долгосрочных задолженностей (см. раздел "Займы"), средств третьих сторон, распределенных или в процессе распределения, обязательств по линии капитализированного </w:t>
      </w:r>
      <w:r w:rsidR="00CA5377" w:rsidRPr="007F6CEF">
        <w:rPr>
          <w:rFonts w:asciiTheme="minorHAnsi" w:hAnsiTheme="minorHAnsi"/>
          <w:szCs w:val="22"/>
          <w:lang w:val="ru-RU"/>
        </w:rPr>
        <w:t>фонда (</w:t>
      </w:r>
      <w:r w:rsidR="00821A78" w:rsidRPr="007F6CEF">
        <w:rPr>
          <w:rFonts w:asciiTheme="minorHAnsi" w:hAnsiTheme="minorHAnsi" w:cs="TimesNewRoman"/>
          <w:szCs w:val="22"/>
          <w:lang w:val="ru-RU" w:eastAsia="zh-CN"/>
        </w:rPr>
        <w:t>Фонда медицинского страхования персонала</w:t>
      </w:r>
      <w:r w:rsidR="00407AEC" w:rsidRPr="007F6CEF">
        <w:rPr>
          <w:rFonts w:asciiTheme="minorHAnsi" w:hAnsiTheme="minorHAnsi"/>
          <w:szCs w:val="22"/>
          <w:lang w:val="ru-RU"/>
        </w:rPr>
        <w:t xml:space="preserve"> – </w:t>
      </w:r>
      <w:r w:rsidR="00CA5377" w:rsidRPr="007F6CEF">
        <w:rPr>
          <w:rFonts w:asciiTheme="minorHAnsi" w:hAnsiTheme="minorHAnsi"/>
          <w:szCs w:val="22"/>
          <w:lang w:val="ru-RU"/>
        </w:rPr>
        <w:t>ФМСП)</w:t>
      </w:r>
      <w:r w:rsidR="00CA5377" w:rsidRPr="007F6CEF">
        <w:rPr>
          <w:lang w:val="ru-RU"/>
        </w:rPr>
        <w:t xml:space="preserve"> для системы медицинского страхования МСЭ и резервных фондов, покрывающих обязательства с неопределенными суммами и сроками, в основном относящиеся к </w:t>
      </w:r>
      <w:r w:rsidR="00F01208" w:rsidRPr="007F6CEF">
        <w:rPr>
          <w:lang w:val="ru-RU"/>
        </w:rPr>
        <w:t>пособиям</w:t>
      </w:r>
      <w:r w:rsidR="00CA5377" w:rsidRPr="007F6CEF">
        <w:rPr>
          <w:lang w:val="ru-RU"/>
        </w:rPr>
        <w:t>, причитающимся сотрудникам после прекращения службы</w:t>
      </w:r>
      <w:r w:rsidR="00FA2B65" w:rsidRPr="007F6CEF">
        <w:rPr>
          <w:lang w:val="ru-RU"/>
        </w:rPr>
        <w:t>.</w:t>
      </w:r>
    </w:p>
    <w:p w:rsidR="00CA5377" w:rsidRPr="007F6CEF" w:rsidRDefault="00CA5377" w:rsidP="00170B2C">
      <w:pPr>
        <w:pStyle w:val="Headingb"/>
        <w:rPr>
          <w:lang w:val="ru-RU"/>
        </w:rPr>
      </w:pPr>
      <w:bookmarkStart w:id="152" w:name="_Toc356330896"/>
      <w:bookmarkStart w:id="153" w:name="_Toc358192845"/>
      <w:bookmarkStart w:id="154" w:name="_Toc398125328"/>
      <w:bookmarkStart w:id="155" w:name="_Toc398125807"/>
      <w:bookmarkStart w:id="156" w:name="_Toc398127100"/>
      <w:r w:rsidRPr="007F6CEF">
        <w:rPr>
          <w:lang w:val="ru-RU"/>
        </w:rPr>
        <w:t xml:space="preserve">Вознаграждение сотрудников (долгосрочные </w:t>
      </w:r>
      <w:r w:rsidR="00821A78" w:rsidRPr="007F6CEF">
        <w:rPr>
          <w:lang w:val="ru-RU"/>
        </w:rPr>
        <w:t>выплаты</w:t>
      </w:r>
      <w:r w:rsidRPr="007F6CEF">
        <w:rPr>
          <w:lang w:val="ru-RU"/>
        </w:rPr>
        <w:t>)</w:t>
      </w:r>
      <w:bookmarkEnd w:id="152"/>
      <w:bookmarkEnd w:id="153"/>
      <w:bookmarkEnd w:id="154"/>
      <w:bookmarkEnd w:id="155"/>
      <w:bookmarkEnd w:id="156"/>
    </w:p>
    <w:p w:rsidR="00CA5377" w:rsidRPr="007F6CEF" w:rsidRDefault="009B7B2E" w:rsidP="00BA44BD">
      <w:pPr>
        <w:rPr>
          <w:spacing w:val="1"/>
          <w:lang w:val="ru-RU"/>
        </w:rPr>
      </w:pPr>
      <w:r w:rsidRPr="007F6CEF">
        <w:rPr>
          <w:lang w:val="ru-RU"/>
        </w:rPr>
        <w:t>6</w:t>
      </w:r>
      <w:r w:rsidR="00B3517C" w:rsidRPr="007F6CEF">
        <w:rPr>
          <w:lang w:val="ru-RU"/>
        </w:rPr>
        <w:t>5</w:t>
      </w:r>
      <w:r w:rsidRPr="007F6CEF">
        <w:rPr>
          <w:lang w:val="ru-RU"/>
        </w:rPr>
        <w:tab/>
      </w:r>
      <w:r w:rsidR="00CA5377" w:rsidRPr="007F6CEF">
        <w:rPr>
          <w:lang w:val="ru-RU"/>
        </w:rPr>
        <w:t>Сумма по подразделу "</w:t>
      </w:r>
      <w:r w:rsidR="00B3517C" w:rsidRPr="007F6CEF">
        <w:rPr>
          <w:lang w:val="ru-RU"/>
        </w:rPr>
        <w:t xml:space="preserve"> </w:t>
      </w:r>
      <w:r w:rsidR="00CA5377" w:rsidRPr="007F6CEF">
        <w:rPr>
          <w:lang w:val="ru-RU"/>
        </w:rPr>
        <w:t>Вознаграждение сотрудников</w:t>
      </w:r>
      <w:r w:rsidR="00821A78" w:rsidRPr="007F6CEF">
        <w:rPr>
          <w:lang w:val="ru-RU"/>
        </w:rPr>
        <w:t xml:space="preserve"> (долгосрочные выплаты)</w:t>
      </w:r>
      <w:r w:rsidR="00B3517C" w:rsidRPr="007F6CEF">
        <w:rPr>
          <w:lang w:val="ru-RU"/>
        </w:rPr>
        <w:t xml:space="preserve">" в </w:t>
      </w:r>
      <w:r w:rsidR="00CA5377" w:rsidRPr="007F6CEF">
        <w:rPr>
          <w:lang w:val="ru-RU"/>
        </w:rPr>
        <w:t>201</w:t>
      </w:r>
      <w:r w:rsidR="00B3517C" w:rsidRPr="007F6CEF">
        <w:rPr>
          <w:lang w:val="ru-RU"/>
        </w:rPr>
        <w:t>3</w:t>
      </w:r>
      <w:r w:rsidR="00CA5377" w:rsidRPr="007F6CEF">
        <w:rPr>
          <w:lang w:val="ru-RU"/>
        </w:rPr>
        <w:t> году составила 3</w:t>
      </w:r>
      <w:r w:rsidR="00B3517C" w:rsidRPr="007F6CEF">
        <w:rPr>
          <w:lang w:val="ru-RU"/>
        </w:rPr>
        <w:t>35</w:t>
      </w:r>
      <w:r w:rsidR="00CA5377" w:rsidRPr="007F6CEF">
        <w:rPr>
          <w:lang w:val="ru-RU"/>
        </w:rPr>
        <w:t>,</w:t>
      </w:r>
      <w:r w:rsidR="00B3517C" w:rsidRPr="007F6CEF">
        <w:rPr>
          <w:lang w:val="ru-RU"/>
        </w:rPr>
        <w:t>1</w:t>
      </w:r>
      <w:r w:rsidR="00CA5377" w:rsidRPr="007F6CEF">
        <w:rPr>
          <w:lang w:val="ru-RU"/>
        </w:rPr>
        <w:t xml:space="preserve"> млн. швейцарских франков, </w:t>
      </w:r>
      <w:r w:rsidR="00B3517C" w:rsidRPr="007F6CEF">
        <w:rPr>
          <w:lang w:val="ru-RU"/>
        </w:rPr>
        <w:t>уменьшившись</w:t>
      </w:r>
      <w:r w:rsidR="00CA5377" w:rsidRPr="007F6CEF">
        <w:rPr>
          <w:lang w:val="ru-RU"/>
        </w:rPr>
        <w:t xml:space="preserve"> на </w:t>
      </w:r>
      <w:r w:rsidR="00B3517C" w:rsidRPr="007F6CEF">
        <w:rPr>
          <w:lang w:val="ru-RU"/>
        </w:rPr>
        <w:t>21</w:t>
      </w:r>
      <w:r w:rsidR="00CA5377" w:rsidRPr="007F6CEF">
        <w:rPr>
          <w:lang w:val="ru-RU"/>
        </w:rPr>
        <w:t>,</w:t>
      </w:r>
      <w:r w:rsidR="00B3517C" w:rsidRPr="007F6CEF">
        <w:rPr>
          <w:lang w:val="ru-RU"/>
        </w:rPr>
        <w:t>1 млн. швейцарских франков (−5</w:t>
      </w:r>
      <w:r w:rsidR="00CA5377" w:rsidRPr="007F6CEF">
        <w:rPr>
          <w:lang w:val="ru-RU"/>
        </w:rPr>
        <w:t>,</w:t>
      </w:r>
      <w:r w:rsidR="00B3517C" w:rsidRPr="007F6CEF">
        <w:rPr>
          <w:lang w:val="ru-RU"/>
        </w:rPr>
        <w:t>9</w:t>
      </w:r>
      <w:r w:rsidR="00CA5377" w:rsidRPr="007F6CEF">
        <w:rPr>
          <w:lang w:val="ru-RU"/>
        </w:rPr>
        <w:t xml:space="preserve">%) по сравнению с </w:t>
      </w:r>
      <w:r w:rsidR="00B3517C" w:rsidRPr="007F6CEF">
        <w:rPr>
          <w:lang w:val="ru-RU"/>
        </w:rPr>
        <w:t>356</w:t>
      </w:r>
      <w:r w:rsidR="00CA5377" w:rsidRPr="007F6CEF">
        <w:rPr>
          <w:lang w:val="ru-RU"/>
        </w:rPr>
        <w:t>,</w:t>
      </w:r>
      <w:r w:rsidR="00B3517C" w:rsidRPr="007F6CEF">
        <w:rPr>
          <w:lang w:val="ru-RU"/>
        </w:rPr>
        <w:t>2</w:t>
      </w:r>
      <w:r w:rsidR="00CA5377" w:rsidRPr="007F6CEF">
        <w:rPr>
          <w:lang w:val="ru-RU"/>
        </w:rPr>
        <w:t> млн. швейцарских франков в</w:t>
      </w:r>
      <w:r w:rsidR="00B3517C" w:rsidRPr="007F6CEF">
        <w:rPr>
          <w:lang w:val="ru-RU"/>
        </w:rPr>
        <w:t xml:space="preserve"> </w:t>
      </w:r>
      <w:r w:rsidR="00CA5377" w:rsidRPr="007F6CEF">
        <w:rPr>
          <w:lang w:val="ru-RU"/>
        </w:rPr>
        <w:t>201</w:t>
      </w:r>
      <w:r w:rsidR="00B3517C" w:rsidRPr="007F6CEF">
        <w:rPr>
          <w:lang w:val="ru-RU"/>
        </w:rPr>
        <w:t>2</w:t>
      </w:r>
      <w:r w:rsidR="00CA5377" w:rsidRPr="007F6CEF">
        <w:rPr>
          <w:lang w:val="ru-RU"/>
        </w:rPr>
        <w:t> году.</w:t>
      </w:r>
      <w:r w:rsidR="00E1603F" w:rsidRPr="007F6CEF">
        <w:rPr>
          <w:lang w:val="ru-RU"/>
        </w:rPr>
        <w:t xml:space="preserve"> </w:t>
      </w:r>
      <w:r w:rsidR="00B3517C" w:rsidRPr="007F6CEF">
        <w:rPr>
          <w:lang w:val="ru-RU"/>
        </w:rPr>
        <w:t>Эт</w:t>
      </w:r>
      <w:r w:rsidR="00821A78" w:rsidRPr="007F6CEF">
        <w:rPr>
          <w:lang w:val="ru-RU"/>
        </w:rPr>
        <w:t>о</w:t>
      </w:r>
      <w:r w:rsidR="00B3517C" w:rsidRPr="007F6CEF">
        <w:rPr>
          <w:lang w:val="ru-RU"/>
        </w:rPr>
        <w:t xml:space="preserve"> составил</w:t>
      </w:r>
      <w:r w:rsidR="00821A78" w:rsidRPr="007F6CEF">
        <w:rPr>
          <w:lang w:val="ru-RU"/>
        </w:rPr>
        <w:t>о</w:t>
      </w:r>
      <w:r w:rsidR="00B3517C" w:rsidRPr="007F6CEF">
        <w:rPr>
          <w:lang w:val="ru-RU"/>
        </w:rPr>
        <w:t xml:space="preserve"> 81</w:t>
      </w:r>
      <w:r w:rsidR="00CA5377" w:rsidRPr="007F6CEF">
        <w:rPr>
          <w:lang w:val="ru-RU"/>
        </w:rPr>
        <w:t>,</w:t>
      </w:r>
      <w:r w:rsidR="00B3517C" w:rsidRPr="007F6CEF">
        <w:rPr>
          <w:lang w:val="ru-RU"/>
        </w:rPr>
        <w:t>7</w:t>
      </w:r>
      <w:r w:rsidR="00CA5377" w:rsidRPr="007F6CEF">
        <w:rPr>
          <w:lang w:val="ru-RU"/>
        </w:rPr>
        <w:t xml:space="preserve">% от общих нетекущих </w:t>
      </w:r>
      <w:r w:rsidR="00821A78" w:rsidRPr="007F6CEF">
        <w:rPr>
          <w:lang w:val="ru-RU"/>
        </w:rPr>
        <w:t>пассивов</w:t>
      </w:r>
      <w:r w:rsidR="00CA5377" w:rsidRPr="007F6CEF">
        <w:rPr>
          <w:lang w:val="ru-RU"/>
        </w:rPr>
        <w:t xml:space="preserve"> и 60,</w:t>
      </w:r>
      <w:r w:rsidR="00B3517C" w:rsidRPr="007F6CEF">
        <w:rPr>
          <w:lang w:val="ru-RU"/>
        </w:rPr>
        <w:t>7</w:t>
      </w:r>
      <w:r w:rsidR="00CA5377" w:rsidRPr="007F6CEF">
        <w:rPr>
          <w:lang w:val="ru-RU"/>
        </w:rPr>
        <w:t>% от общих пассивов. Данный раздел включает актуарные обязательства по пособиям, причитающимся после прекращения службы, которые связаны с планом медицинско</w:t>
      </w:r>
      <w:r w:rsidR="00B3517C" w:rsidRPr="007F6CEF">
        <w:rPr>
          <w:lang w:val="ru-RU"/>
        </w:rPr>
        <w:t>го</w:t>
      </w:r>
      <w:r w:rsidR="00CA5377" w:rsidRPr="007F6CEF">
        <w:rPr>
          <w:lang w:val="ru-RU"/>
        </w:rPr>
        <w:t xml:space="preserve"> страховани</w:t>
      </w:r>
      <w:r w:rsidR="00B3517C" w:rsidRPr="007F6CEF">
        <w:rPr>
          <w:lang w:val="ru-RU"/>
        </w:rPr>
        <w:t>я</w:t>
      </w:r>
      <w:r w:rsidR="00CA5377" w:rsidRPr="007F6CEF">
        <w:rPr>
          <w:lang w:val="ru-RU"/>
        </w:rPr>
        <w:t xml:space="preserve"> после прекращения службы</w:t>
      </w:r>
      <w:r w:rsidR="00B3517C" w:rsidRPr="007F6CEF">
        <w:rPr>
          <w:lang w:val="ru-RU"/>
        </w:rPr>
        <w:t xml:space="preserve"> (АСХИ) (314</w:t>
      </w:r>
      <w:r w:rsidR="00CA5377" w:rsidRPr="007F6CEF">
        <w:rPr>
          <w:lang w:val="ru-RU"/>
        </w:rPr>
        <w:t>,</w:t>
      </w:r>
      <w:r w:rsidR="00B3517C" w:rsidRPr="007F6CEF">
        <w:rPr>
          <w:lang w:val="ru-RU"/>
        </w:rPr>
        <w:t>1</w:t>
      </w:r>
      <w:r w:rsidR="00CA5377" w:rsidRPr="007F6CEF">
        <w:rPr>
          <w:lang w:val="ru-RU"/>
        </w:rPr>
        <w:t> млн. швейцарских франков; в 201</w:t>
      </w:r>
      <w:r w:rsidR="00B3517C" w:rsidRPr="007F6CEF">
        <w:rPr>
          <w:lang w:val="ru-RU"/>
        </w:rPr>
        <w:t>2</w:t>
      </w:r>
      <w:r w:rsidR="00CA5377" w:rsidRPr="007F6CEF">
        <w:rPr>
          <w:lang w:val="ru-RU"/>
        </w:rPr>
        <w:t xml:space="preserve"> году </w:t>
      </w:r>
      <w:r w:rsidR="00F01208" w:rsidRPr="007F6CEF">
        <w:rPr>
          <w:lang w:val="ru-RU"/>
        </w:rPr>
        <w:t>−</w:t>
      </w:r>
      <w:r w:rsidR="00CA5377" w:rsidRPr="007F6CEF">
        <w:rPr>
          <w:lang w:val="ru-RU"/>
        </w:rPr>
        <w:t xml:space="preserve"> </w:t>
      </w:r>
      <w:r w:rsidR="00B3517C" w:rsidRPr="007F6CEF">
        <w:rPr>
          <w:lang w:val="ru-RU"/>
        </w:rPr>
        <w:t>335</w:t>
      </w:r>
      <w:r w:rsidR="00CA5377" w:rsidRPr="007F6CEF">
        <w:rPr>
          <w:lang w:val="ru-RU"/>
        </w:rPr>
        <w:t>,</w:t>
      </w:r>
      <w:r w:rsidR="00B3517C" w:rsidRPr="007F6CEF">
        <w:rPr>
          <w:lang w:val="ru-RU"/>
        </w:rPr>
        <w:t>2</w:t>
      </w:r>
      <w:r w:rsidR="00CA5377" w:rsidRPr="007F6CEF">
        <w:rPr>
          <w:lang w:val="ru-RU"/>
        </w:rPr>
        <w:t> млн. швейцарских франков), резервный фонд для оценочных обязательств по субсидиям на репатриацию (11,</w:t>
      </w:r>
      <w:r w:rsidR="00BA44BD">
        <w:rPr>
          <w:lang w:val="ru-RU"/>
        </w:rPr>
        <w:t>8</w:t>
      </w:r>
      <w:r w:rsidR="00CA5377" w:rsidRPr="007F6CEF">
        <w:rPr>
          <w:lang w:val="ru-RU"/>
        </w:rPr>
        <w:t> млн. швейцарских франков; в 201</w:t>
      </w:r>
      <w:r w:rsidR="00BA44BD">
        <w:rPr>
          <w:lang w:val="ru-RU"/>
        </w:rPr>
        <w:t>2</w:t>
      </w:r>
      <w:r w:rsidR="00CA5377" w:rsidRPr="007F6CEF">
        <w:rPr>
          <w:lang w:val="ru-RU"/>
        </w:rPr>
        <w:t xml:space="preserve"> году </w:t>
      </w:r>
      <w:r w:rsidR="00F01208" w:rsidRPr="007F6CEF">
        <w:rPr>
          <w:lang w:val="ru-RU"/>
        </w:rPr>
        <w:t>−</w:t>
      </w:r>
      <w:r w:rsidR="00CA5377" w:rsidRPr="007F6CEF">
        <w:rPr>
          <w:lang w:val="ru-RU"/>
        </w:rPr>
        <w:t xml:space="preserve"> 11,</w:t>
      </w:r>
      <w:r w:rsidR="00BA44BD">
        <w:rPr>
          <w:lang w:val="ru-RU"/>
        </w:rPr>
        <w:t>7</w:t>
      </w:r>
      <w:r w:rsidR="00CA5377" w:rsidRPr="007F6CEF">
        <w:rPr>
          <w:lang w:val="ru-RU"/>
        </w:rPr>
        <w:t> млн. швейцарских франков) и резервный фонд для оплаты накопленных дней отпуска (9,</w:t>
      </w:r>
      <w:r w:rsidR="00BA44BD">
        <w:rPr>
          <w:lang w:val="ru-RU"/>
        </w:rPr>
        <w:t>1</w:t>
      </w:r>
      <w:r w:rsidR="00CA5377" w:rsidRPr="007F6CEF">
        <w:rPr>
          <w:lang w:val="ru-RU"/>
        </w:rPr>
        <w:t> млн. швейцарских франков; в 201</w:t>
      </w:r>
      <w:r w:rsidR="00BA44BD">
        <w:rPr>
          <w:lang w:val="ru-RU"/>
        </w:rPr>
        <w:t>2</w:t>
      </w:r>
      <w:r w:rsidR="00CA5377" w:rsidRPr="007F6CEF">
        <w:rPr>
          <w:lang w:val="ru-RU"/>
        </w:rPr>
        <w:t xml:space="preserve"> году </w:t>
      </w:r>
      <w:r w:rsidR="00F01208" w:rsidRPr="007F6CEF">
        <w:rPr>
          <w:lang w:val="ru-RU"/>
        </w:rPr>
        <w:t>−</w:t>
      </w:r>
      <w:r w:rsidR="00CA5377" w:rsidRPr="007F6CEF">
        <w:rPr>
          <w:lang w:val="ru-RU"/>
        </w:rPr>
        <w:t xml:space="preserve"> 9,2 млн. швейцарских франков). Подробное описание и разбивка вознаграждения сотрудников показаны в </w:t>
      </w:r>
      <w:r w:rsidR="00826BCE" w:rsidRPr="007F6CEF">
        <w:rPr>
          <w:lang w:val="ru-RU"/>
        </w:rPr>
        <w:t>Примечании </w:t>
      </w:r>
      <w:r w:rsidR="00B3517C" w:rsidRPr="007F6CEF">
        <w:rPr>
          <w:lang w:val="ru-RU"/>
        </w:rPr>
        <w:t>17</w:t>
      </w:r>
      <w:r w:rsidR="00CA5377" w:rsidRPr="007F6CEF">
        <w:rPr>
          <w:lang w:val="ru-RU"/>
        </w:rPr>
        <w:t xml:space="preserve">.2 Отчета о финансовой деятельности. </w:t>
      </w:r>
    </w:p>
    <w:p w:rsidR="00CA5377" w:rsidRPr="007F6CEF" w:rsidRDefault="00CA5377" w:rsidP="00170B2C">
      <w:pPr>
        <w:pStyle w:val="Headingb"/>
        <w:rPr>
          <w:lang w:val="ru-RU"/>
        </w:rPr>
      </w:pPr>
      <w:bookmarkStart w:id="157" w:name="_Toc356330897"/>
      <w:bookmarkStart w:id="158" w:name="_Toc358192846"/>
      <w:bookmarkStart w:id="159" w:name="_Toc398125329"/>
      <w:bookmarkStart w:id="160" w:name="_Toc398125808"/>
      <w:bookmarkStart w:id="161" w:name="_Toc398127101"/>
      <w:r w:rsidRPr="007F6CEF">
        <w:rPr>
          <w:lang w:val="ru-RU"/>
        </w:rPr>
        <w:t xml:space="preserve">Вознаграждение сотрудников: </w:t>
      </w:r>
      <w:r w:rsidR="00F01208" w:rsidRPr="007F6CEF">
        <w:rPr>
          <w:lang w:val="ru-RU"/>
        </w:rPr>
        <w:t>Подъемные пособия</w:t>
      </w:r>
      <w:r w:rsidR="0091029E" w:rsidRPr="007F6CEF">
        <w:rPr>
          <w:lang w:val="ru-RU"/>
        </w:rPr>
        <w:t xml:space="preserve"> </w:t>
      </w:r>
      <w:r w:rsidR="00B3517C" w:rsidRPr="007F6CEF">
        <w:rPr>
          <w:lang w:val="ru-RU"/>
        </w:rPr>
        <w:t xml:space="preserve">и </w:t>
      </w:r>
      <w:r w:rsidRPr="007F6CEF">
        <w:rPr>
          <w:lang w:val="ru-RU"/>
        </w:rPr>
        <w:t>субсидии на репатриацию</w:t>
      </w:r>
      <w:bookmarkEnd w:id="157"/>
      <w:bookmarkEnd w:id="158"/>
      <w:bookmarkEnd w:id="159"/>
      <w:bookmarkEnd w:id="160"/>
      <w:bookmarkEnd w:id="161"/>
    </w:p>
    <w:p w:rsidR="00CA5377" w:rsidRPr="007F6CEF" w:rsidRDefault="00D73B3C" w:rsidP="00170B2C">
      <w:pPr>
        <w:rPr>
          <w:lang w:val="ru-RU"/>
        </w:rPr>
      </w:pPr>
      <w:r w:rsidRPr="007F6CEF">
        <w:rPr>
          <w:lang w:val="ru-RU"/>
        </w:rPr>
        <w:t>66</w:t>
      </w:r>
      <w:r w:rsidR="009B7B2E" w:rsidRPr="007F6CEF">
        <w:rPr>
          <w:lang w:val="ru-RU"/>
        </w:rPr>
        <w:tab/>
      </w:r>
      <w:r w:rsidR="00CA5377" w:rsidRPr="007F6CEF">
        <w:rPr>
          <w:lang w:val="ru-RU"/>
        </w:rPr>
        <w:t>Резервные фонды, учтенные по состоянию на 31 декабря 201</w:t>
      </w:r>
      <w:r w:rsidR="00B3517C" w:rsidRPr="007F6CEF">
        <w:rPr>
          <w:lang w:val="ru-RU"/>
        </w:rPr>
        <w:t>3</w:t>
      </w:r>
      <w:r w:rsidR="00CA5377" w:rsidRPr="007F6CEF">
        <w:rPr>
          <w:lang w:val="ru-RU"/>
        </w:rPr>
        <w:t> года, для</w:t>
      </w:r>
      <w:r w:rsidR="00B3517C" w:rsidRPr="007F6CEF">
        <w:rPr>
          <w:lang w:val="ru-RU"/>
        </w:rPr>
        <w:t xml:space="preserve"> </w:t>
      </w:r>
      <w:r w:rsidR="00D81935" w:rsidRPr="007F6CEF">
        <w:rPr>
          <w:lang w:val="ru-RU"/>
        </w:rPr>
        <w:t xml:space="preserve">введения в должность и возвращения на родину сотрудников </w:t>
      </w:r>
      <w:r w:rsidR="00CA5377" w:rsidRPr="007F6CEF">
        <w:rPr>
          <w:lang w:val="ru-RU"/>
        </w:rPr>
        <w:t>составили 11,</w:t>
      </w:r>
      <w:r w:rsidR="00B3517C" w:rsidRPr="007F6CEF">
        <w:rPr>
          <w:lang w:val="ru-RU"/>
        </w:rPr>
        <w:t>8</w:t>
      </w:r>
      <w:r w:rsidR="00CA5377" w:rsidRPr="007F6CEF">
        <w:rPr>
          <w:lang w:val="ru-RU"/>
        </w:rPr>
        <w:t> млн. швейцарских франков (</w:t>
      </w:r>
      <w:r w:rsidR="00855444" w:rsidRPr="007F6CEF">
        <w:rPr>
          <w:lang w:val="ru-RU"/>
        </w:rPr>
        <w:t>в </w:t>
      </w:r>
      <w:r w:rsidR="00B3517C" w:rsidRPr="007F6CEF">
        <w:rPr>
          <w:lang w:val="ru-RU"/>
        </w:rPr>
        <w:t>2012 </w:t>
      </w:r>
      <w:r w:rsidR="000118F6" w:rsidRPr="007F6CEF">
        <w:rPr>
          <w:lang w:val="ru-RU"/>
        </w:rPr>
        <w:t>г.</w:t>
      </w:r>
      <w:r w:rsidR="00B3517C" w:rsidRPr="007F6CEF">
        <w:rPr>
          <w:lang w:val="ru-RU"/>
        </w:rPr>
        <w:t xml:space="preserve"> − </w:t>
      </w:r>
      <w:r w:rsidR="00CA5377" w:rsidRPr="007F6CEF">
        <w:rPr>
          <w:lang w:val="ru-RU"/>
        </w:rPr>
        <w:t>11,</w:t>
      </w:r>
      <w:r w:rsidR="00B3517C" w:rsidRPr="007F6CEF">
        <w:rPr>
          <w:lang w:val="ru-RU"/>
        </w:rPr>
        <w:t>7</w:t>
      </w:r>
      <w:r w:rsidR="00CA5377" w:rsidRPr="007F6CEF">
        <w:rPr>
          <w:lang w:val="ru-RU"/>
        </w:rPr>
        <w:t> млн. швейцарс</w:t>
      </w:r>
      <w:r w:rsidRPr="007F6CEF">
        <w:rPr>
          <w:lang w:val="ru-RU"/>
        </w:rPr>
        <w:t xml:space="preserve">ких франков) и рассчитывались в </w:t>
      </w:r>
      <w:r w:rsidR="00CA5377" w:rsidRPr="007F6CEF">
        <w:rPr>
          <w:lang w:val="ru-RU"/>
        </w:rPr>
        <w:t xml:space="preserve">соответствии с актуарным исследованием, для проведения которого руководство привлекло компанию CPA Conseil. </w:t>
      </w:r>
      <w:r w:rsidR="00F01208" w:rsidRPr="007F6CEF">
        <w:rPr>
          <w:lang w:val="ru-RU"/>
        </w:rPr>
        <w:t>Мы</w:t>
      </w:r>
      <w:r w:rsidR="00EB65CB" w:rsidRPr="007F6CEF">
        <w:rPr>
          <w:lang w:val="ru-RU"/>
        </w:rPr>
        <w:t> </w:t>
      </w:r>
      <w:r w:rsidR="00F01208" w:rsidRPr="007F6CEF">
        <w:rPr>
          <w:lang w:val="ru-RU"/>
        </w:rPr>
        <w:t>отметили, что компания</w:t>
      </w:r>
      <w:r w:rsidRPr="007F6CEF">
        <w:rPr>
          <w:lang w:val="ru-RU"/>
        </w:rPr>
        <w:t xml:space="preserve"> CPA Conseil </w:t>
      </w:r>
      <w:r w:rsidR="00F01208" w:rsidRPr="007F6CEF">
        <w:rPr>
          <w:lang w:val="ru-RU"/>
        </w:rPr>
        <w:t xml:space="preserve">в своем отчете от </w:t>
      </w:r>
      <w:r w:rsidRPr="007F6CEF">
        <w:rPr>
          <w:lang w:val="ru-RU"/>
        </w:rPr>
        <w:t xml:space="preserve">27 января 2014 года </w:t>
      </w:r>
      <w:r w:rsidR="00F01208" w:rsidRPr="007F6CEF">
        <w:rPr>
          <w:lang w:val="ru-RU"/>
        </w:rPr>
        <w:t xml:space="preserve">рассчитала сумму в размере </w:t>
      </w:r>
      <w:r w:rsidRPr="007F6CEF">
        <w:rPr>
          <w:lang w:val="ru-RU"/>
        </w:rPr>
        <w:t>7616</w:t>
      </w:r>
      <w:r w:rsidR="000118F6" w:rsidRPr="007F6CEF">
        <w:rPr>
          <w:lang w:val="ru-RU"/>
        </w:rPr>
        <w:t> </w:t>
      </w:r>
      <w:r w:rsidRPr="007F6CEF">
        <w:rPr>
          <w:lang w:val="ru-RU"/>
        </w:rPr>
        <w:t xml:space="preserve">тыс. швейцарских франков </w:t>
      </w:r>
      <w:r w:rsidR="00F01208" w:rsidRPr="007F6CEF">
        <w:rPr>
          <w:lang w:val="ru-RU"/>
        </w:rPr>
        <w:t>для</w:t>
      </w:r>
      <w:r w:rsidRPr="007F6CEF">
        <w:rPr>
          <w:lang w:val="ru-RU"/>
        </w:rPr>
        <w:t xml:space="preserve"> "</w:t>
      </w:r>
      <w:r w:rsidR="00F01208" w:rsidRPr="007F6CEF">
        <w:rPr>
          <w:i/>
          <w:iCs/>
          <w:lang w:val="ru-RU"/>
        </w:rPr>
        <w:t>Субсидий на репатриацию</w:t>
      </w:r>
      <w:r w:rsidRPr="007F6CEF">
        <w:rPr>
          <w:iCs/>
          <w:lang w:val="ru-RU"/>
        </w:rPr>
        <w:t>" и</w:t>
      </w:r>
      <w:r w:rsidRPr="007F6CEF">
        <w:rPr>
          <w:lang w:val="ru-RU"/>
        </w:rPr>
        <w:t xml:space="preserve"> 3879</w:t>
      </w:r>
      <w:r w:rsidR="000118F6" w:rsidRPr="007F6CEF">
        <w:rPr>
          <w:lang w:val="ru-RU"/>
        </w:rPr>
        <w:t> </w:t>
      </w:r>
      <w:r w:rsidRPr="007F6CEF">
        <w:rPr>
          <w:lang w:val="ru-RU"/>
        </w:rPr>
        <w:t xml:space="preserve">тыс. швейцарских франков </w:t>
      </w:r>
      <w:r w:rsidR="00F01208" w:rsidRPr="007F6CEF">
        <w:rPr>
          <w:lang w:val="ru-RU"/>
        </w:rPr>
        <w:t>для</w:t>
      </w:r>
      <w:r w:rsidRPr="007F6CEF">
        <w:rPr>
          <w:lang w:val="ru-RU"/>
        </w:rPr>
        <w:t xml:space="preserve"> "</w:t>
      </w:r>
      <w:r w:rsidR="00F01208" w:rsidRPr="007F6CEF">
        <w:rPr>
          <w:i/>
          <w:iCs/>
          <w:lang w:val="ru-RU"/>
        </w:rPr>
        <w:t>Расходов на репатриацию</w:t>
      </w:r>
      <w:r w:rsidRPr="007F6CEF">
        <w:rPr>
          <w:lang w:val="ru-RU"/>
        </w:rPr>
        <w:t>"</w:t>
      </w:r>
      <w:r w:rsidR="0052609D" w:rsidRPr="007F6CEF">
        <w:rPr>
          <w:lang w:val="ru-RU"/>
        </w:rPr>
        <w:t xml:space="preserve">, что составило в целом </w:t>
      </w:r>
      <w:r w:rsidRPr="007F6CEF">
        <w:rPr>
          <w:lang w:val="ru-RU"/>
        </w:rPr>
        <w:t>11 495 тыс. швейцарских франков</w:t>
      </w:r>
      <w:r w:rsidR="0052609D" w:rsidRPr="007F6CEF">
        <w:rPr>
          <w:lang w:val="ru-RU"/>
        </w:rPr>
        <w:t xml:space="preserve"> и что отличается от суммы, учтенной в Отчете о финансовой деятельности. </w:t>
      </w:r>
    </w:p>
    <w:p w:rsidR="000118F6" w:rsidRPr="007F6CEF" w:rsidRDefault="0052609D" w:rsidP="00170B2C">
      <w:pPr>
        <w:pStyle w:val="Headingi"/>
        <w:rPr>
          <w:b/>
          <w:bCs/>
        </w:rPr>
      </w:pPr>
      <w:bookmarkStart w:id="162" w:name="_Toc398125330"/>
      <w:bookmarkStart w:id="163" w:name="_Toc398125809"/>
      <w:r w:rsidRPr="007F6CEF">
        <w:rPr>
          <w:b/>
          <w:bCs/>
        </w:rPr>
        <w:t>Согласование ключевых допущений</w:t>
      </w:r>
      <w:bookmarkEnd w:id="162"/>
      <w:bookmarkEnd w:id="163"/>
      <w:r w:rsidRPr="007F6CEF">
        <w:rPr>
          <w:b/>
          <w:bCs/>
        </w:rPr>
        <w:t xml:space="preserve"> </w:t>
      </w:r>
    </w:p>
    <w:p w:rsidR="000118F6" w:rsidRPr="007F6CEF" w:rsidRDefault="000118F6" w:rsidP="00170B2C">
      <w:pPr>
        <w:rPr>
          <w:lang w:val="ru-RU"/>
        </w:rPr>
      </w:pPr>
      <w:r w:rsidRPr="007F6CEF">
        <w:rPr>
          <w:lang w:val="ru-RU"/>
        </w:rPr>
        <w:t>67</w:t>
      </w:r>
      <w:r w:rsidRPr="007F6CEF">
        <w:rPr>
          <w:lang w:val="ru-RU"/>
        </w:rPr>
        <w:tab/>
      </w:r>
      <w:r w:rsidR="00BF7C1B" w:rsidRPr="007F6CEF">
        <w:rPr>
          <w:lang w:val="ru-RU"/>
        </w:rPr>
        <w:t xml:space="preserve">В прошлом году мы рекомендовали </w:t>
      </w:r>
      <w:r w:rsidR="00CD4228" w:rsidRPr="007F6CEF">
        <w:rPr>
          <w:lang w:val="ru-RU"/>
        </w:rPr>
        <w:t xml:space="preserve">согласовать ключевые допущения актуарных исследований </w:t>
      </w:r>
      <w:r w:rsidR="00855444" w:rsidRPr="007F6CEF">
        <w:rPr>
          <w:lang w:val="ru-RU"/>
        </w:rPr>
        <w:t>при</w:t>
      </w:r>
      <w:r w:rsidR="00CD4228" w:rsidRPr="007F6CEF">
        <w:rPr>
          <w:lang w:val="ru-RU"/>
        </w:rPr>
        <w:t xml:space="preserve"> сопоставимых обстоятельств</w:t>
      </w:r>
      <w:r w:rsidR="00855444" w:rsidRPr="007F6CEF">
        <w:rPr>
          <w:lang w:val="ru-RU"/>
        </w:rPr>
        <w:t>ах</w:t>
      </w:r>
      <w:r w:rsidR="00CD4228" w:rsidRPr="007F6CEF">
        <w:rPr>
          <w:lang w:val="ru-RU"/>
        </w:rPr>
        <w:t xml:space="preserve">. Мы проверили, что в </w:t>
      </w:r>
      <w:r w:rsidR="00855444" w:rsidRPr="007F6CEF">
        <w:rPr>
          <w:lang w:val="ru-RU"/>
        </w:rPr>
        <w:t>рассматриваемом</w:t>
      </w:r>
      <w:r w:rsidR="00CD4228" w:rsidRPr="007F6CEF">
        <w:rPr>
          <w:lang w:val="ru-RU"/>
        </w:rPr>
        <w:t xml:space="preserve"> году компания</w:t>
      </w:r>
      <w:r w:rsidRPr="007F6CEF">
        <w:rPr>
          <w:lang w:val="ru-RU"/>
        </w:rPr>
        <w:t xml:space="preserve"> CPA </w:t>
      </w:r>
      <w:r w:rsidR="00CD4228" w:rsidRPr="007F6CEF">
        <w:rPr>
          <w:lang w:val="ru-RU"/>
        </w:rPr>
        <w:t xml:space="preserve">исходила из ставки дисконтирования </w:t>
      </w:r>
      <w:r w:rsidR="00221AB5" w:rsidRPr="007F6CEF">
        <w:rPr>
          <w:lang w:val="ru-RU"/>
        </w:rPr>
        <w:t xml:space="preserve">в </w:t>
      </w:r>
      <w:r w:rsidR="00855444" w:rsidRPr="007F6CEF">
        <w:rPr>
          <w:lang w:val="ru-RU"/>
        </w:rPr>
        <w:t xml:space="preserve">размере </w:t>
      </w:r>
      <w:r w:rsidRPr="007F6CEF">
        <w:rPr>
          <w:lang w:val="ru-RU"/>
        </w:rPr>
        <w:t xml:space="preserve">2,00% </w:t>
      </w:r>
      <w:r w:rsidR="00CD4228" w:rsidRPr="007F6CEF">
        <w:rPr>
          <w:lang w:val="ru-RU"/>
        </w:rPr>
        <w:t>с</w:t>
      </w:r>
      <w:r w:rsidRPr="007F6CEF">
        <w:rPr>
          <w:lang w:val="ru-RU"/>
        </w:rPr>
        <w:t xml:space="preserve"> 1 января 2013 года и 2,50% </w:t>
      </w:r>
      <w:r w:rsidR="00CD4228" w:rsidRPr="007F6CEF">
        <w:rPr>
          <w:lang w:val="ru-RU"/>
        </w:rPr>
        <w:t>с</w:t>
      </w:r>
      <w:r w:rsidRPr="007F6CEF">
        <w:rPr>
          <w:lang w:val="ru-RU"/>
        </w:rPr>
        <w:t xml:space="preserve"> 1 января 2014 года, </w:t>
      </w:r>
      <w:r w:rsidR="00CD4228" w:rsidRPr="007F6CEF">
        <w:rPr>
          <w:lang w:val="ru-RU"/>
        </w:rPr>
        <w:t xml:space="preserve">тогда как ставка дисконтирования </w:t>
      </w:r>
      <w:r w:rsidR="004429E5" w:rsidRPr="007F6CEF">
        <w:rPr>
          <w:lang w:val="ru-RU"/>
        </w:rPr>
        <w:t>АСХИ</w:t>
      </w:r>
      <w:r w:rsidRPr="007F6CEF">
        <w:rPr>
          <w:lang w:val="ru-RU"/>
        </w:rPr>
        <w:t xml:space="preserve"> </w:t>
      </w:r>
      <w:r w:rsidR="00CD4228" w:rsidRPr="007F6CEF">
        <w:rPr>
          <w:lang w:val="ru-RU"/>
        </w:rPr>
        <w:t>на</w:t>
      </w:r>
      <w:r w:rsidRPr="007F6CEF">
        <w:rPr>
          <w:lang w:val="ru-RU"/>
        </w:rPr>
        <w:t xml:space="preserve"> 2013 год </w:t>
      </w:r>
      <w:r w:rsidR="00CD4228" w:rsidRPr="007F6CEF">
        <w:rPr>
          <w:lang w:val="ru-RU"/>
        </w:rPr>
        <w:t>составляет</w:t>
      </w:r>
      <w:r w:rsidRPr="007F6CEF">
        <w:rPr>
          <w:lang w:val="ru-RU"/>
        </w:rPr>
        <w:t xml:space="preserve"> 2,76%; </w:t>
      </w:r>
      <w:r w:rsidR="00CD4228" w:rsidRPr="007F6CEF">
        <w:rPr>
          <w:lang w:val="ru-RU"/>
        </w:rPr>
        <w:t xml:space="preserve">компания </w:t>
      </w:r>
      <w:r w:rsidRPr="007F6CEF">
        <w:rPr>
          <w:lang w:val="ru-RU"/>
        </w:rPr>
        <w:t xml:space="preserve">CPA </w:t>
      </w:r>
      <w:r w:rsidR="00CD4228" w:rsidRPr="007F6CEF">
        <w:rPr>
          <w:lang w:val="ru-RU"/>
        </w:rPr>
        <w:t>исходила из роста заработной платы на</w:t>
      </w:r>
      <w:r w:rsidRPr="007F6CEF">
        <w:rPr>
          <w:lang w:val="ru-RU"/>
        </w:rPr>
        <w:t xml:space="preserve"> 2,50%, </w:t>
      </w:r>
      <w:r w:rsidR="00CD4228" w:rsidRPr="007F6CEF">
        <w:rPr>
          <w:lang w:val="ru-RU"/>
        </w:rPr>
        <w:t>а допущение</w:t>
      </w:r>
      <w:r w:rsidRPr="007F6CEF">
        <w:rPr>
          <w:lang w:val="ru-RU"/>
        </w:rPr>
        <w:t xml:space="preserve"> АСХИ </w:t>
      </w:r>
      <w:r w:rsidR="00CD4228" w:rsidRPr="007F6CEF">
        <w:rPr>
          <w:lang w:val="ru-RU"/>
        </w:rPr>
        <w:t>является следующим</w:t>
      </w:r>
      <w:r w:rsidRPr="007F6CEF">
        <w:rPr>
          <w:lang w:val="ru-RU"/>
        </w:rPr>
        <w:t xml:space="preserve">: </w:t>
      </w:r>
      <w:r w:rsidR="00CD4228" w:rsidRPr="007F6CEF">
        <w:rPr>
          <w:lang w:val="ru-RU"/>
        </w:rPr>
        <w:t>увеличение в 2013 году на</w:t>
      </w:r>
      <w:r w:rsidRPr="007F6CEF">
        <w:rPr>
          <w:lang w:val="ru-RU"/>
        </w:rPr>
        <w:t xml:space="preserve"> 3,86% </w:t>
      </w:r>
      <w:r w:rsidR="00CD4228" w:rsidRPr="007F6CEF">
        <w:rPr>
          <w:lang w:val="ru-RU"/>
        </w:rPr>
        <w:t xml:space="preserve">для сотрудников категории специалистов и на </w:t>
      </w:r>
      <w:r w:rsidRPr="007F6CEF">
        <w:rPr>
          <w:lang w:val="ru-RU"/>
        </w:rPr>
        <w:t xml:space="preserve">3,32% </w:t>
      </w:r>
      <w:r w:rsidR="00CD4228" w:rsidRPr="007F6CEF">
        <w:rPr>
          <w:lang w:val="ru-RU"/>
        </w:rPr>
        <w:t>для сотрудников категории общего обслуживания</w:t>
      </w:r>
      <w:r w:rsidRPr="007F6CEF">
        <w:rPr>
          <w:lang w:val="ru-RU"/>
        </w:rPr>
        <w:t>.</w:t>
      </w:r>
    </w:p>
    <w:p w:rsidR="000118F6" w:rsidRPr="007F6CEF" w:rsidRDefault="000118F6" w:rsidP="00170B2C">
      <w:pPr>
        <w:rPr>
          <w:lang w:val="ru-RU"/>
        </w:rPr>
      </w:pPr>
      <w:r w:rsidRPr="007F6CEF">
        <w:rPr>
          <w:lang w:val="ru-RU"/>
        </w:rPr>
        <w:t>68</w:t>
      </w:r>
      <w:r w:rsidRPr="007F6CEF">
        <w:rPr>
          <w:lang w:val="ru-RU"/>
        </w:rPr>
        <w:tab/>
      </w:r>
      <w:r w:rsidR="00CD4228" w:rsidRPr="007F6CEF">
        <w:rPr>
          <w:lang w:val="ru-RU"/>
        </w:rPr>
        <w:t>После дальнейшего сравнения с участием руководства мы признали, что допущения, связанные с двумя актуарными расчетами, произведенными в 2013 году (обязательства МСЭ в отношении возвращения сотрудников на родину и АСХИ)</w:t>
      </w:r>
      <w:r w:rsidR="00221AB5" w:rsidRPr="007F6CEF">
        <w:rPr>
          <w:lang w:val="ru-RU"/>
        </w:rPr>
        <w:t>,</w:t>
      </w:r>
      <w:r w:rsidR="00CD4228" w:rsidRPr="007F6CEF">
        <w:rPr>
          <w:lang w:val="ru-RU"/>
        </w:rPr>
        <w:t xml:space="preserve"> сопоставля</w:t>
      </w:r>
      <w:r w:rsidR="00221AB5" w:rsidRPr="007F6CEF">
        <w:rPr>
          <w:lang w:val="ru-RU"/>
        </w:rPr>
        <w:t>лись согласно предложению, соде</w:t>
      </w:r>
      <w:r w:rsidR="00CD4228" w:rsidRPr="007F6CEF">
        <w:rPr>
          <w:lang w:val="ru-RU"/>
        </w:rPr>
        <w:t>ржащемуся в нашем отчете за прошлый год. В результате этого сопоставления</w:t>
      </w:r>
      <w:r w:rsidR="00221AB5" w:rsidRPr="007F6CEF">
        <w:rPr>
          <w:lang w:val="ru-RU"/>
        </w:rPr>
        <w:t xml:space="preserve"> были более четко указаны различия в допущениях, выбранных для ставки дисконтирования и увеличения заработной платы. </w:t>
      </w:r>
    </w:p>
    <w:p w:rsidR="000118F6" w:rsidRPr="007F6CEF" w:rsidRDefault="00070B5C" w:rsidP="00170B2C">
      <w:pPr>
        <w:rPr>
          <w:lang w:val="ru-RU"/>
        </w:rPr>
      </w:pPr>
      <w:r w:rsidRPr="007F6CEF">
        <w:rPr>
          <w:lang w:val="ru-RU"/>
        </w:rPr>
        <w:t>69</w:t>
      </w:r>
      <w:r w:rsidR="000118F6" w:rsidRPr="007F6CEF">
        <w:rPr>
          <w:lang w:val="ru-RU"/>
        </w:rPr>
        <w:tab/>
      </w:r>
      <w:r w:rsidR="00DA3A9D" w:rsidRPr="007F6CEF">
        <w:rPr>
          <w:lang w:val="ru-RU"/>
        </w:rPr>
        <w:t>Разница в расчетах</w:t>
      </w:r>
      <w:r w:rsidR="00221AB5" w:rsidRPr="007F6CEF">
        <w:rPr>
          <w:lang w:val="ru-RU"/>
        </w:rPr>
        <w:t xml:space="preserve"> в действительности </w:t>
      </w:r>
      <w:r w:rsidR="00DA3A9D" w:rsidRPr="007F6CEF">
        <w:rPr>
          <w:lang w:val="ru-RU"/>
        </w:rPr>
        <w:t>вызвана</w:t>
      </w:r>
      <w:r w:rsidR="00221AB5" w:rsidRPr="007F6CEF">
        <w:rPr>
          <w:lang w:val="ru-RU"/>
        </w:rPr>
        <w:t xml:space="preserve"> разными рассматриваемыми периодами времени. Тогда как актуарное исследование, касающееся возвращения сотрудников на родину, основано на остаточной продолжительности службы рассматриваемого в</w:t>
      </w:r>
      <w:r w:rsidR="00EB65CB" w:rsidRPr="007F6CEF">
        <w:rPr>
          <w:lang w:val="ru-RU"/>
        </w:rPr>
        <w:t xml:space="preserve"> исследовании персонала (в </w:t>
      </w:r>
      <w:r w:rsidR="00221AB5" w:rsidRPr="007F6CEF">
        <w:rPr>
          <w:lang w:val="ru-RU"/>
        </w:rPr>
        <w:t xml:space="preserve">среднем </w:t>
      </w:r>
      <w:r w:rsidR="000118F6" w:rsidRPr="007F6CEF">
        <w:rPr>
          <w:lang w:val="ru-RU"/>
        </w:rPr>
        <w:t xml:space="preserve">14 </w:t>
      </w:r>
      <w:r w:rsidRPr="007F6CEF">
        <w:rPr>
          <w:lang w:val="ru-RU"/>
        </w:rPr>
        <w:t>лет</w:t>
      </w:r>
      <w:r w:rsidR="000118F6" w:rsidRPr="007F6CEF">
        <w:rPr>
          <w:lang w:val="ru-RU"/>
        </w:rPr>
        <w:t xml:space="preserve">), </w:t>
      </w:r>
      <w:r w:rsidR="00221AB5" w:rsidRPr="007F6CEF">
        <w:rPr>
          <w:lang w:val="ru-RU"/>
        </w:rPr>
        <w:t>актуарное исследование</w:t>
      </w:r>
      <w:r w:rsidR="000118F6" w:rsidRPr="007F6CEF">
        <w:rPr>
          <w:lang w:val="ru-RU"/>
        </w:rPr>
        <w:t xml:space="preserve"> </w:t>
      </w:r>
      <w:r w:rsidRPr="007F6CEF">
        <w:rPr>
          <w:lang w:val="ru-RU"/>
        </w:rPr>
        <w:t>АСХИ</w:t>
      </w:r>
      <w:r w:rsidR="000118F6" w:rsidRPr="007F6CEF">
        <w:rPr>
          <w:lang w:val="ru-RU"/>
        </w:rPr>
        <w:t xml:space="preserve"> </w:t>
      </w:r>
      <w:r w:rsidR="00221AB5" w:rsidRPr="007F6CEF">
        <w:rPr>
          <w:lang w:val="ru-RU"/>
        </w:rPr>
        <w:t xml:space="preserve">основано на предполагаемой продолжительности жизни сотрудников согласно статистическим таблицам смертности ООН, что составляет гораздо более продолжительный срок. Эта значительная разница в перспективных оценках при расчетах, которая также воздействовала на темпы роста заработной платы, </w:t>
      </w:r>
      <w:r w:rsidR="00DA3A9D" w:rsidRPr="007F6CEF">
        <w:rPr>
          <w:lang w:val="ru-RU"/>
        </w:rPr>
        <w:t xml:space="preserve">оценивалась как менее крупная на более краткий период времени. </w:t>
      </w:r>
    </w:p>
    <w:p w:rsidR="00CA5377" w:rsidRPr="007F6CEF" w:rsidRDefault="00CA5377" w:rsidP="00170B2C">
      <w:pPr>
        <w:pStyle w:val="Headingb"/>
        <w:rPr>
          <w:lang w:val="ru-RU"/>
        </w:rPr>
      </w:pPr>
      <w:bookmarkStart w:id="164" w:name="_Toc356330899"/>
      <w:bookmarkStart w:id="165" w:name="_Toc358192848"/>
      <w:bookmarkStart w:id="166" w:name="_Toc398125331"/>
      <w:bookmarkStart w:id="167" w:name="_Toc398125810"/>
      <w:bookmarkStart w:id="168" w:name="_Toc398127102"/>
      <w:r w:rsidRPr="007F6CEF">
        <w:rPr>
          <w:lang w:val="ru-RU"/>
        </w:rPr>
        <w:t>Вознаграждение сотрудников: АСХИ</w:t>
      </w:r>
      <w:bookmarkEnd w:id="164"/>
      <w:bookmarkEnd w:id="165"/>
      <w:bookmarkEnd w:id="166"/>
      <w:bookmarkEnd w:id="167"/>
      <w:bookmarkEnd w:id="168"/>
    </w:p>
    <w:p w:rsidR="00CA5377" w:rsidRPr="007F6CEF" w:rsidRDefault="004429E5" w:rsidP="00170B2C">
      <w:pPr>
        <w:rPr>
          <w:lang w:val="ru-RU"/>
        </w:rPr>
      </w:pPr>
      <w:r w:rsidRPr="007F6CEF">
        <w:rPr>
          <w:lang w:val="ru-RU"/>
        </w:rPr>
        <w:t>70</w:t>
      </w:r>
      <w:r w:rsidR="009B7B2E" w:rsidRPr="007F6CEF">
        <w:rPr>
          <w:lang w:val="ru-RU"/>
        </w:rPr>
        <w:tab/>
      </w:r>
      <w:r w:rsidR="00CA5377" w:rsidRPr="007F6CEF">
        <w:rPr>
          <w:lang w:val="ru-RU"/>
        </w:rPr>
        <w:t>В 201</w:t>
      </w:r>
      <w:r w:rsidRPr="007F6CEF">
        <w:rPr>
          <w:lang w:val="ru-RU"/>
        </w:rPr>
        <w:t>3</w:t>
      </w:r>
      <w:r w:rsidR="00CA5377" w:rsidRPr="007F6CEF">
        <w:rPr>
          <w:lang w:val="ru-RU"/>
        </w:rPr>
        <w:t xml:space="preserve"> году резервный фонд для актуарных обязательств в отношении пособий после прекращения службы, т. е. </w:t>
      </w:r>
      <w:r w:rsidRPr="007F6CEF">
        <w:rPr>
          <w:lang w:val="ru-RU"/>
        </w:rPr>
        <w:t>план</w:t>
      </w:r>
      <w:r w:rsidR="00DA3A9D" w:rsidRPr="007F6CEF">
        <w:rPr>
          <w:lang w:val="ru-RU"/>
        </w:rPr>
        <w:t>а</w:t>
      </w:r>
      <w:r w:rsidRPr="007F6CEF">
        <w:rPr>
          <w:lang w:val="ru-RU"/>
        </w:rPr>
        <w:t xml:space="preserve"> АСХИ</w:t>
      </w:r>
      <w:r w:rsidR="00DA3A9D" w:rsidRPr="007F6CEF">
        <w:rPr>
          <w:lang w:val="ru-RU"/>
        </w:rPr>
        <w:t>,</w:t>
      </w:r>
      <w:r w:rsidR="00CA5377" w:rsidRPr="007F6CEF">
        <w:rPr>
          <w:lang w:val="ru-RU"/>
        </w:rPr>
        <w:t xml:space="preserve"> составил 3</w:t>
      </w:r>
      <w:r w:rsidRPr="007F6CEF">
        <w:rPr>
          <w:lang w:val="ru-RU"/>
        </w:rPr>
        <w:t>14</w:t>
      </w:r>
      <w:r w:rsidR="00CA5377" w:rsidRPr="007F6CEF">
        <w:rPr>
          <w:lang w:val="ru-RU"/>
        </w:rPr>
        <w:t>,</w:t>
      </w:r>
      <w:r w:rsidRPr="007F6CEF">
        <w:rPr>
          <w:lang w:val="ru-RU"/>
        </w:rPr>
        <w:t>1</w:t>
      </w:r>
      <w:r w:rsidR="00CA5377" w:rsidRPr="007F6CEF">
        <w:rPr>
          <w:lang w:val="ru-RU"/>
        </w:rPr>
        <w:t xml:space="preserve"> млн. швейцарских франков, </w:t>
      </w:r>
      <w:r w:rsidRPr="007F6CEF">
        <w:rPr>
          <w:lang w:val="ru-RU"/>
        </w:rPr>
        <w:t>уменьшившись</w:t>
      </w:r>
      <w:r w:rsidR="00CA5377" w:rsidRPr="007F6CEF">
        <w:rPr>
          <w:lang w:val="ru-RU"/>
        </w:rPr>
        <w:t xml:space="preserve"> </w:t>
      </w:r>
      <w:r w:rsidR="00DA3A9D" w:rsidRPr="007F6CEF">
        <w:rPr>
          <w:lang w:val="ru-RU"/>
        </w:rPr>
        <w:t>примерно</w:t>
      </w:r>
      <w:r w:rsidR="00CA5377" w:rsidRPr="007F6CEF">
        <w:rPr>
          <w:lang w:val="ru-RU"/>
        </w:rPr>
        <w:t xml:space="preserve"> на </w:t>
      </w:r>
      <w:r w:rsidRPr="007F6CEF">
        <w:rPr>
          <w:lang w:val="ru-RU"/>
        </w:rPr>
        <w:t>21</w:t>
      </w:r>
      <w:r w:rsidR="00CA5377" w:rsidRPr="007F6CEF">
        <w:rPr>
          <w:lang w:val="ru-RU"/>
        </w:rPr>
        <w:t> млн. швейцарских франков (</w:t>
      </w:r>
      <w:r w:rsidRPr="007F6CEF">
        <w:rPr>
          <w:lang w:val="ru-RU"/>
        </w:rPr>
        <w:t>−6</w:t>
      </w:r>
      <w:r w:rsidR="00CA5377" w:rsidRPr="007F6CEF">
        <w:rPr>
          <w:lang w:val="ru-RU"/>
        </w:rPr>
        <w:t>,</w:t>
      </w:r>
      <w:r w:rsidRPr="007F6CEF">
        <w:rPr>
          <w:lang w:val="ru-RU"/>
        </w:rPr>
        <w:t>3</w:t>
      </w:r>
      <w:r w:rsidR="00CA5377" w:rsidRPr="007F6CEF">
        <w:rPr>
          <w:lang w:val="ru-RU"/>
        </w:rPr>
        <w:t xml:space="preserve">%) по сравнению с </w:t>
      </w:r>
      <w:r w:rsidRPr="007F6CEF">
        <w:rPr>
          <w:lang w:val="ru-RU"/>
        </w:rPr>
        <w:t>335</w:t>
      </w:r>
      <w:r w:rsidR="00CA5377" w:rsidRPr="007F6CEF">
        <w:rPr>
          <w:lang w:val="ru-RU"/>
        </w:rPr>
        <w:t>,</w:t>
      </w:r>
      <w:r w:rsidRPr="007F6CEF">
        <w:rPr>
          <w:lang w:val="ru-RU"/>
        </w:rPr>
        <w:t xml:space="preserve">1 млн. швейцарских франков в </w:t>
      </w:r>
      <w:r w:rsidR="00CA5377" w:rsidRPr="007F6CEF">
        <w:rPr>
          <w:lang w:val="ru-RU"/>
        </w:rPr>
        <w:t>201</w:t>
      </w:r>
      <w:r w:rsidRPr="007F6CEF">
        <w:rPr>
          <w:lang w:val="ru-RU"/>
        </w:rPr>
        <w:t>2</w:t>
      </w:r>
      <w:r w:rsidR="00CA5377" w:rsidRPr="007F6CEF">
        <w:rPr>
          <w:lang w:val="ru-RU"/>
        </w:rPr>
        <w:t xml:space="preserve"> году. Это </w:t>
      </w:r>
      <w:r w:rsidRPr="007F6CEF">
        <w:rPr>
          <w:lang w:val="ru-RU"/>
        </w:rPr>
        <w:t>уменьшение</w:t>
      </w:r>
      <w:r w:rsidR="00CA5377" w:rsidRPr="007F6CEF">
        <w:rPr>
          <w:lang w:val="ru-RU"/>
        </w:rPr>
        <w:t xml:space="preserve"> </w:t>
      </w:r>
      <w:r w:rsidR="00DA3A9D" w:rsidRPr="007F6CEF">
        <w:rPr>
          <w:lang w:val="ru-RU"/>
        </w:rPr>
        <w:t>в основном</w:t>
      </w:r>
      <w:r w:rsidRPr="007F6CEF">
        <w:rPr>
          <w:lang w:val="ru-RU"/>
        </w:rPr>
        <w:t xml:space="preserve"> </w:t>
      </w:r>
      <w:r w:rsidR="00CA5377" w:rsidRPr="007F6CEF">
        <w:rPr>
          <w:lang w:val="ru-RU"/>
        </w:rPr>
        <w:t xml:space="preserve">обусловлено </w:t>
      </w:r>
      <w:r w:rsidRPr="007F6CEF">
        <w:rPr>
          <w:lang w:val="ru-RU"/>
        </w:rPr>
        <w:t>изменением в ставк</w:t>
      </w:r>
      <w:r w:rsidR="00DA3A9D" w:rsidRPr="007F6CEF">
        <w:rPr>
          <w:lang w:val="ru-RU"/>
        </w:rPr>
        <w:t>ах</w:t>
      </w:r>
      <w:r w:rsidR="00CA5377" w:rsidRPr="007F6CEF">
        <w:rPr>
          <w:lang w:val="ru-RU"/>
        </w:rPr>
        <w:t xml:space="preserve"> дисконтирования (2,</w:t>
      </w:r>
      <w:r w:rsidRPr="007F6CEF">
        <w:rPr>
          <w:lang w:val="ru-RU"/>
        </w:rPr>
        <w:t>76</w:t>
      </w:r>
      <w:r w:rsidR="00CA5377" w:rsidRPr="007F6CEF">
        <w:rPr>
          <w:lang w:val="ru-RU"/>
        </w:rPr>
        <w:t>% для 201</w:t>
      </w:r>
      <w:r w:rsidRPr="007F6CEF">
        <w:rPr>
          <w:lang w:val="ru-RU"/>
        </w:rPr>
        <w:t>3</w:t>
      </w:r>
      <w:r w:rsidR="00CA5377" w:rsidRPr="007F6CEF">
        <w:rPr>
          <w:lang w:val="ru-RU"/>
        </w:rPr>
        <w:t> г</w:t>
      </w:r>
      <w:r w:rsidRPr="007F6CEF">
        <w:rPr>
          <w:lang w:val="ru-RU"/>
        </w:rPr>
        <w:t>.</w:t>
      </w:r>
      <w:r w:rsidR="00CA5377" w:rsidRPr="007F6CEF">
        <w:rPr>
          <w:lang w:val="ru-RU"/>
        </w:rPr>
        <w:t xml:space="preserve"> и 2,</w:t>
      </w:r>
      <w:r w:rsidRPr="007F6CEF">
        <w:rPr>
          <w:lang w:val="ru-RU"/>
        </w:rPr>
        <w:t>24</w:t>
      </w:r>
      <w:r w:rsidR="00CA5377" w:rsidRPr="007F6CEF">
        <w:rPr>
          <w:lang w:val="ru-RU"/>
        </w:rPr>
        <w:t>% для 201</w:t>
      </w:r>
      <w:r w:rsidRPr="007F6CEF">
        <w:rPr>
          <w:lang w:val="ru-RU"/>
        </w:rPr>
        <w:t>2</w:t>
      </w:r>
      <w:r w:rsidR="00CA5377" w:rsidRPr="007F6CEF">
        <w:rPr>
          <w:lang w:val="ru-RU"/>
        </w:rPr>
        <w:t> г</w:t>
      </w:r>
      <w:r w:rsidRPr="007F6CEF">
        <w:rPr>
          <w:lang w:val="ru-RU"/>
        </w:rPr>
        <w:t>.</w:t>
      </w:r>
      <w:r w:rsidR="00CA5377" w:rsidRPr="007F6CEF">
        <w:rPr>
          <w:lang w:val="ru-RU"/>
        </w:rPr>
        <w:t xml:space="preserve">). Расчет на основе актуарных допущений был выполнен актуарием, выбранным </w:t>
      </w:r>
      <w:r w:rsidRPr="007F6CEF">
        <w:rPr>
          <w:lang w:val="ru-RU"/>
        </w:rPr>
        <w:t>МСЭ</w:t>
      </w:r>
      <w:r w:rsidR="00CA5377" w:rsidRPr="007F6CEF">
        <w:rPr>
          <w:lang w:val="ru-RU"/>
        </w:rPr>
        <w:t>.</w:t>
      </w:r>
    </w:p>
    <w:p w:rsidR="00CA5377" w:rsidRPr="007F6CEF" w:rsidRDefault="00CA5377" w:rsidP="00170B2C">
      <w:pPr>
        <w:pStyle w:val="Headingi"/>
        <w:rPr>
          <w:b/>
          <w:bCs/>
        </w:rPr>
      </w:pPr>
      <w:bookmarkStart w:id="169" w:name="_Toc398125332"/>
      <w:bookmarkStart w:id="170" w:name="_Toc398125811"/>
      <w:r w:rsidRPr="007F6CEF">
        <w:rPr>
          <w:b/>
          <w:bCs/>
        </w:rPr>
        <w:t>Ключевые актуарные и экономические допущения сопоставимы с предыдущим годом</w:t>
      </w:r>
      <w:bookmarkEnd w:id="169"/>
      <w:bookmarkEnd w:id="170"/>
      <w:r w:rsidRPr="007F6CEF">
        <w:rPr>
          <w:b/>
          <w:bCs/>
        </w:rPr>
        <w:t xml:space="preserve"> </w:t>
      </w:r>
    </w:p>
    <w:p w:rsidR="00CA5377" w:rsidRPr="007F6CEF" w:rsidRDefault="004429E5" w:rsidP="00170B2C">
      <w:pPr>
        <w:rPr>
          <w:lang w:val="ru-RU"/>
        </w:rPr>
      </w:pPr>
      <w:r w:rsidRPr="007F6CEF">
        <w:rPr>
          <w:lang w:val="ru-RU"/>
        </w:rPr>
        <w:t>71</w:t>
      </w:r>
      <w:r w:rsidR="009B7B2E" w:rsidRPr="007F6CEF">
        <w:rPr>
          <w:lang w:val="ru-RU"/>
        </w:rPr>
        <w:tab/>
      </w:r>
      <w:r w:rsidR="00CA5377" w:rsidRPr="007F6CEF">
        <w:rPr>
          <w:lang w:val="ru-RU"/>
        </w:rPr>
        <w:t xml:space="preserve">Выбор актуарных допущений является исключительной ответственностью </w:t>
      </w:r>
      <w:r w:rsidR="00B6553B" w:rsidRPr="007F6CEF">
        <w:rPr>
          <w:lang w:val="ru-RU"/>
        </w:rPr>
        <w:t>организации</w:t>
      </w:r>
      <w:r w:rsidR="00CA5377" w:rsidRPr="007F6CEF">
        <w:rPr>
          <w:lang w:val="ru-RU"/>
        </w:rPr>
        <w:t xml:space="preserve">. Внешний аудитор проверяет их правдоподобие и их соответствие стандарту IPSAS 25 и допущениям, использовавшимся в предыдущем году, а также подтверждает их правильность. </w:t>
      </w:r>
    </w:p>
    <w:p w:rsidR="00CA5377" w:rsidRPr="007F6CEF" w:rsidRDefault="004C4443" w:rsidP="00170B2C">
      <w:pPr>
        <w:rPr>
          <w:lang w:val="ru-RU"/>
        </w:rPr>
      </w:pPr>
      <w:r w:rsidRPr="007F6CEF">
        <w:rPr>
          <w:lang w:val="ru-RU"/>
        </w:rPr>
        <w:t>72</w:t>
      </w:r>
      <w:r w:rsidR="009B7B2E" w:rsidRPr="007F6CEF">
        <w:rPr>
          <w:lang w:val="ru-RU"/>
        </w:rPr>
        <w:tab/>
      </w:r>
      <w:r w:rsidR="00CA5377" w:rsidRPr="007F6CEF">
        <w:rPr>
          <w:lang w:val="ru-RU"/>
        </w:rPr>
        <w:t xml:space="preserve">Ключевые допущения были нами рассмотрены и должным образом обсуждены с руководством; эти допущения соответствуют экономическим тенденциям и </w:t>
      </w:r>
      <w:r w:rsidR="00DA3A9D" w:rsidRPr="007F6CEF">
        <w:rPr>
          <w:lang w:val="ru-RU"/>
        </w:rPr>
        <w:t>ставкам</w:t>
      </w:r>
      <w:r w:rsidR="00CA5377" w:rsidRPr="007F6CEF">
        <w:rPr>
          <w:lang w:val="ru-RU"/>
        </w:rPr>
        <w:t xml:space="preserve"> и согласуются с данными, имеющимися в МСЭ на момент проведения нами аудита, и мы подтвердили их правильность.</w:t>
      </w:r>
    </w:p>
    <w:p w:rsidR="00CA5377" w:rsidRPr="007F6CEF" w:rsidRDefault="004C4443" w:rsidP="00170B2C">
      <w:pPr>
        <w:rPr>
          <w:lang w:val="ru-RU"/>
        </w:rPr>
      </w:pPr>
      <w:r w:rsidRPr="007F6CEF">
        <w:rPr>
          <w:lang w:val="ru-RU"/>
        </w:rPr>
        <w:t>73</w:t>
      </w:r>
      <w:r w:rsidR="009B7B2E" w:rsidRPr="007F6CEF">
        <w:rPr>
          <w:lang w:val="ru-RU"/>
        </w:rPr>
        <w:tab/>
      </w:r>
      <w:r w:rsidR="00DA3A9D" w:rsidRPr="007F6CEF">
        <w:rPr>
          <w:lang w:val="ru-RU"/>
        </w:rPr>
        <w:t xml:space="preserve">Кроме того, в своем отчете за прошлый год мы уже указывали, что </w:t>
      </w:r>
      <w:r w:rsidR="00832C60" w:rsidRPr="007F6CEF">
        <w:rPr>
          <w:lang w:val="ru-RU"/>
        </w:rPr>
        <w:t xml:space="preserve">в </w:t>
      </w:r>
      <w:r w:rsidR="00CA5377" w:rsidRPr="007F6CEF">
        <w:rPr>
          <w:lang w:val="ru-RU"/>
        </w:rPr>
        <w:t xml:space="preserve">рамках системы </w:t>
      </w:r>
      <w:r w:rsidR="00DA3A9D" w:rsidRPr="007F6CEF">
        <w:rPr>
          <w:lang w:val="ru-RU"/>
        </w:rPr>
        <w:t xml:space="preserve">ООН не всегда возможно </w:t>
      </w:r>
      <w:r w:rsidR="00CA5377" w:rsidRPr="007F6CEF">
        <w:rPr>
          <w:lang w:val="ru-RU"/>
        </w:rPr>
        <w:t xml:space="preserve">обеспечить согласованность какого-либо </w:t>
      </w:r>
      <w:r w:rsidR="00DA3A9D" w:rsidRPr="007F6CEF">
        <w:rPr>
          <w:lang w:val="ru-RU"/>
        </w:rPr>
        <w:t xml:space="preserve">из </w:t>
      </w:r>
      <w:r w:rsidR="00CA5377" w:rsidRPr="007F6CEF">
        <w:rPr>
          <w:lang w:val="ru-RU"/>
        </w:rPr>
        <w:t>ключе</w:t>
      </w:r>
      <w:r w:rsidR="00832C60" w:rsidRPr="007F6CEF">
        <w:rPr>
          <w:lang w:val="ru-RU"/>
        </w:rPr>
        <w:t>в</w:t>
      </w:r>
      <w:r w:rsidR="00DA3A9D" w:rsidRPr="007F6CEF">
        <w:rPr>
          <w:lang w:val="ru-RU"/>
        </w:rPr>
        <w:t>ых</w:t>
      </w:r>
      <w:r w:rsidR="00832C60" w:rsidRPr="007F6CEF">
        <w:rPr>
          <w:lang w:val="ru-RU"/>
        </w:rPr>
        <w:t xml:space="preserve"> допущени</w:t>
      </w:r>
      <w:r w:rsidR="00DA3A9D" w:rsidRPr="007F6CEF">
        <w:rPr>
          <w:lang w:val="ru-RU"/>
        </w:rPr>
        <w:t>й</w:t>
      </w:r>
      <w:r w:rsidR="00832C60" w:rsidRPr="007F6CEF">
        <w:rPr>
          <w:lang w:val="ru-RU"/>
        </w:rPr>
        <w:t>, используем</w:t>
      </w:r>
      <w:r w:rsidR="00DA3A9D" w:rsidRPr="007F6CEF">
        <w:rPr>
          <w:lang w:val="ru-RU"/>
        </w:rPr>
        <w:t>ых</w:t>
      </w:r>
      <w:r w:rsidR="00832C60" w:rsidRPr="007F6CEF">
        <w:rPr>
          <w:lang w:val="ru-RU"/>
        </w:rPr>
        <w:t xml:space="preserve"> в </w:t>
      </w:r>
      <w:r w:rsidR="00CA5377" w:rsidRPr="007F6CEF">
        <w:rPr>
          <w:lang w:val="ru-RU"/>
        </w:rPr>
        <w:t xml:space="preserve">связи с АСХИ. Это объясняется различием характеристик каждого учреждения, таких как численность и состав персонала (оклады и продвижение по службе, семейные пособия и т. д.), </w:t>
      </w:r>
      <w:r w:rsidRPr="007F6CEF">
        <w:rPr>
          <w:lang w:val="ru-RU"/>
        </w:rPr>
        <w:t xml:space="preserve">а также </w:t>
      </w:r>
      <w:r w:rsidR="00CA5377" w:rsidRPr="007F6CEF">
        <w:rPr>
          <w:lang w:val="ru-RU"/>
        </w:rPr>
        <w:t>месторасположени</w:t>
      </w:r>
      <w:r w:rsidR="00DA3A9D" w:rsidRPr="007F6CEF">
        <w:rPr>
          <w:lang w:val="ru-RU"/>
        </w:rPr>
        <w:t>е</w:t>
      </w:r>
      <w:r w:rsidR="00CA5377" w:rsidRPr="007F6CEF">
        <w:rPr>
          <w:lang w:val="ru-RU"/>
        </w:rPr>
        <w:t xml:space="preserve"> (число сотрудников в</w:t>
      </w:r>
      <w:r w:rsidR="00832C60" w:rsidRPr="007F6CEF">
        <w:rPr>
          <w:lang w:val="ru-RU"/>
        </w:rPr>
        <w:t xml:space="preserve"> </w:t>
      </w:r>
      <w:r w:rsidR="00CA5377" w:rsidRPr="007F6CEF">
        <w:rPr>
          <w:lang w:val="ru-RU"/>
        </w:rPr>
        <w:t>представительствах на местах</w:t>
      </w:r>
      <w:r w:rsidR="00832C60" w:rsidRPr="007F6CEF">
        <w:rPr>
          <w:lang w:val="ru-RU"/>
        </w:rPr>
        <w:t>)</w:t>
      </w:r>
      <w:r w:rsidR="00CA5377" w:rsidRPr="007F6CEF">
        <w:rPr>
          <w:lang w:val="ru-RU"/>
        </w:rPr>
        <w:t xml:space="preserve">, которое влияет на </w:t>
      </w:r>
      <w:r w:rsidR="00DA3A9D" w:rsidRPr="007F6CEF">
        <w:rPr>
          <w:lang w:val="ru-RU"/>
        </w:rPr>
        <w:t>прогнозируемые</w:t>
      </w:r>
      <w:r w:rsidR="00832C60" w:rsidRPr="007F6CEF">
        <w:rPr>
          <w:lang w:val="ru-RU"/>
        </w:rPr>
        <w:t xml:space="preserve"> </w:t>
      </w:r>
      <w:r w:rsidR="00CA5377" w:rsidRPr="007F6CEF">
        <w:rPr>
          <w:lang w:val="ru-RU"/>
        </w:rPr>
        <w:t>заболеваемость и смертность.</w:t>
      </w:r>
    </w:p>
    <w:p w:rsidR="00CA5377" w:rsidRPr="007F6CEF" w:rsidRDefault="00832C60" w:rsidP="00170B2C">
      <w:pPr>
        <w:rPr>
          <w:lang w:val="ru-RU"/>
        </w:rPr>
      </w:pPr>
      <w:r w:rsidRPr="007F6CEF">
        <w:rPr>
          <w:lang w:val="ru-RU"/>
        </w:rPr>
        <w:t>74</w:t>
      </w:r>
      <w:r w:rsidR="009B7B2E" w:rsidRPr="007F6CEF">
        <w:rPr>
          <w:lang w:val="ru-RU"/>
        </w:rPr>
        <w:tab/>
      </w:r>
      <w:r w:rsidR="00DA3A9D" w:rsidRPr="007F6CEF">
        <w:rPr>
          <w:lang w:val="ru-RU"/>
        </w:rPr>
        <w:t xml:space="preserve">Мы также подтверждаем, что в отсутствии каких-либо специальных указаний на ставку дисконтирования в </w:t>
      </w:r>
      <w:r w:rsidRPr="007F6CEF">
        <w:rPr>
          <w:lang w:val="ru-RU"/>
        </w:rPr>
        <w:t>IPSAS 25</w:t>
      </w:r>
      <w:r w:rsidR="00CA5377" w:rsidRPr="007F6CEF">
        <w:rPr>
          <w:lang w:val="ru-RU"/>
        </w:rPr>
        <w:t xml:space="preserve">, в рамках системы </w:t>
      </w:r>
      <w:r w:rsidR="00DA3A9D" w:rsidRPr="007F6CEF">
        <w:rPr>
          <w:lang w:val="ru-RU"/>
        </w:rPr>
        <w:t>ООН</w:t>
      </w:r>
      <w:r w:rsidR="00CA5377" w:rsidRPr="007F6CEF">
        <w:rPr>
          <w:lang w:val="ru-RU"/>
        </w:rPr>
        <w:t xml:space="preserve"> </w:t>
      </w:r>
      <w:r w:rsidR="00DA3A9D" w:rsidRPr="007F6CEF">
        <w:rPr>
          <w:lang w:val="ru-RU"/>
        </w:rPr>
        <w:t>некоторые</w:t>
      </w:r>
      <w:r w:rsidRPr="007F6CEF">
        <w:rPr>
          <w:lang w:val="ru-RU"/>
        </w:rPr>
        <w:t xml:space="preserve"> </w:t>
      </w:r>
      <w:r w:rsidR="00CA5377" w:rsidRPr="007F6CEF">
        <w:rPr>
          <w:lang w:val="ru-RU"/>
        </w:rPr>
        <w:t xml:space="preserve">учреждения ссылаются на разные показатели доходности корпоративных облигаций, имеющих рейтинг AA, </w:t>
      </w:r>
      <w:r w:rsidR="00F0564B" w:rsidRPr="007F6CEF">
        <w:rPr>
          <w:lang w:val="ru-RU"/>
        </w:rPr>
        <w:t>выпускаемых</w:t>
      </w:r>
      <w:r w:rsidRPr="007F6CEF">
        <w:rPr>
          <w:lang w:val="ru-RU"/>
        </w:rPr>
        <w:t xml:space="preserve"> различными операторами, и</w:t>
      </w:r>
      <w:r w:rsidR="00CA5377" w:rsidRPr="007F6CEF">
        <w:rPr>
          <w:lang w:val="ru-RU"/>
        </w:rPr>
        <w:t xml:space="preserve"> на тот факт, что невозможно провести прямое сравнение текущей ситуации с актуарными обязательствами МСЭ </w:t>
      </w:r>
      <w:r w:rsidR="00F0564B" w:rsidRPr="007F6CEF">
        <w:rPr>
          <w:lang w:val="ru-RU"/>
        </w:rPr>
        <w:t xml:space="preserve">и текущей ситуации </w:t>
      </w:r>
      <w:r w:rsidR="00CA5377" w:rsidRPr="007F6CEF">
        <w:rPr>
          <w:lang w:val="ru-RU"/>
        </w:rPr>
        <w:t xml:space="preserve">с обязательствами других учреждений системы </w:t>
      </w:r>
      <w:r w:rsidR="00F0564B" w:rsidRPr="007F6CEF">
        <w:rPr>
          <w:lang w:val="ru-RU"/>
        </w:rPr>
        <w:t>ООН</w:t>
      </w:r>
      <w:r w:rsidR="00CA5377" w:rsidRPr="007F6CEF">
        <w:rPr>
          <w:lang w:val="ru-RU"/>
        </w:rPr>
        <w:t xml:space="preserve">. </w:t>
      </w:r>
    </w:p>
    <w:p w:rsidR="00CA5377" w:rsidRPr="007F6CEF" w:rsidRDefault="00CA5377" w:rsidP="00170B2C">
      <w:pPr>
        <w:pStyle w:val="Headingi"/>
        <w:rPr>
          <w:b/>
          <w:bCs/>
        </w:rPr>
      </w:pPr>
      <w:bookmarkStart w:id="171" w:name="_Toc398125333"/>
      <w:bookmarkStart w:id="172" w:name="_Toc398125812"/>
      <w:r w:rsidRPr="007F6CEF">
        <w:rPr>
          <w:b/>
          <w:bCs/>
        </w:rPr>
        <w:t>Финансов</w:t>
      </w:r>
      <w:r w:rsidR="00F0564B" w:rsidRPr="007F6CEF">
        <w:rPr>
          <w:b/>
          <w:bCs/>
        </w:rPr>
        <w:t>ая</w:t>
      </w:r>
      <w:r w:rsidRPr="007F6CEF">
        <w:rPr>
          <w:b/>
          <w:bCs/>
        </w:rPr>
        <w:t xml:space="preserve"> </w:t>
      </w:r>
      <w:r w:rsidR="00F0564B" w:rsidRPr="007F6CEF">
        <w:rPr>
          <w:b/>
          <w:bCs/>
        </w:rPr>
        <w:t>стабильность</w:t>
      </w:r>
      <w:r w:rsidRPr="007F6CEF">
        <w:rPr>
          <w:b/>
          <w:bCs/>
        </w:rPr>
        <w:t xml:space="preserve"> обеспечивается в краткосрочной перспективе, но необходимы корректирующие меры</w:t>
      </w:r>
      <w:bookmarkEnd w:id="171"/>
      <w:bookmarkEnd w:id="172"/>
    </w:p>
    <w:p w:rsidR="00CA5377" w:rsidRPr="007F6CEF" w:rsidRDefault="009B7B2E" w:rsidP="00170B2C">
      <w:pPr>
        <w:rPr>
          <w:lang w:val="ru-RU"/>
        </w:rPr>
      </w:pPr>
      <w:r w:rsidRPr="007F6CEF">
        <w:rPr>
          <w:lang w:val="ru-RU"/>
        </w:rPr>
        <w:t>7</w:t>
      </w:r>
      <w:r w:rsidR="00C901E8" w:rsidRPr="007F6CEF">
        <w:rPr>
          <w:lang w:val="ru-RU"/>
        </w:rPr>
        <w:t>5</w:t>
      </w:r>
      <w:r w:rsidRPr="007F6CEF">
        <w:rPr>
          <w:lang w:val="ru-RU"/>
        </w:rPr>
        <w:tab/>
      </w:r>
      <w:r w:rsidR="00C901E8" w:rsidRPr="007F6CEF">
        <w:rPr>
          <w:lang w:val="ru-RU"/>
        </w:rPr>
        <w:t xml:space="preserve">В 2013 году </w:t>
      </w:r>
      <w:r w:rsidR="00153F13" w:rsidRPr="007F6CEF">
        <w:rPr>
          <w:lang w:val="ru-RU"/>
        </w:rPr>
        <w:t xml:space="preserve">резервные </w:t>
      </w:r>
      <w:r w:rsidR="00CA5377" w:rsidRPr="007F6CEF">
        <w:rPr>
          <w:lang w:val="ru-RU"/>
        </w:rPr>
        <w:t>фонды для АСХИ (3</w:t>
      </w:r>
      <w:r w:rsidR="00C901E8" w:rsidRPr="007F6CEF">
        <w:rPr>
          <w:lang w:val="ru-RU"/>
        </w:rPr>
        <w:t>14</w:t>
      </w:r>
      <w:r w:rsidR="00CA5377" w:rsidRPr="007F6CEF">
        <w:rPr>
          <w:lang w:val="ru-RU"/>
        </w:rPr>
        <w:t>,</w:t>
      </w:r>
      <w:r w:rsidR="00C901E8" w:rsidRPr="007F6CEF">
        <w:rPr>
          <w:lang w:val="ru-RU"/>
        </w:rPr>
        <w:t>1</w:t>
      </w:r>
      <w:r w:rsidR="00CA5377" w:rsidRPr="007F6CEF">
        <w:rPr>
          <w:lang w:val="ru-RU"/>
        </w:rPr>
        <w:t> млн. швейцарских франков) существенн</w:t>
      </w:r>
      <w:r w:rsidR="00F0564B" w:rsidRPr="007F6CEF">
        <w:rPr>
          <w:lang w:val="ru-RU"/>
        </w:rPr>
        <w:t>о</w:t>
      </w:r>
      <w:r w:rsidR="00CA5377" w:rsidRPr="007F6CEF">
        <w:rPr>
          <w:lang w:val="ru-RU"/>
        </w:rPr>
        <w:t xml:space="preserve"> </w:t>
      </w:r>
      <w:r w:rsidR="00F0564B" w:rsidRPr="007F6CEF">
        <w:rPr>
          <w:lang w:val="ru-RU"/>
        </w:rPr>
        <w:t>повлияли на</w:t>
      </w:r>
      <w:r w:rsidR="00CA5377" w:rsidRPr="007F6CEF">
        <w:rPr>
          <w:lang w:val="ru-RU"/>
        </w:rPr>
        <w:t xml:space="preserve"> отрицательн</w:t>
      </w:r>
      <w:r w:rsidR="00F0564B" w:rsidRPr="007F6CEF">
        <w:rPr>
          <w:lang w:val="ru-RU"/>
        </w:rPr>
        <w:t>ое</w:t>
      </w:r>
      <w:r w:rsidR="00CA5377" w:rsidRPr="007F6CEF">
        <w:rPr>
          <w:lang w:val="ru-RU"/>
        </w:rPr>
        <w:t xml:space="preserve"> </w:t>
      </w:r>
      <w:r w:rsidR="00F0564B" w:rsidRPr="007F6CEF">
        <w:rPr>
          <w:lang w:val="ru-RU"/>
        </w:rPr>
        <w:t xml:space="preserve">значение </w:t>
      </w:r>
      <w:r w:rsidR="00CA5377" w:rsidRPr="007F6CEF">
        <w:rPr>
          <w:lang w:val="ru-RU"/>
        </w:rPr>
        <w:t>чисты</w:t>
      </w:r>
      <w:r w:rsidR="00F0564B" w:rsidRPr="007F6CEF">
        <w:rPr>
          <w:lang w:val="ru-RU"/>
        </w:rPr>
        <w:t>х</w:t>
      </w:r>
      <w:r w:rsidR="00CA5377" w:rsidRPr="007F6CEF">
        <w:rPr>
          <w:lang w:val="ru-RU"/>
        </w:rPr>
        <w:t xml:space="preserve"> актив</w:t>
      </w:r>
      <w:r w:rsidR="00F0564B" w:rsidRPr="007F6CEF">
        <w:rPr>
          <w:lang w:val="ru-RU"/>
        </w:rPr>
        <w:t>ов</w:t>
      </w:r>
      <w:r w:rsidR="00CA5377" w:rsidRPr="007F6CEF">
        <w:rPr>
          <w:lang w:val="ru-RU"/>
        </w:rPr>
        <w:t xml:space="preserve"> (</w:t>
      </w:r>
      <w:r w:rsidR="008306C9" w:rsidRPr="007F6CEF">
        <w:rPr>
          <w:lang w:val="ru-RU"/>
        </w:rPr>
        <w:t>−</w:t>
      </w:r>
      <w:r w:rsidR="00153F13" w:rsidRPr="007F6CEF">
        <w:rPr>
          <w:lang w:val="ru-RU"/>
        </w:rPr>
        <w:t>196</w:t>
      </w:r>
      <w:r w:rsidR="00CA5377" w:rsidRPr="007F6CEF">
        <w:rPr>
          <w:lang w:val="ru-RU"/>
        </w:rPr>
        <w:t>,</w:t>
      </w:r>
      <w:r w:rsidR="00153F13" w:rsidRPr="007F6CEF">
        <w:rPr>
          <w:lang w:val="ru-RU"/>
        </w:rPr>
        <w:t>2</w:t>
      </w:r>
      <w:r w:rsidR="00CA5377" w:rsidRPr="007F6CEF">
        <w:rPr>
          <w:lang w:val="ru-RU"/>
        </w:rPr>
        <w:t xml:space="preserve"> млн. швейцарских франков). </w:t>
      </w:r>
      <w:r w:rsidR="00153F13" w:rsidRPr="007F6CEF">
        <w:rPr>
          <w:lang w:val="ru-RU"/>
        </w:rPr>
        <w:t xml:space="preserve">Невозможность </w:t>
      </w:r>
      <w:r w:rsidR="00CA5377" w:rsidRPr="007F6CEF">
        <w:rPr>
          <w:lang w:val="ru-RU"/>
        </w:rPr>
        <w:t>прове</w:t>
      </w:r>
      <w:r w:rsidR="00153F13" w:rsidRPr="007F6CEF">
        <w:rPr>
          <w:lang w:val="ru-RU"/>
        </w:rPr>
        <w:t>дения прямого</w:t>
      </w:r>
      <w:r w:rsidR="00CA5377" w:rsidRPr="007F6CEF">
        <w:rPr>
          <w:lang w:val="ru-RU"/>
        </w:rPr>
        <w:t xml:space="preserve"> сравнени</w:t>
      </w:r>
      <w:r w:rsidR="00153F13" w:rsidRPr="007F6CEF">
        <w:rPr>
          <w:lang w:val="ru-RU"/>
        </w:rPr>
        <w:t>я</w:t>
      </w:r>
      <w:r w:rsidR="00CA5377" w:rsidRPr="007F6CEF">
        <w:rPr>
          <w:lang w:val="ru-RU"/>
        </w:rPr>
        <w:t xml:space="preserve"> </w:t>
      </w:r>
      <w:r w:rsidR="00F0564B" w:rsidRPr="007F6CEF">
        <w:rPr>
          <w:lang w:val="ru-RU"/>
        </w:rPr>
        <w:t>актуарных</w:t>
      </w:r>
      <w:r w:rsidR="00153F13" w:rsidRPr="007F6CEF">
        <w:rPr>
          <w:lang w:val="ru-RU"/>
        </w:rPr>
        <w:t xml:space="preserve"> </w:t>
      </w:r>
      <w:r w:rsidR="00CA5377" w:rsidRPr="007F6CEF">
        <w:rPr>
          <w:lang w:val="ru-RU"/>
        </w:rPr>
        <w:t xml:space="preserve">обязательств МСЭ с </w:t>
      </w:r>
      <w:r w:rsidR="00F0564B" w:rsidRPr="007F6CEF">
        <w:rPr>
          <w:lang w:val="ru-RU"/>
        </w:rPr>
        <w:t xml:space="preserve">актуарными </w:t>
      </w:r>
      <w:r w:rsidR="00CA5377" w:rsidRPr="007F6CEF">
        <w:rPr>
          <w:lang w:val="ru-RU"/>
        </w:rPr>
        <w:t>обязательствами других учреждений</w:t>
      </w:r>
      <w:r w:rsidR="00F0564B" w:rsidRPr="007F6CEF">
        <w:rPr>
          <w:lang w:val="ru-RU"/>
        </w:rPr>
        <w:t xml:space="preserve">, что также отмечалось выше, </w:t>
      </w:r>
      <w:r w:rsidR="00CA5377" w:rsidRPr="007F6CEF">
        <w:rPr>
          <w:lang w:val="ru-RU"/>
        </w:rPr>
        <w:t xml:space="preserve">затрудняет проведение прямого сравнительного анализа между недостаточным финансированием МСЭ и </w:t>
      </w:r>
      <w:r w:rsidR="00F0564B" w:rsidRPr="007F6CEF">
        <w:rPr>
          <w:lang w:val="ru-RU"/>
        </w:rPr>
        <w:t xml:space="preserve">какого-либо </w:t>
      </w:r>
      <w:r w:rsidR="00153F13" w:rsidRPr="007F6CEF">
        <w:rPr>
          <w:lang w:val="ru-RU"/>
        </w:rPr>
        <w:t>друг</w:t>
      </w:r>
      <w:r w:rsidR="00F0564B" w:rsidRPr="007F6CEF">
        <w:rPr>
          <w:lang w:val="ru-RU"/>
        </w:rPr>
        <w:t>ого</w:t>
      </w:r>
      <w:r w:rsidR="00153F13" w:rsidRPr="007F6CEF">
        <w:rPr>
          <w:lang w:val="ru-RU"/>
        </w:rPr>
        <w:t xml:space="preserve"> </w:t>
      </w:r>
      <w:r w:rsidR="00F0564B" w:rsidRPr="007F6CEF">
        <w:rPr>
          <w:lang w:val="ru-RU"/>
        </w:rPr>
        <w:t xml:space="preserve">из </w:t>
      </w:r>
      <w:r w:rsidR="00153F13" w:rsidRPr="007F6CEF">
        <w:rPr>
          <w:lang w:val="ru-RU"/>
        </w:rPr>
        <w:t>учреждени</w:t>
      </w:r>
      <w:r w:rsidR="00F0564B" w:rsidRPr="007F6CEF">
        <w:rPr>
          <w:lang w:val="ru-RU"/>
        </w:rPr>
        <w:t>й</w:t>
      </w:r>
      <w:r w:rsidR="00153F13" w:rsidRPr="007F6CEF">
        <w:rPr>
          <w:lang w:val="ru-RU"/>
        </w:rPr>
        <w:t xml:space="preserve"> </w:t>
      </w:r>
      <w:r w:rsidR="00F0564B" w:rsidRPr="007F6CEF">
        <w:rPr>
          <w:lang w:val="ru-RU"/>
        </w:rPr>
        <w:t>ООН</w:t>
      </w:r>
      <w:r w:rsidR="00CA5377" w:rsidRPr="007F6CEF">
        <w:rPr>
          <w:lang w:val="ru-RU"/>
        </w:rPr>
        <w:t xml:space="preserve">. </w:t>
      </w:r>
    </w:p>
    <w:p w:rsidR="00CA5377" w:rsidRPr="007F6CEF" w:rsidRDefault="009B7B2E" w:rsidP="00170B2C">
      <w:pPr>
        <w:spacing w:after="120"/>
        <w:rPr>
          <w:lang w:val="ru-RU"/>
        </w:rPr>
      </w:pPr>
      <w:r w:rsidRPr="007F6CEF">
        <w:rPr>
          <w:lang w:val="ru-RU"/>
        </w:rPr>
        <w:t>7</w:t>
      </w:r>
      <w:r w:rsidR="00153F13" w:rsidRPr="007F6CEF">
        <w:rPr>
          <w:lang w:val="ru-RU"/>
        </w:rPr>
        <w:t>6</w:t>
      </w:r>
      <w:r w:rsidRPr="007F6CEF">
        <w:rPr>
          <w:lang w:val="ru-RU"/>
        </w:rPr>
        <w:tab/>
      </w:r>
      <w:r w:rsidR="00F0564B" w:rsidRPr="007F6CEF">
        <w:rPr>
          <w:lang w:val="ru-RU"/>
        </w:rPr>
        <w:t>В последнем году действия своего мандата</w:t>
      </w:r>
      <w:r w:rsidR="00153F13" w:rsidRPr="007F6CEF">
        <w:rPr>
          <w:lang w:val="ru-RU"/>
        </w:rPr>
        <w:t xml:space="preserve"> (2011 г.) </w:t>
      </w:r>
      <w:r w:rsidR="00CA5377" w:rsidRPr="007F6CEF">
        <w:rPr>
          <w:lang w:val="ru-RU"/>
        </w:rPr>
        <w:t>наш предшественник, ШФАБ, заключил, что "</w:t>
      </w:r>
      <w:r w:rsidR="00CA5377" w:rsidRPr="007F6CEF">
        <w:rPr>
          <w:i/>
          <w:lang w:val="ru-RU"/>
        </w:rPr>
        <w:t>такая ситуация с балансом МСЭ, несомненно, вызывает обеспокоенность, но не затрагивает непосредственно его текущее финансовое положение в краткосрочной перспективе</w:t>
      </w:r>
      <w:r w:rsidR="00CA5377" w:rsidRPr="007F6CEF">
        <w:rPr>
          <w:lang w:val="ru-RU"/>
        </w:rPr>
        <w:t>".</w:t>
      </w:r>
    </w:p>
    <w:p w:rsidR="00153F13" w:rsidRPr="007F6CEF" w:rsidRDefault="00153F13" w:rsidP="00170B2C">
      <w:pPr>
        <w:rPr>
          <w:lang w:val="ru-RU"/>
        </w:rPr>
      </w:pPr>
      <w:r w:rsidRPr="007F6CEF">
        <w:rPr>
          <w:lang w:val="ru-RU"/>
        </w:rPr>
        <w:t>77</w:t>
      </w:r>
      <w:r w:rsidRPr="007F6CEF">
        <w:rPr>
          <w:lang w:val="ru-RU"/>
        </w:rPr>
        <w:tab/>
      </w:r>
      <w:r w:rsidR="00F91081" w:rsidRPr="007F6CEF">
        <w:rPr>
          <w:lang w:val="ru-RU"/>
        </w:rPr>
        <w:t xml:space="preserve">В своем отчете по финансовой отчетности за 2012 год мы рекомендовали руководству в </w:t>
      </w:r>
      <w:r w:rsidR="002C5747" w:rsidRPr="007F6CEF">
        <w:rPr>
          <w:lang w:val="ru-RU"/>
        </w:rPr>
        <w:t>ближайшие</w:t>
      </w:r>
      <w:r w:rsidR="00F91081" w:rsidRPr="007F6CEF">
        <w:rPr>
          <w:lang w:val="ru-RU"/>
        </w:rPr>
        <w:t xml:space="preserve"> годы </w:t>
      </w:r>
      <w:r w:rsidR="002C5747" w:rsidRPr="007F6CEF">
        <w:rPr>
          <w:lang w:val="ru-RU"/>
        </w:rPr>
        <w:t xml:space="preserve">провести </w:t>
      </w:r>
      <w:r w:rsidR="002C5747" w:rsidRPr="007F6CEF">
        <w:rPr>
          <w:rFonts w:asciiTheme="minorHAnsi" w:hAnsiTheme="minorHAnsi" w:cs="Segoe UI"/>
          <w:color w:val="000000"/>
          <w:szCs w:val="22"/>
          <w:lang w:val="ru-RU"/>
        </w:rPr>
        <w:t>для поддержки полное актуарное экспертное исследование, которое могло бы дать ответы и возможные решения по данному вопросу. Все же мы считаем, что в</w:t>
      </w:r>
      <w:r w:rsidR="002C5747" w:rsidRPr="007F6CEF">
        <w:rPr>
          <w:lang w:val="ru-RU"/>
        </w:rPr>
        <w:t xml:space="preserve"> связи с переходом к новому поставщику услуг в настоящий момент было бы нереально и нецелесообразно проводить полное актуарное исследование до завершения перехода, возможно в 2016 году. </w:t>
      </w:r>
    </w:p>
    <w:p w:rsidR="00652B5E" w:rsidRPr="007F6CEF" w:rsidRDefault="00652B5E" w:rsidP="00170B2C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652B5E" w:rsidRPr="00C21591" w:rsidTr="00A72B24">
        <w:tc>
          <w:tcPr>
            <w:tcW w:w="9645" w:type="dxa"/>
          </w:tcPr>
          <w:p w:rsidR="00652B5E" w:rsidRPr="007F6CEF" w:rsidRDefault="00652B5E" w:rsidP="00170B2C">
            <w:pPr>
              <w:rPr>
                <w:b/>
                <w:bCs/>
                <w:u w:val="single"/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Рекомендация 3</w:t>
            </w:r>
          </w:p>
          <w:p w:rsidR="00652B5E" w:rsidRPr="007F6CEF" w:rsidRDefault="00652B5E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>78</w:t>
            </w:r>
            <w:r w:rsidRPr="007F6CEF">
              <w:rPr>
                <w:lang w:val="ru-RU"/>
              </w:rPr>
              <w:tab/>
            </w:r>
            <w:r w:rsidR="006C085B" w:rsidRPr="007F6CEF">
              <w:rPr>
                <w:lang w:val="ru-RU"/>
              </w:rPr>
              <w:t xml:space="preserve">Мы повторяем свою </w:t>
            </w:r>
            <w:r w:rsidR="00BC0397" w:rsidRPr="007F6CEF">
              <w:rPr>
                <w:lang w:val="ru-RU"/>
              </w:rPr>
              <w:t>Р</w:t>
            </w:r>
            <w:r w:rsidR="006C085B" w:rsidRPr="007F6CEF">
              <w:rPr>
                <w:lang w:val="ru-RU"/>
              </w:rPr>
              <w:t>екомендацию №</w:t>
            </w:r>
            <w:r w:rsidRPr="007F6CEF">
              <w:rPr>
                <w:lang w:val="ru-RU"/>
              </w:rPr>
              <w:t xml:space="preserve"> 6/2012 </w:t>
            </w:r>
            <w:r w:rsidR="006C085B" w:rsidRPr="007F6CEF">
              <w:rPr>
                <w:lang w:val="ru-RU"/>
              </w:rPr>
              <w:t xml:space="preserve">руководству провести для поддержки полное актуарное экспертное исследование для оценки того, когда, при долгосрочном сценарии, финансовая стабильность МСЭ могла бы быть ослаблена резервными фондами для схемы медицинского страхования; мы принимаем во внимание, что происходит переход к новой схеме (новому сценарию); поэтому </w:t>
            </w:r>
            <w:r w:rsidR="006C085B" w:rsidRPr="007F6CEF">
              <w:rPr>
                <w:u w:val="single"/>
                <w:lang w:val="ru-RU"/>
              </w:rPr>
              <w:t>мы рекомендуем</w:t>
            </w:r>
            <w:r w:rsidR="006C085B" w:rsidRPr="007F6CEF">
              <w:rPr>
                <w:lang w:val="ru-RU"/>
              </w:rPr>
              <w:t xml:space="preserve"> руководству провести полное актуарное экспертное исследование</w:t>
            </w:r>
            <w:r w:rsidR="00914281" w:rsidRPr="007F6CEF">
              <w:rPr>
                <w:lang w:val="ru-RU"/>
              </w:rPr>
              <w:t xml:space="preserve"> после завершения перехода</w:t>
            </w:r>
            <w:r w:rsidR="006C085B" w:rsidRPr="007F6CEF">
              <w:rPr>
                <w:lang w:val="ru-RU"/>
              </w:rPr>
              <w:t xml:space="preserve"> в 2016 году.</w:t>
            </w:r>
            <w:r w:rsidR="006C085B" w:rsidRPr="007F6CEF">
              <w:rPr>
                <w:rFonts w:asciiTheme="minorHAnsi" w:hAnsiTheme="minorHAnsi" w:cs="Segoe UI"/>
                <w:color w:val="000000"/>
                <w:szCs w:val="22"/>
                <w:lang w:val="ru-RU"/>
              </w:rPr>
              <w:t xml:space="preserve"> </w:t>
            </w:r>
          </w:p>
        </w:tc>
      </w:tr>
    </w:tbl>
    <w:p w:rsidR="00652B5E" w:rsidRPr="007F6CEF" w:rsidRDefault="00652B5E" w:rsidP="00170B2C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652B5E" w:rsidRPr="00C21591" w:rsidTr="00A72B24">
        <w:trPr>
          <w:cantSplit/>
        </w:trPr>
        <w:tc>
          <w:tcPr>
            <w:tcW w:w="9645" w:type="dxa"/>
          </w:tcPr>
          <w:p w:rsidR="00652B5E" w:rsidRPr="007F6CEF" w:rsidRDefault="00652B5E" w:rsidP="00170B2C">
            <w:pPr>
              <w:rPr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7F6CEF">
              <w:rPr>
                <w:lang w:val="ru-RU"/>
              </w:rPr>
              <w:t>:</w:t>
            </w:r>
          </w:p>
          <w:p w:rsidR="00652B5E" w:rsidRPr="007F6CEF" w:rsidRDefault="006C085B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 xml:space="preserve">Полное актуарное исследование будет проведено в </w:t>
            </w:r>
            <w:r w:rsidR="00C7627E" w:rsidRPr="007F6CEF">
              <w:rPr>
                <w:lang w:val="ru-RU"/>
              </w:rPr>
              <w:t xml:space="preserve">2016 году согласно рекомендации. </w:t>
            </w:r>
          </w:p>
        </w:tc>
      </w:tr>
    </w:tbl>
    <w:p w:rsidR="00153F13" w:rsidRPr="007F6CEF" w:rsidRDefault="00914281" w:rsidP="00170B2C">
      <w:pPr>
        <w:pStyle w:val="Headingi"/>
        <w:spacing w:before="240"/>
        <w:rPr>
          <w:b/>
          <w:bCs/>
        </w:rPr>
      </w:pPr>
      <w:bookmarkStart w:id="173" w:name="_Toc398125334"/>
      <w:bookmarkStart w:id="174" w:name="_Toc398125813"/>
      <w:r w:rsidRPr="007F6CEF">
        <w:rPr>
          <w:b/>
          <w:bCs/>
        </w:rPr>
        <w:t>Изученные и внедренные альтернативные решения</w:t>
      </w:r>
      <w:bookmarkEnd w:id="173"/>
      <w:bookmarkEnd w:id="174"/>
    </w:p>
    <w:p w:rsidR="00CA5377" w:rsidRPr="007F6CEF" w:rsidRDefault="009B7B2E" w:rsidP="00170B2C">
      <w:pPr>
        <w:rPr>
          <w:lang w:val="ru-RU"/>
        </w:rPr>
      </w:pPr>
      <w:r w:rsidRPr="007F6CEF">
        <w:rPr>
          <w:lang w:val="ru-RU"/>
        </w:rPr>
        <w:t>7</w:t>
      </w:r>
      <w:r w:rsidR="00153F13" w:rsidRPr="007F6CEF">
        <w:rPr>
          <w:lang w:val="ru-RU"/>
        </w:rPr>
        <w:t>9</w:t>
      </w:r>
      <w:r w:rsidRPr="007F6CEF">
        <w:rPr>
          <w:lang w:val="ru-RU"/>
        </w:rPr>
        <w:tab/>
      </w:r>
      <w:r w:rsidR="00CA5377" w:rsidRPr="007F6CEF">
        <w:rPr>
          <w:lang w:val="ru-RU"/>
        </w:rPr>
        <w:t xml:space="preserve">В настоящее время </w:t>
      </w:r>
      <w:r w:rsidR="000D1761" w:rsidRPr="007F6CEF">
        <w:rPr>
          <w:rFonts w:asciiTheme="minorHAnsi" w:hAnsiTheme="minorHAnsi" w:cs="TimesNewRoman"/>
          <w:szCs w:val="22"/>
          <w:lang w:val="ru-RU" w:eastAsia="zh-CN"/>
        </w:rPr>
        <w:t>Фонд медицинского страхования персонала</w:t>
      </w:r>
      <w:r w:rsidR="000D1761" w:rsidRPr="007F6CEF">
        <w:rPr>
          <w:lang w:val="ru-RU"/>
        </w:rPr>
        <w:t xml:space="preserve"> (</w:t>
      </w:r>
      <w:r w:rsidR="00CA5377" w:rsidRPr="007F6CEF">
        <w:rPr>
          <w:lang w:val="ru-RU"/>
        </w:rPr>
        <w:t>ФМСП</w:t>
      </w:r>
      <w:r w:rsidR="000D1761" w:rsidRPr="007F6CEF">
        <w:rPr>
          <w:lang w:val="ru-RU"/>
        </w:rPr>
        <w:t>)</w:t>
      </w:r>
      <w:r w:rsidR="00CA5377" w:rsidRPr="007F6CEF">
        <w:rPr>
          <w:lang w:val="ru-RU"/>
        </w:rPr>
        <w:t xml:space="preserve"> ведет отдельный учет полученных взносов и выплаченных пособий для МСЭ и МОТ, пропорционально делится только доходность активов. В отличие от МОТ, финансовое состояние МСЭ </w:t>
      </w:r>
      <w:r w:rsidR="00914281" w:rsidRPr="007F6CEF">
        <w:rPr>
          <w:lang w:val="ru-RU"/>
        </w:rPr>
        <w:t>не является сбалансированным</w:t>
      </w:r>
      <w:r w:rsidR="00CA5377" w:rsidRPr="007F6CEF">
        <w:rPr>
          <w:lang w:val="ru-RU"/>
        </w:rPr>
        <w:t>.</w:t>
      </w:r>
    </w:p>
    <w:p w:rsidR="00CA5377" w:rsidRPr="007F6CEF" w:rsidRDefault="00652B5E" w:rsidP="00170B2C">
      <w:pPr>
        <w:rPr>
          <w:lang w:val="ru-RU"/>
        </w:rPr>
      </w:pPr>
      <w:r w:rsidRPr="007F6CEF">
        <w:rPr>
          <w:lang w:val="ru-RU"/>
        </w:rPr>
        <w:t>80</w:t>
      </w:r>
      <w:r w:rsidR="009B7B2E" w:rsidRPr="007F6CEF">
        <w:rPr>
          <w:lang w:val="ru-RU"/>
        </w:rPr>
        <w:tab/>
      </w:r>
      <w:r w:rsidR="00CA5377" w:rsidRPr="007F6CEF">
        <w:rPr>
          <w:lang w:val="ru-RU"/>
        </w:rPr>
        <w:t xml:space="preserve">Казначей и финансовый контролер и Директор по УЛР МОТ в своем письме от </w:t>
      </w:r>
      <w:r w:rsidRPr="007F6CEF">
        <w:rPr>
          <w:lang w:val="ru-RU"/>
        </w:rPr>
        <w:t>1</w:t>
      </w:r>
      <w:r w:rsidR="00CA5377" w:rsidRPr="007F6CEF">
        <w:rPr>
          <w:lang w:val="ru-RU"/>
        </w:rPr>
        <w:t xml:space="preserve">2 февраля 2012 года обратил внимание руководства МСЭ на его положение и предложил, чтобы две организации обсудили вопрос о возможном выравнивании. Он пояснил, что расхождение в технических результатах в основном обусловливается двумя факторами: </w:t>
      </w:r>
      <w:r w:rsidRPr="007F6CEF">
        <w:rPr>
          <w:lang w:val="ru-RU"/>
        </w:rPr>
        <w:t>"</w:t>
      </w:r>
      <w:r w:rsidR="00CA5377" w:rsidRPr="007F6CEF">
        <w:rPr>
          <w:lang w:val="ru-RU"/>
        </w:rPr>
        <w:t>i) высокой численностью лиц, застрахованных МСЭ в районе Женевы, где стоимость м</w:t>
      </w:r>
      <w:r w:rsidRPr="007F6CEF">
        <w:rPr>
          <w:lang w:val="ru-RU"/>
        </w:rPr>
        <w:t>едицинского обслуживания высока;"</w:t>
      </w:r>
      <w:r w:rsidR="00CA5377" w:rsidRPr="007F6CEF">
        <w:rPr>
          <w:lang w:val="ru-RU"/>
        </w:rPr>
        <w:t xml:space="preserve"> и </w:t>
      </w:r>
      <w:r w:rsidRPr="007F6CEF">
        <w:rPr>
          <w:lang w:val="ru-RU"/>
        </w:rPr>
        <w:t>"</w:t>
      </w:r>
      <w:r w:rsidR="00CA5377" w:rsidRPr="007F6CEF">
        <w:rPr>
          <w:lang w:val="ru-RU"/>
        </w:rPr>
        <w:t>ii) более высоким отношением численности застрахованных МСЭ лиц, относящихся к категории "пенсионер", к численности застрахованных, относящихся к "активной" категории (0,61 для МСЭ и 0,44 для МОТ)</w:t>
      </w:r>
      <w:r w:rsidRPr="007F6CEF">
        <w:rPr>
          <w:lang w:val="ru-RU"/>
        </w:rPr>
        <w:t>"</w:t>
      </w:r>
      <w:r w:rsidR="00CA5377" w:rsidRPr="007F6CEF">
        <w:rPr>
          <w:lang w:val="ru-RU"/>
        </w:rPr>
        <w:t>. Две организации начали обсужд</w:t>
      </w:r>
      <w:r w:rsidR="000D1761" w:rsidRPr="007F6CEF">
        <w:rPr>
          <w:lang w:val="ru-RU"/>
        </w:rPr>
        <w:t>ать</w:t>
      </w:r>
      <w:r w:rsidR="00CA5377" w:rsidRPr="007F6CEF">
        <w:rPr>
          <w:lang w:val="ru-RU"/>
        </w:rPr>
        <w:t xml:space="preserve"> </w:t>
      </w:r>
      <w:r w:rsidR="000D1761" w:rsidRPr="007F6CEF">
        <w:rPr>
          <w:lang w:val="ru-RU"/>
        </w:rPr>
        <w:t>направление</w:t>
      </w:r>
      <w:r w:rsidR="00CA5377" w:rsidRPr="007F6CEF">
        <w:rPr>
          <w:lang w:val="ru-RU"/>
        </w:rPr>
        <w:t xml:space="preserve"> дальнейших действий</w:t>
      </w:r>
      <w:r w:rsidRPr="007F6CEF">
        <w:rPr>
          <w:lang w:val="ru-RU"/>
        </w:rPr>
        <w:t xml:space="preserve">, </w:t>
      </w:r>
      <w:r w:rsidR="000D1761" w:rsidRPr="007F6CEF">
        <w:rPr>
          <w:lang w:val="ru-RU"/>
        </w:rPr>
        <w:t xml:space="preserve">но не пришли к согласию по поводу финансирования ФМСП без того, чтобы не ставить под сомнение принципы солидарности и взаимности рисков, которыми руководствовался Фонд. </w:t>
      </w:r>
    </w:p>
    <w:p w:rsidR="00652B5E" w:rsidRPr="007F6CEF" w:rsidRDefault="00652B5E" w:rsidP="00170B2C">
      <w:pPr>
        <w:rPr>
          <w:lang w:val="ru-RU"/>
        </w:rPr>
      </w:pPr>
      <w:r w:rsidRPr="007F6CEF">
        <w:rPr>
          <w:lang w:val="ru-RU"/>
        </w:rPr>
        <w:t>81</w:t>
      </w:r>
      <w:r w:rsidRPr="007F6CEF">
        <w:rPr>
          <w:lang w:val="ru-RU"/>
        </w:rPr>
        <w:tab/>
      </w:r>
      <w:r w:rsidR="000D1761" w:rsidRPr="007F6CEF">
        <w:rPr>
          <w:lang w:val="ru-RU"/>
        </w:rPr>
        <w:t xml:space="preserve">В своем отчете по отчетности за 2012 </w:t>
      </w:r>
      <w:r w:rsidR="003A6534" w:rsidRPr="007F6CEF">
        <w:rPr>
          <w:lang w:val="ru-RU"/>
        </w:rPr>
        <w:t>г</w:t>
      </w:r>
      <w:r w:rsidR="000D1761" w:rsidRPr="007F6CEF">
        <w:rPr>
          <w:lang w:val="ru-RU"/>
        </w:rPr>
        <w:t xml:space="preserve">од мы рекомендовали руководству </w:t>
      </w:r>
      <w:r w:rsidR="003A6534" w:rsidRPr="007F6CEF">
        <w:rPr>
          <w:lang w:val="ru-RU"/>
        </w:rPr>
        <w:t>"</w:t>
      </w:r>
      <w:r w:rsidR="003A6534" w:rsidRPr="007F6CEF">
        <w:rPr>
          <w:rFonts w:asciiTheme="minorHAnsi" w:hAnsiTheme="minorHAnsi" w:cs="Segoe UI"/>
          <w:i/>
          <w:iCs/>
          <w:color w:val="000000"/>
          <w:szCs w:val="22"/>
          <w:lang w:val="ru-RU"/>
        </w:rPr>
        <w:t>рассмотреть альтернативные ФМСП варианты в пределах и за пределами системы ООН</w:t>
      </w:r>
      <w:r w:rsidR="003A6534" w:rsidRPr="007F6CEF">
        <w:rPr>
          <w:rFonts w:asciiTheme="minorHAnsi" w:hAnsiTheme="minorHAnsi" w:cs="Segoe UI"/>
          <w:color w:val="000000"/>
          <w:szCs w:val="22"/>
          <w:lang w:val="ru-RU"/>
        </w:rPr>
        <w:t xml:space="preserve">". В связи с отсутствием согласия между двумя организациями и также следуя нашим рекомендациям, руководство МСЭ в 2013 году поручило независимой консультативной компании изучить альтернативные решения, которые позволили бы МСЭ </w:t>
      </w:r>
      <w:r w:rsidR="00AF5E0F" w:rsidRPr="007F6CEF">
        <w:rPr>
          <w:rFonts w:asciiTheme="minorHAnsi" w:hAnsiTheme="minorHAnsi" w:cs="Segoe UI"/>
          <w:color w:val="000000"/>
          <w:szCs w:val="22"/>
          <w:lang w:val="ru-RU"/>
        </w:rPr>
        <w:t xml:space="preserve">обеспечивать для своих сотрудников медицинское обслуживание, принимая во внимание два различных условия: </w:t>
      </w:r>
    </w:p>
    <w:p w:rsidR="00652B5E" w:rsidRPr="007F6CEF" w:rsidRDefault="00652B5E" w:rsidP="00170B2C">
      <w:pPr>
        <w:pStyle w:val="enumlev1"/>
        <w:rPr>
          <w:lang w:val="ru-RU"/>
        </w:rPr>
      </w:pPr>
      <w:r w:rsidRPr="007F6CEF">
        <w:rPr>
          <w:lang w:val="ru-RU"/>
        </w:rPr>
        <w:t>a)</w:t>
      </w:r>
      <w:r w:rsidRPr="007F6CEF">
        <w:rPr>
          <w:lang w:val="ru-RU"/>
        </w:rPr>
        <w:tab/>
      </w:r>
      <w:r w:rsidR="00C57781" w:rsidRPr="007F6CEF">
        <w:rPr>
          <w:lang w:val="ru-RU"/>
        </w:rPr>
        <w:t>обеспечить такие же преимущества, как и в рамках ФМСП</w:t>
      </w:r>
      <w:r w:rsidRPr="007F6CEF">
        <w:rPr>
          <w:lang w:val="ru-RU"/>
        </w:rPr>
        <w:t>;</w:t>
      </w:r>
    </w:p>
    <w:p w:rsidR="00652B5E" w:rsidRPr="007F6CEF" w:rsidRDefault="00652B5E" w:rsidP="00170B2C">
      <w:pPr>
        <w:pStyle w:val="enumlev1"/>
        <w:rPr>
          <w:lang w:val="ru-RU"/>
        </w:rPr>
      </w:pPr>
      <w:r w:rsidRPr="007F6CEF">
        <w:rPr>
          <w:lang w:val="ru-RU"/>
        </w:rPr>
        <w:t>b)</w:t>
      </w:r>
      <w:r w:rsidRPr="007F6CEF">
        <w:rPr>
          <w:lang w:val="ru-RU"/>
        </w:rPr>
        <w:tab/>
      </w:r>
      <w:r w:rsidR="00C57781" w:rsidRPr="007F6CEF">
        <w:rPr>
          <w:lang w:val="ru-RU"/>
        </w:rPr>
        <w:t xml:space="preserve">финансовое положение МСЭ должно быть </w:t>
      </w:r>
      <w:r w:rsidR="00E51063" w:rsidRPr="007F6CEF">
        <w:rPr>
          <w:lang w:val="ru-RU"/>
        </w:rPr>
        <w:t>обоснованным</w:t>
      </w:r>
      <w:r w:rsidR="00C57781" w:rsidRPr="007F6CEF">
        <w:rPr>
          <w:lang w:val="ru-RU"/>
        </w:rPr>
        <w:t xml:space="preserve"> и устойчивым в долгосрочном плане. </w:t>
      </w:r>
    </w:p>
    <w:p w:rsidR="00652B5E" w:rsidRPr="007F6CEF" w:rsidRDefault="00652B5E" w:rsidP="00170B2C">
      <w:pPr>
        <w:rPr>
          <w:lang w:val="ru-RU"/>
        </w:rPr>
      </w:pPr>
      <w:r w:rsidRPr="007F6CEF">
        <w:rPr>
          <w:lang w:val="ru-RU"/>
        </w:rPr>
        <w:t>82</w:t>
      </w:r>
      <w:r w:rsidRPr="007F6CEF">
        <w:rPr>
          <w:lang w:val="ru-RU"/>
        </w:rPr>
        <w:tab/>
      </w:r>
      <w:r w:rsidR="007C1481" w:rsidRPr="007F6CEF">
        <w:rPr>
          <w:lang w:val="ru-RU"/>
        </w:rPr>
        <w:t xml:space="preserve">Консультативная компания пригласила 12 страховых компаний, </w:t>
      </w:r>
      <w:r w:rsidR="00E51063" w:rsidRPr="007F6CEF">
        <w:rPr>
          <w:lang w:val="ru-RU"/>
        </w:rPr>
        <w:t>обладающих</w:t>
      </w:r>
      <w:r w:rsidR="007C1481" w:rsidRPr="007F6CEF">
        <w:rPr>
          <w:lang w:val="ru-RU"/>
        </w:rPr>
        <w:t xml:space="preserve"> опыт</w:t>
      </w:r>
      <w:r w:rsidR="00E51063" w:rsidRPr="007F6CEF">
        <w:rPr>
          <w:lang w:val="ru-RU"/>
        </w:rPr>
        <w:t>ом</w:t>
      </w:r>
      <w:r w:rsidR="007C1481" w:rsidRPr="007F6CEF">
        <w:rPr>
          <w:lang w:val="ru-RU"/>
        </w:rPr>
        <w:t xml:space="preserve"> </w:t>
      </w:r>
      <w:r w:rsidR="00E51063" w:rsidRPr="007F6CEF">
        <w:rPr>
          <w:lang w:val="ru-RU"/>
        </w:rPr>
        <w:t>управления в сфере</w:t>
      </w:r>
      <w:r w:rsidR="007C1481" w:rsidRPr="007F6CEF">
        <w:rPr>
          <w:lang w:val="ru-RU"/>
        </w:rPr>
        <w:t xml:space="preserve"> услуг международного медицинского страхования. В МСЭ была создана рабочая группа по рассмотрению решений, предложенных консультативной компанией, а также по определению и рекомендации Генеральному секретарю наиболее подходящих решений, касающихся предложенных выше условий. </w:t>
      </w:r>
    </w:p>
    <w:p w:rsidR="00652B5E" w:rsidRPr="007F6CEF" w:rsidRDefault="00652B5E" w:rsidP="00170B2C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lang w:val="ru-RU"/>
        </w:rPr>
      </w:pPr>
      <w:r w:rsidRPr="007F6CEF">
        <w:rPr>
          <w:lang w:val="ru-RU"/>
        </w:rPr>
        <w:t>83</w:t>
      </w:r>
      <w:r w:rsidRPr="007F6CEF">
        <w:rPr>
          <w:lang w:val="ru-RU"/>
        </w:rPr>
        <w:tab/>
      </w:r>
      <w:r w:rsidR="007C1481" w:rsidRPr="007F6CEF">
        <w:rPr>
          <w:lang w:val="ru-RU"/>
        </w:rPr>
        <w:t xml:space="preserve">После оценки всех предложений наиболее подходящим оказалось </w:t>
      </w:r>
      <w:r w:rsidR="007C1481" w:rsidRPr="007F6CEF">
        <w:rPr>
          <w:rFonts w:asciiTheme="minorHAnsi" w:hAnsiTheme="minorHAnsi"/>
          <w:szCs w:val="22"/>
          <w:lang w:val="ru-RU"/>
        </w:rPr>
        <w:t xml:space="preserve">предложение, представленное </w:t>
      </w:r>
      <w:r w:rsidRPr="007F6CEF">
        <w:rPr>
          <w:rFonts w:asciiTheme="minorHAnsi" w:hAnsiTheme="minorHAnsi"/>
          <w:szCs w:val="22"/>
          <w:lang w:val="ru-RU"/>
        </w:rPr>
        <w:t>Cigna/Vanbreda International</w:t>
      </w:r>
      <w:r w:rsidR="007C1481" w:rsidRPr="007F6CEF">
        <w:rPr>
          <w:rFonts w:asciiTheme="minorHAnsi" w:hAnsiTheme="minorHAnsi"/>
          <w:szCs w:val="22"/>
          <w:lang w:val="ru-RU"/>
        </w:rPr>
        <w:t>, и МСЭ приняло решение назначить эти две компании для новой схемы медицинского страхования персонала под названием "</w:t>
      </w:r>
      <w:r w:rsidR="007C1481" w:rsidRPr="007F6CEF">
        <w:rPr>
          <w:rFonts w:asciiTheme="minorHAnsi" w:hAnsiTheme="minorHAnsi" w:cs="TimesNewRoman"/>
          <w:szCs w:val="22"/>
          <w:lang w:val="ru-RU" w:eastAsia="zh-CN"/>
        </w:rPr>
        <w:t xml:space="preserve">План коллективного медицинского страхования </w:t>
      </w:r>
      <w:r w:rsidR="007C1481" w:rsidRPr="007F6CEF">
        <w:rPr>
          <w:rFonts w:asciiTheme="minorHAnsi" w:hAnsiTheme="minorHAnsi" w:cs="Times-Roman"/>
          <w:szCs w:val="22"/>
          <w:lang w:val="ru-RU" w:eastAsia="zh-CN"/>
        </w:rPr>
        <w:t>(</w:t>
      </w:r>
      <w:r w:rsidR="007C1481" w:rsidRPr="007F6CEF">
        <w:rPr>
          <w:rFonts w:asciiTheme="minorHAnsi" w:hAnsiTheme="minorHAnsi" w:cs="TimesNewRoman"/>
          <w:szCs w:val="22"/>
          <w:lang w:val="ru-RU" w:eastAsia="zh-CN"/>
        </w:rPr>
        <w:t>ПКМС</w:t>
      </w:r>
      <w:r w:rsidR="007C1481" w:rsidRPr="007F6CEF">
        <w:rPr>
          <w:rFonts w:asciiTheme="minorHAnsi" w:hAnsiTheme="minorHAnsi" w:cs="Times-Roman"/>
          <w:szCs w:val="22"/>
          <w:lang w:val="ru-RU" w:eastAsia="zh-CN"/>
        </w:rPr>
        <w:t xml:space="preserve">)"; </w:t>
      </w:r>
      <w:r w:rsidR="00EF02F7" w:rsidRPr="007F6CEF">
        <w:rPr>
          <w:rFonts w:asciiTheme="minorHAnsi" w:hAnsiTheme="minorHAnsi"/>
          <w:szCs w:val="22"/>
          <w:lang w:val="ru-RU"/>
        </w:rPr>
        <w:t>компания</w:t>
      </w:r>
      <w:r w:rsidRPr="007F6CEF">
        <w:rPr>
          <w:rFonts w:asciiTheme="minorHAnsi" w:hAnsiTheme="minorHAnsi"/>
          <w:szCs w:val="22"/>
          <w:lang w:val="ru-RU"/>
        </w:rPr>
        <w:t xml:space="preserve"> Cigna</w:t>
      </w:r>
      <w:r w:rsidRPr="007F6CEF">
        <w:rPr>
          <w:lang w:val="ru-RU"/>
        </w:rPr>
        <w:t xml:space="preserve"> </w:t>
      </w:r>
      <w:r w:rsidR="00EF02F7" w:rsidRPr="007F6CEF">
        <w:rPr>
          <w:lang w:val="ru-RU"/>
        </w:rPr>
        <w:t xml:space="preserve">– страхователь, а компания </w:t>
      </w:r>
      <w:r w:rsidRPr="007F6CEF">
        <w:rPr>
          <w:lang w:val="ru-RU"/>
        </w:rPr>
        <w:t xml:space="preserve">Vanbreda International </w:t>
      </w:r>
      <w:r w:rsidR="00EF02F7" w:rsidRPr="007F6CEF">
        <w:rPr>
          <w:lang w:val="ru-RU"/>
        </w:rPr>
        <w:t xml:space="preserve">– </w:t>
      </w:r>
      <w:r w:rsidR="00DB0FF7" w:rsidRPr="007F6CEF">
        <w:rPr>
          <w:lang w:val="ru-RU"/>
        </w:rPr>
        <w:t>претензионист</w:t>
      </w:r>
      <w:r w:rsidR="00EF02F7" w:rsidRPr="007F6CEF">
        <w:rPr>
          <w:lang w:val="ru-RU"/>
        </w:rPr>
        <w:t xml:space="preserve">. </w:t>
      </w:r>
      <w:r w:rsidRPr="007F6CEF">
        <w:rPr>
          <w:lang w:val="ru-RU"/>
        </w:rPr>
        <w:t xml:space="preserve">Vanbreda International </w:t>
      </w:r>
      <w:r w:rsidR="00EF02F7" w:rsidRPr="007F6CEF">
        <w:rPr>
          <w:lang w:val="ru-RU"/>
        </w:rPr>
        <w:t>имеет обширный опыт в области международного медицинского страхования также на уровне других организаций О</w:t>
      </w:r>
      <w:r w:rsidR="000220E7" w:rsidRPr="007F6CEF">
        <w:rPr>
          <w:lang w:val="ru-RU"/>
        </w:rPr>
        <w:t>О</w:t>
      </w:r>
      <w:r w:rsidR="00EF02F7" w:rsidRPr="007F6CEF">
        <w:rPr>
          <w:lang w:val="ru-RU"/>
        </w:rPr>
        <w:t xml:space="preserve">Н и учреждений ЕС. </w:t>
      </w:r>
    </w:p>
    <w:p w:rsidR="00652B5E" w:rsidRPr="007F6CEF" w:rsidRDefault="00652B5E" w:rsidP="00170B2C">
      <w:pPr>
        <w:rPr>
          <w:lang w:val="ru-RU"/>
        </w:rPr>
      </w:pPr>
      <w:r w:rsidRPr="007F6CEF">
        <w:rPr>
          <w:lang w:val="ru-RU"/>
        </w:rPr>
        <w:t>84</w:t>
      </w:r>
      <w:r w:rsidRPr="007F6CEF">
        <w:rPr>
          <w:lang w:val="ru-RU"/>
        </w:rPr>
        <w:tab/>
      </w:r>
      <w:r w:rsidR="000220E7" w:rsidRPr="007F6CEF">
        <w:rPr>
          <w:lang w:val="ru-RU"/>
        </w:rPr>
        <w:t xml:space="preserve">Новая схема страхования персонала стала внедряться с 1 мая 2014 года, и в 2014 году с учетом сроков перехода управление новой схемой медицинского страхования будет затруднено. Поэтому мы будем контролировать, какое воздействие это изменение окажет на финансовую отчетность МСЭ в ближайшие годы. </w:t>
      </w:r>
    </w:p>
    <w:p w:rsidR="00652B5E" w:rsidRPr="007F6CEF" w:rsidRDefault="00652B5E" w:rsidP="00170B2C">
      <w:pPr>
        <w:rPr>
          <w:lang w:val="ru-RU"/>
        </w:rPr>
      </w:pPr>
      <w:r w:rsidRPr="007F6CEF">
        <w:rPr>
          <w:lang w:val="ru-RU"/>
        </w:rPr>
        <w:t>85</w:t>
      </w:r>
      <w:r w:rsidRPr="007F6CEF">
        <w:rPr>
          <w:lang w:val="ru-RU"/>
        </w:rPr>
        <w:tab/>
      </w:r>
      <w:r w:rsidR="00DC7A71" w:rsidRPr="007F6CEF">
        <w:rPr>
          <w:lang w:val="ru-RU"/>
        </w:rPr>
        <w:t xml:space="preserve">В связи с тем, что новая схема вступила в силу в мае 2014 года, мы будем оценивать другие аспекты этой новой схемы. </w:t>
      </w:r>
    </w:p>
    <w:p w:rsidR="00CA5377" w:rsidRPr="007F6CEF" w:rsidRDefault="00CA5377" w:rsidP="00170B2C">
      <w:pPr>
        <w:pStyle w:val="Headingb"/>
        <w:rPr>
          <w:lang w:val="ru-RU"/>
        </w:rPr>
      </w:pPr>
      <w:bookmarkStart w:id="175" w:name="_Toc398125335"/>
      <w:bookmarkStart w:id="176" w:name="_Toc398125814"/>
      <w:bookmarkStart w:id="177" w:name="_Toc398127103"/>
      <w:r w:rsidRPr="007F6CEF">
        <w:rPr>
          <w:lang w:val="ru-RU"/>
        </w:rPr>
        <w:t>Проведен аудит ФМСП Высшим контрольным органом Канады: серьезных проблем не отмечено</w:t>
      </w:r>
      <w:bookmarkEnd w:id="175"/>
      <w:bookmarkEnd w:id="176"/>
      <w:bookmarkEnd w:id="177"/>
    </w:p>
    <w:p w:rsidR="00CA5377" w:rsidRPr="007F6CEF" w:rsidRDefault="00652B5E" w:rsidP="00170B2C">
      <w:pPr>
        <w:rPr>
          <w:lang w:val="ru-RU"/>
        </w:rPr>
      </w:pPr>
      <w:r w:rsidRPr="007F6CEF">
        <w:rPr>
          <w:lang w:val="ru-RU"/>
        </w:rPr>
        <w:t>86</w:t>
      </w:r>
      <w:r w:rsidR="009B7B2E" w:rsidRPr="007F6CEF">
        <w:rPr>
          <w:lang w:val="ru-RU"/>
        </w:rPr>
        <w:tab/>
      </w:r>
      <w:r w:rsidR="00DC7A71" w:rsidRPr="007F6CEF">
        <w:rPr>
          <w:lang w:val="ru-RU"/>
        </w:rPr>
        <w:t>Следует</w:t>
      </w:r>
      <w:r w:rsidR="00CA5377" w:rsidRPr="007F6CEF">
        <w:rPr>
          <w:lang w:val="ru-RU"/>
        </w:rPr>
        <w:t xml:space="preserve"> отметить, что Высший контрольный орган Канады провел аудит финансовой отчетности фонда ФМСП. Мы регулярно поддерживали с аудиторами связь и обменивались информацией относительно </w:t>
      </w:r>
      <w:r w:rsidR="00E96B9F" w:rsidRPr="007F6CEF">
        <w:rPr>
          <w:lang w:val="ru-RU"/>
        </w:rPr>
        <w:t xml:space="preserve">не только </w:t>
      </w:r>
      <w:r w:rsidR="00CA5377" w:rsidRPr="007F6CEF">
        <w:rPr>
          <w:lang w:val="ru-RU"/>
        </w:rPr>
        <w:t xml:space="preserve">правильности цифровых данных, но и их правдоподобности. Мы также обсудили методику аудита в </w:t>
      </w:r>
      <w:r w:rsidR="007D0154" w:rsidRPr="007F6CEF">
        <w:rPr>
          <w:lang w:val="ru-RU"/>
        </w:rPr>
        <w:t>аспекте</w:t>
      </w:r>
      <w:r w:rsidR="00CA5377" w:rsidRPr="007F6CEF">
        <w:rPr>
          <w:lang w:val="ru-RU"/>
        </w:rPr>
        <w:t xml:space="preserve"> применения разных ключевых допущений, используемых МСЭ и МОТ (применительно к актуарному исследованию). Нам не было сообщено о каких-либо серьезных проблемах, связанных с ФМСП. </w:t>
      </w:r>
    </w:p>
    <w:p w:rsidR="004D19D1" w:rsidRPr="007F6CEF" w:rsidRDefault="007D0154" w:rsidP="00170B2C">
      <w:pPr>
        <w:pStyle w:val="Headingb"/>
        <w:rPr>
          <w:lang w:val="ru-RU"/>
        </w:rPr>
      </w:pPr>
      <w:bookmarkStart w:id="178" w:name="_Toc398125336"/>
      <w:bookmarkStart w:id="179" w:name="_Toc398125815"/>
      <w:bookmarkStart w:id="180" w:name="_Toc398127104"/>
      <w:r w:rsidRPr="007F6CEF">
        <w:rPr>
          <w:lang w:val="ru-RU"/>
        </w:rPr>
        <w:t>ФМСП</w:t>
      </w:r>
      <w:r w:rsidR="004D19D1" w:rsidRPr="007F6CEF">
        <w:rPr>
          <w:lang w:val="ru-RU"/>
        </w:rPr>
        <w:t xml:space="preserve">: </w:t>
      </w:r>
      <w:r w:rsidRPr="007F6CEF">
        <w:rPr>
          <w:lang w:val="ru-RU"/>
        </w:rPr>
        <w:t xml:space="preserve">рост </w:t>
      </w:r>
      <w:r w:rsidR="00CC7F45" w:rsidRPr="007F6CEF">
        <w:rPr>
          <w:lang w:val="ru-RU"/>
        </w:rPr>
        <w:t>возмещенных сумм</w:t>
      </w:r>
      <w:r w:rsidRPr="007F6CEF">
        <w:rPr>
          <w:lang w:val="ru-RU"/>
        </w:rPr>
        <w:t xml:space="preserve"> на медицинское обслуживание в 2013 году</w:t>
      </w:r>
      <w:bookmarkEnd w:id="178"/>
      <w:bookmarkEnd w:id="179"/>
      <w:bookmarkEnd w:id="180"/>
      <w:r w:rsidRPr="007F6CEF">
        <w:rPr>
          <w:lang w:val="ru-RU"/>
        </w:rPr>
        <w:t xml:space="preserve"> </w:t>
      </w:r>
    </w:p>
    <w:p w:rsidR="004D19D1" w:rsidRPr="007F6CEF" w:rsidRDefault="004D19D1" w:rsidP="00170B2C">
      <w:pPr>
        <w:rPr>
          <w:lang w:val="ru-RU"/>
        </w:rPr>
      </w:pPr>
      <w:r w:rsidRPr="007F6CEF">
        <w:rPr>
          <w:lang w:val="ru-RU"/>
        </w:rPr>
        <w:t>87</w:t>
      </w:r>
      <w:r w:rsidRPr="007F6CEF">
        <w:rPr>
          <w:lang w:val="ru-RU"/>
        </w:rPr>
        <w:tab/>
      </w:r>
      <w:r w:rsidR="007D0154" w:rsidRPr="007F6CEF">
        <w:rPr>
          <w:lang w:val="ru-RU"/>
        </w:rPr>
        <w:t>В ходе проводимой нами аудиторской проверки мы отметили рост в 2013 году выплат в счет возмещения расходов на медицинско</w:t>
      </w:r>
      <w:r w:rsidR="00906808" w:rsidRPr="007F6CEF">
        <w:rPr>
          <w:lang w:val="ru-RU"/>
        </w:rPr>
        <w:t>е</w:t>
      </w:r>
      <w:r w:rsidR="007D0154" w:rsidRPr="007F6CEF">
        <w:rPr>
          <w:lang w:val="ru-RU"/>
        </w:rPr>
        <w:t xml:space="preserve"> обслуживание более чем на 2 млн. швейцарских франков по сравнению с 2012 годом. Мы проанализировали такое увеличение, чтобы понять, не было ли каких-либо нарушений. Кроме того, следует упомянуть о том, что руководство МСЭ также обратилось к нам с просьбой провести конкретный </w:t>
      </w:r>
      <w:r w:rsidR="00906808" w:rsidRPr="007F6CEF">
        <w:rPr>
          <w:lang w:val="ru-RU"/>
        </w:rPr>
        <w:t>анализ</w:t>
      </w:r>
      <w:r w:rsidR="007D0154" w:rsidRPr="007F6CEF">
        <w:rPr>
          <w:lang w:val="ru-RU"/>
        </w:rPr>
        <w:t xml:space="preserve"> причин так</w:t>
      </w:r>
      <w:r w:rsidR="00906808" w:rsidRPr="007F6CEF">
        <w:rPr>
          <w:lang w:val="ru-RU"/>
        </w:rPr>
        <w:t>ого увеличени</w:t>
      </w:r>
      <w:r w:rsidR="007D0154" w:rsidRPr="007F6CEF">
        <w:rPr>
          <w:lang w:val="ru-RU"/>
        </w:rPr>
        <w:t xml:space="preserve">я. В связи с этим важно отметить, что полное исследование данного вопроса оказалось невозможным в течение срока нашей аудиторской проверки; тем не менее, в </w:t>
      </w:r>
      <w:r w:rsidR="00906808" w:rsidRPr="007F6CEF">
        <w:rPr>
          <w:lang w:val="ru-RU"/>
        </w:rPr>
        <w:t>нижеследующих пунктах мы приводим результаты нашего предварительного анализа.</w:t>
      </w:r>
    </w:p>
    <w:p w:rsidR="004D19D1" w:rsidRPr="007F6CEF" w:rsidRDefault="00013437" w:rsidP="00170B2C">
      <w:pPr>
        <w:pStyle w:val="Headingi"/>
        <w:rPr>
          <w:b/>
          <w:bCs/>
        </w:rPr>
      </w:pPr>
      <w:bookmarkStart w:id="181" w:name="_Toc398125337"/>
      <w:bookmarkStart w:id="182" w:name="_Toc398125816"/>
      <w:r w:rsidRPr="007F6CEF">
        <w:rPr>
          <w:b/>
          <w:bCs/>
        </w:rPr>
        <w:t>Выборка и сбор документов</w:t>
      </w:r>
      <w:bookmarkEnd w:id="181"/>
      <w:bookmarkEnd w:id="182"/>
    </w:p>
    <w:p w:rsidR="004D19D1" w:rsidRPr="007F6CEF" w:rsidRDefault="004D19D1" w:rsidP="00170B2C">
      <w:pPr>
        <w:rPr>
          <w:lang w:val="ru-RU"/>
        </w:rPr>
      </w:pPr>
      <w:r w:rsidRPr="007F6CEF">
        <w:rPr>
          <w:lang w:val="ru-RU"/>
        </w:rPr>
        <w:t>88</w:t>
      </w:r>
      <w:r w:rsidRPr="007F6CEF">
        <w:rPr>
          <w:lang w:val="ru-RU"/>
        </w:rPr>
        <w:tab/>
      </w:r>
      <w:r w:rsidR="00013437" w:rsidRPr="007F6CEF">
        <w:rPr>
          <w:lang w:val="ru-RU"/>
        </w:rPr>
        <w:t xml:space="preserve">Мы запросили список всех </w:t>
      </w:r>
      <w:r w:rsidR="000B1A8E" w:rsidRPr="007F6CEF">
        <w:rPr>
          <w:lang w:val="ru-RU"/>
        </w:rPr>
        <w:t>удовлетворенных</w:t>
      </w:r>
      <w:r w:rsidR="00013437" w:rsidRPr="007F6CEF">
        <w:rPr>
          <w:lang w:val="ru-RU"/>
        </w:rPr>
        <w:t xml:space="preserve"> заявок о выплате медицинского страхового возмещения </w:t>
      </w:r>
      <w:r w:rsidR="002120CC" w:rsidRPr="007F6CEF">
        <w:rPr>
          <w:lang w:val="ru-RU"/>
        </w:rPr>
        <w:t xml:space="preserve">и </w:t>
      </w:r>
      <w:r w:rsidR="0045633F" w:rsidRPr="007F6CEF">
        <w:rPr>
          <w:lang w:val="ru-RU"/>
        </w:rPr>
        <w:t>подобрали</w:t>
      </w:r>
      <w:r w:rsidR="002120CC" w:rsidRPr="007F6CEF">
        <w:rPr>
          <w:lang w:val="ru-RU"/>
        </w:rPr>
        <w:t xml:space="preserve"> выборку из удовлетворенных заявок на самые </w:t>
      </w:r>
      <w:r w:rsidR="00CC7F45" w:rsidRPr="007F6CEF">
        <w:rPr>
          <w:lang w:val="ru-RU"/>
        </w:rPr>
        <w:t>крупные</w:t>
      </w:r>
      <w:r w:rsidR="002120CC" w:rsidRPr="007F6CEF">
        <w:rPr>
          <w:lang w:val="ru-RU"/>
        </w:rPr>
        <w:t xml:space="preserve"> суммы, в целом</w:t>
      </w:r>
      <w:r w:rsidR="00E96B9F" w:rsidRPr="007F6CEF">
        <w:rPr>
          <w:lang w:val="ru-RU"/>
        </w:rPr>
        <w:t xml:space="preserve"> 52 </w:t>
      </w:r>
      <w:r w:rsidR="002120CC" w:rsidRPr="007F6CEF">
        <w:rPr>
          <w:lang w:val="ru-RU"/>
        </w:rPr>
        <w:t xml:space="preserve">досье, каждое из которых относится к одному застрахованному лицу (в разбивке на сотрудников, пенсионеров и </w:t>
      </w:r>
      <w:r w:rsidR="00C91C5F" w:rsidRPr="007F6CEF">
        <w:rPr>
          <w:lang w:val="ru-RU"/>
        </w:rPr>
        <w:t xml:space="preserve">переживших </w:t>
      </w:r>
      <w:r w:rsidR="00301759" w:rsidRPr="007F6CEF">
        <w:rPr>
          <w:lang w:val="ru-RU"/>
        </w:rPr>
        <w:t>наследников</w:t>
      </w:r>
      <w:r w:rsidR="00C91C5F" w:rsidRPr="007F6CEF">
        <w:rPr>
          <w:lang w:val="ru-RU"/>
        </w:rPr>
        <w:t xml:space="preserve">). </w:t>
      </w:r>
    </w:p>
    <w:p w:rsidR="004D19D1" w:rsidRPr="007F6CEF" w:rsidRDefault="004D19D1" w:rsidP="00170B2C">
      <w:pPr>
        <w:rPr>
          <w:lang w:val="ru-RU"/>
        </w:rPr>
      </w:pPr>
      <w:r w:rsidRPr="007F6CEF">
        <w:rPr>
          <w:lang w:val="ru-RU"/>
        </w:rPr>
        <w:t>89</w:t>
      </w:r>
      <w:r w:rsidRPr="007F6CEF">
        <w:rPr>
          <w:lang w:val="ru-RU"/>
        </w:rPr>
        <w:tab/>
      </w:r>
      <w:r w:rsidR="00092AC2" w:rsidRPr="007F6CEF">
        <w:rPr>
          <w:lang w:val="ru-RU"/>
        </w:rPr>
        <w:t xml:space="preserve">Служба МСЭ по вопросам пенсии, страхового возмещения и медицинским вопросам </w:t>
      </w:r>
      <w:r w:rsidR="0045633F" w:rsidRPr="007F6CEF">
        <w:rPr>
          <w:lang w:val="ru-RU"/>
        </w:rPr>
        <w:t xml:space="preserve">предоставила нам так называемую "облегченную версию" (серию уведомлений о возмещении без подтверждающих документов), поскольку эта служба сообщила нам о том, что собирает всю медицинскую документацию и заявки по каждой группе семей только согласно хронологическому порядку поступления запросов на возмещение и счетов. В связи с этим аудиторская проверка нашей выборки в краткосрочном плане невыполнима. </w:t>
      </w:r>
    </w:p>
    <w:p w:rsidR="004D19D1" w:rsidRPr="007F6CEF" w:rsidRDefault="004D19D1" w:rsidP="00170B2C">
      <w:pPr>
        <w:rPr>
          <w:lang w:val="ru-RU"/>
        </w:rPr>
      </w:pPr>
      <w:r w:rsidRPr="007F6CEF">
        <w:rPr>
          <w:lang w:val="ru-RU"/>
        </w:rPr>
        <w:t>90</w:t>
      </w:r>
      <w:r w:rsidRPr="007F6CEF">
        <w:rPr>
          <w:lang w:val="ru-RU"/>
        </w:rPr>
        <w:tab/>
      </w:r>
      <w:r w:rsidR="0045633F" w:rsidRPr="007F6CEF">
        <w:rPr>
          <w:lang w:val="ru-RU"/>
        </w:rPr>
        <w:t xml:space="preserve">По этой причине мы переделали нашу выборку, подбирая документы, касающиеся различных видов расходов. </w:t>
      </w:r>
      <w:r w:rsidR="006F771A" w:rsidRPr="007F6CEF">
        <w:rPr>
          <w:lang w:val="ru-RU"/>
        </w:rPr>
        <w:t xml:space="preserve">Мы проверили все выбранные документы и не обнаружили ни одного случая </w:t>
      </w:r>
      <w:r w:rsidR="00CC7F45" w:rsidRPr="007F6CEF">
        <w:rPr>
          <w:lang w:val="ru-RU"/>
        </w:rPr>
        <w:t>нарушений</w:t>
      </w:r>
      <w:r w:rsidR="006F771A" w:rsidRPr="007F6CEF">
        <w:rPr>
          <w:lang w:val="ru-RU"/>
        </w:rPr>
        <w:t xml:space="preserve"> и </w:t>
      </w:r>
      <w:r w:rsidR="00CC7F45" w:rsidRPr="007F6CEF">
        <w:rPr>
          <w:lang w:val="ru-RU"/>
        </w:rPr>
        <w:t xml:space="preserve">нашли </w:t>
      </w:r>
      <w:r w:rsidR="006F771A" w:rsidRPr="007F6CEF">
        <w:rPr>
          <w:lang w:val="ru-RU"/>
        </w:rPr>
        <w:t xml:space="preserve">лишь один случай двойной оплаты одного и того же счета. Хотя его сумма была несущественной, а ошибка не имела системного характера, мы привлекли внимание руководства к тому, что надо следить за системой контроля, которую </w:t>
      </w:r>
      <w:r w:rsidRPr="007F6CEF">
        <w:rPr>
          <w:lang w:val="ru-RU"/>
        </w:rPr>
        <w:t xml:space="preserve">Vanbreda International </w:t>
      </w:r>
      <w:r w:rsidR="006F771A" w:rsidRPr="007F6CEF">
        <w:rPr>
          <w:lang w:val="ru-RU"/>
        </w:rPr>
        <w:t>будет применять к управлению заявками о выплате медицинского страхового возмещения</w:t>
      </w:r>
      <w:r w:rsidR="00382177" w:rsidRPr="007F6CEF">
        <w:rPr>
          <w:lang w:val="ru-RU"/>
        </w:rPr>
        <w:t xml:space="preserve"> в рамках нового плана медицинского страхования, в частности за наличием системы, позволяющей избегать двойного возмещения. Мы будем следить за выполнением этого в предстоящие годы. </w:t>
      </w:r>
    </w:p>
    <w:p w:rsidR="004D19D1" w:rsidRPr="007F6CEF" w:rsidRDefault="004D19D1" w:rsidP="00170B2C">
      <w:pPr>
        <w:rPr>
          <w:lang w:val="ru-RU"/>
        </w:rPr>
      </w:pPr>
      <w:r w:rsidRPr="007F6CEF">
        <w:rPr>
          <w:lang w:val="ru-RU"/>
        </w:rPr>
        <w:t>91</w:t>
      </w:r>
      <w:r w:rsidRPr="007F6CEF">
        <w:rPr>
          <w:lang w:val="ru-RU"/>
        </w:rPr>
        <w:tab/>
      </w:r>
      <w:r w:rsidR="00382177" w:rsidRPr="007F6CEF">
        <w:rPr>
          <w:lang w:val="ru-RU"/>
        </w:rPr>
        <w:t xml:space="preserve">При анализе выборки мы обнаружили, что возмещаемые услуги не относятся строго к медицинскому обслуживанию. Мы также обнаружили, что имеются различия в возмещении затрат на одни и те же медицинские услуги между различными медицинскими учреждениями. Мы считаем, что, без </w:t>
      </w:r>
      <w:r w:rsidR="00E0710C" w:rsidRPr="007F6CEF">
        <w:rPr>
          <w:lang w:val="ru-RU"/>
        </w:rPr>
        <w:t>снижения</w:t>
      </w:r>
      <w:r w:rsidR="00382177" w:rsidRPr="007F6CEF">
        <w:rPr>
          <w:lang w:val="ru-RU"/>
        </w:rPr>
        <w:t xml:space="preserve"> качества медицинского обслуживания, руководство могло бы рассмотреть возможность применения различных верхних пределов издержек, </w:t>
      </w:r>
      <w:r w:rsidR="00E0710C" w:rsidRPr="007F6CEF">
        <w:rPr>
          <w:lang w:val="ru-RU"/>
        </w:rPr>
        <w:t>сопоставляя</w:t>
      </w:r>
      <w:r w:rsidR="00382177" w:rsidRPr="007F6CEF">
        <w:rPr>
          <w:lang w:val="ru-RU"/>
        </w:rPr>
        <w:t xml:space="preserve"> их с разумными и обычными расходами. </w:t>
      </w:r>
    </w:p>
    <w:p w:rsidR="00B26ADF" w:rsidRPr="007F6CEF" w:rsidRDefault="00B26ADF" w:rsidP="00170B2C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B26ADF" w:rsidRPr="00C21591" w:rsidTr="00A72B24">
        <w:tc>
          <w:tcPr>
            <w:tcW w:w="9645" w:type="dxa"/>
          </w:tcPr>
          <w:p w:rsidR="00B26ADF" w:rsidRPr="007F6CEF" w:rsidRDefault="00B26ADF" w:rsidP="00170B2C">
            <w:pPr>
              <w:rPr>
                <w:b/>
                <w:bCs/>
                <w:u w:val="single"/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Предложение 2</w:t>
            </w:r>
          </w:p>
          <w:p w:rsidR="00B26ADF" w:rsidRPr="007F6CEF" w:rsidRDefault="00B26ADF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>92</w:t>
            </w:r>
            <w:r w:rsidRPr="007F6CEF">
              <w:rPr>
                <w:lang w:val="ru-RU"/>
              </w:rPr>
              <w:tab/>
            </w:r>
            <w:r w:rsidR="00A2268E" w:rsidRPr="007F6CEF">
              <w:rPr>
                <w:lang w:val="ru-RU"/>
              </w:rPr>
              <w:t xml:space="preserve">В том что касается возмещения </w:t>
            </w:r>
            <w:r w:rsidR="00E96B9F" w:rsidRPr="007F6CEF">
              <w:rPr>
                <w:lang w:val="ru-RU"/>
              </w:rPr>
              <w:t xml:space="preserve">расходов на </w:t>
            </w:r>
            <w:r w:rsidR="00A2268E" w:rsidRPr="007F6CEF">
              <w:rPr>
                <w:lang w:val="ru-RU"/>
              </w:rPr>
              <w:t>медицински</w:t>
            </w:r>
            <w:r w:rsidR="00E96B9F" w:rsidRPr="007F6CEF">
              <w:rPr>
                <w:lang w:val="ru-RU"/>
              </w:rPr>
              <w:t>е</w:t>
            </w:r>
            <w:r w:rsidR="00A2268E" w:rsidRPr="007F6CEF">
              <w:rPr>
                <w:lang w:val="ru-RU"/>
              </w:rPr>
              <w:t xml:space="preserve"> услуг</w:t>
            </w:r>
            <w:r w:rsidR="00E96B9F" w:rsidRPr="007F6CEF">
              <w:rPr>
                <w:lang w:val="ru-RU"/>
              </w:rPr>
              <w:t>и</w:t>
            </w:r>
            <w:r w:rsidR="00A2268E" w:rsidRPr="007F6CEF">
              <w:rPr>
                <w:lang w:val="ru-RU"/>
              </w:rPr>
              <w:t xml:space="preserve">, мы предлагаем руководству провести исследование для оценки воздействия существенного сокращения услуг, которые не относятся строго к здравоохранению. </w:t>
            </w:r>
          </w:p>
        </w:tc>
      </w:tr>
    </w:tbl>
    <w:p w:rsidR="00B26ADF" w:rsidRPr="007F6CEF" w:rsidRDefault="00B26ADF" w:rsidP="00170B2C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B26ADF" w:rsidRPr="00C21591" w:rsidTr="00A72B24">
        <w:trPr>
          <w:cantSplit/>
        </w:trPr>
        <w:tc>
          <w:tcPr>
            <w:tcW w:w="9645" w:type="dxa"/>
          </w:tcPr>
          <w:p w:rsidR="00B26ADF" w:rsidRPr="007F6CEF" w:rsidRDefault="00B26ADF" w:rsidP="00170B2C">
            <w:pPr>
              <w:rPr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7F6CEF">
              <w:rPr>
                <w:lang w:val="ru-RU"/>
              </w:rPr>
              <w:t>:</w:t>
            </w:r>
          </w:p>
          <w:p w:rsidR="00B26ADF" w:rsidRPr="007F6CEF" w:rsidRDefault="00A2268E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 xml:space="preserve">Принимаю к сведению это предложение и информирую вас о том, что руководство проведет </w:t>
            </w:r>
            <w:r w:rsidR="00CC7F45" w:rsidRPr="007F6CEF">
              <w:rPr>
                <w:lang w:val="ru-RU"/>
              </w:rPr>
              <w:t xml:space="preserve">указанное исследование </w:t>
            </w:r>
            <w:r w:rsidRPr="007F6CEF">
              <w:rPr>
                <w:lang w:val="ru-RU"/>
              </w:rPr>
              <w:t>вместе с</w:t>
            </w:r>
            <w:r w:rsidR="00A067CB" w:rsidRPr="007F6CEF">
              <w:rPr>
                <w:lang w:val="ru-RU"/>
              </w:rPr>
              <w:t xml:space="preserve"> новым </w:t>
            </w:r>
            <w:r w:rsidR="00E0710C" w:rsidRPr="007F6CEF">
              <w:rPr>
                <w:lang w:val="ru-RU"/>
              </w:rPr>
              <w:t xml:space="preserve">претензионистом. </w:t>
            </w:r>
          </w:p>
        </w:tc>
      </w:tr>
    </w:tbl>
    <w:p w:rsidR="00B26ADF" w:rsidRPr="007F6CEF" w:rsidRDefault="00B26ADF" w:rsidP="00170B2C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B26ADF" w:rsidRPr="00C21591" w:rsidTr="00A72B24">
        <w:tc>
          <w:tcPr>
            <w:tcW w:w="9645" w:type="dxa"/>
          </w:tcPr>
          <w:p w:rsidR="00B26ADF" w:rsidRPr="007F6CEF" w:rsidRDefault="00B26ADF" w:rsidP="00170B2C">
            <w:pPr>
              <w:rPr>
                <w:b/>
                <w:bCs/>
                <w:u w:val="single"/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Предложение 3</w:t>
            </w:r>
          </w:p>
          <w:p w:rsidR="00B26ADF" w:rsidRPr="007F6CEF" w:rsidRDefault="00B26ADF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>93</w:t>
            </w:r>
            <w:r w:rsidRPr="007F6CEF">
              <w:rPr>
                <w:lang w:val="ru-RU"/>
              </w:rPr>
              <w:tab/>
            </w:r>
            <w:r w:rsidR="00E0710C" w:rsidRPr="007F6CEF">
              <w:rPr>
                <w:lang w:val="ru-RU"/>
              </w:rPr>
              <w:t xml:space="preserve">Мы предлагаем руководству, без снижения качества медицинского обслуживания, рассмотреть верхний предел издержек на медицинские услуги, сопоставляя их с разумными и обычными расходами, с тем чтобы обеспечить устойчивость затрат при новой схеме. </w:t>
            </w:r>
          </w:p>
        </w:tc>
      </w:tr>
    </w:tbl>
    <w:p w:rsidR="00B26ADF" w:rsidRPr="007F6CEF" w:rsidRDefault="00B26ADF" w:rsidP="00170B2C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B26ADF" w:rsidRPr="00C21591" w:rsidTr="00A72B24">
        <w:trPr>
          <w:cantSplit/>
        </w:trPr>
        <w:tc>
          <w:tcPr>
            <w:tcW w:w="9645" w:type="dxa"/>
          </w:tcPr>
          <w:p w:rsidR="00B26ADF" w:rsidRPr="007F6CEF" w:rsidRDefault="00B26ADF" w:rsidP="00170B2C">
            <w:pPr>
              <w:rPr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7F6CEF">
              <w:rPr>
                <w:lang w:val="ru-RU"/>
              </w:rPr>
              <w:t>:</w:t>
            </w:r>
          </w:p>
          <w:p w:rsidR="00B26ADF" w:rsidRPr="007F6CEF" w:rsidRDefault="00A067CB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 xml:space="preserve">Принимаю к сведению это предложение и информирую вас о том, что руководство изучит вместе с новым претензионистом подходящие варианты для верхнего предела. </w:t>
            </w:r>
          </w:p>
        </w:tc>
      </w:tr>
    </w:tbl>
    <w:p w:rsidR="004D19D1" w:rsidRPr="007F6CEF" w:rsidRDefault="00A067CB" w:rsidP="00170B2C">
      <w:pPr>
        <w:pStyle w:val="Headingi"/>
        <w:spacing w:before="240"/>
        <w:rPr>
          <w:b/>
          <w:bCs/>
        </w:rPr>
      </w:pPr>
      <w:bookmarkStart w:id="183" w:name="_Toc398125338"/>
      <w:bookmarkStart w:id="184" w:name="_Toc398125817"/>
      <w:r w:rsidRPr="007F6CEF">
        <w:rPr>
          <w:b/>
          <w:bCs/>
        </w:rPr>
        <w:t xml:space="preserve">Статистический анализ </w:t>
      </w:r>
      <w:r w:rsidR="00301759" w:rsidRPr="007F6CEF">
        <w:rPr>
          <w:b/>
          <w:bCs/>
        </w:rPr>
        <w:t>возмещ</w:t>
      </w:r>
      <w:r w:rsidR="00CC7F45" w:rsidRPr="007F6CEF">
        <w:rPr>
          <w:b/>
          <w:bCs/>
        </w:rPr>
        <w:t>енных</w:t>
      </w:r>
      <w:r w:rsidR="00301759" w:rsidRPr="007F6CEF">
        <w:rPr>
          <w:b/>
          <w:bCs/>
        </w:rPr>
        <w:t xml:space="preserve"> сумм</w:t>
      </w:r>
      <w:bookmarkEnd w:id="183"/>
      <w:bookmarkEnd w:id="184"/>
      <w:r w:rsidR="00301759" w:rsidRPr="007F6CEF">
        <w:rPr>
          <w:b/>
          <w:bCs/>
        </w:rPr>
        <w:t xml:space="preserve"> </w:t>
      </w:r>
    </w:p>
    <w:p w:rsidR="004D19D1" w:rsidRPr="007F6CEF" w:rsidRDefault="004D19D1" w:rsidP="00170B2C">
      <w:pPr>
        <w:rPr>
          <w:lang w:val="ru-RU"/>
        </w:rPr>
      </w:pPr>
      <w:r w:rsidRPr="007F6CEF">
        <w:rPr>
          <w:lang w:val="ru-RU"/>
        </w:rPr>
        <w:t>94</w:t>
      </w:r>
      <w:r w:rsidRPr="007F6CEF">
        <w:rPr>
          <w:lang w:val="ru-RU"/>
        </w:rPr>
        <w:tab/>
      </w:r>
      <w:r w:rsidR="00301759" w:rsidRPr="007F6CEF">
        <w:rPr>
          <w:lang w:val="ru-RU"/>
        </w:rPr>
        <w:t>Используя предоставленные МСЭ</w:t>
      </w:r>
      <w:r w:rsidRPr="007F6CEF">
        <w:rPr>
          <w:lang w:val="ru-RU"/>
        </w:rPr>
        <w:t xml:space="preserve"> </w:t>
      </w:r>
      <w:r w:rsidR="00301759" w:rsidRPr="007F6CEF">
        <w:rPr>
          <w:lang w:val="ru-RU"/>
        </w:rPr>
        <w:t xml:space="preserve">файлы excel, в которых показаны возмещенные суммы, выплаченные в 2013 году и во второй половине 2012 года, мы рассчитали среднее значение и расхождения, чтобы составить график распределения. Соответствующие гистограммы приводятся в Приложении 2 к нашему отчету. </w:t>
      </w:r>
    </w:p>
    <w:p w:rsidR="004D19D1" w:rsidRPr="007F6CEF" w:rsidRDefault="004D19D1" w:rsidP="00170B2C">
      <w:pPr>
        <w:rPr>
          <w:lang w:val="ru-RU"/>
        </w:rPr>
      </w:pPr>
      <w:r w:rsidRPr="007F6CEF">
        <w:rPr>
          <w:lang w:val="ru-RU"/>
        </w:rPr>
        <w:t>95</w:t>
      </w:r>
      <w:r w:rsidRPr="007F6CEF">
        <w:rPr>
          <w:lang w:val="ru-RU"/>
        </w:rPr>
        <w:tab/>
      </w:r>
      <w:r w:rsidR="00301759" w:rsidRPr="007F6CEF">
        <w:rPr>
          <w:lang w:val="ru-RU"/>
        </w:rPr>
        <w:t xml:space="preserve">Застрахованные лица классифицируются по четырем категориям: </w:t>
      </w:r>
    </w:p>
    <w:p w:rsidR="004D19D1" w:rsidRPr="007F6CEF" w:rsidRDefault="00B26ADF" w:rsidP="00170B2C">
      <w:pPr>
        <w:pStyle w:val="enumlev1"/>
        <w:rPr>
          <w:lang w:val="ru-RU"/>
        </w:rPr>
      </w:pPr>
      <w:r w:rsidRPr="007F6CEF">
        <w:rPr>
          <w:lang w:val="ru-RU"/>
        </w:rPr>
        <w:t>•</w:t>
      </w:r>
      <w:r w:rsidR="004D19D1" w:rsidRPr="007F6CEF">
        <w:rPr>
          <w:lang w:val="ru-RU"/>
        </w:rPr>
        <w:tab/>
      </w:r>
      <w:r w:rsidR="00301759" w:rsidRPr="007F6CEF">
        <w:rPr>
          <w:lang w:val="ru-RU"/>
        </w:rPr>
        <w:t>сотрудники</w:t>
      </w:r>
      <w:r w:rsidR="004D19D1" w:rsidRPr="007F6CEF">
        <w:rPr>
          <w:lang w:val="ru-RU"/>
        </w:rPr>
        <w:t>;</w:t>
      </w:r>
    </w:p>
    <w:p w:rsidR="004D19D1" w:rsidRPr="007F6CEF" w:rsidRDefault="004D19D1" w:rsidP="00170B2C">
      <w:pPr>
        <w:pStyle w:val="enumlev1"/>
        <w:rPr>
          <w:lang w:val="ru-RU"/>
        </w:rPr>
      </w:pPr>
      <w:r w:rsidRPr="007F6CEF">
        <w:rPr>
          <w:lang w:val="ru-RU"/>
        </w:rPr>
        <w:t>•</w:t>
      </w:r>
      <w:r w:rsidRPr="007F6CEF">
        <w:rPr>
          <w:lang w:val="ru-RU"/>
        </w:rPr>
        <w:tab/>
      </w:r>
      <w:r w:rsidR="00301759" w:rsidRPr="007F6CEF">
        <w:rPr>
          <w:lang w:val="ru-RU"/>
        </w:rPr>
        <w:t>пенсионеры</w:t>
      </w:r>
      <w:r w:rsidRPr="007F6CEF">
        <w:rPr>
          <w:lang w:val="ru-RU"/>
        </w:rPr>
        <w:t>;</w:t>
      </w:r>
    </w:p>
    <w:p w:rsidR="004D19D1" w:rsidRPr="007F6CEF" w:rsidRDefault="004D19D1" w:rsidP="00170B2C">
      <w:pPr>
        <w:pStyle w:val="enumlev1"/>
        <w:rPr>
          <w:lang w:val="ru-RU"/>
        </w:rPr>
      </w:pPr>
      <w:r w:rsidRPr="007F6CEF">
        <w:rPr>
          <w:lang w:val="ru-RU"/>
        </w:rPr>
        <w:t>•</w:t>
      </w:r>
      <w:r w:rsidRPr="007F6CEF">
        <w:rPr>
          <w:lang w:val="ru-RU"/>
        </w:rPr>
        <w:tab/>
      </w:r>
      <w:r w:rsidR="00301759" w:rsidRPr="007F6CEF">
        <w:rPr>
          <w:lang w:val="ru-RU"/>
        </w:rPr>
        <w:t>пережившие наследники, которые являются родственниками умершего лица, застрахованного МСЭ</w:t>
      </w:r>
      <w:r w:rsidRPr="007F6CEF">
        <w:rPr>
          <w:lang w:val="ru-RU"/>
        </w:rPr>
        <w:t>;</w:t>
      </w:r>
    </w:p>
    <w:p w:rsidR="004D19D1" w:rsidRPr="007F6CEF" w:rsidRDefault="004D19D1" w:rsidP="00170B2C">
      <w:pPr>
        <w:pStyle w:val="enumlev1"/>
        <w:rPr>
          <w:lang w:val="ru-RU"/>
        </w:rPr>
      </w:pPr>
      <w:r w:rsidRPr="007F6CEF">
        <w:rPr>
          <w:lang w:val="ru-RU"/>
        </w:rPr>
        <w:t>•</w:t>
      </w:r>
      <w:r w:rsidRPr="007F6CEF">
        <w:rPr>
          <w:lang w:val="ru-RU"/>
        </w:rPr>
        <w:tab/>
      </w:r>
      <w:r w:rsidR="00301759" w:rsidRPr="007F6CEF">
        <w:rPr>
          <w:lang w:val="ru-RU"/>
        </w:rPr>
        <w:t xml:space="preserve">внешние добровольно застрахованные лица, которых очень мало. </w:t>
      </w:r>
    </w:p>
    <w:p w:rsidR="00652B5E" w:rsidRPr="007F6CEF" w:rsidRDefault="004D19D1" w:rsidP="00170B2C">
      <w:pPr>
        <w:rPr>
          <w:lang w:val="ru-RU"/>
        </w:rPr>
      </w:pPr>
      <w:r w:rsidRPr="007F6CEF">
        <w:rPr>
          <w:lang w:val="ru-RU"/>
        </w:rPr>
        <w:t>96</w:t>
      </w:r>
      <w:r w:rsidRPr="007F6CEF">
        <w:rPr>
          <w:lang w:val="ru-RU"/>
        </w:rPr>
        <w:tab/>
      </w:r>
      <w:r w:rsidR="00C46768" w:rsidRPr="007F6CEF">
        <w:rPr>
          <w:lang w:val="ru-RU"/>
        </w:rPr>
        <w:t xml:space="preserve">На основе полученных гистограмм мы удостоверились, например, в том, что численность переживших наследников меньше численности сотрудников, что нормально в связи с более старшим возрастом и </w:t>
      </w:r>
      <w:r w:rsidR="00DA1D1D" w:rsidRPr="007F6CEF">
        <w:rPr>
          <w:lang w:val="ru-RU"/>
        </w:rPr>
        <w:t>гораздо большей вероятностью того, что и</w:t>
      </w:r>
      <w:r w:rsidR="00E96B9F" w:rsidRPr="007F6CEF">
        <w:rPr>
          <w:lang w:val="ru-RU"/>
        </w:rPr>
        <w:t>м требуются медицинские</w:t>
      </w:r>
      <w:r w:rsidR="00DA1D1D" w:rsidRPr="007F6CEF">
        <w:rPr>
          <w:lang w:val="ru-RU"/>
        </w:rPr>
        <w:t xml:space="preserve"> услуги; поэтому средние расходы для переживших наследников примерно вдвое выше, чем для сотрудников. В</w:t>
      </w:r>
      <w:r w:rsidR="00EB65CB" w:rsidRPr="007F6CEF">
        <w:rPr>
          <w:lang w:val="ru-RU"/>
        </w:rPr>
        <w:t> </w:t>
      </w:r>
      <w:r w:rsidR="00CC7F45" w:rsidRPr="007F6CEF">
        <w:rPr>
          <w:lang w:val="ru-RU"/>
        </w:rPr>
        <w:t>любом случае, несмотря на то</w:t>
      </w:r>
      <w:r w:rsidR="00DA1D1D" w:rsidRPr="007F6CEF">
        <w:rPr>
          <w:lang w:val="ru-RU"/>
        </w:rPr>
        <w:t xml:space="preserve"> что данные не полностью сопоставимы, мы получили в целом аналогичные графики для одних и тех же категорий застрахованных лиц за два сравниваемых периода; такие элементы, полученные в результате проведенного нами общего анализа, подтверждают обоснованность полученного нами на основе аудиторской выборки</w:t>
      </w:r>
      <w:r w:rsidR="0091029E" w:rsidRPr="007F6CEF">
        <w:rPr>
          <w:lang w:val="ru-RU"/>
        </w:rPr>
        <w:t xml:space="preserve"> </w:t>
      </w:r>
      <w:r w:rsidR="00DA1D1D" w:rsidRPr="007F6CEF">
        <w:rPr>
          <w:lang w:val="ru-RU"/>
        </w:rPr>
        <w:t xml:space="preserve">указания на то, что в расходах АСХИ не было крупных </w:t>
      </w:r>
      <w:r w:rsidR="00CC7F45" w:rsidRPr="007F6CEF">
        <w:rPr>
          <w:lang w:val="ru-RU"/>
        </w:rPr>
        <w:t>нарушений</w:t>
      </w:r>
      <w:r w:rsidR="00DA1D1D" w:rsidRPr="007F6CEF">
        <w:rPr>
          <w:lang w:val="ru-RU"/>
        </w:rPr>
        <w:t xml:space="preserve">. </w:t>
      </w:r>
    </w:p>
    <w:p w:rsidR="00CA5377" w:rsidRPr="007F6CEF" w:rsidRDefault="00CA5377" w:rsidP="00170B2C">
      <w:pPr>
        <w:pStyle w:val="Headingb"/>
        <w:rPr>
          <w:lang w:val="ru-RU"/>
        </w:rPr>
      </w:pPr>
      <w:bookmarkStart w:id="185" w:name="_Toc356330902"/>
      <w:bookmarkStart w:id="186" w:name="_Toc358192851"/>
      <w:bookmarkStart w:id="187" w:name="_Toc398125339"/>
      <w:bookmarkStart w:id="188" w:name="_Toc398125818"/>
      <w:bookmarkStart w:id="189" w:name="_Toc398127105"/>
      <w:r w:rsidRPr="007F6CEF">
        <w:rPr>
          <w:lang w:val="ru-RU"/>
        </w:rPr>
        <w:t xml:space="preserve">Вознаграждение сотрудников: </w:t>
      </w:r>
      <w:bookmarkEnd w:id="185"/>
      <w:r w:rsidRPr="007F6CEF">
        <w:rPr>
          <w:lang w:val="ru-RU"/>
        </w:rPr>
        <w:t>пенсии (старые фонды)</w:t>
      </w:r>
      <w:bookmarkEnd w:id="186"/>
      <w:bookmarkEnd w:id="187"/>
      <w:bookmarkEnd w:id="188"/>
      <w:bookmarkEnd w:id="189"/>
    </w:p>
    <w:p w:rsidR="00CA5377" w:rsidRPr="007F6CEF" w:rsidRDefault="00151E6F" w:rsidP="00170B2C">
      <w:pPr>
        <w:rPr>
          <w:lang w:val="ru-RU"/>
        </w:rPr>
      </w:pPr>
      <w:r w:rsidRPr="007F6CEF">
        <w:rPr>
          <w:lang w:val="ru-RU"/>
        </w:rPr>
        <w:t>97</w:t>
      </w:r>
      <w:r w:rsidR="009B7B2E" w:rsidRPr="007F6CEF">
        <w:rPr>
          <w:lang w:val="ru-RU"/>
        </w:rPr>
        <w:tab/>
      </w:r>
      <w:r w:rsidR="00CA5377" w:rsidRPr="007F6CEF">
        <w:rPr>
          <w:lang w:val="ru-RU"/>
        </w:rPr>
        <w:t>Как и в прошлом году, на момент зак</w:t>
      </w:r>
      <w:r w:rsidR="003472FF" w:rsidRPr="007F6CEF">
        <w:rPr>
          <w:lang w:val="ru-RU"/>
        </w:rPr>
        <w:t xml:space="preserve">рытия на счетах учтена сумма в </w:t>
      </w:r>
      <w:r w:rsidR="00CA5377" w:rsidRPr="007F6CEF">
        <w:rPr>
          <w:lang w:val="ru-RU"/>
        </w:rPr>
        <w:t>9</w:t>
      </w:r>
      <w:r w:rsidR="003472FF" w:rsidRPr="007F6CEF">
        <w:rPr>
          <w:lang w:val="ru-RU"/>
        </w:rPr>
        <w:t>0 000</w:t>
      </w:r>
      <w:r w:rsidR="00CA5377" w:rsidRPr="007F6CEF">
        <w:rPr>
          <w:lang w:val="ru-RU"/>
        </w:rPr>
        <w:t> швейцарских франков</w:t>
      </w:r>
      <w:r w:rsidR="00CC7F45" w:rsidRPr="007F6CEF">
        <w:rPr>
          <w:lang w:val="ru-RU"/>
        </w:rPr>
        <w:t>,</w:t>
      </w:r>
      <w:r w:rsidR="00CA5377" w:rsidRPr="007F6CEF">
        <w:rPr>
          <w:lang w:val="ru-RU"/>
        </w:rPr>
        <w:t xml:space="preserve"> и она связана с обязательствами по пособиям в форме пенсии, выплачиваемой бывшим сотрудникам из Страхов</w:t>
      </w:r>
      <w:r w:rsidR="00CC7F45" w:rsidRPr="007F6CEF">
        <w:rPr>
          <w:lang w:val="ru-RU"/>
        </w:rPr>
        <w:t>ой кассы персонала (см. также пункт</w:t>
      </w:r>
      <w:r w:rsidR="00CA5377" w:rsidRPr="007F6CEF">
        <w:rPr>
          <w:lang w:val="ru-RU"/>
        </w:rPr>
        <w:t> 1</w:t>
      </w:r>
      <w:r w:rsidR="003472FF" w:rsidRPr="007F6CEF">
        <w:rPr>
          <w:lang w:val="ru-RU"/>
        </w:rPr>
        <w:t>21</w:t>
      </w:r>
      <w:r w:rsidR="00CA5377" w:rsidRPr="007F6CEF">
        <w:rPr>
          <w:lang w:val="ru-RU"/>
        </w:rPr>
        <w:t>).</w:t>
      </w:r>
    </w:p>
    <w:p w:rsidR="00CA5377" w:rsidRPr="007F6CEF" w:rsidRDefault="00CA5377" w:rsidP="00170B2C">
      <w:pPr>
        <w:pStyle w:val="Headingb"/>
        <w:rPr>
          <w:highlight w:val="green"/>
          <w:lang w:val="ru-RU"/>
        </w:rPr>
      </w:pPr>
      <w:bookmarkStart w:id="190" w:name="_Toc358192852"/>
      <w:bookmarkStart w:id="191" w:name="_Toc398125340"/>
      <w:bookmarkStart w:id="192" w:name="_Toc398125819"/>
      <w:bookmarkStart w:id="193" w:name="_Toc398127106"/>
      <w:r w:rsidRPr="007F6CEF">
        <w:rPr>
          <w:lang w:val="ru-RU"/>
        </w:rPr>
        <w:t>Чистые активы</w:t>
      </w:r>
      <w:bookmarkEnd w:id="190"/>
      <w:bookmarkEnd w:id="191"/>
      <w:bookmarkEnd w:id="192"/>
      <w:bookmarkEnd w:id="193"/>
    </w:p>
    <w:p w:rsidR="00CA5377" w:rsidRPr="007F6CEF" w:rsidRDefault="003472FF" w:rsidP="00170B2C">
      <w:pPr>
        <w:rPr>
          <w:lang w:val="ru-RU"/>
        </w:rPr>
      </w:pPr>
      <w:r w:rsidRPr="007F6CEF">
        <w:rPr>
          <w:lang w:val="ru-RU"/>
        </w:rPr>
        <w:t>9</w:t>
      </w:r>
      <w:r w:rsidR="009B7B2E" w:rsidRPr="007F6CEF">
        <w:rPr>
          <w:lang w:val="ru-RU"/>
        </w:rPr>
        <w:t>8</w:t>
      </w:r>
      <w:r w:rsidR="009B7B2E" w:rsidRPr="007F6CEF">
        <w:rPr>
          <w:lang w:val="ru-RU"/>
        </w:rPr>
        <w:tab/>
      </w:r>
      <w:r w:rsidR="00CA5377" w:rsidRPr="007F6CEF">
        <w:rPr>
          <w:lang w:val="ru-RU"/>
        </w:rPr>
        <w:t xml:space="preserve">Чистые активы состояли из собственных целевых и нецелевых средств, </w:t>
      </w:r>
      <w:r w:rsidR="00CC7F45" w:rsidRPr="007F6CEF">
        <w:rPr>
          <w:lang w:val="ru-RU"/>
        </w:rPr>
        <w:t>внебюджетных фондов</w:t>
      </w:r>
      <w:r w:rsidRPr="007F6CEF">
        <w:rPr>
          <w:lang w:val="ru-RU"/>
        </w:rPr>
        <w:t xml:space="preserve">, </w:t>
      </w:r>
      <w:r w:rsidR="00CC7F45" w:rsidRPr="007F6CEF">
        <w:rPr>
          <w:lang w:val="ru-RU"/>
        </w:rPr>
        <w:t xml:space="preserve">результата внебюджетной деятельности, активного сальдо за финансовый год и воздействия перехода к </w:t>
      </w:r>
      <w:r w:rsidRPr="007F6CEF">
        <w:rPr>
          <w:lang w:val="ru-RU"/>
        </w:rPr>
        <w:t xml:space="preserve">IPSAS. В </w:t>
      </w:r>
      <w:r w:rsidR="00CA5377" w:rsidRPr="007F6CEF">
        <w:rPr>
          <w:lang w:val="ru-RU"/>
        </w:rPr>
        <w:t>201</w:t>
      </w:r>
      <w:r w:rsidRPr="007F6CEF">
        <w:rPr>
          <w:lang w:val="ru-RU"/>
        </w:rPr>
        <w:t>3</w:t>
      </w:r>
      <w:r w:rsidR="00CA5377" w:rsidRPr="007F6CEF">
        <w:rPr>
          <w:lang w:val="ru-RU"/>
        </w:rPr>
        <w:t> году чистые активы с</w:t>
      </w:r>
      <w:r w:rsidR="00CC7F45" w:rsidRPr="007F6CEF">
        <w:rPr>
          <w:lang w:val="ru-RU"/>
        </w:rPr>
        <w:t>оставили отрицательное значение</w:t>
      </w:r>
      <w:r w:rsidR="00CA5377" w:rsidRPr="007F6CEF">
        <w:rPr>
          <w:lang w:val="ru-RU"/>
        </w:rPr>
        <w:t xml:space="preserve"> </w:t>
      </w:r>
      <w:r w:rsidRPr="007F6CEF">
        <w:rPr>
          <w:lang w:val="ru-RU"/>
        </w:rPr>
        <w:t>−196</w:t>
      </w:r>
      <w:r w:rsidR="00CA5377" w:rsidRPr="007F6CEF">
        <w:rPr>
          <w:lang w:val="ru-RU"/>
        </w:rPr>
        <w:t>,</w:t>
      </w:r>
      <w:r w:rsidRPr="007F6CEF">
        <w:rPr>
          <w:lang w:val="ru-RU"/>
        </w:rPr>
        <w:t>2</w:t>
      </w:r>
      <w:r w:rsidR="00CA5377" w:rsidRPr="007F6CEF">
        <w:rPr>
          <w:lang w:val="ru-RU"/>
        </w:rPr>
        <w:t> млн. швейцарских франков</w:t>
      </w:r>
      <w:r w:rsidR="00CC7F45" w:rsidRPr="007F6CEF">
        <w:rPr>
          <w:lang w:val="ru-RU"/>
        </w:rPr>
        <w:t xml:space="preserve">, улучшившись по сравнению с </w:t>
      </w:r>
      <w:r w:rsidR="009040C2" w:rsidRPr="007F6CEF">
        <w:rPr>
          <w:lang w:val="ru-RU"/>
        </w:rPr>
        <w:t>−</w:t>
      </w:r>
      <w:r w:rsidRPr="007F6CEF">
        <w:rPr>
          <w:lang w:val="ru-RU"/>
        </w:rPr>
        <w:t>227,7</w:t>
      </w:r>
      <w:r w:rsidR="00CA5377" w:rsidRPr="007F6CEF">
        <w:rPr>
          <w:lang w:val="ru-RU"/>
        </w:rPr>
        <w:t> млн. швейцарских франков в</w:t>
      </w:r>
      <w:r w:rsidRPr="007F6CEF">
        <w:rPr>
          <w:lang w:val="ru-RU"/>
        </w:rPr>
        <w:t xml:space="preserve"> </w:t>
      </w:r>
      <w:r w:rsidR="00CA5377" w:rsidRPr="007F6CEF">
        <w:rPr>
          <w:lang w:val="ru-RU"/>
        </w:rPr>
        <w:t>201</w:t>
      </w:r>
      <w:r w:rsidRPr="007F6CEF">
        <w:rPr>
          <w:lang w:val="ru-RU"/>
        </w:rPr>
        <w:t>2</w:t>
      </w:r>
      <w:r w:rsidR="00CA5377" w:rsidRPr="007F6CEF">
        <w:rPr>
          <w:lang w:val="ru-RU"/>
        </w:rPr>
        <w:t> году.</w:t>
      </w:r>
    </w:p>
    <w:p w:rsidR="00CA5377" w:rsidRPr="007F6CEF" w:rsidRDefault="003472FF" w:rsidP="00170B2C">
      <w:pPr>
        <w:rPr>
          <w:lang w:val="ru-RU"/>
        </w:rPr>
      </w:pPr>
      <w:r w:rsidRPr="007F6CEF">
        <w:rPr>
          <w:lang w:val="ru-RU"/>
        </w:rPr>
        <w:t>99</w:t>
      </w:r>
      <w:r w:rsidR="009B7B2E" w:rsidRPr="007F6CEF">
        <w:rPr>
          <w:lang w:val="ru-RU"/>
        </w:rPr>
        <w:tab/>
      </w:r>
      <w:r w:rsidR="00CC7F45" w:rsidRPr="007F6CEF">
        <w:rPr>
          <w:lang w:val="ru-RU"/>
        </w:rPr>
        <w:t xml:space="preserve">В этом году форма представления чистых активов изменилась для обеспечения большего соответствия стандарту </w:t>
      </w:r>
      <w:r w:rsidRPr="007F6CEF">
        <w:rPr>
          <w:lang w:val="ru-RU"/>
        </w:rPr>
        <w:t xml:space="preserve">IPSAS 1 </w:t>
      </w:r>
      <w:r w:rsidR="00CC7F45" w:rsidRPr="007F6CEF">
        <w:rPr>
          <w:lang w:val="ru-RU"/>
        </w:rPr>
        <w:t xml:space="preserve">и для повышения прозрачности. В частности, мы проверили, что другая форма представления в Отчете об изменениях в чистых активах фактически показывает результаты и корректировки по каждому </w:t>
      </w:r>
      <w:r w:rsidR="00126ACB" w:rsidRPr="007F6CEF">
        <w:rPr>
          <w:lang w:val="ru-RU"/>
        </w:rPr>
        <w:t>виду средств</w:t>
      </w:r>
      <w:r w:rsidR="00CC7F45" w:rsidRPr="007F6CEF">
        <w:rPr>
          <w:lang w:val="ru-RU"/>
        </w:rPr>
        <w:t>, как это отмечено ниже в пункте</w:t>
      </w:r>
      <w:r w:rsidRPr="007F6CEF">
        <w:rPr>
          <w:lang w:val="ru-RU"/>
        </w:rPr>
        <w:t xml:space="preserve"> 114</w:t>
      </w:r>
      <w:r w:rsidR="00CA5377" w:rsidRPr="007F6CEF">
        <w:rPr>
          <w:lang w:val="ru-RU"/>
        </w:rPr>
        <w:t xml:space="preserve">. </w:t>
      </w:r>
    </w:p>
    <w:p w:rsidR="003472FF" w:rsidRPr="007F6CEF" w:rsidRDefault="003472FF" w:rsidP="00170B2C">
      <w:pPr>
        <w:rPr>
          <w:lang w:val="ru-RU"/>
        </w:rPr>
      </w:pPr>
      <w:r w:rsidRPr="007F6CEF">
        <w:rPr>
          <w:lang w:val="ru-RU"/>
        </w:rPr>
        <w:t>100</w:t>
      </w:r>
      <w:r w:rsidRPr="007F6CEF">
        <w:rPr>
          <w:lang w:val="ru-RU"/>
        </w:rPr>
        <w:tab/>
      </w:r>
      <w:r w:rsidR="00CC7F45" w:rsidRPr="007F6CEF">
        <w:rPr>
          <w:lang w:val="ru-RU"/>
        </w:rPr>
        <w:t xml:space="preserve">В отчете за прошлый год мы рекомендовали </w:t>
      </w:r>
      <w:r w:rsidR="00BC0397" w:rsidRPr="007F6CEF">
        <w:rPr>
          <w:lang w:val="ru-RU"/>
        </w:rPr>
        <w:t>(Р</w:t>
      </w:r>
      <w:r w:rsidR="00126ACB" w:rsidRPr="007F6CEF">
        <w:rPr>
          <w:lang w:val="ru-RU"/>
        </w:rPr>
        <w:t>екомендация №</w:t>
      </w:r>
      <w:r w:rsidRPr="007F6CEF">
        <w:rPr>
          <w:lang w:val="ru-RU"/>
        </w:rPr>
        <w:t xml:space="preserve"> 8/2012) </w:t>
      </w:r>
      <w:r w:rsidR="00126ACB" w:rsidRPr="007F6CEF">
        <w:rPr>
          <w:lang w:val="ru-RU"/>
        </w:rPr>
        <w:t xml:space="preserve">адаптировать текущее представление информации в Таблице I "Отчет о финансовом положении" и Таблице III "Отчет об изменениях в чистых активах" (см. пункт выше) и связанных с ними примечаниях к поправленному тексту Финансового регламента, представив подробную разбивку по всем компонентам чистых активов. </w:t>
      </w:r>
    </w:p>
    <w:p w:rsidR="003472FF" w:rsidRPr="007F6CEF" w:rsidRDefault="003472FF" w:rsidP="00170B2C">
      <w:pPr>
        <w:rPr>
          <w:lang w:val="ru-RU"/>
        </w:rPr>
      </w:pPr>
      <w:r w:rsidRPr="007F6CEF">
        <w:rPr>
          <w:lang w:val="ru-RU"/>
        </w:rPr>
        <w:t>101</w:t>
      </w:r>
      <w:r w:rsidRPr="007F6CEF">
        <w:rPr>
          <w:lang w:val="ru-RU"/>
        </w:rPr>
        <w:tab/>
      </w:r>
      <w:r w:rsidR="00126ACB" w:rsidRPr="007F6CEF">
        <w:rPr>
          <w:lang w:val="ru-RU"/>
        </w:rPr>
        <w:t xml:space="preserve">Мы признали, что форма представления чистых активов была исправлена и содержит разбивку различных позиций, включенных в чистые активы, при этом информация по Резервному счету раскрывается в отдельной строке, а данные по его управления приводятся в Примечании 4. </w:t>
      </w:r>
    </w:p>
    <w:p w:rsidR="00CA5377" w:rsidRPr="007F6CEF" w:rsidRDefault="003472FF" w:rsidP="00170B2C">
      <w:pPr>
        <w:rPr>
          <w:lang w:val="ru-RU"/>
        </w:rPr>
      </w:pPr>
      <w:bookmarkStart w:id="194" w:name="_Ref355817461"/>
      <w:r w:rsidRPr="007F6CEF">
        <w:rPr>
          <w:lang w:val="ru-RU"/>
        </w:rPr>
        <w:t>102</w:t>
      </w:r>
      <w:r w:rsidR="009B7B2E" w:rsidRPr="007F6CEF">
        <w:rPr>
          <w:lang w:val="ru-RU"/>
        </w:rPr>
        <w:tab/>
      </w:r>
      <w:r w:rsidR="00CA5377" w:rsidRPr="007F6CEF">
        <w:rPr>
          <w:lang w:val="ru-RU"/>
        </w:rPr>
        <w:t>Все движения в чистых активах поясняются в различных таблицах и примечаниях Отчет</w:t>
      </w:r>
      <w:r w:rsidR="00126ACB" w:rsidRPr="007F6CEF">
        <w:rPr>
          <w:lang w:val="ru-RU"/>
        </w:rPr>
        <w:t>а</w:t>
      </w:r>
      <w:r w:rsidR="00CA5377" w:rsidRPr="007F6CEF">
        <w:rPr>
          <w:lang w:val="ru-RU"/>
        </w:rPr>
        <w:t xml:space="preserve"> о финансовой деятельности, в частности:</w:t>
      </w:r>
      <w:bookmarkEnd w:id="194"/>
      <w:r w:rsidR="00CA5377" w:rsidRPr="007F6CEF">
        <w:rPr>
          <w:lang w:val="ru-RU"/>
        </w:rPr>
        <w:t xml:space="preserve"> </w:t>
      </w:r>
    </w:p>
    <w:p w:rsidR="00CA5377" w:rsidRPr="007F6CEF" w:rsidRDefault="009B7B2E" w:rsidP="00170B2C">
      <w:pPr>
        <w:pStyle w:val="enumlev1"/>
        <w:rPr>
          <w:lang w:val="ru-RU"/>
        </w:rPr>
      </w:pPr>
      <w:r w:rsidRPr="007F6CEF">
        <w:rPr>
          <w:lang w:val="ru-RU"/>
        </w:rPr>
        <w:t>a)</w:t>
      </w:r>
      <w:r w:rsidRPr="007F6CEF">
        <w:rPr>
          <w:lang w:val="ru-RU"/>
        </w:rPr>
        <w:tab/>
      </w:r>
      <w:r w:rsidR="00E72363" w:rsidRPr="007F6CEF">
        <w:rPr>
          <w:lang w:val="ru-RU"/>
        </w:rPr>
        <w:t>Таблица </w:t>
      </w:r>
      <w:r w:rsidR="00CA5377" w:rsidRPr="007F6CEF">
        <w:rPr>
          <w:lang w:val="ru-RU"/>
        </w:rPr>
        <w:t>II "Отчет о результатах финансовой деятельности", в котором показан</w:t>
      </w:r>
      <w:r w:rsidR="00126ACB" w:rsidRPr="007F6CEF">
        <w:rPr>
          <w:lang w:val="ru-RU"/>
        </w:rPr>
        <w:t>о</w:t>
      </w:r>
      <w:r w:rsidR="00CA5377" w:rsidRPr="007F6CEF">
        <w:rPr>
          <w:lang w:val="ru-RU"/>
        </w:rPr>
        <w:t xml:space="preserve"> </w:t>
      </w:r>
      <w:r w:rsidR="00126ACB" w:rsidRPr="007F6CEF">
        <w:rPr>
          <w:lang w:val="ru-RU"/>
        </w:rPr>
        <w:t>активное сальдо</w:t>
      </w:r>
      <w:r w:rsidR="00CA5377" w:rsidRPr="007F6CEF">
        <w:rPr>
          <w:lang w:val="ru-RU"/>
        </w:rPr>
        <w:t xml:space="preserve"> за финансовый период</w:t>
      </w:r>
      <w:r w:rsidR="003472FF" w:rsidRPr="007F6CEF">
        <w:rPr>
          <w:lang w:val="ru-RU"/>
        </w:rPr>
        <w:t xml:space="preserve"> (2,8 млн. швейцарских франков)</w:t>
      </w:r>
      <w:r w:rsidR="00CA5377" w:rsidRPr="007F6CEF">
        <w:rPr>
          <w:lang w:val="ru-RU"/>
        </w:rPr>
        <w:t>;</w:t>
      </w:r>
      <w:r w:rsidR="00E1603F" w:rsidRPr="007F6CEF">
        <w:rPr>
          <w:lang w:val="ru-RU"/>
        </w:rPr>
        <w:t xml:space="preserve"> </w:t>
      </w:r>
    </w:p>
    <w:p w:rsidR="00CA5377" w:rsidRPr="007F6CEF" w:rsidRDefault="009B7B2E" w:rsidP="00170B2C">
      <w:pPr>
        <w:pStyle w:val="enumlev1"/>
        <w:rPr>
          <w:lang w:val="ru-RU"/>
        </w:rPr>
      </w:pPr>
      <w:r w:rsidRPr="007F6CEF">
        <w:rPr>
          <w:lang w:val="ru-RU"/>
        </w:rPr>
        <w:t>b)</w:t>
      </w:r>
      <w:r w:rsidRPr="007F6CEF">
        <w:rPr>
          <w:lang w:val="ru-RU"/>
        </w:rPr>
        <w:tab/>
      </w:r>
      <w:r w:rsidR="00E72363" w:rsidRPr="007F6CEF">
        <w:rPr>
          <w:lang w:val="ru-RU"/>
        </w:rPr>
        <w:t>Таблица </w:t>
      </w:r>
      <w:r w:rsidR="00CA5377" w:rsidRPr="007F6CEF">
        <w:rPr>
          <w:lang w:val="ru-RU"/>
        </w:rPr>
        <w:t xml:space="preserve">III "Отчет об изменениях в чистых активах", в котором показано движение </w:t>
      </w:r>
      <w:r w:rsidR="00126ACB" w:rsidRPr="007F6CEF">
        <w:rPr>
          <w:lang w:val="ru-RU"/>
        </w:rPr>
        <w:t xml:space="preserve">отдельно по каждому виду собственных средств </w:t>
      </w:r>
      <w:r w:rsidR="00CA5377" w:rsidRPr="007F6CEF">
        <w:rPr>
          <w:lang w:val="ru-RU"/>
        </w:rPr>
        <w:t xml:space="preserve">и воздействие перехода </w:t>
      </w:r>
      <w:r w:rsidR="00B62CEC" w:rsidRPr="007F6CEF">
        <w:rPr>
          <w:lang w:val="ru-RU"/>
        </w:rPr>
        <w:t>к</w:t>
      </w:r>
      <w:r w:rsidR="00CA5377" w:rsidRPr="007F6CEF">
        <w:rPr>
          <w:lang w:val="ru-RU"/>
        </w:rPr>
        <w:t xml:space="preserve"> IPSAS;</w:t>
      </w:r>
      <w:r w:rsidR="00E1603F" w:rsidRPr="007F6CEF">
        <w:rPr>
          <w:lang w:val="ru-RU"/>
        </w:rPr>
        <w:t xml:space="preserve"> </w:t>
      </w:r>
    </w:p>
    <w:p w:rsidR="00CA5377" w:rsidRPr="007F6CEF" w:rsidRDefault="009B7B2E" w:rsidP="00EB05E7">
      <w:pPr>
        <w:pStyle w:val="enumlev1"/>
        <w:rPr>
          <w:lang w:val="ru-RU"/>
        </w:rPr>
      </w:pPr>
      <w:r w:rsidRPr="007F6CEF">
        <w:rPr>
          <w:lang w:val="ru-RU"/>
        </w:rPr>
        <w:t>c)</w:t>
      </w:r>
      <w:r w:rsidRPr="007F6CEF">
        <w:rPr>
          <w:lang w:val="ru-RU"/>
        </w:rPr>
        <w:tab/>
      </w:r>
      <w:r w:rsidR="00E72363" w:rsidRPr="007F6CEF">
        <w:rPr>
          <w:lang w:val="ru-RU"/>
        </w:rPr>
        <w:t>Таблица </w:t>
      </w:r>
      <w:r w:rsidR="00CA5377" w:rsidRPr="007F6CEF">
        <w:rPr>
          <w:lang w:val="ru-RU"/>
        </w:rPr>
        <w:t>V "Сравнительная таблица предусмотренных в бюджете сумм и фактических сумм", в которой показаны "</w:t>
      </w:r>
      <w:r w:rsidR="00B62CEC" w:rsidRPr="007F6CEF">
        <w:rPr>
          <w:lang w:val="ru-RU"/>
        </w:rPr>
        <w:t>Активное сальдо/дефицит</w:t>
      </w:r>
      <w:r w:rsidR="00CA5377" w:rsidRPr="007F6CEF">
        <w:rPr>
          <w:iCs/>
          <w:lang w:val="ru-RU"/>
        </w:rPr>
        <w:t xml:space="preserve"> по счету 1000, покрываемые сняти</w:t>
      </w:r>
      <w:r w:rsidR="00624343" w:rsidRPr="007F6CEF">
        <w:rPr>
          <w:iCs/>
          <w:lang w:val="ru-RU"/>
        </w:rPr>
        <w:t>ем</w:t>
      </w:r>
      <w:r w:rsidR="00CA5377" w:rsidRPr="007F6CEF">
        <w:rPr>
          <w:iCs/>
          <w:lang w:val="ru-RU"/>
        </w:rPr>
        <w:t xml:space="preserve"> средств с Резервного счета</w:t>
      </w:r>
      <w:r w:rsidR="00CA5377" w:rsidRPr="007F6CEF">
        <w:rPr>
          <w:lang w:val="ru-RU"/>
        </w:rPr>
        <w:t>" и "</w:t>
      </w:r>
      <w:r w:rsidR="00CA5377" w:rsidRPr="007F6CEF">
        <w:rPr>
          <w:iCs/>
          <w:lang w:val="ru-RU"/>
        </w:rPr>
        <w:t>Увеличение резерва по счету 1010</w:t>
      </w:r>
      <w:r w:rsidR="00CA5377" w:rsidRPr="007F6CEF">
        <w:rPr>
          <w:lang w:val="ru-RU"/>
        </w:rPr>
        <w:t xml:space="preserve">". В </w:t>
      </w:r>
      <w:r w:rsidR="009303CD" w:rsidRPr="007F6CEF">
        <w:rPr>
          <w:lang w:val="ru-RU"/>
        </w:rPr>
        <w:t>Таблице </w:t>
      </w:r>
      <w:r w:rsidR="00CF75CB" w:rsidRPr="007F6CEF">
        <w:rPr>
          <w:lang w:val="ru-RU"/>
        </w:rPr>
        <w:t>V не только представлена</w:t>
      </w:r>
      <w:r w:rsidR="00CA5377" w:rsidRPr="007F6CEF">
        <w:rPr>
          <w:lang w:val="ru-RU"/>
        </w:rPr>
        <w:t xml:space="preserve"> "Сравн</w:t>
      </w:r>
      <w:r w:rsidR="00624343" w:rsidRPr="007F6CEF">
        <w:rPr>
          <w:lang w:val="ru-RU"/>
        </w:rPr>
        <w:t>ительная таблица</w:t>
      </w:r>
      <w:r w:rsidR="00CA5377" w:rsidRPr="007F6CEF">
        <w:rPr>
          <w:lang w:val="ru-RU"/>
        </w:rPr>
        <w:t xml:space="preserve"> предусмотренных в бюджете сумм и фактических сумм", но и </w:t>
      </w:r>
      <w:r w:rsidR="00624343" w:rsidRPr="007F6CEF">
        <w:rPr>
          <w:lang w:val="ru-RU"/>
        </w:rPr>
        <w:t>приводится информация по бухгалтерской выверке указанных в бюджете результатов</w:t>
      </w:r>
      <w:r w:rsidR="00CA5377" w:rsidRPr="007F6CEF">
        <w:rPr>
          <w:lang w:val="ru-RU"/>
        </w:rPr>
        <w:t xml:space="preserve"> (фактическ</w:t>
      </w:r>
      <w:r w:rsidR="00A43DE3" w:rsidRPr="007F6CEF">
        <w:rPr>
          <w:lang w:val="ru-RU"/>
        </w:rPr>
        <w:t>их</w:t>
      </w:r>
      <w:r w:rsidR="00CA5377" w:rsidRPr="007F6CEF">
        <w:rPr>
          <w:lang w:val="ru-RU"/>
        </w:rPr>
        <w:t xml:space="preserve"> сумм) и сумм, учтенных в финансовой отчетности (</w:t>
      </w:r>
      <w:r w:rsidR="00A43DE3" w:rsidRPr="007F6CEF">
        <w:rPr>
          <w:lang w:val="ru-RU"/>
        </w:rPr>
        <w:t>в связи с этим</w:t>
      </w:r>
      <w:r w:rsidR="00CA5377" w:rsidRPr="007F6CEF">
        <w:rPr>
          <w:lang w:val="ru-RU"/>
        </w:rPr>
        <w:t xml:space="preserve"> см. также </w:t>
      </w:r>
      <w:r w:rsidR="00826BCE" w:rsidRPr="007F6CEF">
        <w:rPr>
          <w:lang w:val="ru-RU"/>
        </w:rPr>
        <w:t>Примечание </w:t>
      </w:r>
      <w:r w:rsidR="003472FF" w:rsidRPr="007F6CEF">
        <w:rPr>
          <w:lang w:val="ru-RU"/>
        </w:rPr>
        <w:t>25</w:t>
      </w:r>
      <w:r w:rsidR="00CA5377" w:rsidRPr="007F6CEF">
        <w:rPr>
          <w:lang w:val="ru-RU"/>
        </w:rPr>
        <w:t>);</w:t>
      </w:r>
    </w:p>
    <w:p w:rsidR="00CA5377" w:rsidRPr="007F6CEF" w:rsidRDefault="009B7B2E" w:rsidP="00170B2C">
      <w:pPr>
        <w:pStyle w:val="enumlev1"/>
        <w:rPr>
          <w:lang w:val="ru-RU"/>
        </w:rPr>
      </w:pPr>
      <w:r w:rsidRPr="007F6CEF">
        <w:rPr>
          <w:lang w:val="ru-RU"/>
        </w:rPr>
        <w:t>d)</w:t>
      </w:r>
      <w:r w:rsidRPr="007F6CEF">
        <w:rPr>
          <w:lang w:val="ru-RU"/>
        </w:rPr>
        <w:tab/>
      </w:r>
      <w:r w:rsidR="00E72363" w:rsidRPr="007F6CEF">
        <w:rPr>
          <w:lang w:val="ru-RU"/>
        </w:rPr>
        <w:t>Примечание </w:t>
      </w:r>
      <w:r w:rsidR="00CA5377" w:rsidRPr="007F6CEF">
        <w:rPr>
          <w:lang w:val="ru-RU"/>
        </w:rPr>
        <w:t>3 "Основные принципы бухгалтерского учета", пункт, касающийся "учета средств", в частности подпункт "Собственные целевые средства" и пункт, касающийся "Резервного счета";</w:t>
      </w:r>
      <w:r w:rsidR="00E1603F" w:rsidRPr="007F6CEF">
        <w:rPr>
          <w:lang w:val="ru-RU"/>
        </w:rPr>
        <w:t xml:space="preserve"> </w:t>
      </w:r>
    </w:p>
    <w:p w:rsidR="00CA5377" w:rsidRPr="007F6CEF" w:rsidRDefault="009B7B2E" w:rsidP="00170B2C">
      <w:pPr>
        <w:pStyle w:val="enumlev1"/>
        <w:rPr>
          <w:lang w:val="ru-RU"/>
        </w:rPr>
      </w:pPr>
      <w:r w:rsidRPr="007F6CEF">
        <w:rPr>
          <w:lang w:val="ru-RU"/>
        </w:rPr>
        <w:t>e)</w:t>
      </w:r>
      <w:r w:rsidRPr="007F6CEF">
        <w:rPr>
          <w:lang w:val="ru-RU"/>
        </w:rPr>
        <w:tab/>
      </w:r>
      <w:r w:rsidR="00E72363" w:rsidRPr="007F6CEF">
        <w:rPr>
          <w:lang w:val="ru-RU"/>
        </w:rPr>
        <w:t>Примечание </w:t>
      </w:r>
      <w:r w:rsidR="00CA5377" w:rsidRPr="007F6CEF">
        <w:rPr>
          <w:lang w:val="ru-RU"/>
        </w:rPr>
        <w:t>4 "Управление чистыми активами ", в котором отражено движение средств Резервного сч</w:t>
      </w:r>
      <w:r w:rsidR="00CF75CB" w:rsidRPr="007F6CEF">
        <w:rPr>
          <w:lang w:val="ru-RU"/>
        </w:rPr>
        <w:t>ета и проведено сопоставление "С</w:t>
      </w:r>
      <w:r w:rsidR="00CA5377" w:rsidRPr="007F6CEF">
        <w:rPr>
          <w:lang w:val="ru-RU"/>
        </w:rPr>
        <w:t>обственных средств</w:t>
      </w:r>
      <w:r w:rsidR="00A43DE3" w:rsidRPr="007F6CEF">
        <w:rPr>
          <w:lang w:val="ru-RU"/>
        </w:rPr>
        <w:t>, выделенных</w:t>
      </w:r>
      <w:r w:rsidR="00CA5377" w:rsidRPr="007F6CEF">
        <w:rPr>
          <w:lang w:val="ru-RU"/>
        </w:rPr>
        <w:t xml:space="preserve"> организации", показанных в </w:t>
      </w:r>
      <w:r w:rsidR="009303CD" w:rsidRPr="007F6CEF">
        <w:rPr>
          <w:lang w:val="ru-RU"/>
        </w:rPr>
        <w:t>Таблице </w:t>
      </w:r>
      <w:r w:rsidR="00CA5377" w:rsidRPr="007F6CEF">
        <w:rPr>
          <w:lang w:val="ru-RU"/>
        </w:rPr>
        <w:t xml:space="preserve">III, и </w:t>
      </w:r>
      <w:r w:rsidR="00F5453E" w:rsidRPr="007F6CEF">
        <w:rPr>
          <w:lang w:val="ru-RU"/>
        </w:rPr>
        <w:t>"</w:t>
      </w:r>
      <w:r w:rsidR="00CA5377" w:rsidRPr="007F6CEF">
        <w:rPr>
          <w:lang w:val="ru-RU"/>
        </w:rPr>
        <w:t>Резервн</w:t>
      </w:r>
      <w:r w:rsidR="002A4FD7" w:rsidRPr="007F6CEF">
        <w:rPr>
          <w:lang w:val="ru-RU"/>
        </w:rPr>
        <w:t>ого счета</w:t>
      </w:r>
      <w:r w:rsidR="00F5453E" w:rsidRPr="007F6CEF">
        <w:rPr>
          <w:lang w:val="ru-RU"/>
        </w:rPr>
        <w:t>"</w:t>
      </w:r>
      <w:r w:rsidR="002A4FD7" w:rsidRPr="007F6CEF">
        <w:rPr>
          <w:lang w:val="ru-RU"/>
        </w:rPr>
        <w:t>.</w:t>
      </w:r>
    </w:p>
    <w:p w:rsidR="002A4FD7" w:rsidRPr="007F6CEF" w:rsidRDefault="00A43DE3" w:rsidP="00170B2C">
      <w:pPr>
        <w:pStyle w:val="Title1"/>
        <w:jc w:val="left"/>
        <w:rPr>
          <w:lang w:val="ru-RU"/>
        </w:rPr>
      </w:pPr>
      <w:bookmarkStart w:id="195" w:name="_Toc398125341"/>
      <w:bookmarkStart w:id="196" w:name="_Toc398125820"/>
      <w:r w:rsidRPr="007F6CEF">
        <w:rPr>
          <w:lang w:val="ru-RU"/>
        </w:rPr>
        <w:t>ОбъединеннЫЙ пенсионнЫЙ фонд персонала Организации Объединенных Наций</w:t>
      </w:r>
      <w:bookmarkEnd w:id="195"/>
      <w:bookmarkEnd w:id="196"/>
      <w:r w:rsidRPr="007F6CEF">
        <w:rPr>
          <w:lang w:val="ru-RU"/>
        </w:rPr>
        <w:t xml:space="preserve"> </w:t>
      </w:r>
    </w:p>
    <w:p w:rsidR="00CA5377" w:rsidRPr="007F6CEF" w:rsidRDefault="002A4FD7" w:rsidP="00170B2C">
      <w:pPr>
        <w:rPr>
          <w:lang w:val="ru-RU"/>
        </w:rPr>
      </w:pPr>
      <w:r w:rsidRPr="007F6CEF">
        <w:rPr>
          <w:lang w:val="ru-RU"/>
        </w:rPr>
        <w:t>103</w:t>
      </w:r>
      <w:r w:rsidRPr="007F6CEF">
        <w:rPr>
          <w:lang w:val="ru-RU"/>
        </w:rPr>
        <w:tab/>
      </w:r>
      <w:r w:rsidR="00A43DE3" w:rsidRPr="007F6CEF">
        <w:rPr>
          <w:lang w:val="ru-RU"/>
        </w:rPr>
        <w:t>В нашем отчете за прошлый год подробно рассматривался вопрос, связанный с</w:t>
      </w:r>
      <w:r w:rsidRPr="007F6CEF">
        <w:rPr>
          <w:lang w:val="ru-RU"/>
        </w:rPr>
        <w:t xml:space="preserve"> </w:t>
      </w:r>
      <w:r w:rsidR="00CA5377" w:rsidRPr="007F6CEF">
        <w:rPr>
          <w:lang w:val="ru-RU"/>
        </w:rPr>
        <w:t>ОПФП ООН</w:t>
      </w:r>
      <w:r w:rsidR="00A43DE3" w:rsidRPr="007F6CEF">
        <w:rPr>
          <w:iCs/>
          <w:lang w:val="ru-RU"/>
        </w:rPr>
        <w:t xml:space="preserve">. Нам пришлось напомнить о том, что </w:t>
      </w:r>
      <w:r w:rsidR="00CA5377" w:rsidRPr="007F6CEF">
        <w:rPr>
          <w:lang w:val="ru-RU"/>
        </w:rPr>
        <w:t>Целев</w:t>
      </w:r>
      <w:r w:rsidRPr="007F6CEF">
        <w:rPr>
          <w:lang w:val="ru-RU"/>
        </w:rPr>
        <w:t>ая</w:t>
      </w:r>
      <w:r w:rsidR="00CA5377" w:rsidRPr="007F6CEF">
        <w:rPr>
          <w:lang w:val="ru-RU"/>
        </w:rPr>
        <w:t xml:space="preserve"> групп</w:t>
      </w:r>
      <w:r w:rsidRPr="007F6CEF">
        <w:rPr>
          <w:lang w:val="ru-RU"/>
        </w:rPr>
        <w:t>а</w:t>
      </w:r>
      <w:r w:rsidR="00CA5377" w:rsidRPr="007F6CEF">
        <w:rPr>
          <w:lang w:val="ru-RU"/>
        </w:rPr>
        <w:t xml:space="preserve"> по стандартам учета Организации</w:t>
      </w:r>
      <w:r w:rsidRPr="007F6CEF">
        <w:rPr>
          <w:lang w:val="ru-RU"/>
        </w:rPr>
        <w:t xml:space="preserve"> Объединенных Наций (ЦГСУ ООН) в</w:t>
      </w:r>
      <w:r w:rsidR="00CA5377" w:rsidRPr="007F6CEF">
        <w:rPr>
          <w:lang w:val="ru-RU"/>
        </w:rPr>
        <w:t> своем ответе</w:t>
      </w:r>
      <w:r w:rsidRPr="007F6CEF">
        <w:rPr>
          <w:lang w:val="ru-RU"/>
        </w:rPr>
        <w:t xml:space="preserve"> </w:t>
      </w:r>
      <w:r w:rsidR="00A43DE3" w:rsidRPr="007F6CEF">
        <w:rPr>
          <w:lang w:val="ru-RU"/>
        </w:rPr>
        <w:t xml:space="preserve">на наш конкретный вопрос </w:t>
      </w:r>
      <w:r w:rsidR="00CA5377" w:rsidRPr="007F6CEF">
        <w:rPr>
          <w:lang w:val="ru-RU"/>
        </w:rPr>
        <w:t>указала</w:t>
      </w:r>
      <w:r w:rsidR="00A43DE3" w:rsidRPr="007F6CEF">
        <w:rPr>
          <w:lang w:val="ru-RU"/>
        </w:rPr>
        <w:t xml:space="preserve"> 16 февраля 2013 года</w:t>
      </w:r>
      <w:r w:rsidR="00CA5377" w:rsidRPr="007F6CEF">
        <w:rPr>
          <w:lang w:val="ru-RU"/>
        </w:rPr>
        <w:t>, что "</w:t>
      </w:r>
      <w:r w:rsidR="00CA5377" w:rsidRPr="007F6CEF">
        <w:rPr>
          <w:i/>
          <w:lang w:val="ru-RU"/>
        </w:rPr>
        <w:t xml:space="preserve">в случае если </w:t>
      </w:r>
      <w:r w:rsidR="00CA5377" w:rsidRPr="007F6CEF">
        <w:rPr>
          <w:rFonts w:cstheme="minorHAnsi"/>
          <w:i/>
          <w:lang w:val="ru-RU"/>
        </w:rPr>
        <w:t xml:space="preserve">ОПФП ООН не сможет выполнить своих обязательств по пенсионным выплатам, организации-члены будут нести ответственность за это финансирование согласно </w:t>
      </w:r>
      <w:r w:rsidR="00D05982" w:rsidRPr="007F6CEF">
        <w:rPr>
          <w:rFonts w:cstheme="minorHAnsi"/>
          <w:i/>
          <w:lang w:val="ru-RU"/>
        </w:rPr>
        <w:t>Статье</w:t>
      </w:r>
      <w:r w:rsidR="00D05982" w:rsidRPr="007F6CEF">
        <w:rPr>
          <w:i/>
          <w:lang w:val="ru-RU"/>
        </w:rPr>
        <w:t> </w:t>
      </w:r>
      <w:r w:rsidR="00CA5377" w:rsidRPr="007F6CEF">
        <w:rPr>
          <w:i/>
          <w:lang w:val="ru-RU"/>
        </w:rPr>
        <w:t>26 Положени</w:t>
      </w:r>
      <w:r w:rsidR="00F5453E" w:rsidRPr="007F6CEF">
        <w:rPr>
          <w:i/>
          <w:lang w:val="ru-RU"/>
        </w:rPr>
        <w:t>й</w:t>
      </w:r>
      <w:r w:rsidR="00CA5377" w:rsidRPr="007F6CEF">
        <w:rPr>
          <w:i/>
          <w:lang w:val="ru-RU"/>
        </w:rPr>
        <w:t xml:space="preserve"> о Пенсионном фонде</w:t>
      </w:r>
      <w:r w:rsidR="00CA5377" w:rsidRPr="007F6CEF">
        <w:rPr>
          <w:lang w:val="ru-RU"/>
        </w:rPr>
        <w:t>".</w:t>
      </w:r>
    </w:p>
    <w:p w:rsidR="00CA5377" w:rsidRPr="007F6CEF" w:rsidRDefault="00AF6544" w:rsidP="00170B2C">
      <w:pPr>
        <w:rPr>
          <w:lang w:val="ru-RU"/>
        </w:rPr>
      </w:pPr>
      <w:r w:rsidRPr="007F6CEF">
        <w:rPr>
          <w:lang w:val="ru-RU"/>
        </w:rPr>
        <w:t>104</w:t>
      </w:r>
      <w:r w:rsidR="009B7B2E" w:rsidRPr="007F6CEF">
        <w:rPr>
          <w:lang w:val="ru-RU"/>
        </w:rPr>
        <w:tab/>
      </w:r>
      <w:r w:rsidR="00CA5377" w:rsidRPr="007F6CEF">
        <w:rPr>
          <w:lang w:val="ru-RU"/>
        </w:rPr>
        <w:t xml:space="preserve">ЦГСУ ООН </w:t>
      </w:r>
      <w:r w:rsidR="00A43DE3" w:rsidRPr="007F6CEF">
        <w:rPr>
          <w:lang w:val="ru-RU"/>
        </w:rPr>
        <w:t xml:space="preserve">ясно указала, что </w:t>
      </w:r>
      <w:r w:rsidR="00A12686" w:rsidRPr="007F6CEF">
        <w:rPr>
          <w:lang w:val="ru-RU"/>
        </w:rPr>
        <w:t xml:space="preserve">обязательства </w:t>
      </w:r>
      <w:r w:rsidR="00CA5377" w:rsidRPr="007F6CEF">
        <w:rPr>
          <w:rFonts w:cstheme="minorHAnsi"/>
          <w:lang w:val="ru-RU"/>
        </w:rPr>
        <w:t>ОПФП ООН</w:t>
      </w:r>
      <w:r w:rsidR="00CA5377" w:rsidRPr="007F6CEF">
        <w:rPr>
          <w:lang w:val="ru-RU"/>
        </w:rPr>
        <w:t xml:space="preserve"> </w:t>
      </w:r>
      <w:r w:rsidR="00A12686" w:rsidRPr="007F6CEF">
        <w:rPr>
          <w:lang w:val="ru-RU"/>
        </w:rPr>
        <w:t>не надо включать в финансовую отчетность МСЭ.</w:t>
      </w:r>
      <w:r w:rsidR="0091029E" w:rsidRPr="007F6CEF">
        <w:rPr>
          <w:lang w:val="ru-RU"/>
        </w:rPr>
        <w:t xml:space="preserve"> </w:t>
      </w:r>
    </w:p>
    <w:p w:rsidR="00CA5377" w:rsidRPr="007F6CEF" w:rsidRDefault="00D05982" w:rsidP="00170B2C">
      <w:pPr>
        <w:rPr>
          <w:lang w:val="ru-RU"/>
        </w:rPr>
      </w:pPr>
      <w:r w:rsidRPr="007F6CEF">
        <w:rPr>
          <w:lang w:val="ru-RU"/>
        </w:rPr>
        <w:t>105</w:t>
      </w:r>
      <w:r w:rsidR="006F2E90" w:rsidRPr="007F6CEF">
        <w:rPr>
          <w:lang w:val="ru-RU"/>
        </w:rPr>
        <w:tab/>
      </w:r>
      <w:r w:rsidR="00A12686" w:rsidRPr="007F6CEF">
        <w:rPr>
          <w:lang w:val="ru-RU"/>
        </w:rPr>
        <w:t xml:space="preserve">Тем не менее, учитывая, что невозможно исключить воздействие в будущем обязательств </w:t>
      </w:r>
      <w:r w:rsidRPr="007F6CEF">
        <w:rPr>
          <w:rFonts w:cstheme="minorHAnsi"/>
          <w:lang w:val="ru-RU"/>
        </w:rPr>
        <w:t>ОПФП ООН</w:t>
      </w:r>
      <w:r w:rsidRPr="007F6CEF">
        <w:rPr>
          <w:lang w:val="ru-RU"/>
        </w:rPr>
        <w:t xml:space="preserve"> </w:t>
      </w:r>
      <w:r w:rsidR="00A12686" w:rsidRPr="007F6CEF">
        <w:rPr>
          <w:lang w:val="ru-RU"/>
        </w:rPr>
        <w:t xml:space="preserve">на участвующие в нем учреждения, мы вновь привлекаем внимание </w:t>
      </w:r>
      <w:r w:rsidR="00CA5377" w:rsidRPr="007F6CEF">
        <w:rPr>
          <w:lang w:val="ru-RU"/>
        </w:rPr>
        <w:t xml:space="preserve">Совета </w:t>
      </w:r>
      <w:r w:rsidR="00A12686" w:rsidRPr="007F6CEF">
        <w:rPr>
          <w:lang w:val="ru-RU"/>
        </w:rPr>
        <w:t>к этому виду</w:t>
      </w:r>
      <w:r w:rsidR="00CA5377" w:rsidRPr="007F6CEF">
        <w:rPr>
          <w:lang w:val="ru-RU"/>
        </w:rPr>
        <w:t xml:space="preserve"> "</w:t>
      </w:r>
      <w:r w:rsidR="00CA5377" w:rsidRPr="007F6CEF">
        <w:rPr>
          <w:i/>
          <w:lang w:val="ru-RU"/>
        </w:rPr>
        <w:t>потенциально значительного риска</w:t>
      </w:r>
      <w:r w:rsidR="00CA5377" w:rsidRPr="007F6CEF">
        <w:rPr>
          <w:lang w:val="ru-RU"/>
        </w:rPr>
        <w:t xml:space="preserve">", как это делал и наш предшественник. </w:t>
      </w:r>
    </w:p>
    <w:p w:rsidR="00CA5377" w:rsidRPr="007F6CEF" w:rsidRDefault="00CA5377" w:rsidP="00170B2C">
      <w:pPr>
        <w:pStyle w:val="Title1"/>
        <w:jc w:val="left"/>
        <w:rPr>
          <w:lang w:val="ru-RU"/>
        </w:rPr>
      </w:pPr>
      <w:bookmarkStart w:id="197" w:name="_Toc356330907"/>
      <w:bookmarkStart w:id="198" w:name="_Toc358192856"/>
      <w:bookmarkStart w:id="199" w:name="_Toc398125342"/>
      <w:bookmarkStart w:id="200" w:name="_Toc398125821"/>
      <w:r w:rsidRPr="007F6CEF">
        <w:rPr>
          <w:lang w:val="ru-RU"/>
        </w:rPr>
        <w:t xml:space="preserve">ОТЧЕТ О РЕЗУЛЬТАТАХ ФИНАНСОВОЙ ДЕЯТЕЛЬНОСТИ </w:t>
      </w:r>
      <w:r w:rsidR="00A12686" w:rsidRPr="007F6CEF">
        <w:rPr>
          <w:lang w:val="ru-RU"/>
        </w:rPr>
        <w:t xml:space="preserve">за </w:t>
      </w:r>
      <w:r w:rsidRPr="007F6CEF">
        <w:rPr>
          <w:lang w:val="ru-RU"/>
        </w:rPr>
        <w:t>201</w:t>
      </w:r>
      <w:bookmarkEnd w:id="197"/>
      <w:r w:rsidR="0097026A" w:rsidRPr="007F6CEF">
        <w:rPr>
          <w:lang w:val="ru-RU"/>
        </w:rPr>
        <w:t>3</w:t>
      </w:r>
      <w:r w:rsidRPr="007F6CEF">
        <w:rPr>
          <w:lang w:val="ru-RU"/>
        </w:rPr>
        <w:t xml:space="preserve"> ГОД</w:t>
      </w:r>
      <w:bookmarkEnd w:id="198"/>
      <w:bookmarkEnd w:id="199"/>
      <w:bookmarkEnd w:id="200"/>
    </w:p>
    <w:p w:rsidR="00CA5377" w:rsidRPr="007F6CEF" w:rsidRDefault="0097026A" w:rsidP="00170B2C">
      <w:pPr>
        <w:rPr>
          <w:lang w:val="ru-RU"/>
        </w:rPr>
      </w:pPr>
      <w:bookmarkStart w:id="201" w:name="_Ref355854809"/>
      <w:r w:rsidRPr="007F6CEF">
        <w:rPr>
          <w:lang w:val="ru-RU"/>
        </w:rPr>
        <w:t>106</w:t>
      </w:r>
      <w:r w:rsidR="009B7B2E" w:rsidRPr="007F6CEF">
        <w:rPr>
          <w:lang w:val="ru-RU"/>
        </w:rPr>
        <w:tab/>
      </w:r>
      <w:r w:rsidR="00CA5377" w:rsidRPr="007F6CEF">
        <w:rPr>
          <w:lang w:val="ru-RU"/>
        </w:rPr>
        <w:t xml:space="preserve">В этом Отчете показаны оперативные и финансовые доходы и расходы Организации, </w:t>
      </w:r>
      <w:r w:rsidR="00A12686" w:rsidRPr="007F6CEF">
        <w:rPr>
          <w:lang w:val="ru-RU"/>
        </w:rPr>
        <w:t xml:space="preserve">которые классифицированы, раскрыты и представлены </w:t>
      </w:r>
      <w:r w:rsidR="00CA5377" w:rsidRPr="007F6CEF">
        <w:rPr>
          <w:lang w:val="ru-RU"/>
        </w:rPr>
        <w:t xml:space="preserve">на согласованной основе, с тем чтобы пояснить чистый дефицит или </w:t>
      </w:r>
      <w:r w:rsidR="00A12686" w:rsidRPr="007F6CEF">
        <w:rPr>
          <w:lang w:val="ru-RU"/>
        </w:rPr>
        <w:t>чистое активное сальдо</w:t>
      </w:r>
      <w:r w:rsidR="00CA5377" w:rsidRPr="007F6CEF">
        <w:rPr>
          <w:lang w:val="ru-RU"/>
        </w:rPr>
        <w:t xml:space="preserve"> за год.</w:t>
      </w:r>
      <w:bookmarkEnd w:id="201"/>
      <w:r w:rsidR="00CA5377" w:rsidRPr="007F6CEF">
        <w:rPr>
          <w:lang w:val="ru-RU"/>
        </w:rPr>
        <w:t xml:space="preserve"> Финансовый период завершен с </w:t>
      </w:r>
      <w:r w:rsidR="00A12686" w:rsidRPr="007F6CEF">
        <w:rPr>
          <w:lang w:val="ru-RU"/>
        </w:rPr>
        <w:t>активным сальдо</w:t>
      </w:r>
      <w:r w:rsidR="00CA5377" w:rsidRPr="007F6CEF">
        <w:rPr>
          <w:lang w:val="ru-RU"/>
        </w:rPr>
        <w:t xml:space="preserve"> в </w:t>
      </w:r>
      <w:r w:rsidRPr="007F6CEF">
        <w:rPr>
          <w:lang w:val="ru-RU"/>
        </w:rPr>
        <w:t>2</w:t>
      </w:r>
      <w:r w:rsidR="00CA5377" w:rsidRPr="007F6CEF">
        <w:rPr>
          <w:lang w:val="ru-RU"/>
        </w:rPr>
        <w:t>,</w:t>
      </w:r>
      <w:r w:rsidRPr="007F6CEF">
        <w:rPr>
          <w:lang w:val="ru-RU"/>
        </w:rPr>
        <w:t>8</w:t>
      </w:r>
      <w:r w:rsidR="00CA5377" w:rsidRPr="007F6CEF">
        <w:rPr>
          <w:lang w:val="ru-RU"/>
        </w:rPr>
        <w:t xml:space="preserve"> млн. швейцарских франков. </w:t>
      </w:r>
    </w:p>
    <w:p w:rsidR="00CA5377" w:rsidRPr="007F6CEF" w:rsidRDefault="00CA5377" w:rsidP="00170B2C">
      <w:pPr>
        <w:pStyle w:val="Headingb"/>
        <w:rPr>
          <w:lang w:val="ru-RU"/>
        </w:rPr>
      </w:pPr>
      <w:bookmarkStart w:id="202" w:name="_Toc358192857"/>
      <w:bookmarkStart w:id="203" w:name="_Toc398125343"/>
      <w:bookmarkStart w:id="204" w:name="_Toc398125822"/>
      <w:bookmarkStart w:id="205" w:name="_Toc398127107"/>
      <w:r w:rsidRPr="007F6CEF">
        <w:rPr>
          <w:lang w:val="ru-RU"/>
        </w:rPr>
        <w:t>Доходы и расходы</w:t>
      </w:r>
      <w:bookmarkEnd w:id="202"/>
      <w:bookmarkEnd w:id="203"/>
      <w:bookmarkEnd w:id="204"/>
      <w:bookmarkEnd w:id="205"/>
    </w:p>
    <w:p w:rsidR="00CA5377" w:rsidRPr="007F6CEF" w:rsidRDefault="0097026A" w:rsidP="00EB05E7">
      <w:pPr>
        <w:rPr>
          <w:bCs/>
          <w:lang w:val="ru-RU"/>
        </w:rPr>
      </w:pPr>
      <w:r w:rsidRPr="007F6CEF">
        <w:rPr>
          <w:lang w:val="ru-RU"/>
        </w:rPr>
        <w:t>107</w:t>
      </w:r>
      <w:r w:rsidR="009B7B2E" w:rsidRPr="007F6CEF">
        <w:rPr>
          <w:lang w:val="ru-RU"/>
        </w:rPr>
        <w:tab/>
      </w:r>
      <w:r w:rsidR="00CA5377" w:rsidRPr="007F6CEF">
        <w:rPr>
          <w:lang w:val="ru-RU"/>
        </w:rPr>
        <w:t>Общие доходы составили 1</w:t>
      </w:r>
      <w:r w:rsidRPr="007F6CEF">
        <w:rPr>
          <w:lang w:val="ru-RU"/>
        </w:rPr>
        <w:t>97</w:t>
      </w:r>
      <w:r w:rsidR="00CA5377" w:rsidRPr="007F6CEF">
        <w:rPr>
          <w:lang w:val="ru-RU"/>
        </w:rPr>
        <w:t>,</w:t>
      </w:r>
      <w:r w:rsidRPr="007F6CEF">
        <w:rPr>
          <w:lang w:val="ru-RU"/>
        </w:rPr>
        <w:t>0</w:t>
      </w:r>
      <w:r w:rsidR="00CA5377" w:rsidRPr="007F6CEF">
        <w:rPr>
          <w:lang w:val="ru-RU"/>
        </w:rPr>
        <w:t> млн. швейцарских франков</w:t>
      </w:r>
      <w:r w:rsidR="001C1D65" w:rsidRPr="007F6CEF">
        <w:rPr>
          <w:lang w:val="ru-RU"/>
        </w:rPr>
        <w:t xml:space="preserve">, увеличившись </w:t>
      </w:r>
      <w:r w:rsidR="00211A78" w:rsidRPr="007F6CEF">
        <w:rPr>
          <w:lang w:val="ru-RU"/>
        </w:rPr>
        <w:t>на</w:t>
      </w:r>
      <w:r w:rsidR="00CA5377" w:rsidRPr="007F6CEF">
        <w:rPr>
          <w:lang w:val="ru-RU"/>
        </w:rPr>
        <w:t xml:space="preserve"> </w:t>
      </w:r>
      <w:r w:rsidR="00211A78" w:rsidRPr="007F6CEF">
        <w:rPr>
          <w:lang w:val="ru-RU"/>
        </w:rPr>
        <w:t>18</w:t>
      </w:r>
      <w:r w:rsidR="00CA5377" w:rsidRPr="007F6CEF">
        <w:rPr>
          <w:lang w:val="ru-RU"/>
        </w:rPr>
        <w:t>,7 млн. швейцарских франков (</w:t>
      </w:r>
      <w:r w:rsidR="00211A78" w:rsidRPr="007F6CEF">
        <w:rPr>
          <w:lang w:val="ru-RU"/>
        </w:rPr>
        <w:t>+10,5</w:t>
      </w:r>
      <w:r w:rsidR="00CA5377" w:rsidRPr="007F6CEF">
        <w:rPr>
          <w:lang w:val="ru-RU"/>
        </w:rPr>
        <w:t>%) по сравнению с 201</w:t>
      </w:r>
      <w:r w:rsidR="00211A78" w:rsidRPr="007F6CEF">
        <w:rPr>
          <w:lang w:val="ru-RU"/>
        </w:rPr>
        <w:t>2</w:t>
      </w:r>
      <w:r w:rsidR="00CA5377" w:rsidRPr="007F6CEF">
        <w:rPr>
          <w:lang w:val="ru-RU"/>
        </w:rPr>
        <w:t> годом (1</w:t>
      </w:r>
      <w:r w:rsidR="00211A78" w:rsidRPr="007F6CEF">
        <w:rPr>
          <w:lang w:val="ru-RU"/>
        </w:rPr>
        <w:t>78</w:t>
      </w:r>
      <w:r w:rsidR="00CA5377" w:rsidRPr="007F6CEF">
        <w:rPr>
          <w:lang w:val="ru-RU"/>
        </w:rPr>
        <w:t>,</w:t>
      </w:r>
      <w:r w:rsidR="00211A78" w:rsidRPr="007F6CEF">
        <w:rPr>
          <w:lang w:val="ru-RU"/>
        </w:rPr>
        <w:t>3</w:t>
      </w:r>
      <w:r w:rsidR="00CA5377" w:rsidRPr="007F6CEF">
        <w:rPr>
          <w:lang w:val="ru-RU"/>
        </w:rPr>
        <w:t xml:space="preserve"> млн. швейцарских франков), </w:t>
      </w:r>
      <w:r w:rsidR="001C1D65" w:rsidRPr="007F6CEF">
        <w:rPr>
          <w:lang w:val="ru-RU"/>
        </w:rPr>
        <w:t>что</w:t>
      </w:r>
      <w:r w:rsidR="00CA5377" w:rsidRPr="007F6CEF">
        <w:rPr>
          <w:lang w:val="ru-RU"/>
        </w:rPr>
        <w:t xml:space="preserve"> обусловл</w:t>
      </w:r>
      <w:r w:rsidR="001C1D65" w:rsidRPr="007F6CEF">
        <w:rPr>
          <w:lang w:val="ru-RU"/>
        </w:rPr>
        <w:t>ено</w:t>
      </w:r>
      <w:r w:rsidR="00CA5377" w:rsidRPr="007F6CEF">
        <w:rPr>
          <w:lang w:val="ru-RU"/>
        </w:rPr>
        <w:t xml:space="preserve"> в основном </w:t>
      </w:r>
      <w:r w:rsidR="00211A78" w:rsidRPr="007F6CEF">
        <w:rPr>
          <w:lang w:val="ru-RU"/>
        </w:rPr>
        <w:t>увеличением</w:t>
      </w:r>
      <w:r w:rsidR="00CA5377" w:rsidRPr="007F6CEF">
        <w:rPr>
          <w:lang w:val="ru-RU"/>
        </w:rPr>
        <w:t xml:space="preserve"> </w:t>
      </w:r>
      <w:r w:rsidR="00CA5377" w:rsidRPr="007F6CEF">
        <w:rPr>
          <w:iCs/>
          <w:lang w:val="ru-RU"/>
        </w:rPr>
        <w:t>i) </w:t>
      </w:r>
      <w:r w:rsidR="001C1D65" w:rsidRPr="007F6CEF">
        <w:rPr>
          <w:iCs/>
          <w:lang w:val="ru-RU"/>
        </w:rPr>
        <w:t>добровольных</w:t>
      </w:r>
      <w:r w:rsidR="00211A78" w:rsidRPr="007F6CEF">
        <w:rPr>
          <w:iCs/>
          <w:lang w:val="ru-RU"/>
        </w:rPr>
        <w:t xml:space="preserve"> </w:t>
      </w:r>
      <w:r w:rsidR="00CA5377" w:rsidRPr="007F6CEF">
        <w:rPr>
          <w:iCs/>
          <w:lang w:val="ru-RU"/>
        </w:rPr>
        <w:t>взносов</w:t>
      </w:r>
      <w:r w:rsidR="00CA5377" w:rsidRPr="007F6CEF">
        <w:rPr>
          <w:lang w:val="ru-RU"/>
        </w:rPr>
        <w:t xml:space="preserve"> (</w:t>
      </w:r>
      <w:r w:rsidR="00211A78" w:rsidRPr="007F6CEF">
        <w:rPr>
          <w:lang w:val="ru-RU"/>
        </w:rPr>
        <w:t>+7</w:t>
      </w:r>
      <w:r w:rsidR="00CA5377" w:rsidRPr="007F6CEF">
        <w:rPr>
          <w:lang w:val="ru-RU"/>
        </w:rPr>
        <w:t>,</w:t>
      </w:r>
      <w:r w:rsidR="00211A78" w:rsidRPr="007F6CEF">
        <w:rPr>
          <w:lang w:val="ru-RU"/>
        </w:rPr>
        <w:t>2</w:t>
      </w:r>
      <w:r w:rsidR="00C807E0" w:rsidRPr="007F6CEF">
        <w:rPr>
          <w:lang w:val="ru-RU"/>
        </w:rPr>
        <w:t> млн. швейцарских франков, или +72,2%);</w:t>
      </w:r>
      <w:r w:rsidR="00CA5377" w:rsidRPr="007F6CEF">
        <w:rPr>
          <w:lang w:val="ru-RU"/>
        </w:rPr>
        <w:t xml:space="preserve"> ii) других операционных доходов (</w:t>
      </w:r>
      <w:r w:rsidR="00C807E0" w:rsidRPr="007F6CEF">
        <w:rPr>
          <w:lang w:val="ru-RU"/>
        </w:rPr>
        <w:t>+5,1</w:t>
      </w:r>
      <w:r w:rsidR="00CA5377" w:rsidRPr="007F6CEF">
        <w:rPr>
          <w:lang w:val="ru-RU"/>
        </w:rPr>
        <w:t xml:space="preserve"> млн. швейцарских франков, </w:t>
      </w:r>
      <w:r w:rsidR="00C807E0" w:rsidRPr="007F6CEF">
        <w:rPr>
          <w:lang w:val="ru-RU"/>
        </w:rPr>
        <w:t>или +12,9</w:t>
      </w:r>
      <w:r w:rsidR="00CA5377" w:rsidRPr="007F6CEF">
        <w:rPr>
          <w:lang w:val="ru-RU"/>
        </w:rPr>
        <w:t xml:space="preserve">%), в частности </w:t>
      </w:r>
      <w:r w:rsidR="00C807E0" w:rsidRPr="007F6CEF">
        <w:rPr>
          <w:lang w:val="ru-RU"/>
        </w:rPr>
        <w:t>увеличением</w:t>
      </w:r>
      <w:r w:rsidR="00CA5377" w:rsidRPr="007F6CEF">
        <w:rPr>
          <w:lang w:val="ru-RU"/>
        </w:rPr>
        <w:t xml:space="preserve"> внебюджетных доходов, </w:t>
      </w:r>
      <w:r w:rsidR="00C807E0" w:rsidRPr="007F6CEF">
        <w:rPr>
          <w:lang w:val="ru-RU"/>
        </w:rPr>
        <w:t>связанных с поддержкой проектов;</w:t>
      </w:r>
      <w:r w:rsidR="00CA5377" w:rsidRPr="007F6CEF">
        <w:rPr>
          <w:lang w:val="ru-RU"/>
        </w:rPr>
        <w:t xml:space="preserve"> и </w:t>
      </w:r>
      <w:r w:rsidR="00CA5377" w:rsidRPr="007F6CEF">
        <w:rPr>
          <w:iCs/>
          <w:lang w:val="ru-RU"/>
        </w:rPr>
        <w:t>iii) финансовых</w:t>
      </w:r>
      <w:r w:rsidR="00CA5377" w:rsidRPr="007F6CEF">
        <w:rPr>
          <w:lang w:val="ru-RU"/>
        </w:rPr>
        <w:t xml:space="preserve"> доходов (</w:t>
      </w:r>
      <w:r w:rsidR="00C807E0" w:rsidRPr="007F6CEF">
        <w:rPr>
          <w:lang w:val="ru-RU"/>
        </w:rPr>
        <w:t>+0</w:t>
      </w:r>
      <w:r w:rsidR="00CA5377" w:rsidRPr="007F6CEF">
        <w:rPr>
          <w:lang w:val="ru-RU"/>
        </w:rPr>
        <w:t>,</w:t>
      </w:r>
      <w:r w:rsidR="00C807E0" w:rsidRPr="007F6CEF">
        <w:rPr>
          <w:lang w:val="ru-RU"/>
        </w:rPr>
        <w:t>6</w:t>
      </w:r>
      <w:r w:rsidR="00CA5377" w:rsidRPr="007F6CEF">
        <w:rPr>
          <w:lang w:val="ru-RU"/>
        </w:rPr>
        <w:t xml:space="preserve"> млн. швейцарских франков, </w:t>
      </w:r>
      <w:r w:rsidR="00C807E0" w:rsidRPr="007F6CEF">
        <w:rPr>
          <w:lang w:val="ru-RU"/>
        </w:rPr>
        <w:t>или +525,3</w:t>
      </w:r>
      <w:r w:rsidR="00CA5377" w:rsidRPr="007F6CEF">
        <w:rPr>
          <w:lang w:val="ru-RU"/>
        </w:rPr>
        <w:t>%) вследствие, в основном, неполученных курсовых прибылей</w:t>
      </w:r>
      <w:r w:rsidR="00C807E0" w:rsidRPr="007F6CEF">
        <w:rPr>
          <w:lang w:val="ru-RU"/>
        </w:rPr>
        <w:t xml:space="preserve"> (+6,1 млн. швейцарских франков)</w:t>
      </w:r>
      <w:r w:rsidR="00CA5377" w:rsidRPr="007F6CEF">
        <w:rPr>
          <w:lang w:val="ru-RU"/>
        </w:rPr>
        <w:t xml:space="preserve">, о чем сообщается в </w:t>
      </w:r>
      <w:r w:rsidR="00826BCE" w:rsidRPr="007F6CEF">
        <w:rPr>
          <w:lang w:val="ru-RU"/>
        </w:rPr>
        <w:t>Примечании </w:t>
      </w:r>
      <w:r w:rsidR="00CA5377" w:rsidRPr="007F6CEF">
        <w:rPr>
          <w:lang w:val="ru-RU"/>
        </w:rPr>
        <w:t>22</w:t>
      </w:r>
      <w:r w:rsidR="00C807E0" w:rsidRPr="007F6CEF">
        <w:rPr>
          <w:lang w:val="ru-RU"/>
        </w:rPr>
        <w:t xml:space="preserve">. </w:t>
      </w:r>
      <w:r w:rsidR="001C1D65" w:rsidRPr="007F6CEF">
        <w:rPr>
          <w:lang w:val="ru-RU"/>
        </w:rPr>
        <w:t xml:space="preserve">Начисленные взносы на сумму </w:t>
      </w:r>
      <w:r w:rsidR="00A70065" w:rsidRPr="007F6CEF">
        <w:rPr>
          <w:lang w:val="ru-RU"/>
        </w:rPr>
        <w:t xml:space="preserve">126,9 млн. швейцарских франков, </w:t>
      </w:r>
      <w:r w:rsidR="001C1D65" w:rsidRPr="007F6CEF">
        <w:rPr>
          <w:lang w:val="ru-RU"/>
        </w:rPr>
        <w:t>что составляет</w:t>
      </w:r>
      <w:r w:rsidR="00A70065" w:rsidRPr="007F6CEF">
        <w:rPr>
          <w:lang w:val="ru-RU"/>
        </w:rPr>
        <w:t xml:space="preserve"> 64,4% </w:t>
      </w:r>
      <w:r w:rsidR="001C1D65" w:rsidRPr="007F6CEF">
        <w:rPr>
          <w:lang w:val="ru-RU"/>
        </w:rPr>
        <w:t>от общих доходов</w:t>
      </w:r>
      <w:r w:rsidR="00A70065" w:rsidRPr="007F6CEF">
        <w:rPr>
          <w:lang w:val="ru-RU"/>
        </w:rPr>
        <w:t xml:space="preserve">, </w:t>
      </w:r>
      <w:r w:rsidR="001C1D65" w:rsidRPr="007F6CEF">
        <w:rPr>
          <w:lang w:val="ru-RU"/>
        </w:rPr>
        <w:t>увеличились лишь незначительно</w:t>
      </w:r>
      <w:r w:rsidR="00A70065" w:rsidRPr="007F6CEF">
        <w:rPr>
          <w:lang w:val="ru-RU"/>
        </w:rPr>
        <w:t xml:space="preserve"> (+0</w:t>
      </w:r>
      <w:r w:rsidR="00337402" w:rsidRPr="007F6CEF">
        <w:rPr>
          <w:lang w:val="ru-RU"/>
        </w:rPr>
        <w:t>,</w:t>
      </w:r>
      <w:r w:rsidR="00A70065" w:rsidRPr="007F6CEF">
        <w:rPr>
          <w:lang w:val="ru-RU"/>
        </w:rPr>
        <w:t>3</w:t>
      </w:r>
      <w:r w:rsidR="00337402" w:rsidRPr="007F6CEF">
        <w:rPr>
          <w:lang w:val="ru-RU"/>
        </w:rPr>
        <w:t> млн. швейцарских франков, или +0,</w:t>
      </w:r>
      <w:r w:rsidR="00A70065" w:rsidRPr="007F6CEF">
        <w:rPr>
          <w:lang w:val="ru-RU"/>
        </w:rPr>
        <w:t xml:space="preserve">2%) </w:t>
      </w:r>
      <w:r w:rsidR="001C1D65" w:rsidRPr="007F6CEF">
        <w:rPr>
          <w:lang w:val="ru-RU"/>
        </w:rPr>
        <w:t>п</w:t>
      </w:r>
      <w:r w:rsidR="00207715" w:rsidRPr="007F6CEF">
        <w:rPr>
          <w:lang w:val="ru-RU"/>
        </w:rPr>
        <w:t>о сравнению с 2012 </w:t>
      </w:r>
      <w:r w:rsidR="001C1D65" w:rsidRPr="007F6CEF">
        <w:rPr>
          <w:lang w:val="ru-RU"/>
        </w:rPr>
        <w:t>годом, как отмечается в Примечании 21</w:t>
      </w:r>
      <w:r w:rsidR="00CA5377" w:rsidRPr="007F6CEF">
        <w:rPr>
          <w:lang w:val="ru-RU"/>
        </w:rPr>
        <w:t xml:space="preserve"> Отчета о финансовой деятельности. </w:t>
      </w:r>
    </w:p>
    <w:p w:rsidR="00655AA7" w:rsidRPr="007F6CEF" w:rsidRDefault="00D51E11" w:rsidP="00170B2C">
      <w:pPr>
        <w:rPr>
          <w:lang w:val="ru-RU"/>
        </w:rPr>
      </w:pPr>
      <w:r w:rsidRPr="007F6CEF">
        <w:rPr>
          <w:lang w:val="ru-RU"/>
        </w:rPr>
        <w:t>108</w:t>
      </w:r>
      <w:r w:rsidR="009B7B2E" w:rsidRPr="007F6CEF">
        <w:rPr>
          <w:lang w:val="ru-RU"/>
        </w:rPr>
        <w:tab/>
      </w:r>
      <w:r w:rsidR="00CA5377" w:rsidRPr="007F6CEF">
        <w:rPr>
          <w:lang w:val="ru-RU"/>
        </w:rPr>
        <w:t>Общие расходы составили 19</w:t>
      </w:r>
      <w:r w:rsidRPr="007F6CEF">
        <w:rPr>
          <w:lang w:val="ru-RU"/>
        </w:rPr>
        <w:t>4</w:t>
      </w:r>
      <w:r w:rsidR="00CA5377" w:rsidRPr="007F6CEF">
        <w:rPr>
          <w:lang w:val="ru-RU"/>
        </w:rPr>
        <w:t>,</w:t>
      </w:r>
      <w:r w:rsidRPr="007F6CEF">
        <w:rPr>
          <w:lang w:val="ru-RU"/>
        </w:rPr>
        <w:t>4</w:t>
      </w:r>
      <w:r w:rsidR="00CA5377" w:rsidRPr="007F6CEF">
        <w:rPr>
          <w:lang w:val="ru-RU"/>
        </w:rPr>
        <w:t> млн. швейцарских франков</w:t>
      </w:r>
      <w:r w:rsidR="00207715" w:rsidRPr="007F6CEF">
        <w:rPr>
          <w:lang w:val="ru-RU"/>
        </w:rPr>
        <w:t>, уменьшившись на</w:t>
      </w:r>
      <w:r w:rsidRPr="007F6CEF">
        <w:rPr>
          <w:lang w:val="ru-RU"/>
        </w:rPr>
        <w:t xml:space="preserve"> 2</w:t>
      </w:r>
      <w:r w:rsidR="00CA5377" w:rsidRPr="007F6CEF">
        <w:rPr>
          <w:lang w:val="ru-RU"/>
        </w:rPr>
        <w:t>,</w:t>
      </w:r>
      <w:r w:rsidRPr="007F6CEF">
        <w:rPr>
          <w:lang w:val="ru-RU"/>
        </w:rPr>
        <w:t>1 млн. швейцарских франков (−1</w:t>
      </w:r>
      <w:r w:rsidR="00CA5377" w:rsidRPr="007F6CEF">
        <w:rPr>
          <w:lang w:val="ru-RU"/>
        </w:rPr>
        <w:t>,</w:t>
      </w:r>
      <w:r w:rsidRPr="007F6CEF">
        <w:rPr>
          <w:lang w:val="ru-RU"/>
        </w:rPr>
        <w:t>7</w:t>
      </w:r>
      <w:r w:rsidR="00CA5377" w:rsidRPr="007F6CEF">
        <w:rPr>
          <w:lang w:val="ru-RU"/>
        </w:rPr>
        <w:t>%) по сравнению с 201</w:t>
      </w:r>
      <w:r w:rsidRPr="007F6CEF">
        <w:rPr>
          <w:lang w:val="ru-RU"/>
        </w:rPr>
        <w:t>2</w:t>
      </w:r>
      <w:r w:rsidR="00CA5377" w:rsidRPr="007F6CEF">
        <w:rPr>
          <w:lang w:val="ru-RU"/>
        </w:rPr>
        <w:t> годом (196,</w:t>
      </w:r>
      <w:r w:rsidRPr="007F6CEF">
        <w:rPr>
          <w:lang w:val="ru-RU"/>
        </w:rPr>
        <w:t>3</w:t>
      </w:r>
      <w:r w:rsidR="00CA5377" w:rsidRPr="007F6CEF">
        <w:rPr>
          <w:lang w:val="ru-RU"/>
        </w:rPr>
        <w:t xml:space="preserve"> млн. швейцарских франков). </w:t>
      </w:r>
      <w:r w:rsidR="00207715" w:rsidRPr="007F6CEF">
        <w:rPr>
          <w:lang w:val="ru-RU"/>
        </w:rPr>
        <w:t>Расходы</w:t>
      </w:r>
      <w:r w:rsidR="00CA5377" w:rsidRPr="007F6CEF">
        <w:rPr>
          <w:lang w:val="ru-RU"/>
        </w:rPr>
        <w:t xml:space="preserve"> по персоналу</w:t>
      </w:r>
      <w:r w:rsidR="00655AA7" w:rsidRPr="007F6CEF">
        <w:rPr>
          <w:lang w:val="ru-RU"/>
        </w:rPr>
        <w:t xml:space="preserve"> в размере 196,3 млн. швейцарских франков, составляющие 75,3</w:t>
      </w:r>
      <w:r w:rsidR="00CA5377" w:rsidRPr="007F6CEF">
        <w:rPr>
          <w:lang w:val="ru-RU"/>
        </w:rPr>
        <w:t xml:space="preserve">% общих расходов, </w:t>
      </w:r>
      <w:r w:rsidR="00655AA7" w:rsidRPr="007F6CEF">
        <w:rPr>
          <w:lang w:val="ru-RU"/>
        </w:rPr>
        <w:t>уменьшились</w:t>
      </w:r>
      <w:r w:rsidR="00CA5377" w:rsidRPr="007F6CEF">
        <w:rPr>
          <w:lang w:val="ru-RU"/>
        </w:rPr>
        <w:t xml:space="preserve"> </w:t>
      </w:r>
      <w:r w:rsidR="00207715" w:rsidRPr="007F6CEF">
        <w:rPr>
          <w:lang w:val="ru-RU"/>
        </w:rPr>
        <w:t>на</w:t>
      </w:r>
      <w:r w:rsidR="00655AA7" w:rsidRPr="007F6CEF">
        <w:rPr>
          <w:lang w:val="ru-RU"/>
        </w:rPr>
        <w:t xml:space="preserve"> 2</w:t>
      </w:r>
      <w:r w:rsidR="00CA5377" w:rsidRPr="007F6CEF">
        <w:rPr>
          <w:lang w:val="ru-RU"/>
        </w:rPr>
        <w:t>,1</w:t>
      </w:r>
      <w:r w:rsidR="00655AA7" w:rsidRPr="007F6CEF">
        <w:rPr>
          <w:lang w:val="ru-RU"/>
        </w:rPr>
        <w:t> млн. швейцарских франков</w:t>
      </w:r>
      <w:r w:rsidR="00CA5377" w:rsidRPr="007F6CEF">
        <w:rPr>
          <w:lang w:val="ru-RU"/>
        </w:rPr>
        <w:t xml:space="preserve"> (</w:t>
      </w:r>
      <w:r w:rsidR="00655AA7" w:rsidRPr="007F6CEF">
        <w:rPr>
          <w:lang w:val="ru-RU"/>
        </w:rPr>
        <w:t>−1,4%</w:t>
      </w:r>
      <w:r w:rsidR="00CA5377" w:rsidRPr="007F6CEF">
        <w:rPr>
          <w:lang w:val="ru-RU"/>
        </w:rPr>
        <w:t>)</w:t>
      </w:r>
      <w:r w:rsidR="00207715" w:rsidRPr="007F6CEF">
        <w:rPr>
          <w:lang w:val="ru-RU"/>
        </w:rPr>
        <w:t>, как отмечается в Примечании 23 Отчета о финансовой деятельности. Существенное сокращение расходов по персоналу зафиксировано только в подразделе "Заработная плата и надбавки"</w:t>
      </w:r>
      <w:r w:rsidR="00655AA7" w:rsidRPr="007F6CEF">
        <w:rPr>
          <w:lang w:val="ru-RU"/>
        </w:rPr>
        <w:t xml:space="preserve"> (−5,5 млн. швейцарских франков), </w:t>
      </w:r>
      <w:r w:rsidR="00207715" w:rsidRPr="007F6CEF">
        <w:rPr>
          <w:lang w:val="ru-RU"/>
        </w:rPr>
        <w:t>а увеличения отмечались не только по линии "Корректировки</w:t>
      </w:r>
      <w:r w:rsidR="00655AA7" w:rsidRPr="007F6CEF">
        <w:rPr>
          <w:lang w:val="ru-RU"/>
        </w:rPr>
        <w:t xml:space="preserve"> АСХИ"</w:t>
      </w:r>
      <w:r w:rsidR="00207715" w:rsidRPr="007F6CEF">
        <w:rPr>
          <w:lang w:val="ru-RU"/>
        </w:rPr>
        <w:t xml:space="preserve">, но и по "Субсидиям на образование" и прочим расходам по персоналу </w:t>
      </w:r>
      <w:r w:rsidR="00655AA7" w:rsidRPr="007F6CEF">
        <w:rPr>
          <w:lang w:val="ru-RU"/>
        </w:rPr>
        <w:t>(+3,3 млн. швейцарских франков).</w:t>
      </w:r>
    </w:p>
    <w:p w:rsidR="00655AA7" w:rsidRPr="007F6CEF" w:rsidRDefault="00F21CE3" w:rsidP="00170B2C">
      <w:pPr>
        <w:pStyle w:val="Headingb"/>
        <w:rPr>
          <w:lang w:val="ru-RU"/>
        </w:rPr>
      </w:pPr>
      <w:bookmarkStart w:id="206" w:name="_Toc398125344"/>
      <w:bookmarkStart w:id="207" w:name="_Toc398125823"/>
      <w:bookmarkStart w:id="208" w:name="_Toc398127108"/>
      <w:r w:rsidRPr="007F6CEF">
        <w:rPr>
          <w:lang w:val="ru-RU"/>
        </w:rPr>
        <w:t>Представление отчетов по сегментам</w:t>
      </w:r>
      <w:bookmarkEnd w:id="206"/>
      <w:bookmarkEnd w:id="207"/>
      <w:bookmarkEnd w:id="208"/>
    </w:p>
    <w:p w:rsidR="00CA5377" w:rsidRPr="007F6CEF" w:rsidRDefault="00BF0A70" w:rsidP="00170B2C">
      <w:pPr>
        <w:rPr>
          <w:lang w:val="ru-RU"/>
        </w:rPr>
      </w:pPr>
      <w:r w:rsidRPr="007F6CEF">
        <w:rPr>
          <w:lang w:val="ru-RU"/>
        </w:rPr>
        <w:t>109</w:t>
      </w:r>
      <w:r w:rsidR="009B7B2E" w:rsidRPr="007F6CEF">
        <w:rPr>
          <w:lang w:val="ru-RU"/>
        </w:rPr>
        <w:tab/>
      </w:r>
      <w:r w:rsidR="00CA5377" w:rsidRPr="007F6CEF">
        <w:rPr>
          <w:lang w:val="ru-RU"/>
        </w:rPr>
        <w:t xml:space="preserve">Отчет по сегментам представлен в </w:t>
      </w:r>
      <w:r w:rsidR="00826BCE" w:rsidRPr="007F6CEF">
        <w:rPr>
          <w:lang w:val="ru-RU"/>
        </w:rPr>
        <w:t>Примечании </w:t>
      </w:r>
      <w:r w:rsidR="00C86549" w:rsidRPr="007F6CEF">
        <w:rPr>
          <w:lang w:val="ru-RU"/>
        </w:rPr>
        <w:t>24</w:t>
      </w:r>
      <w:r w:rsidR="00CA5377" w:rsidRPr="007F6CEF">
        <w:rPr>
          <w:lang w:val="ru-RU"/>
        </w:rPr>
        <w:t xml:space="preserve"> финансовой отчетности за 201</w:t>
      </w:r>
      <w:r w:rsidR="00C86549" w:rsidRPr="007F6CEF">
        <w:rPr>
          <w:lang w:val="ru-RU"/>
        </w:rPr>
        <w:t>3</w:t>
      </w:r>
      <w:r w:rsidR="00CA5377" w:rsidRPr="007F6CEF">
        <w:rPr>
          <w:lang w:val="ru-RU"/>
        </w:rPr>
        <w:t xml:space="preserve"> год. Такое сегментирование производится для обеспечения возможности отнесения расходов непосредственно на </w:t>
      </w:r>
      <w:r w:rsidR="00207715" w:rsidRPr="007F6CEF">
        <w:rPr>
          <w:lang w:val="ru-RU"/>
        </w:rPr>
        <w:t>соответствующие</w:t>
      </w:r>
      <w:r w:rsidR="00CA5377" w:rsidRPr="007F6CEF">
        <w:rPr>
          <w:lang w:val="ru-RU"/>
        </w:rPr>
        <w:t xml:space="preserve"> сегменты. Эта методика применяется также при распределении расходов и доходов, в основном </w:t>
      </w:r>
      <w:r w:rsidR="00207715" w:rsidRPr="007F6CEF">
        <w:rPr>
          <w:lang w:val="ru-RU"/>
        </w:rPr>
        <w:t xml:space="preserve">в разбивке </w:t>
      </w:r>
      <w:r w:rsidR="00CA5377" w:rsidRPr="007F6CEF">
        <w:rPr>
          <w:lang w:val="ru-RU"/>
        </w:rPr>
        <w:t xml:space="preserve">по </w:t>
      </w:r>
      <w:r w:rsidR="00022477" w:rsidRPr="007F6CEF">
        <w:rPr>
          <w:lang w:val="ru-RU"/>
        </w:rPr>
        <w:t>видам средств</w:t>
      </w:r>
      <w:r w:rsidR="00CA5377" w:rsidRPr="007F6CEF">
        <w:rPr>
          <w:lang w:val="ru-RU"/>
        </w:rPr>
        <w:t xml:space="preserve"> и центрам затрат.</w:t>
      </w:r>
      <w:r w:rsidR="00C86549" w:rsidRPr="007F6CEF">
        <w:rPr>
          <w:lang w:val="ru-RU"/>
        </w:rPr>
        <w:t xml:space="preserve"> </w:t>
      </w:r>
      <w:r w:rsidR="004036A3" w:rsidRPr="007F6CEF">
        <w:rPr>
          <w:lang w:val="ru-RU"/>
        </w:rPr>
        <w:t xml:space="preserve">Наиболее заметное изменение по сравнению с 2012 годом </w:t>
      </w:r>
      <w:r w:rsidR="00391C6D" w:rsidRPr="007F6CEF">
        <w:rPr>
          <w:lang w:val="ru-RU"/>
        </w:rPr>
        <w:t>с</w:t>
      </w:r>
      <w:r w:rsidR="004036A3" w:rsidRPr="007F6CEF">
        <w:rPr>
          <w:lang w:val="ru-RU"/>
        </w:rPr>
        <w:t>вязано с увеличением доли</w:t>
      </w:r>
      <w:r w:rsidR="0091029E" w:rsidRPr="007F6CEF">
        <w:rPr>
          <w:lang w:val="ru-RU"/>
        </w:rPr>
        <w:t xml:space="preserve"> </w:t>
      </w:r>
      <w:r w:rsidR="00391C6D" w:rsidRPr="007F6CEF">
        <w:rPr>
          <w:lang w:val="ru-RU"/>
        </w:rPr>
        <w:t xml:space="preserve">целевых фондов как в общих доходах </w:t>
      </w:r>
      <w:r w:rsidR="00C86549" w:rsidRPr="007F6CEF">
        <w:rPr>
          <w:lang w:val="ru-RU"/>
        </w:rPr>
        <w:t>(в</w:t>
      </w:r>
      <w:r w:rsidR="00EB65CB" w:rsidRPr="007F6CEF">
        <w:rPr>
          <w:lang w:val="ru-RU"/>
        </w:rPr>
        <w:t> </w:t>
      </w:r>
      <w:r w:rsidR="00C86549" w:rsidRPr="007F6CEF">
        <w:rPr>
          <w:lang w:val="ru-RU"/>
        </w:rPr>
        <w:t xml:space="preserve">2013 г. − 7,1%; </w:t>
      </w:r>
      <w:r w:rsidR="00391C6D" w:rsidRPr="007F6CEF">
        <w:rPr>
          <w:lang w:val="ru-RU"/>
        </w:rPr>
        <w:t xml:space="preserve">в 2012 г. − </w:t>
      </w:r>
      <w:r w:rsidR="00C86549" w:rsidRPr="007F6CEF">
        <w:rPr>
          <w:lang w:val="ru-RU"/>
        </w:rPr>
        <w:t>3,9%</w:t>
      </w:r>
      <w:r w:rsidR="00391C6D" w:rsidRPr="007F6CEF">
        <w:rPr>
          <w:lang w:val="ru-RU"/>
        </w:rPr>
        <w:t>), так и в общих расходах</w:t>
      </w:r>
      <w:r w:rsidR="00C86549" w:rsidRPr="007F6CEF">
        <w:rPr>
          <w:lang w:val="ru-RU"/>
        </w:rPr>
        <w:t xml:space="preserve"> (в 2013 г. − 8,0%; </w:t>
      </w:r>
      <w:r w:rsidR="00391C6D" w:rsidRPr="007F6CEF">
        <w:rPr>
          <w:lang w:val="ru-RU"/>
        </w:rPr>
        <w:t>в 2012 г. −</w:t>
      </w:r>
      <w:r w:rsidR="00E84AA7">
        <w:rPr>
          <w:lang w:val="ru-RU"/>
        </w:rPr>
        <w:t xml:space="preserve"> </w:t>
      </w:r>
      <w:r w:rsidR="00C86549" w:rsidRPr="007F6CEF">
        <w:rPr>
          <w:lang w:val="ru-RU"/>
        </w:rPr>
        <w:t>4,</w:t>
      </w:r>
      <w:r w:rsidR="00391C6D" w:rsidRPr="007F6CEF">
        <w:rPr>
          <w:lang w:val="ru-RU"/>
        </w:rPr>
        <w:t>5%</w:t>
      </w:r>
      <w:r w:rsidR="00C86549" w:rsidRPr="007F6CEF">
        <w:rPr>
          <w:lang w:val="ru-RU"/>
        </w:rPr>
        <w:t>).</w:t>
      </w:r>
    </w:p>
    <w:p w:rsidR="00C86549" w:rsidRPr="007F6CEF" w:rsidRDefault="00C86549" w:rsidP="00170B2C">
      <w:pPr>
        <w:rPr>
          <w:lang w:val="ru-RU"/>
        </w:rPr>
      </w:pPr>
      <w:r w:rsidRPr="007F6CEF">
        <w:rPr>
          <w:lang w:val="ru-RU"/>
        </w:rPr>
        <w:t>110</w:t>
      </w:r>
      <w:r w:rsidRPr="007F6CEF">
        <w:rPr>
          <w:lang w:val="ru-RU"/>
        </w:rPr>
        <w:tab/>
      </w:r>
      <w:r w:rsidR="00D81722" w:rsidRPr="007F6CEF">
        <w:rPr>
          <w:lang w:val="ru-RU"/>
        </w:rPr>
        <w:t>Т</w:t>
      </w:r>
      <w:r w:rsidR="00022477" w:rsidRPr="007F6CEF">
        <w:rPr>
          <w:lang w:val="ru-RU"/>
        </w:rPr>
        <w:t>ако</w:t>
      </w:r>
      <w:r w:rsidR="00D81722" w:rsidRPr="007F6CEF">
        <w:rPr>
          <w:lang w:val="ru-RU"/>
        </w:rPr>
        <w:t xml:space="preserve">е изменение </w:t>
      </w:r>
      <w:r w:rsidR="00022477" w:rsidRPr="007F6CEF">
        <w:rPr>
          <w:lang w:val="ru-RU"/>
        </w:rPr>
        <w:t xml:space="preserve">вызвано, согласно проведенной руководством БРЭ проверке, увеличением полученных средств и ускорением деятельности, касающейся некоторых проектов. Мы должны указать, что зарегистрированные увеличения доходов и расходов по этому сегменту напрямую не связаны между собой. </w:t>
      </w:r>
    </w:p>
    <w:p w:rsidR="00CA5377" w:rsidRPr="007F6CEF" w:rsidRDefault="00CA5377" w:rsidP="00170B2C">
      <w:pPr>
        <w:pStyle w:val="Headingi"/>
        <w:rPr>
          <w:b/>
          <w:bCs/>
        </w:rPr>
      </w:pPr>
      <w:bookmarkStart w:id="209" w:name="_Toc398125345"/>
      <w:bookmarkStart w:id="210" w:name="_Toc398125824"/>
      <w:r w:rsidRPr="007F6CEF">
        <w:rPr>
          <w:b/>
          <w:bCs/>
        </w:rPr>
        <w:t>Перевод в цифровую форму досье сотрудников</w:t>
      </w:r>
      <w:bookmarkEnd w:id="209"/>
      <w:bookmarkEnd w:id="210"/>
    </w:p>
    <w:p w:rsidR="007025C9" w:rsidRPr="007F6CEF" w:rsidRDefault="007025C9" w:rsidP="00170B2C">
      <w:pPr>
        <w:rPr>
          <w:lang w:val="ru-RU"/>
        </w:rPr>
      </w:pPr>
      <w:r w:rsidRPr="007F6CEF">
        <w:rPr>
          <w:lang w:val="ru-RU"/>
        </w:rPr>
        <w:t>111</w:t>
      </w:r>
      <w:r w:rsidRPr="007F6CEF">
        <w:rPr>
          <w:lang w:val="ru-RU"/>
        </w:rPr>
        <w:tab/>
      </w:r>
      <w:r w:rsidR="00022477" w:rsidRPr="007F6CEF">
        <w:rPr>
          <w:lang w:val="ru-RU"/>
        </w:rPr>
        <w:t>В прошлом году мы рекомендовали</w:t>
      </w:r>
      <w:r w:rsidRPr="007F6CEF">
        <w:rPr>
          <w:lang w:val="ru-RU"/>
        </w:rPr>
        <w:t xml:space="preserve"> (</w:t>
      </w:r>
      <w:r w:rsidR="00BC0397" w:rsidRPr="007F6CEF">
        <w:rPr>
          <w:lang w:val="ru-RU"/>
        </w:rPr>
        <w:t>Р</w:t>
      </w:r>
      <w:r w:rsidR="00022477" w:rsidRPr="007F6CEF">
        <w:rPr>
          <w:lang w:val="ru-RU"/>
        </w:rPr>
        <w:t>екомендация №</w:t>
      </w:r>
      <w:r w:rsidRPr="007F6CEF">
        <w:rPr>
          <w:lang w:val="ru-RU"/>
        </w:rPr>
        <w:t xml:space="preserve"> 10/2012) </w:t>
      </w:r>
      <w:r w:rsidR="00022477" w:rsidRPr="007F6CEF">
        <w:rPr>
          <w:lang w:val="ru-RU"/>
        </w:rPr>
        <w:t>перевести в ци</w:t>
      </w:r>
      <w:r w:rsidR="002E5737" w:rsidRPr="007F6CEF">
        <w:rPr>
          <w:lang w:val="ru-RU"/>
        </w:rPr>
        <w:t xml:space="preserve">фровую форму досье сотрудников не только для предотвращения потери данных в результате </w:t>
      </w:r>
      <w:r w:rsidR="00F5453E" w:rsidRPr="007F6CEF">
        <w:rPr>
          <w:lang w:val="ru-RU"/>
        </w:rPr>
        <w:t xml:space="preserve">какого-либо </w:t>
      </w:r>
      <w:r w:rsidR="002E5737" w:rsidRPr="007F6CEF">
        <w:rPr>
          <w:lang w:val="ru-RU"/>
        </w:rPr>
        <w:t xml:space="preserve">случайного события, но и для обеспечения прямого интерфейса между досье сотрудников с SAP HR. </w:t>
      </w:r>
    </w:p>
    <w:p w:rsidR="007025C9" w:rsidRPr="007F6CEF" w:rsidRDefault="007025C9" w:rsidP="00170B2C">
      <w:pPr>
        <w:rPr>
          <w:lang w:val="ru-RU"/>
        </w:rPr>
      </w:pPr>
      <w:r w:rsidRPr="007F6CEF">
        <w:rPr>
          <w:lang w:val="ru-RU"/>
        </w:rPr>
        <w:t>112</w:t>
      </w:r>
      <w:r w:rsidRPr="007F6CEF">
        <w:rPr>
          <w:lang w:val="ru-RU"/>
        </w:rPr>
        <w:tab/>
      </w:r>
      <w:r w:rsidR="00022477" w:rsidRPr="007F6CEF">
        <w:rPr>
          <w:lang w:val="ru-RU"/>
        </w:rPr>
        <w:t xml:space="preserve">Руководство отмечает, что 19 апреля 2013 года </w:t>
      </w:r>
      <w:r w:rsidR="000B4E8D" w:rsidRPr="007F6CEF">
        <w:rPr>
          <w:lang w:val="ru-RU"/>
        </w:rPr>
        <w:t>был составлен "</w:t>
      </w:r>
      <w:r w:rsidR="000B4E8D" w:rsidRPr="007F6CEF">
        <w:rPr>
          <w:i/>
          <w:iCs/>
          <w:lang w:val="ru-RU"/>
        </w:rPr>
        <w:t xml:space="preserve">Подробный </w:t>
      </w:r>
      <w:r w:rsidR="00BE617C" w:rsidRPr="007F6CEF">
        <w:rPr>
          <w:i/>
          <w:iCs/>
          <w:lang w:val="ru-RU"/>
        </w:rPr>
        <w:t>к</w:t>
      </w:r>
      <w:r w:rsidR="000D507A" w:rsidRPr="007F6CEF">
        <w:rPr>
          <w:i/>
          <w:iCs/>
          <w:lang w:val="ru-RU"/>
        </w:rPr>
        <w:t>онцептуальный прое</w:t>
      </w:r>
      <w:r w:rsidR="00BE617C" w:rsidRPr="007F6CEF">
        <w:rPr>
          <w:i/>
          <w:iCs/>
          <w:lang w:val="ru-RU"/>
        </w:rPr>
        <w:t>кт</w:t>
      </w:r>
      <w:r w:rsidR="000B4E8D" w:rsidRPr="007F6CEF">
        <w:rPr>
          <w:lang w:val="ru-RU"/>
        </w:rPr>
        <w:t xml:space="preserve"> </w:t>
      </w:r>
      <w:r w:rsidR="000B4E8D" w:rsidRPr="007F6CEF">
        <w:rPr>
          <w:i/>
          <w:lang w:val="ru-RU"/>
        </w:rPr>
        <w:t>(DBBP) системы электронных личных дел сотрудников (ведения цифровых личных дел)</w:t>
      </w:r>
      <w:r w:rsidR="000B4E8D" w:rsidRPr="00873F8A">
        <w:rPr>
          <w:iCs/>
          <w:lang w:val="ru-RU"/>
        </w:rPr>
        <w:t>",</w:t>
      </w:r>
      <w:r w:rsidR="000B4E8D" w:rsidRPr="007F6CEF">
        <w:rPr>
          <w:i/>
          <w:lang w:val="ru-RU"/>
        </w:rPr>
        <w:t xml:space="preserve"> </w:t>
      </w:r>
      <w:r w:rsidR="000B4E8D" w:rsidRPr="007F6CEF">
        <w:rPr>
          <w:lang w:val="ru-RU"/>
        </w:rPr>
        <w:t>в</w:t>
      </w:r>
      <w:r w:rsidR="00311052" w:rsidRPr="007F6CEF">
        <w:rPr>
          <w:lang w:val="ru-RU"/>
        </w:rPr>
        <w:t>ключающе</w:t>
      </w:r>
      <w:r w:rsidR="000B4E8D" w:rsidRPr="007F6CEF">
        <w:rPr>
          <w:lang w:val="ru-RU"/>
        </w:rPr>
        <w:t>й бизнес-процесс</w:t>
      </w:r>
      <w:r w:rsidR="002D4A6E" w:rsidRPr="007F6CEF">
        <w:rPr>
          <w:lang w:val="ru-RU"/>
        </w:rPr>
        <w:t>ы Отдела административного управления людскими ресурсами (</w:t>
      </w:r>
      <w:r w:rsidRPr="007F6CEF">
        <w:rPr>
          <w:lang w:val="ru-RU"/>
        </w:rPr>
        <w:t>HRAD</w:t>
      </w:r>
      <w:r w:rsidR="002D4A6E" w:rsidRPr="007F6CEF">
        <w:rPr>
          <w:lang w:val="ru-RU"/>
        </w:rPr>
        <w:t>)</w:t>
      </w:r>
      <w:r w:rsidRPr="007F6CEF">
        <w:rPr>
          <w:lang w:val="ru-RU"/>
        </w:rPr>
        <w:t xml:space="preserve"> (</w:t>
      </w:r>
      <w:r w:rsidR="002D4A6E" w:rsidRPr="007F6CEF">
        <w:rPr>
          <w:lang w:val="ru-RU"/>
        </w:rPr>
        <w:t>Служба по социальным правам и пособиям (</w:t>
      </w:r>
      <w:r w:rsidRPr="007F6CEF">
        <w:rPr>
          <w:lang w:val="ru-RU"/>
        </w:rPr>
        <w:t>E&amp;B</w:t>
      </w:r>
      <w:r w:rsidR="002D4A6E" w:rsidRPr="007F6CEF">
        <w:rPr>
          <w:lang w:val="ru-RU"/>
        </w:rPr>
        <w:t xml:space="preserve">)) </w:t>
      </w:r>
      <w:r w:rsidR="000D507A" w:rsidRPr="007F6CEF">
        <w:rPr>
          <w:lang w:val="ru-RU"/>
        </w:rPr>
        <w:t xml:space="preserve">и отображение структуры личного дела сотрудника (в бумажном виде), и что эта система увязана с </w:t>
      </w:r>
      <w:r w:rsidRPr="007F6CEF">
        <w:rPr>
          <w:lang w:val="ru-RU"/>
        </w:rPr>
        <w:t>SAP</w:t>
      </w:r>
      <w:r w:rsidRPr="007F6CEF">
        <w:rPr>
          <w:lang w:val="ru-RU"/>
        </w:rPr>
        <w:noBreakHyphen/>
        <w:t>ERP_HCM.</w:t>
      </w:r>
    </w:p>
    <w:p w:rsidR="00C86549" w:rsidRPr="007F6CEF" w:rsidRDefault="007025C9" w:rsidP="00170B2C">
      <w:pPr>
        <w:rPr>
          <w:lang w:val="ru-RU"/>
        </w:rPr>
      </w:pPr>
      <w:r w:rsidRPr="007F6CEF">
        <w:rPr>
          <w:lang w:val="ru-RU"/>
        </w:rPr>
        <w:t>113</w:t>
      </w:r>
      <w:r w:rsidRPr="007F6CEF">
        <w:rPr>
          <w:lang w:val="ru-RU"/>
        </w:rPr>
        <w:tab/>
      </w:r>
      <w:r w:rsidR="000D507A" w:rsidRPr="007F6CEF">
        <w:rPr>
          <w:lang w:val="ru-RU"/>
        </w:rPr>
        <w:t xml:space="preserve">Мы удостоверились в том, что прототип этой системы окончательно готов и в настоящее время проходит этап тестирования. Мы будем отслеживать фактическое начало работы этой системы. </w:t>
      </w:r>
    </w:p>
    <w:p w:rsidR="00CA5377" w:rsidRPr="007F6CEF" w:rsidRDefault="00CA5377" w:rsidP="00170B2C">
      <w:pPr>
        <w:pStyle w:val="Title1"/>
        <w:jc w:val="left"/>
        <w:rPr>
          <w:lang w:val="ru-RU"/>
        </w:rPr>
      </w:pPr>
      <w:bookmarkStart w:id="211" w:name="_Toc358192859"/>
      <w:bookmarkStart w:id="212" w:name="_Toc398125346"/>
      <w:bookmarkStart w:id="213" w:name="_Toc398125825"/>
      <w:r w:rsidRPr="007F6CEF">
        <w:rPr>
          <w:lang w:val="ru-RU"/>
        </w:rPr>
        <w:t>ОТЧЕТ ОБ ИЗМЕНЕНИЯХ В ЧИСТЫХ АКТИВАХ ЗА ФИНАНСОВЫЙ ПЕРИОД, ЗАВЕРШИВШИЙСЯ 31 ДЕКАБРЯ 201</w:t>
      </w:r>
      <w:r w:rsidR="007025C9" w:rsidRPr="007F6CEF">
        <w:rPr>
          <w:lang w:val="ru-RU"/>
        </w:rPr>
        <w:t>3 </w:t>
      </w:r>
      <w:r w:rsidRPr="007F6CEF">
        <w:rPr>
          <w:lang w:val="ru-RU"/>
        </w:rPr>
        <w:t>ГОДА</w:t>
      </w:r>
      <w:bookmarkEnd w:id="211"/>
      <w:bookmarkEnd w:id="212"/>
      <w:bookmarkEnd w:id="213"/>
    </w:p>
    <w:p w:rsidR="00CA5377" w:rsidRPr="007F6CEF" w:rsidRDefault="007025C9" w:rsidP="00170B2C">
      <w:pPr>
        <w:rPr>
          <w:spacing w:val="3"/>
          <w:lang w:val="ru-RU"/>
        </w:rPr>
      </w:pPr>
      <w:r w:rsidRPr="007F6CEF">
        <w:rPr>
          <w:spacing w:val="3"/>
          <w:lang w:val="ru-RU"/>
        </w:rPr>
        <w:t>114</w:t>
      </w:r>
      <w:r w:rsidR="009B7B2E" w:rsidRPr="007F6CEF">
        <w:rPr>
          <w:spacing w:val="3"/>
          <w:lang w:val="ru-RU"/>
        </w:rPr>
        <w:tab/>
      </w:r>
      <w:r w:rsidR="00CA5377" w:rsidRPr="007F6CEF">
        <w:rPr>
          <w:spacing w:val="3"/>
          <w:lang w:val="ru-RU"/>
        </w:rPr>
        <w:t>В </w:t>
      </w:r>
      <w:r w:rsidR="00F46B1B" w:rsidRPr="007F6CEF">
        <w:rPr>
          <w:spacing w:val="3"/>
          <w:lang w:val="ru-RU"/>
        </w:rPr>
        <w:t>Таблиц</w:t>
      </w:r>
      <w:r w:rsidR="00311052" w:rsidRPr="007F6CEF">
        <w:rPr>
          <w:spacing w:val="3"/>
          <w:lang w:val="ru-RU"/>
        </w:rPr>
        <w:t>у</w:t>
      </w:r>
      <w:r w:rsidR="00F46B1B" w:rsidRPr="007F6CEF">
        <w:rPr>
          <w:spacing w:val="3"/>
          <w:lang w:val="ru-RU"/>
        </w:rPr>
        <w:t> </w:t>
      </w:r>
      <w:r w:rsidR="00CA5377" w:rsidRPr="007F6CEF">
        <w:rPr>
          <w:spacing w:val="3"/>
          <w:lang w:val="ru-RU"/>
        </w:rPr>
        <w:t>III "</w:t>
      </w:r>
      <w:r w:rsidR="00CA5377" w:rsidRPr="007F6CEF">
        <w:rPr>
          <w:lang w:val="ru-RU"/>
        </w:rPr>
        <w:t xml:space="preserve">Отчет об изменениях в чистых активах" </w:t>
      </w:r>
      <w:r w:rsidR="00311052" w:rsidRPr="007F6CEF">
        <w:rPr>
          <w:lang w:val="ru-RU"/>
        </w:rPr>
        <w:t>были внесены изменения по сравнению с Отчетом о финансовой деятельности за прошлый год: в этом году</w:t>
      </w:r>
      <w:r w:rsidR="0091029E" w:rsidRPr="007F6CEF">
        <w:rPr>
          <w:lang w:val="ru-RU"/>
        </w:rPr>
        <w:t xml:space="preserve"> </w:t>
      </w:r>
      <w:r w:rsidR="00311052" w:rsidRPr="007F6CEF">
        <w:rPr>
          <w:lang w:val="ru-RU"/>
        </w:rPr>
        <w:t xml:space="preserve">в ней представлено не только </w:t>
      </w:r>
      <w:r w:rsidRPr="007F6CEF">
        <w:rPr>
          <w:lang w:val="ru-RU"/>
        </w:rPr>
        <w:t xml:space="preserve">движение </w:t>
      </w:r>
      <w:r w:rsidR="008206A0" w:rsidRPr="007F6CEF">
        <w:rPr>
          <w:lang w:val="ru-RU"/>
        </w:rPr>
        <w:t>накопленных</w:t>
      </w:r>
      <w:r w:rsidR="004C5AB1" w:rsidRPr="007F6CEF">
        <w:rPr>
          <w:lang w:val="ru-RU"/>
        </w:rPr>
        <w:t xml:space="preserve"> </w:t>
      </w:r>
      <w:r w:rsidR="00CA5377" w:rsidRPr="007F6CEF">
        <w:rPr>
          <w:lang w:val="ru-RU"/>
        </w:rPr>
        <w:t xml:space="preserve">собственных целевых и нецелевых средств и воздействие перехода </w:t>
      </w:r>
      <w:r w:rsidR="008206A0" w:rsidRPr="007F6CEF">
        <w:rPr>
          <w:lang w:val="ru-RU"/>
        </w:rPr>
        <w:t>к</w:t>
      </w:r>
      <w:r w:rsidRPr="007F6CEF">
        <w:rPr>
          <w:spacing w:val="3"/>
          <w:lang w:val="ru-RU"/>
        </w:rPr>
        <w:t xml:space="preserve"> IPSAS, </w:t>
      </w:r>
      <w:r w:rsidR="008206A0" w:rsidRPr="007F6CEF">
        <w:rPr>
          <w:spacing w:val="3"/>
          <w:lang w:val="ru-RU"/>
        </w:rPr>
        <w:t xml:space="preserve">но и движение каждого вида собственных средств, как это отмечается в Примечании 4. </w:t>
      </w:r>
    </w:p>
    <w:p w:rsidR="004C5AB1" w:rsidRPr="007F6CEF" w:rsidRDefault="004C5AB1" w:rsidP="00170B2C">
      <w:pPr>
        <w:rPr>
          <w:spacing w:val="3"/>
          <w:lang w:val="ru-RU"/>
        </w:rPr>
      </w:pPr>
      <w:r w:rsidRPr="007F6CEF">
        <w:rPr>
          <w:spacing w:val="3"/>
          <w:lang w:val="ru-RU"/>
        </w:rPr>
        <w:t>115</w:t>
      </w:r>
      <w:r w:rsidRPr="007F6CEF">
        <w:rPr>
          <w:spacing w:val="3"/>
          <w:lang w:val="ru-RU"/>
        </w:rPr>
        <w:tab/>
      </w:r>
      <w:r w:rsidR="008206A0" w:rsidRPr="007F6CEF">
        <w:rPr>
          <w:spacing w:val="3"/>
          <w:lang w:val="ru-RU"/>
        </w:rPr>
        <w:t xml:space="preserve">Мы отметили, что из активного сальдо за 2013 год было </w:t>
      </w:r>
      <w:r w:rsidR="00F5453E" w:rsidRPr="007F6CEF">
        <w:rPr>
          <w:spacing w:val="3"/>
          <w:lang w:val="ru-RU"/>
        </w:rPr>
        <w:t>выделено</w:t>
      </w:r>
      <w:r w:rsidR="008206A0" w:rsidRPr="007F6CEF">
        <w:rPr>
          <w:spacing w:val="3"/>
          <w:lang w:val="ru-RU"/>
        </w:rPr>
        <w:t xml:space="preserve"> </w:t>
      </w:r>
      <w:r w:rsidRPr="007F6CEF">
        <w:rPr>
          <w:spacing w:val="3"/>
          <w:lang w:val="ru-RU"/>
        </w:rPr>
        <w:t xml:space="preserve">2 млн. швейцарских франков </w:t>
      </w:r>
      <w:r w:rsidR="008206A0" w:rsidRPr="007F6CEF">
        <w:rPr>
          <w:spacing w:val="3"/>
          <w:lang w:val="ru-RU"/>
        </w:rPr>
        <w:t>для увеличения фонда АСХИ в соответствии с комментариями Генерального секретаря в связи с нашим отчетом за прошлый год (</w:t>
      </w:r>
      <w:r w:rsidR="00BC0397" w:rsidRPr="007F6CEF">
        <w:rPr>
          <w:spacing w:val="3"/>
          <w:lang w:val="ru-RU"/>
        </w:rPr>
        <w:t>Р</w:t>
      </w:r>
      <w:r w:rsidR="008206A0" w:rsidRPr="007F6CEF">
        <w:rPr>
          <w:spacing w:val="3"/>
          <w:lang w:val="ru-RU"/>
        </w:rPr>
        <w:t>екомендация №</w:t>
      </w:r>
      <w:r w:rsidRPr="007F6CEF">
        <w:rPr>
          <w:spacing w:val="3"/>
          <w:lang w:val="ru-RU"/>
        </w:rPr>
        <w:t xml:space="preserve"> 6/2012). </w:t>
      </w:r>
      <w:r w:rsidR="008206A0" w:rsidRPr="007F6CEF">
        <w:rPr>
          <w:spacing w:val="3"/>
          <w:lang w:val="ru-RU"/>
        </w:rPr>
        <w:t xml:space="preserve">Кроме того, было снято еще </w:t>
      </w:r>
      <w:r w:rsidRPr="007F6CEF">
        <w:rPr>
          <w:spacing w:val="3"/>
          <w:lang w:val="ru-RU"/>
        </w:rPr>
        <w:t xml:space="preserve">2 млн. швейцарских франков </w:t>
      </w:r>
      <w:r w:rsidR="008206A0" w:rsidRPr="007F6CEF">
        <w:rPr>
          <w:spacing w:val="3"/>
          <w:lang w:val="ru-RU"/>
        </w:rPr>
        <w:t>согласно Финансовому регламенту и Финансовым правилам (</w:t>
      </w:r>
      <w:r w:rsidRPr="007F6CEF">
        <w:rPr>
          <w:spacing w:val="3"/>
          <w:lang w:val="ru-RU"/>
        </w:rPr>
        <w:t>Ст. 10, п. 5, и Ст. 12, п. 4)</w:t>
      </w:r>
      <w:r w:rsidR="00004F92" w:rsidRPr="007F6CEF">
        <w:rPr>
          <w:spacing w:val="3"/>
          <w:lang w:val="ru-RU"/>
        </w:rPr>
        <w:t>,</w:t>
      </w:r>
      <w:r w:rsidRPr="007F6CEF">
        <w:rPr>
          <w:spacing w:val="3"/>
          <w:lang w:val="ru-RU"/>
        </w:rPr>
        <w:t xml:space="preserve"> </w:t>
      </w:r>
      <w:r w:rsidR="008206A0" w:rsidRPr="007F6CEF">
        <w:rPr>
          <w:spacing w:val="3"/>
          <w:lang w:val="ru-RU"/>
        </w:rPr>
        <w:t>в связи с исключительным случаем</w:t>
      </w:r>
      <w:r w:rsidR="00004F92" w:rsidRPr="007F6CEF">
        <w:rPr>
          <w:spacing w:val="3"/>
          <w:lang w:val="ru-RU"/>
        </w:rPr>
        <w:t>, для "</w:t>
      </w:r>
      <w:r w:rsidR="00004F92" w:rsidRPr="007F6CEF">
        <w:rPr>
          <w:i/>
          <w:iCs/>
          <w:spacing w:val="3"/>
          <w:lang w:val="ru-RU"/>
        </w:rPr>
        <w:t>Гарантийного фонда медицинского страхования</w:t>
      </w:r>
      <w:r w:rsidR="00004F92" w:rsidRPr="007F6CEF">
        <w:rPr>
          <w:spacing w:val="3"/>
          <w:lang w:val="ru-RU"/>
        </w:rPr>
        <w:t>", предназначенного для финансирования новой схемы медицинского страхования, введенной в 2014 году.</w:t>
      </w:r>
      <w:r w:rsidR="0091029E" w:rsidRPr="007F6CEF">
        <w:rPr>
          <w:spacing w:val="3"/>
          <w:lang w:val="ru-RU"/>
        </w:rPr>
        <w:t xml:space="preserve"> </w:t>
      </w:r>
    </w:p>
    <w:p w:rsidR="00CA5377" w:rsidRPr="007F6CEF" w:rsidRDefault="00CA5377" w:rsidP="00170B2C">
      <w:pPr>
        <w:pStyle w:val="Title1"/>
        <w:jc w:val="left"/>
        <w:rPr>
          <w:lang w:val="ru-RU"/>
        </w:rPr>
      </w:pPr>
      <w:bookmarkStart w:id="214" w:name="_Toc358192860"/>
      <w:bookmarkStart w:id="215" w:name="_Toc398125347"/>
      <w:bookmarkStart w:id="216" w:name="_Toc398125826"/>
      <w:r w:rsidRPr="007F6CEF">
        <w:rPr>
          <w:lang w:val="ru-RU"/>
        </w:rPr>
        <w:t>СРАВНИТЕЛЬНАЯ ТАБЛИЦА ПРЕДУСМОТРЕННЫХ В БЮДЖЕТЕ СУММ И ФАК</w:t>
      </w:r>
      <w:r w:rsidR="00DF36ED" w:rsidRPr="007F6CEF">
        <w:rPr>
          <w:lang w:val="ru-RU"/>
        </w:rPr>
        <w:t>ТИЧЕСКИХ СУММ ЗА </w:t>
      </w:r>
      <w:r w:rsidRPr="007F6CEF">
        <w:rPr>
          <w:lang w:val="ru-RU"/>
        </w:rPr>
        <w:t>201</w:t>
      </w:r>
      <w:r w:rsidR="004C5AB1" w:rsidRPr="007F6CEF">
        <w:rPr>
          <w:lang w:val="ru-RU"/>
        </w:rPr>
        <w:t>3 </w:t>
      </w:r>
      <w:r w:rsidRPr="007F6CEF">
        <w:rPr>
          <w:lang w:val="ru-RU"/>
        </w:rPr>
        <w:t>ФИНАНСОВЫЙ ГОД</w:t>
      </w:r>
      <w:bookmarkEnd w:id="214"/>
      <w:bookmarkEnd w:id="215"/>
      <w:bookmarkEnd w:id="216"/>
    </w:p>
    <w:p w:rsidR="00CA5377" w:rsidRPr="007F6CEF" w:rsidRDefault="004C5AB1" w:rsidP="00170B2C">
      <w:pPr>
        <w:rPr>
          <w:lang w:val="ru-RU"/>
        </w:rPr>
      </w:pPr>
      <w:r w:rsidRPr="007F6CEF">
        <w:rPr>
          <w:lang w:val="ru-RU"/>
        </w:rPr>
        <w:t>116</w:t>
      </w:r>
      <w:r w:rsidR="009B7B2E" w:rsidRPr="007F6CEF">
        <w:rPr>
          <w:lang w:val="ru-RU"/>
        </w:rPr>
        <w:tab/>
      </w:r>
      <w:r w:rsidRPr="007F6CEF">
        <w:rPr>
          <w:lang w:val="ru-RU"/>
        </w:rPr>
        <w:t>Таблица </w:t>
      </w:r>
      <w:r w:rsidR="00CA5377" w:rsidRPr="007F6CEF">
        <w:rPr>
          <w:lang w:val="ru-RU"/>
        </w:rPr>
        <w:t>V "Сравнительная таблица предусмотренных в бюджете</w:t>
      </w:r>
      <w:r w:rsidRPr="007F6CEF">
        <w:rPr>
          <w:lang w:val="ru-RU"/>
        </w:rPr>
        <w:t xml:space="preserve"> сумм и фактических сумм за 2013</w:t>
      </w:r>
      <w:r w:rsidR="00CA5377" w:rsidRPr="007F6CEF">
        <w:rPr>
          <w:lang w:val="ru-RU"/>
        </w:rPr>
        <w:t xml:space="preserve"> финансовый год" предусмотрена во исполнение стандарта IPSAS 24, который требует включения в финансовую отчетность сравнения сумм, </w:t>
      </w:r>
      <w:r w:rsidR="008A45A6" w:rsidRPr="007F6CEF">
        <w:rPr>
          <w:lang w:val="ru-RU"/>
        </w:rPr>
        <w:t>полученных в результате</w:t>
      </w:r>
      <w:r w:rsidR="0091029E" w:rsidRPr="007F6CEF">
        <w:rPr>
          <w:lang w:val="ru-RU"/>
        </w:rPr>
        <w:t xml:space="preserve"> </w:t>
      </w:r>
      <w:r w:rsidR="00CA5377" w:rsidRPr="007F6CEF">
        <w:rPr>
          <w:lang w:val="ru-RU"/>
        </w:rPr>
        <w:t>исполнени</w:t>
      </w:r>
      <w:r w:rsidR="008A45A6" w:rsidRPr="007F6CEF">
        <w:rPr>
          <w:lang w:val="ru-RU"/>
        </w:rPr>
        <w:t>я</w:t>
      </w:r>
      <w:r w:rsidR="00CA5377" w:rsidRPr="007F6CEF">
        <w:rPr>
          <w:lang w:val="ru-RU"/>
        </w:rPr>
        <w:t xml:space="preserve"> этого бюджета. Данны</w:t>
      </w:r>
      <w:r w:rsidR="00F5453E" w:rsidRPr="007F6CEF">
        <w:rPr>
          <w:lang w:val="ru-RU"/>
        </w:rPr>
        <w:t>м</w:t>
      </w:r>
      <w:r w:rsidR="00CA5377" w:rsidRPr="007F6CEF">
        <w:rPr>
          <w:lang w:val="ru-RU"/>
        </w:rPr>
        <w:t xml:space="preserve"> стандарт</w:t>
      </w:r>
      <w:r w:rsidR="00F5453E" w:rsidRPr="007F6CEF">
        <w:rPr>
          <w:lang w:val="ru-RU"/>
        </w:rPr>
        <w:t>ом</w:t>
      </w:r>
      <w:r w:rsidR="00CA5377" w:rsidRPr="007F6CEF">
        <w:rPr>
          <w:lang w:val="ru-RU"/>
        </w:rPr>
        <w:t xml:space="preserve"> также предусматривает</w:t>
      </w:r>
      <w:r w:rsidR="00F5453E" w:rsidRPr="007F6CEF">
        <w:rPr>
          <w:lang w:val="ru-RU"/>
        </w:rPr>
        <w:t>ся</w:t>
      </w:r>
      <w:r w:rsidR="00CA5377" w:rsidRPr="007F6CEF">
        <w:rPr>
          <w:lang w:val="ru-RU"/>
        </w:rPr>
        <w:t xml:space="preserve"> </w:t>
      </w:r>
      <w:r w:rsidR="008A45A6" w:rsidRPr="007F6CEF">
        <w:rPr>
          <w:lang w:val="ru-RU"/>
        </w:rPr>
        <w:t>раскрытие</w:t>
      </w:r>
      <w:r w:rsidR="00CA5377" w:rsidRPr="007F6CEF">
        <w:rPr>
          <w:lang w:val="ru-RU"/>
        </w:rPr>
        <w:t xml:space="preserve"> причин возникших существенных расхождений между бюджетом и фактическими суммами.</w:t>
      </w:r>
    </w:p>
    <w:p w:rsidR="00CA5377" w:rsidRPr="007F6CEF" w:rsidRDefault="00DF36ED" w:rsidP="00170B2C">
      <w:pPr>
        <w:tabs>
          <w:tab w:val="left" w:pos="3261"/>
        </w:tabs>
        <w:rPr>
          <w:lang w:val="ru-RU"/>
        </w:rPr>
      </w:pPr>
      <w:r w:rsidRPr="007F6CEF">
        <w:rPr>
          <w:lang w:val="ru-RU"/>
        </w:rPr>
        <w:t>117</w:t>
      </w:r>
      <w:r w:rsidR="009B7B2E" w:rsidRPr="007F6CEF">
        <w:rPr>
          <w:lang w:val="ru-RU"/>
        </w:rPr>
        <w:tab/>
      </w:r>
      <w:r w:rsidR="00CA5377" w:rsidRPr="007F6CEF">
        <w:rPr>
          <w:lang w:val="ru-RU"/>
        </w:rPr>
        <w:t>В </w:t>
      </w:r>
      <w:r w:rsidR="009303CD" w:rsidRPr="007F6CEF">
        <w:rPr>
          <w:lang w:val="ru-RU"/>
        </w:rPr>
        <w:t>Таблицу </w:t>
      </w:r>
      <w:r w:rsidR="00CA5377" w:rsidRPr="007F6CEF">
        <w:rPr>
          <w:lang w:val="ru-RU"/>
        </w:rPr>
        <w:t>V включена также бухгалтерская выверка расхождени</w:t>
      </w:r>
      <w:r w:rsidR="008A45A6" w:rsidRPr="007F6CEF">
        <w:rPr>
          <w:lang w:val="ru-RU"/>
        </w:rPr>
        <w:t>й</w:t>
      </w:r>
      <w:r w:rsidR="00CA5377" w:rsidRPr="007F6CEF">
        <w:rPr>
          <w:lang w:val="ru-RU"/>
        </w:rPr>
        <w:t xml:space="preserve"> между бюджетным</w:t>
      </w:r>
      <w:r w:rsidR="008A45A6" w:rsidRPr="007F6CEF">
        <w:rPr>
          <w:lang w:val="ru-RU"/>
        </w:rPr>
        <w:t>и</w:t>
      </w:r>
      <w:r w:rsidR="00CA5377" w:rsidRPr="007F6CEF">
        <w:rPr>
          <w:lang w:val="ru-RU"/>
        </w:rPr>
        <w:t xml:space="preserve"> </w:t>
      </w:r>
      <w:r w:rsidR="008A45A6" w:rsidRPr="007F6CEF">
        <w:rPr>
          <w:lang w:val="ru-RU"/>
        </w:rPr>
        <w:t>результатами (фактическими</w:t>
      </w:r>
      <w:r w:rsidR="00CA5377" w:rsidRPr="007F6CEF">
        <w:rPr>
          <w:lang w:val="ru-RU"/>
        </w:rPr>
        <w:t xml:space="preserve"> сумм</w:t>
      </w:r>
      <w:r w:rsidR="008A45A6" w:rsidRPr="007F6CEF">
        <w:rPr>
          <w:lang w:val="ru-RU"/>
        </w:rPr>
        <w:t>ами</w:t>
      </w:r>
      <w:r w:rsidR="00CA5377" w:rsidRPr="007F6CEF">
        <w:rPr>
          <w:lang w:val="ru-RU"/>
        </w:rPr>
        <w:t xml:space="preserve">) и суммами, учтенными в бухгалтерской отчетности. Более подробная информация представлена в </w:t>
      </w:r>
      <w:r w:rsidR="00826BCE" w:rsidRPr="007F6CEF">
        <w:rPr>
          <w:lang w:val="ru-RU"/>
        </w:rPr>
        <w:t>Примечании </w:t>
      </w:r>
      <w:r w:rsidRPr="007F6CEF">
        <w:rPr>
          <w:lang w:val="ru-RU"/>
        </w:rPr>
        <w:t>25</w:t>
      </w:r>
      <w:r w:rsidR="00CA5377" w:rsidRPr="007F6CEF">
        <w:rPr>
          <w:lang w:val="ru-RU"/>
        </w:rPr>
        <w:t xml:space="preserve"> Отчета о финансовой деятельности, и мы также ссылаемся на комментарии Генерального секретаря, </w:t>
      </w:r>
      <w:r w:rsidR="008B7E30" w:rsidRPr="007F6CEF">
        <w:rPr>
          <w:lang w:val="ru-RU"/>
        </w:rPr>
        <w:t>содержащиеся</w:t>
      </w:r>
      <w:r w:rsidR="00CA5377" w:rsidRPr="007F6CEF">
        <w:rPr>
          <w:lang w:val="ru-RU"/>
        </w:rPr>
        <w:t xml:space="preserve"> в Отчет</w:t>
      </w:r>
      <w:r w:rsidR="008A45A6" w:rsidRPr="007F6CEF">
        <w:rPr>
          <w:lang w:val="ru-RU"/>
        </w:rPr>
        <w:t>е</w:t>
      </w:r>
      <w:r w:rsidR="00CA5377" w:rsidRPr="007F6CEF">
        <w:rPr>
          <w:lang w:val="ru-RU"/>
        </w:rPr>
        <w:t xml:space="preserve"> о финансовой деятельности. Аудиторские проверки показали, что</w:t>
      </w:r>
      <w:r w:rsidR="008A45A6" w:rsidRPr="007F6CEF">
        <w:rPr>
          <w:lang w:val="ru-RU"/>
        </w:rPr>
        <w:t xml:space="preserve"> трансферты ассигнований между С</w:t>
      </w:r>
      <w:r w:rsidR="00CA5377" w:rsidRPr="007F6CEF">
        <w:rPr>
          <w:lang w:val="ru-RU"/>
        </w:rPr>
        <w:t xml:space="preserve">екторами выполнялись не в соответствии со </w:t>
      </w:r>
      <w:r w:rsidR="00F46B1B" w:rsidRPr="007F6CEF">
        <w:rPr>
          <w:lang w:val="ru-RU"/>
        </w:rPr>
        <w:t>Статьей </w:t>
      </w:r>
      <w:r w:rsidR="00CA5377" w:rsidRPr="007F6CEF">
        <w:rPr>
          <w:lang w:val="ru-RU"/>
        </w:rPr>
        <w:t>11 Финансового регламента.</w:t>
      </w:r>
    </w:p>
    <w:p w:rsidR="00CA5377" w:rsidRPr="007F6CEF" w:rsidRDefault="00CA5377" w:rsidP="00170B2C">
      <w:pPr>
        <w:pStyle w:val="Title1"/>
        <w:jc w:val="left"/>
        <w:rPr>
          <w:lang w:val="ru-RU"/>
        </w:rPr>
      </w:pPr>
      <w:bookmarkStart w:id="217" w:name="_Toc358192861"/>
      <w:bookmarkStart w:id="218" w:name="_Toc398125348"/>
      <w:bookmarkStart w:id="219" w:name="_Toc398125827"/>
      <w:r w:rsidRPr="007F6CEF">
        <w:rPr>
          <w:lang w:val="ru-RU"/>
        </w:rPr>
        <w:t>ТАБЛИЦА ДВИЖЕНИЯ ДЕНЕЖНЫХ СРЕДСТВ ЗА ФИНАНСОВЫЙ</w:t>
      </w:r>
      <w:r w:rsidR="00DF36ED" w:rsidRPr="007F6CEF">
        <w:rPr>
          <w:lang w:val="ru-RU"/>
        </w:rPr>
        <w:t xml:space="preserve"> ПЕРИОД, ЗАВЕРШИВШИЙСЯ 31 </w:t>
      </w:r>
      <w:r w:rsidRPr="007F6CEF">
        <w:rPr>
          <w:lang w:val="ru-RU"/>
        </w:rPr>
        <w:t>ДЕКАБРЯ</w:t>
      </w:r>
      <w:bookmarkEnd w:id="217"/>
      <w:r w:rsidR="00DF36ED" w:rsidRPr="007F6CEF">
        <w:rPr>
          <w:lang w:val="ru-RU"/>
        </w:rPr>
        <w:t xml:space="preserve"> 2013 ГОДА</w:t>
      </w:r>
      <w:bookmarkEnd w:id="218"/>
      <w:bookmarkEnd w:id="219"/>
    </w:p>
    <w:p w:rsidR="00CA5377" w:rsidRPr="007F6CEF" w:rsidRDefault="00DF36ED" w:rsidP="00170B2C">
      <w:pPr>
        <w:rPr>
          <w:lang w:val="ru-RU"/>
        </w:rPr>
      </w:pPr>
      <w:r w:rsidRPr="007F6CEF">
        <w:rPr>
          <w:lang w:val="ru-RU"/>
        </w:rPr>
        <w:t>118</w:t>
      </w:r>
      <w:r w:rsidR="006F2E90" w:rsidRPr="007F6CEF">
        <w:rPr>
          <w:lang w:val="ru-RU"/>
        </w:rPr>
        <w:tab/>
      </w:r>
      <w:r w:rsidR="00CA5377" w:rsidRPr="007F6CEF">
        <w:rPr>
          <w:lang w:val="ru-RU"/>
        </w:rPr>
        <w:t>В таблице движения денежных средств определены источники притока средств; статьи, на которые потрачены денежные средства за отчетный период; и остаток денежны</w:t>
      </w:r>
      <w:r w:rsidR="008A45A6" w:rsidRPr="007F6CEF">
        <w:rPr>
          <w:lang w:val="ru-RU"/>
        </w:rPr>
        <w:t>х</w:t>
      </w:r>
      <w:r w:rsidR="00CA5377" w:rsidRPr="007F6CEF">
        <w:rPr>
          <w:lang w:val="ru-RU"/>
        </w:rPr>
        <w:t xml:space="preserve"> средств на дату составления отчета.</w:t>
      </w:r>
    </w:p>
    <w:p w:rsidR="00CA5377" w:rsidRPr="007F6CEF" w:rsidRDefault="00DF36ED" w:rsidP="00170B2C">
      <w:pPr>
        <w:rPr>
          <w:lang w:val="ru-RU"/>
        </w:rPr>
      </w:pPr>
      <w:r w:rsidRPr="007F6CEF">
        <w:rPr>
          <w:lang w:val="ru-RU"/>
        </w:rPr>
        <w:t>119</w:t>
      </w:r>
      <w:r w:rsidR="006F2E90" w:rsidRPr="007F6CEF">
        <w:rPr>
          <w:lang w:val="ru-RU"/>
        </w:rPr>
        <w:tab/>
      </w:r>
      <w:r w:rsidR="00CA5377" w:rsidRPr="007F6CEF">
        <w:rPr>
          <w:lang w:val="ru-RU"/>
        </w:rPr>
        <w:t>В 201</w:t>
      </w:r>
      <w:r w:rsidR="00417CB3" w:rsidRPr="007F6CEF">
        <w:rPr>
          <w:lang w:val="ru-RU"/>
        </w:rPr>
        <w:t>3</w:t>
      </w:r>
      <w:r w:rsidR="00CA5377" w:rsidRPr="007F6CEF">
        <w:rPr>
          <w:lang w:val="ru-RU"/>
        </w:rPr>
        <w:t> году МСЭ со</w:t>
      </w:r>
      <w:r w:rsidR="00417CB3" w:rsidRPr="007F6CEF">
        <w:rPr>
          <w:lang w:val="ru-RU"/>
        </w:rPr>
        <w:t>общил о</w:t>
      </w:r>
      <w:r w:rsidR="00CA5377" w:rsidRPr="007F6CEF">
        <w:rPr>
          <w:lang w:val="ru-RU"/>
        </w:rPr>
        <w:t xml:space="preserve"> </w:t>
      </w:r>
      <w:r w:rsidR="008A45A6" w:rsidRPr="007F6CEF">
        <w:rPr>
          <w:lang w:val="ru-RU"/>
        </w:rPr>
        <w:t>движении</w:t>
      </w:r>
      <w:r w:rsidR="00CA5377" w:rsidRPr="007F6CEF">
        <w:rPr>
          <w:lang w:val="ru-RU"/>
        </w:rPr>
        <w:t xml:space="preserve"> денежных средств в результате оперативной деятельности (</w:t>
      </w:r>
      <w:r w:rsidR="00417CB3" w:rsidRPr="007F6CEF">
        <w:rPr>
          <w:lang w:val="ru-RU"/>
        </w:rPr>
        <w:t>−9,1</w:t>
      </w:r>
      <w:r w:rsidR="00CA5377" w:rsidRPr="007F6CEF">
        <w:rPr>
          <w:lang w:val="ru-RU"/>
        </w:rPr>
        <w:t> млн. швейцарских франков)</w:t>
      </w:r>
      <w:r w:rsidR="00417CB3" w:rsidRPr="007F6CEF">
        <w:rPr>
          <w:lang w:val="ru-RU"/>
        </w:rPr>
        <w:t>,</w:t>
      </w:r>
      <w:r w:rsidR="00CA5377" w:rsidRPr="007F6CEF">
        <w:rPr>
          <w:lang w:val="ru-RU"/>
        </w:rPr>
        <w:t xml:space="preserve"> </w:t>
      </w:r>
      <w:r w:rsidR="008A45A6" w:rsidRPr="007F6CEF">
        <w:rPr>
          <w:lang w:val="ru-RU"/>
        </w:rPr>
        <w:t xml:space="preserve">при этом отрицательная сумма была меньше, чем в </w:t>
      </w:r>
      <w:r w:rsidR="00CA5377" w:rsidRPr="007F6CEF">
        <w:rPr>
          <w:lang w:val="ru-RU"/>
        </w:rPr>
        <w:t>201</w:t>
      </w:r>
      <w:r w:rsidR="00417CB3" w:rsidRPr="007F6CEF">
        <w:rPr>
          <w:lang w:val="ru-RU"/>
        </w:rPr>
        <w:t>2</w:t>
      </w:r>
      <w:r w:rsidR="00CA5377" w:rsidRPr="007F6CEF">
        <w:rPr>
          <w:lang w:val="ru-RU"/>
        </w:rPr>
        <w:t> год</w:t>
      </w:r>
      <w:r w:rsidR="008A45A6" w:rsidRPr="007F6CEF">
        <w:rPr>
          <w:lang w:val="ru-RU"/>
        </w:rPr>
        <w:t>у</w:t>
      </w:r>
      <w:r w:rsidR="00CA5377" w:rsidRPr="007F6CEF">
        <w:rPr>
          <w:lang w:val="ru-RU"/>
        </w:rPr>
        <w:t xml:space="preserve">, когда </w:t>
      </w:r>
      <w:r w:rsidR="008A45A6" w:rsidRPr="007F6CEF">
        <w:rPr>
          <w:lang w:val="ru-RU"/>
        </w:rPr>
        <w:t>объем составил</w:t>
      </w:r>
      <w:r w:rsidR="00CA5377" w:rsidRPr="007F6CEF">
        <w:rPr>
          <w:lang w:val="ru-RU"/>
        </w:rPr>
        <w:t xml:space="preserve"> </w:t>
      </w:r>
      <w:r w:rsidR="00417CB3" w:rsidRPr="007F6CEF">
        <w:rPr>
          <w:lang w:val="ru-RU"/>
        </w:rPr>
        <w:t>−13</w:t>
      </w:r>
      <w:r w:rsidR="00CA5377" w:rsidRPr="007F6CEF">
        <w:rPr>
          <w:lang w:val="ru-RU"/>
        </w:rPr>
        <w:t> млн. швейцарских франков. В 201</w:t>
      </w:r>
      <w:r w:rsidR="00417CB3" w:rsidRPr="007F6CEF">
        <w:rPr>
          <w:lang w:val="ru-RU"/>
        </w:rPr>
        <w:t>3</w:t>
      </w:r>
      <w:r w:rsidR="00CA5377" w:rsidRPr="007F6CEF">
        <w:rPr>
          <w:lang w:val="ru-RU"/>
        </w:rPr>
        <w:t> году, так</w:t>
      </w:r>
      <w:r w:rsidR="008A45A6" w:rsidRPr="007F6CEF">
        <w:rPr>
          <w:lang w:val="ru-RU"/>
        </w:rPr>
        <w:t xml:space="preserve"> </w:t>
      </w:r>
      <w:r w:rsidR="00CA5377" w:rsidRPr="007F6CEF">
        <w:rPr>
          <w:lang w:val="ru-RU"/>
        </w:rPr>
        <w:t>же как в</w:t>
      </w:r>
      <w:r w:rsidR="00417CB3" w:rsidRPr="007F6CEF">
        <w:rPr>
          <w:lang w:val="ru-RU"/>
        </w:rPr>
        <w:t xml:space="preserve"> </w:t>
      </w:r>
      <w:r w:rsidR="00CA5377" w:rsidRPr="007F6CEF">
        <w:rPr>
          <w:lang w:val="ru-RU"/>
        </w:rPr>
        <w:t>201</w:t>
      </w:r>
      <w:r w:rsidR="008B7E30" w:rsidRPr="007F6CEF">
        <w:rPr>
          <w:lang w:val="ru-RU"/>
        </w:rPr>
        <w:t>2 и 2011</w:t>
      </w:r>
      <w:r w:rsidR="00417CB3" w:rsidRPr="007F6CEF">
        <w:rPr>
          <w:lang w:val="ru-RU"/>
        </w:rPr>
        <w:t> годах</w:t>
      </w:r>
      <w:r w:rsidR="00CA5377" w:rsidRPr="007F6CEF">
        <w:rPr>
          <w:lang w:val="ru-RU"/>
        </w:rPr>
        <w:t>, был</w:t>
      </w:r>
      <w:r w:rsidR="008A45A6" w:rsidRPr="007F6CEF">
        <w:rPr>
          <w:lang w:val="ru-RU"/>
        </w:rPr>
        <w:t>о</w:t>
      </w:r>
      <w:r w:rsidR="00CA5377" w:rsidRPr="007F6CEF">
        <w:rPr>
          <w:lang w:val="ru-RU"/>
        </w:rPr>
        <w:t xml:space="preserve"> </w:t>
      </w:r>
      <w:r w:rsidR="008A45A6" w:rsidRPr="007F6CEF">
        <w:rPr>
          <w:lang w:val="ru-RU"/>
        </w:rPr>
        <w:t>отмечено</w:t>
      </w:r>
      <w:r w:rsidR="00CA5377" w:rsidRPr="007F6CEF">
        <w:rPr>
          <w:lang w:val="ru-RU"/>
        </w:rPr>
        <w:t xml:space="preserve"> отрицательн</w:t>
      </w:r>
      <w:r w:rsidR="008A45A6" w:rsidRPr="007F6CEF">
        <w:rPr>
          <w:lang w:val="ru-RU"/>
        </w:rPr>
        <w:t>ое</w:t>
      </w:r>
      <w:r w:rsidR="00CA5377" w:rsidRPr="007F6CEF">
        <w:rPr>
          <w:lang w:val="ru-RU"/>
        </w:rPr>
        <w:t xml:space="preserve"> </w:t>
      </w:r>
      <w:r w:rsidR="008A45A6" w:rsidRPr="007F6CEF">
        <w:rPr>
          <w:lang w:val="ru-RU"/>
        </w:rPr>
        <w:t>значение</w:t>
      </w:r>
      <w:r w:rsidR="00CA5377" w:rsidRPr="007F6CEF">
        <w:rPr>
          <w:lang w:val="ru-RU"/>
        </w:rPr>
        <w:t xml:space="preserve"> движения денежных средств в резул</w:t>
      </w:r>
      <w:r w:rsidR="009A3AF9" w:rsidRPr="007F6CEF">
        <w:rPr>
          <w:lang w:val="ru-RU"/>
        </w:rPr>
        <w:t>ьтате финансовой деятельности (−</w:t>
      </w:r>
      <w:r w:rsidR="00CA5377" w:rsidRPr="007F6CEF">
        <w:rPr>
          <w:lang w:val="ru-RU"/>
        </w:rPr>
        <w:t xml:space="preserve">1,5 млн. швейцарских франков), </w:t>
      </w:r>
      <w:r w:rsidR="008A45A6" w:rsidRPr="007F6CEF">
        <w:rPr>
          <w:lang w:val="ru-RU"/>
        </w:rPr>
        <w:t>что обусловлено</w:t>
      </w:r>
      <w:r w:rsidR="00CA5377" w:rsidRPr="007F6CEF">
        <w:rPr>
          <w:lang w:val="ru-RU"/>
        </w:rPr>
        <w:t xml:space="preserve"> выплатой ссуды ФИПОИ. По чистому движению денежных средств в результате инвестиционной деятельности </w:t>
      </w:r>
      <w:r w:rsidR="00417CB3" w:rsidRPr="007F6CEF">
        <w:rPr>
          <w:lang w:val="ru-RU"/>
        </w:rPr>
        <w:t xml:space="preserve">(−19,6 млн. швейцарских франков) </w:t>
      </w:r>
      <w:r w:rsidR="002E1E6C" w:rsidRPr="007F6CEF">
        <w:rPr>
          <w:lang w:val="ru-RU"/>
        </w:rPr>
        <w:t xml:space="preserve">отмечено существенное отрицательное изменение по сравнению с </w:t>
      </w:r>
      <w:r w:rsidR="009A3372" w:rsidRPr="007F6CEF">
        <w:rPr>
          <w:lang w:val="ru-RU"/>
        </w:rPr>
        <w:t>2012 год</w:t>
      </w:r>
      <w:r w:rsidR="002E1E6C" w:rsidRPr="007F6CEF">
        <w:rPr>
          <w:lang w:val="ru-RU"/>
        </w:rPr>
        <w:t>ом</w:t>
      </w:r>
      <w:r w:rsidR="009A3372" w:rsidRPr="007F6CEF">
        <w:rPr>
          <w:lang w:val="ru-RU"/>
        </w:rPr>
        <w:t xml:space="preserve">, когда </w:t>
      </w:r>
      <w:r w:rsidR="002E1E6C" w:rsidRPr="007F6CEF">
        <w:rPr>
          <w:lang w:val="ru-RU"/>
        </w:rPr>
        <w:t>соответствующее значение составляло</w:t>
      </w:r>
      <w:r w:rsidR="009A3372" w:rsidRPr="007F6CEF">
        <w:rPr>
          <w:lang w:val="ru-RU"/>
        </w:rPr>
        <w:t xml:space="preserve"> 32,3 млн. швейцарских франков; </w:t>
      </w:r>
      <w:r w:rsidR="002E1E6C" w:rsidRPr="007F6CEF">
        <w:rPr>
          <w:lang w:val="ru-RU"/>
        </w:rPr>
        <w:t xml:space="preserve">это изменение объясняется в основном увеличением по позициям "Вклады" и "Приобретение материальных активов". </w:t>
      </w:r>
    </w:p>
    <w:p w:rsidR="00CA5377" w:rsidRPr="007F6CEF" w:rsidRDefault="009A3372" w:rsidP="00170B2C">
      <w:pPr>
        <w:rPr>
          <w:lang w:val="ru-RU"/>
        </w:rPr>
      </w:pPr>
      <w:r w:rsidRPr="007F6CEF">
        <w:rPr>
          <w:lang w:val="ru-RU"/>
        </w:rPr>
        <w:t>120</w:t>
      </w:r>
      <w:r w:rsidR="006F2E90" w:rsidRPr="007F6CEF">
        <w:rPr>
          <w:lang w:val="ru-RU"/>
        </w:rPr>
        <w:tab/>
      </w:r>
      <w:r w:rsidR="00CA5377" w:rsidRPr="007F6CEF">
        <w:rPr>
          <w:lang w:val="ru-RU"/>
        </w:rPr>
        <w:t xml:space="preserve">Чистый результат по денежным средствам и эквивалентам денежных средств показал увеличение в </w:t>
      </w:r>
      <w:r w:rsidRPr="007F6CEF">
        <w:rPr>
          <w:lang w:val="ru-RU"/>
        </w:rPr>
        <w:t>20</w:t>
      </w:r>
      <w:r w:rsidR="00CA5377" w:rsidRPr="007F6CEF">
        <w:rPr>
          <w:lang w:val="ru-RU"/>
        </w:rPr>
        <w:t>,</w:t>
      </w:r>
      <w:r w:rsidRPr="007F6CEF">
        <w:rPr>
          <w:lang w:val="ru-RU"/>
        </w:rPr>
        <w:t>2</w:t>
      </w:r>
      <w:r w:rsidR="00CA5377" w:rsidRPr="007F6CEF">
        <w:rPr>
          <w:lang w:val="ru-RU"/>
        </w:rPr>
        <w:t> млн. швейцарских франков в 201</w:t>
      </w:r>
      <w:r w:rsidRPr="007F6CEF">
        <w:rPr>
          <w:lang w:val="ru-RU"/>
        </w:rPr>
        <w:t>3</w:t>
      </w:r>
      <w:r w:rsidR="00CA5377" w:rsidRPr="007F6CEF">
        <w:rPr>
          <w:lang w:val="ru-RU"/>
        </w:rPr>
        <w:t> году. Мы проверили служившие основой записи путем выборки по некоторым счетам. Как показал результат, все выбранные транзакции были надлежащим образом обоснованы подтверждающими документами. Отчет о движении денежных средств, таким образом, проверен и подтвержден.</w:t>
      </w:r>
    </w:p>
    <w:p w:rsidR="00CA5377" w:rsidRPr="007F6CEF" w:rsidRDefault="00CA5377" w:rsidP="00170B2C">
      <w:pPr>
        <w:pStyle w:val="Title1"/>
        <w:jc w:val="left"/>
        <w:rPr>
          <w:lang w:val="ru-RU"/>
        </w:rPr>
      </w:pPr>
      <w:bookmarkStart w:id="220" w:name="_Toc358192862"/>
      <w:bookmarkStart w:id="221" w:name="_Toc398125349"/>
      <w:bookmarkStart w:id="222" w:name="_Toc398125828"/>
      <w:r w:rsidRPr="007F6CEF">
        <w:rPr>
          <w:lang w:val="ru-RU"/>
        </w:rPr>
        <w:t>СТРАХОВАЯ КАССА ПЕРСОНАЛА</w:t>
      </w:r>
      <w:bookmarkEnd w:id="220"/>
      <w:bookmarkEnd w:id="221"/>
      <w:bookmarkEnd w:id="222"/>
    </w:p>
    <w:p w:rsidR="00F60C11" w:rsidRPr="007F6CEF" w:rsidRDefault="009A3372" w:rsidP="00170B2C">
      <w:pPr>
        <w:rPr>
          <w:lang w:val="ru-RU"/>
        </w:rPr>
      </w:pPr>
      <w:r w:rsidRPr="007F6CEF">
        <w:rPr>
          <w:lang w:val="ru-RU"/>
        </w:rPr>
        <w:t>121</w:t>
      </w:r>
      <w:r w:rsidR="006F2E90" w:rsidRPr="007F6CEF">
        <w:rPr>
          <w:lang w:val="ru-RU"/>
        </w:rPr>
        <w:tab/>
      </w:r>
      <w:r w:rsidR="002E1E6C" w:rsidRPr="007F6CEF">
        <w:rPr>
          <w:lang w:val="ru-RU"/>
        </w:rPr>
        <w:t>В Приложение B2</w:t>
      </w:r>
      <w:r w:rsidR="00CA5377" w:rsidRPr="007F6CEF">
        <w:rPr>
          <w:lang w:val="ru-RU"/>
        </w:rPr>
        <w:t xml:space="preserve"> Отчет</w:t>
      </w:r>
      <w:r w:rsidR="002E1E6C" w:rsidRPr="007F6CEF">
        <w:rPr>
          <w:lang w:val="ru-RU"/>
        </w:rPr>
        <w:t>а</w:t>
      </w:r>
      <w:r w:rsidR="00CA5377" w:rsidRPr="007F6CEF">
        <w:rPr>
          <w:lang w:val="ru-RU"/>
        </w:rPr>
        <w:t xml:space="preserve"> о финансовой деятельности включены три следующих фонда: </w:t>
      </w:r>
      <w:r w:rsidR="00CA5377" w:rsidRPr="007F6CEF">
        <w:rPr>
          <w:bCs/>
          <w:i/>
          <w:lang w:val="ru-RU"/>
        </w:rPr>
        <w:t>Фонд резервных и дополнительных средств</w:t>
      </w:r>
      <w:r w:rsidR="00CA5377" w:rsidRPr="007F6CEF">
        <w:rPr>
          <w:lang w:val="ru-RU"/>
        </w:rPr>
        <w:t xml:space="preserve"> (общие активы которого составляют 6,3 млн. швейцарских франков), </w:t>
      </w:r>
      <w:r w:rsidR="00CA5377" w:rsidRPr="007F6CEF">
        <w:rPr>
          <w:i/>
          <w:lang w:val="ru-RU"/>
        </w:rPr>
        <w:t>Пенсионный фонд</w:t>
      </w:r>
      <w:r w:rsidR="00CA5377" w:rsidRPr="007F6CEF">
        <w:rPr>
          <w:lang w:val="ru-RU"/>
        </w:rPr>
        <w:t xml:space="preserve"> (общие активы которого составляют 1,5 млн. швейцарских франков) и </w:t>
      </w:r>
      <w:r w:rsidR="00CA5377" w:rsidRPr="007F6CEF">
        <w:rPr>
          <w:i/>
          <w:lang w:val="ru-RU"/>
        </w:rPr>
        <w:t>Фонд помощи</w:t>
      </w:r>
      <w:r w:rsidR="00CA5377" w:rsidRPr="007F6CEF">
        <w:rPr>
          <w:lang w:val="ru-RU"/>
        </w:rPr>
        <w:t xml:space="preserve"> (общие активы которого составляют около 0,2 млн. швейцарских франков). </w:t>
      </w:r>
    </w:p>
    <w:p w:rsidR="00CA5377" w:rsidRPr="007F6CEF" w:rsidRDefault="00F60C11" w:rsidP="00170B2C">
      <w:pPr>
        <w:rPr>
          <w:lang w:val="ru-RU"/>
        </w:rPr>
      </w:pPr>
      <w:r w:rsidRPr="007F6CEF">
        <w:rPr>
          <w:lang w:val="ru-RU"/>
        </w:rPr>
        <w:t>122</w:t>
      </w:r>
      <w:r w:rsidRPr="007F6CEF">
        <w:rPr>
          <w:lang w:val="ru-RU"/>
        </w:rPr>
        <w:tab/>
      </w:r>
      <w:r w:rsidR="00CA5377" w:rsidRPr="007F6CEF">
        <w:rPr>
          <w:lang w:val="ru-RU"/>
        </w:rPr>
        <w:t xml:space="preserve">Мы провели аудит этих трех фондов и </w:t>
      </w:r>
      <w:r w:rsidR="002E1E6C" w:rsidRPr="007F6CEF">
        <w:rPr>
          <w:lang w:val="ru-RU"/>
        </w:rPr>
        <w:t>соответствующих</w:t>
      </w:r>
      <w:r w:rsidR="00CA5377" w:rsidRPr="007F6CEF">
        <w:rPr>
          <w:lang w:val="ru-RU"/>
        </w:rPr>
        <w:t xml:space="preserve"> транзакций и не выявили каких-либо ошибок и/или неточностей </w:t>
      </w:r>
      <w:r w:rsidR="00D36CB2" w:rsidRPr="007F6CEF">
        <w:rPr>
          <w:lang w:val="ru-RU"/>
        </w:rPr>
        <w:t>в представлении</w:t>
      </w:r>
      <w:r w:rsidR="00CA5377" w:rsidRPr="007F6CEF">
        <w:rPr>
          <w:lang w:val="ru-RU"/>
        </w:rPr>
        <w:t xml:space="preserve">. </w:t>
      </w:r>
    </w:p>
    <w:p w:rsidR="00F60C11" w:rsidRPr="007F6CEF" w:rsidRDefault="00F60C11" w:rsidP="00170B2C">
      <w:pPr>
        <w:rPr>
          <w:lang w:val="ru-RU"/>
        </w:rPr>
      </w:pPr>
      <w:r w:rsidRPr="007F6CEF">
        <w:rPr>
          <w:lang w:val="ru-RU"/>
        </w:rPr>
        <w:t>123</w:t>
      </w:r>
      <w:r w:rsidRPr="007F6CEF">
        <w:rPr>
          <w:lang w:val="ru-RU"/>
        </w:rPr>
        <w:tab/>
      </w:r>
      <w:r w:rsidR="002619CA" w:rsidRPr="007F6CEF">
        <w:rPr>
          <w:lang w:val="ru-RU"/>
        </w:rPr>
        <w:t xml:space="preserve">Мы считаем несколько замедленной процедуру проверки того, живы ли еще бенефициары, и приостановки и прекращения пенсионных выплат. В одном конкретном случае мы отметили, что после отрицательного результата первого этапа этой процедуры </w:t>
      </w:r>
      <w:r w:rsidRPr="007F6CEF">
        <w:rPr>
          <w:lang w:val="ru-RU"/>
        </w:rPr>
        <w:t>("</w:t>
      </w:r>
      <w:r w:rsidRPr="007F6CEF">
        <w:rPr>
          <w:i/>
          <w:lang w:val="ru-RU"/>
        </w:rPr>
        <w:t>Attestation – Preuve de vie</w:t>
      </w:r>
      <w:r w:rsidRPr="007F6CEF">
        <w:rPr>
          <w:lang w:val="ru-RU"/>
        </w:rPr>
        <w:t>"</w:t>
      </w:r>
      <w:r w:rsidR="00385FC5" w:rsidRPr="007F6CEF">
        <w:rPr>
          <w:lang w:val="ru-RU"/>
        </w:rPr>
        <w:t xml:space="preserve"> – </w:t>
      </w:r>
      <w:r w:rsidR="00385FC5" w:rsidRPr="00873F8A">
        <w:rPr>
          <w:lang w:val="ru-RU"/>
        </w:rPr>
        <w:t>"</w:t>
      </w:r>
      <w:r w:rsidR="00385FC5" w:rsidRPr="007F6CEF">
        <w:rPr>
          <w:i/>
          <w:iCs/>
          <w:lang w:val="ru-RU"/>
        </w:rPr>
        <w:t>Справка – подтверждение факта нахождения в живых</w:t>
      </w:r>
      <w:r w:rsidR="00385FC5" w:rsidRPr="00873F8A">
        <w:rPr>
          <w:lang w:val="ru-RU"/>
        </w:rPr>
        <w:t>"</w:t>
      </w:r>
      <w:r w:rsidRPr="007F6CEF">
        <w:rPr>
          <w:lang w:val="ru-RU"/>
        </w:rPr>
        <w:t xml:space="preserve">) </w:t>
      </w:r>
      <w:r w:rsidR="00385FC5" w:rsidRPr="007F6CEF">
        <w:rPr>
          <w:lang w:val="ru-RU"/>
        </w:rPr>
        <w:t>от</w:t>
      </w:r>
      <w:r w:rsidRPr="007F6CEF">
        <w:rPr>
          <w:lang w:val="ru-RU"/>
        </w:rPr>
        <w:t xml:space="preserve"> 15 декабря 2011 года, </w:t>
      </w:r>
      <w:r w:rsidR="00385FC5" w:rsidRPr="007F6CEF">
        <w:rPr>
          <w:lang w:val="ru-RU"/>
        </w:rPr>
        <w:t>в</w:t>
      </w:r>
      <w:r w:rsidRPr="007F6CEF">
        <w:rPr>
          <w:lang w:val="ru-RU"/>
        </w:rPr>
        <w:t xml:space="preserve"> 2013 году </w:t>
      </w:r>
      <w:r w:rsidR="00385FC5" w:rsidRPr="007F6CEF">
        <w:rPr>
          <w:lang w:val="ru-RU"/>
        </w:rPr>
        <w:t xml:space="preserve">все еще зарегистрированы ежемесячные платежи, хотя они были блокированы и не были отправлены. </w:t>
      </w:r>
    </w:p>
    <w:p w:rsidR="00CA5377" w:rsidRPr="007F6CEF" w:rsidRDefault="00F60C11" w:rsidP="00170B2C">
      <w:pPr>
        <w:rPr>
          <w:lang w:val="ru-RU"/>
        </w:rPr>
      </w:pPr>
      <w:r w:rsidRPr="007F6CEF">
        <w:rPr>
          <w:lang w:val="ru-RU"/>
        </w:rPr>
        <w:t>124</w:t>
      </w:r>
      <w:r w:rsidR="006F2E90" w:rsidRPr="007F6CEF">
        <w:rPr>
          <w:lang w:val="ru-RU"/>
        </w:rPr>
        <w:tab/>
      </w:r>
      <w:r w:rsidR="00CA5377" w:rsidRPr="007F6CEF">
        <w:rPr>
          <w:lang w:val="ru-RU"/>
        </w:rPr>
        <w:t xml:space="preserve">По </w:t>
      </w:r>
      <w:r w:rsidR="00CA5377" w:rsidRPr="007F6CEF">
        <w:rPr>
          <w:bCs/>
          <w:i/>
          <w:lang w:val="ru-RU"/>
        </w:rPr>
        <w:t>Фонду резервных и дополнительных средств</w:t>
      </w:r>
      <w:r w:rsidR="00CA5377" w:rsidRPr="007F6CEF">
        <w:rPr>
          <w:lang w:val="ru-RU"/>
        </w:rPr>
        <w:t xml:space="preserve"> и </w:t>
      </w:r>
      <w:r w:rsidR="00CA5377" w:rsidRPr="007F6CEF">
        <w:rPr>
          <w:i/>
          <w:lang w:val="ru-RU"/>
        </w:rPr>
        <w:t>Пенсионному фонду</w:t>
      </w:r>
      <w:r w:rsidR="00CA5377" w:rsidRPr="007F6CEF">
        <w:rPr>
          <w:lang w:val="ru-RU"/>
        </w:rPr>
        <w:t xml:space="preserve"> в пассивах по статье "Вознаграждение сотрудников" учтены два актуарных резервных фонда объемом, соответственно, 54 тыс. швейцарских франков и 36 тыс. швейцарских франков, в соответствии с актуарной экспертизой, проведенной в 2010 году.</w:t>
      </w:r>
    </w:p>
    <w:p w:rsidR="00F60C11" w:rsidRPr="007F6CEF" w:rsidRDefault="00F60C11" w:rsidP="00170B2C">
      <w:pPr>
        <w:rPr>
          <w:lang w:val="ru-RU"/>
        </w:rPr>
      </w:pPr>
      <w:r w:rsidRPr="007F6CEF">
        <w:rPr>
          <w:lang w:val="ru-RU"/>
        </w:rPr>
        <w:t>125</w:t>
      </w:r>
      <w:r w:rsidRPr="007F6CEF">
        <w:rPr>
          <w:lang w:val="ru-RU"/>
        </w:rPr>
        <w:tab/>
      </w:r>
      <w:r w:rsidR="00040F77" w:rsidRPr="007F6CEF">
        <w:rPr>
          <w:lang w:val="ru-RU"/>
        </w:rPr>
        <w:t>В прошлом году, в соответствии с позицией нашего предшественника и ввиду незначительной суммы этих резервных фондов по сравнению с величи</w:t>
      </w:r>
      <w:r w:rsidR="00BC0397" w:rsidRPr="007F6CEF">
        <w:rPr>
          <w:lang w:val="ru-RU"/>
        </w:rPr>
        <w:t>ной активов, мы рекомендовали (Р</w:t>
      </w:r>
      <w:r w:rsidR="00040F77" w:rsidRPr="007F6CEF">
        <w:rPr>
          <w:lang w:val="ru-RU"/>
        </w:rPr>
        <w:t>екомендация №</w:t>
      </w:r>
      <w:r w:rsidRPr="007F6CEF">
        <w:rPr>
          <w:lang w:val="ru-RU"/>
        </w:rPr>
        <w:t xml:space="preserve"> 11/2012) </w:t>
      </w:r>
      <w:r w:rsidR="00040F77" w:rsidRPr="007F6CEF">
        <w:rPr>
          <w:lang w:val="ru-RU"/>
        </w:rPr>
        <w:t>проводить актуарный анализ каждые пять лет.</w:t>
      </w:r>
      <w:r w:rsidR="0091029E" w:rsidRPr="007F6CEF">
        <w:rPr>
          <w:lang w:val="ru-RU"/>
        </w:rPr>
        <w:t xml:space="preserve"> </w:t>
      </w:r>
    </w:p>
    <w:p w:rsidR="00F60C11" w:rsidRPr="007F6CEF" w:rsidRDefault="00F60C11" w:rsidP="00170B2C">
      <w:pPr>
        <w:rPr>
          <w:lang w:val="ru-RU"/>
        </w:rPr>
      </w:pPr>
      <w:r w:rsidRPr="007F6CEF">
        <w:rPr>
          <w:lang w:val="ru-RU"/>
        </w:rPr>
        <w:t>126</w:t>
      </w:r>
      <w:r w:rsidRPr="007F6CEF">
        <w:rPr>
          <w:lang w:val="ru-RU"/>
        </w:rPr>
        <w:tab/>
      </w:r>
      <w:r w:rsidR="00040F77" w:rsidRPr="007F6CEF">
        <w:rPr>
          <w:lang w:val="ru-RU"/>
        </w:rPr>
        <w:t xml:space="preserve">Мы подтверждаем, что в прошлом году Генеральный секретарь поручил </w:t>
      </w:r>
      <w:r w:rsidR="00040F77" w:rsidRPr="007F6CEF">
        <w:rPr>
          <w:rFonts w:asciiTheme="minorHAnsi" w:hAnsiTheme="minorHAnsi" w:cs="Segoe UI"/>
          <w:color w:val="000000"/>
          <w:szCs w:val="22"/>
          <w:lang w:val="ru-RU"/>
        </w:rPr>
        <w:t>Департаменту управления финансовыми ресурсами (</w:t>
      </w:r>
      <w:r w:rsidRPr="007F6CEF">
        <w:rPr>
          <w:lang w:val="ru-RU"/>
        </w:rPr>
        <w:t>FRMD</w:t>
      </w:r>
      <w:r w:rsidR="00040F77" w:rsidRPr="007F6CEF">
        <w:rPr>
          <w:lang w:val="ru-RU"/>
        </w:rPr>
        <w:t xml:space="preserve">) провести в 2015 году новое актуарное исследование в отношении старого Пенсионного фонда. </w:t>
      </w:r>
      <w:r w:rsidR="008B7E30" w:rsidRPr="007F6CEF">
        <w:rPr>
          <w:lang w:val="ru-RU"/>
        </w:rPr>
        <w:t xml:space="preserve">Мы будем </w:t>
      </w:r>
      <w:r w:rsidR="00D36CB2" w:rsidRPr="007F6CEF">
        <w:rPr>
          <w:lang w:val="ru-RU"/>
        </w:rPr>
        <w:t xml:space="preserve">следить за дальнейшим выполнением этой рекомендации. </w:t>
      </w:r>
    </w:p>
    <w:p w:rsidR="00CA5377" w:rsidRPr="007F6CEF" w:rsidRDefault="00CA5377" w:rsidP="00170B2C">
      <w:pPr>
        <w:pStyle w:val="Title1"/>
        <w:jc w:val="left"/>
        <w:rPr>
          <w:lang w:val="ru-RU"/>
        </w:rPr>
      </w:pPr>
      <w:bookmarkStart w:id="223" w:name="_Toc356330915"/>
      <w:bookmarkStart w:id="224" w:name="_Toc358192864"/>
      <w:bookmarkStart w:id="225" w:name="_Toc398125350"/>
      <w:bookmarkStart w:id="226" w:name="_Toc398125829"/>
      <w:r w:rsidRPr="007F6CEF">
        <w:rPr>
          <w:lang w:val="ru-RU"/>
        </w:rPr>
        <w:t>ПРОГРАММА РАЗВИТИЯ ОРГАНИЗАЦИИ ОБЪЕДИНЕННЫХ НАЦИЙ (ПРООН), ФРИКТ И</w:t>
      </w:r>
      <w:bookmarkEnd w:id="223"/>
      <w:r w:rsidR="00F60C11" w:rsidRPr="007F6CEF">
        <w:rPr>
          <w:lang w:val="ru-RU"/>
        </w:rPr>
        <w:t> </w:t>
      </w:r>
      <w:r w:rsidRPr="007F6CEF">
        <w:rPr>
          <w:lang w:val="ru-RU"/>
        </w:rPr>
        <w:t>ЦЕЛЕВЫЕ ФОНДЫ</w:t>
      </w:r>
      <w:bookmarkEnd w:id="224"/>
      <w:bookmarkEnd w:id="225"/>
      <w:bookmarkEnd w:id="226"/>
    </w:p>
    <w:p w:rsidR="00CA5377" w:rsidRPr="007F6CEF" w:rsidRDefault="00F60C11" w:rsidP="00170B2C">
      <w:pPr>
        <w:rPr>
          <w:spacing w:val="3"/>
          <w:lang w:val="ru-RU"/>
        </w:rPr>
      </w:pPr>
      <w:r w:rsidRPr="007F6CEF">
        <w:rPr>
          <w:spacing w:val="3"/>
          <w:lang w:val="ru-RU"/>
        </w:rPr>
        <w:t>127</w:t>
      </w:r>
      <w:r w:rsidR="006F2E90" w:rsidRPr="007F6CEF">
        <w:rPr>
          <w:spacing w:val="3"/>
          <w:lang w:val="ru-RU"/>
        </w:rPr>
        <w:tab/>
      </w:r>
      <w:r w:rsidR="00CA5377" w:rsidRPr="007F6CEF">
        <w:rPr>
          <w:spacing w:val="3"/>
          <w:lang w:val="ru-RU"/>
        </w:rPr>
        <w:t xml:space="preserve">В </w:t>
      </w:r>
      <w:r w:rsidR="00F46B1B" w:rsidRPr="007F6CEF">
        <w:rPr>
          <w:spacing w:val="3"/>
          <w:lang w:val="ru-RU"/>
        </w:rPr>
        <w:t>Правиле </w:t>
      </w:r>
      <w:r w:rsidR="00CA5377" w:rsidRPr="007F6CEF">
        <w:rPr>
          <w:spacing w:val="3"/>
          <w:lang w:val="ru-RU"/>
        </w:rPr>
        <w:t>5 Приложения 2 Финансового регламента предусмотрено, что "</w:t>
      </w:r>
      <w:r w:rsidR="00CA5377" w:rsidRPr="007F6CEF">
        <w:rPr>
          <w:lang w:val="ru-RU"/>
        </w:rPr>
        <w:t>для каждого добровольного взноса или целевого фонда в рамках специального счета Союза открывается отдельный счет</w:t>
      </w:r>
      <w:r w:rsidR="009A3AF9" w:rsidRPr="007F6CEF">
        <w:rPr>
          <w:spacing w:val="3"/>
          <w:lang w:val="ru-RU"/>
        </w:rPr>
        <w:t>".</w:t>
      </w:r>
    </w:p>
    <w:p w:rsidR="00CA5377" w:rsidRPr="007F6CEF" w:rsidRDefault="00F60C11" w:rsidP="00170B2C">
      <w:pPr>
        <w:rPr>
          <w:spacing w:val="3"/>
          <w:lang w:val="ru-RU"/>
        </w:rPr>
      </w:pPr>
      <w:r w:rsidRPr="007F6CEF">
        <w:rPr>
          <w:spacing w:val="3"/>
          <w:lang w:val="ru-RU"/>
        </w:rPr>
        <w:t>128</w:t>
      </w:r>
      <w:r w:rsidR="006F2E90" w:rsidRPr="007F6CEF">
        <w:rPr>
          <w:spacing w:val="3"/>
          <w:lang w:val="ru-RU"/>
        </w:rPr>
        <w:tab/>
      </w:r>
      <w:r w:rsidR="00CA5377" w:rsidRPr="007F6CEF">
        <w:rPr>
          <w:spacing w:val="3"/>
          <w:lang w:val="ru-RU"/>
        </w:rPr>
        <w:t>В Приложении B3 Отчета о финансовой деятельности указаны два проекта, в настоящее время относящиеся к деятельности ПРООН. В Приложении B4 Отчета о финансовой деятельности показаны проекты, финансируемые по линии целевых фондов. Часть из них финансируется путем снятия средств из ФРИКТ, разрешенного решением Руководящего комитет</w:t>
      </w:r>
      <w:r w:rsidR="00D36CB2" w:rsidRPr="007F6CEF">
        <w:rPr>
          <w:spacing w:val="3"/>
          <w:lang w:val="ru-RU"/>
        </w:rPr>
        <w:t>а</w:t>
      </w:r>
      <w:r w:rsidR="00CA5377" w:rsidRPr="007F6CEF">
        <w:rPr>
          <w:spacing w:val="3"/>
          <w:lang w:val="ru-RU"/>
        </w:rPr>
        <w:t xml:space="preserve"> ФРИКТ. Другие проекты финансируются </w:t>
      </w:r>
      <w:r w:rsidR="009738A5" w:rsidRPr="007F6CEF">
        <w:rPr>
          <w:spacing w:val="3"/>
          <w:lang w:val="ru-RU"/>
        </w:rPr>
        <w:t>за счет</w:t>
      </w:r>
      <w:r w:rsidR="00CA5377" w:rsidRPr="007F6CEF">
        <w:rPr>
          <w:spacing w:val="3"/>
          <w:lang w:val="ru-RU"/>
        </w:rPr>
        <w:t xml:space="preserve"> специальных взносов и регулируются соглашениями с донорами. В Приложении B</w:t>
      </w:r>
      <w:r w:rsidRPr="007F6CEF">
        <w:rPr>
          <w:spacing w:val="3"/>
          <w:lang w:val="ru-RU"/>
        </w:rPr>
        <w:t>5</w:t>
      </w:r>
      <w:r w:rsidR="00CA5377" w:rsidRPr="007F6CEF">
        <w:rPr>
          <w:spacing w:val="3"/>
          <w:lang w:val="ru-RU"/>
        </w:rPr>
        <w:t xml:space="preserve"> представлены проекты, связанные с ФРИКТ.</w:t>
      </w:r>
    </w:p>
    <w:p w:rsidR="00F60C11" w:rsidRPr="007F6CEF" w:rsidRDefault="00F60C11" w:rsidP="00170B2C">
      <w:pPr>
        <w:rPr>
          <w:spacing w:val="3"/>
          <w:lang w:val="ru-RU"/>
        </w:rPr>
      </w:pPr>
      <w:r w:rsidRPr="007F6CEF">
        <w:rPr>
          <w:spacing w:val="3"/>
          <w:lang w:val="ru-RU"/>
        </w:rPr>
        <w:t>129</w:t>
      </w:r>
      <w:r w:rsidRPr="007F6CEF">
        <w:rPr>
          <w:spacing w:val="3"/>
          <w:lang w:val="ru-RU"/>
        </w:rPr>
        <w:tab/>
      </w:r>
      <w:r w:rsidR="00D36CB2" w:rsidRPr="007F6CEF">
        <w:rPr>
          <w:spacing w:val="3"/>
          <w:lang w:val="ru-RU"/>
        </w:rPr>
        <w:t>Мы отметили, что некоторые процедуры, связанные с переводом средств в целях закрытия финансового года и/или закрытия внебюджетных проектов в финансовой отчетности по средствам третьих сторон, требу</w:t>
      </w:r>
      <w:r w:rsidR="009738A5" w:rsidRPr="007F6CEF">
        <w:rPr>
          <w:spacing w:val="3"/>
          <w:lang w:val="ru-RU"/>
        </w:rPr>
        <w:t>ю</w:t>
      </w:r>
      <w:r w:rsidR="00D36CB2" w:rsidRPr="007F6CEF">
        <w:rPr>
          <w:spacing w:val="3"/>
          <w:lang w:val="ru-RU"/>
        </w:rPr>
        <w:t xml:space="preserve">т в результате внесения исправлений вручную сотрудниками. Закрытие счетов вызывает технические трудности в связи со старыми транзакциями, которые невозможно исключить. </w:t>
      </w:r>
    </w:p>
    <w:p w:rsidR="002C3063" w:rsidRPr="007F6CEF" w:rsidRDefault="002C3063" w:rsidP="00170B2C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2C3063" w:rsidRPr="00C21591" w:rsidTr="00A72B24">
        <w:tc>
          <w:tcPr>
            <w:tcW w:w="9645" w:type="dxa"/>
          </w:tcPr>
          <w:p w:rsidR="002C3063" w:rsidRPr="007F6CEF" w:rsidRDefault="002C3063" w:rsidP="00170B2C">
            <w:pPr>
              <w:rPr>
                <w:b/>
                <w:bCs/>
                <w:u w:val="single"/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Предложение 4</w:t>
            </w:r>
          </w:p>
          <w:p w:rsidR="002C3063" w:rsidRPr="007F6CEF" w:rsidRDefault="002C3063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>130</w:t>
            </w:r>
            <w:r w:rsidRPr="007F6CEF">
              <w:rPr>
                <w:lang w:val="ru-RU"/>
              </w:rPr>
              <w:tab/>
            </w:r>
            <w:r w:rsidR="00D36CB2" w:rsidRPr="007F6CEF">
              <w:rPr>
                <w:lang w:val="ru-RU"/>
              </w:rPr>
              <w:t>В целях сокращения риска ошибок мы предлагаем</w:t>
            </w:r>
            <w:r w:rsidRPr="007F6CEF">
              <w:rPr>
                <w:lang w:val="ru-RU"/>
              </w:rPr>
              <w:t xml:space="preserve"> </w:t>
            </w:r>
            <w:r w:rsidR="00D36CB2" w:rsidRPr="007F6CEF">
              <w:rPr>
                <w:lang w:val="ru-RU"/>
              </w:rPr>
              <w:t>рассмотреть возможност</w:t>
            </w:r>
            <w:r w:rsidR="009738A5" w:rsidRPr="007F6CEF">
              <w:rPr>
                <w:lang w:val="ru-RU"/>
              </w:rPr>
              <w:t>ь</w:t>
            </w:r>
            <w:r w:rsidR="00D36CB2" w:rsidRPr="007F6CEF">
              <w:rPr>
                <w:lang w:val="ru-RU"/>
              </w:rPr>
              <w:t xml:space="preserve"> внесения поправок </w:t>
            </w:r>
            <w:r w:rsidR="009738A5" w:rsidRPr="007F6CEF">
              <w:rPr>
                <w:lang w:val="ru-RU"/>
              </w:rPr>
              <w:t xml:space="preserve">в вышеупомянутые процедуры </w:t>
            </w:r>
            <w:r w:rsidR="00D36CB2" w:rsidRPr="007F6CEF">
              <w:rPr>
                <w:lang w:val="ru-RU"/>
              </w:rPr>
              <w:t xml:space="preserve">и </w:t>
            </w:r>
            <w:r w:rsidR="009738A5" w:rsidRPr="007F6CEF">
              <w:rPr>
                <w:lang w:val="ru-RU"/>
              </w:rPr>
              <w:t xml:space="preserve">их </w:t>
            </w:r>
            <w:r w:rsidR="00D36CB2" w:rsidRPr="007F6CEF">
              <w:rPr>
                <w:lang w:val="ru-RU"/>
              </w:rPr>
              <w:t xml:space="preserve">усовершенствования. </w:t>
            </w:r>
          </w:p>
        </w:tc>
      </w:tr>
    </w:tbl>
    <w:p w:rsidR="002C3063" w:rsidRPr="007F6CEF" w:rsidRDefault="002C3063" w:rsidP="00170B2C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2C3063" w:rsidRPr="00C21591" w:rsidTr="00A72B24">
        <w:trPr>
          <w:cantSplit/>
        </w:trPr>
        <w:tc>
          <w:tcPr>
            <w:tcW w:w="9645" w:type="dxa"/>
          </w:tcPr>
          <w:p w:rsidR="002C3063" w:rsidRPr="007F6CEF" w:rsidRDefault="002C3063" w:rsidP="00170B2C">
            <w:pPr>
              <w:rPr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7F6CEF">
              <w:rPr>
                <w:lang w:val="ru-RU"/>
              </w:rPr>
              <w:t>:</w:t>
            </w:r>
          </w:p>
          <w:p w:rsidR="002C3063" w:rsidRPr="007F6CEF" w:rsidRDefault="00FD62AA" w:rsidP="004012EA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>В 2013 году некоторые старые транзакции были все же закрыты, и процедур</w:t>
            </w:r>
            <w:r w:rsidR="004012EA">
              <w:rPr>
                <w:lang w:val="ru-RU"/>
              </w:rPr>
              <w:t>а</w:t>
            </w:r>
            <w:r w:rsidRPr="007F6CEF">
              <w:rPr>
                <w:lang w:val="ru-RU"/>
              </w:rPr>
              <w:t xml:space="preserve"> перево</w:t>
            </w:r>
            <w:r w:rsidR="004012EA">
              <w:rPr>
                <w:lang w:val="ru-RU"/>
              </w:rPr>
              <w:t xml:space="preserve">да остатков средств, предложенная </w:t>
            </w:r>
            <w:r w:rsidRPr="007F6CEF">
              <w:rPr>
                <w:lang w:val="ru-RU"/>
              </w:rPr>
              <w:t xml:space="preserve">при закрытии счетов 2010 года, была заменена новой процедурой, принятой в конце 2013 года. Это позволило нам в 2014 году надлежащим образом учесть сальдо по проектам на начало периода. </w:t>
            </w:r>
          </w:p>
        </w:tc>
      </w:tr>
    </w:tbl>
    <w:p w:rsidR="00F60C11" w:rsidRPr="007F6CEF" w:rsidRDefault="002C3063" w:rsidP="00170B2C">
      <w:pPr>
        <w:spacing w:before="240"/>
        <w:rPr>
          <w:lang w:val="ru-RU"/>
        </w:rPr>
      </w:pPr>
      <w:r w:rsidRPr="007F6CEF">
        <w:rPr>
          <w:lang w:val="ru-RU"/>
        </w:rPr>
        <w:t>131</w:t>
      </w:r>
      <w:r w:rsidR="00F60C11" w:rsidRPr="007F6CEF">
        <w:rPr>
          <w:lang w:val="ru-RU"/>
        </w:rPr>
        <w:tab/>
      </w:r>
      <w:r w:rsidR="00527981" w:rsidRPr="007F6CEF">
        <w:rPr>
          <w:lang w:val="ru-RU"/>
        </w:rPr>
        <w:t xml:space="preserve">Кроме того, мы столкнулись с трудностями и замедлением деятельности по выверке в связи с данными, перечисленными в Примечании 20 "Целевые и нецелевые внебюджетные средства". </w:t>
      </w:r>
      <w:r w:rsidR="00240F55" w:rsidRPr="007F6CEF">
        <w:rPr>
          <w:lang w:val="ru-RU"/>
        </w:rPr>
        <w:t>Мы</w:t>
      </w:r>
      <w:r w:rsidR="00837E48" w:rsidRPr="007F6CEF">
        <w:rPr>
          <w:lang w:val="ru-RU"/>
        </w:rPr>
        <w:t> </w:t>
      </w:r>
      <w:r w:rsidR="00240F55" w:rsidRPr="007F6CEF">
        <w:rPr>
          <w:lang w:val="ru-RU"/>
        </w:rPr>
        <w:t xml:space="preserve">выбрали проекты и фонды, и по всем выбранным проектам была успешно проведена выверка данных. Тем не менее, мы отметили, что фактически не была предоставлена возможность прямой и непосредственной выверки общих сумм, представленных в Примечании 20, и счетов, зарегистрированных в системе. </w:t>
      </w:r>
    </w:p>
    <w:p w:rsidR="002C3063" w:rsidRPr="007F6CEF" w:rsidRDefault="002C3063" w:rsidP="00170B2C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2C3063" w:rsidRPr="00C21591" w:rsidTr="00A72B24">
        <w:tc>
          <w:tcPr>
            <w:tcW w:w="9645" w:type="dxa"/>
          </w:tcPr>
          <w:p w:rsidR="002C3063" w:rsidRPr="007F6CEF" w:rsidRDefault="002C3063" w:rsidP="00170B2C">
            <w:pPr>
              <w:rPr>
                <w:b/>
                <w:bCs/>
                <w:u w:val="single"/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Рекомендация 4</w:t>
            </w:r>
          </w:p>
          <w:p w:rsidR="002C3063" w:rsidRPr="007F6CEF" w:rsidRDefault="002C3063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>132</w:t>
            </w:r>
            <w:r w:rsidRPr="007F6CEF">
              <w:rPr>
                <w:lang w:val="ru-RU"/>
              </w:rPr>
              <w:tab/>
            </w:r>
            <w:r w:rsidR="00240F55" w:rsidRPr="007F6CEF">
              <w:rPr>
                <w:lang w:val="ru-RU"/>
              </w:rPr>
              <w:t xml:space="preserve">В связи с этим </w:t>
            </w:r>
            <w:r w:rsidR="00240F55" w:rsidRPr="007F6CEF">
              <w:rPr>
                <w:u w:val="single"/>
                <w:lang w:val="ru-RU"/>
              </w:rPr>
              <w:t>мы рекомендуем</w:t>
            </w:r>
            <w:r w:rsidRPr="007F6CEF">
              <w:rPr>
                <w:lang w:val="ru-RU"/>
              </w:rPr>
              <w:t xml:space="preserve"> </w:t>
            </w:r>
            <w:r w:rsidR="00240F55" w:rsidRPr="007F6CEF">
              <w:rPr>
                <w:lang w:val="ru-RU"/>
              </w:rPr>
              <w:t xml:space="preserve">руководству определить общие руководящие указания, касающиеся учета и отчетности по внебюджетным средствам, для упрощения процесса выверки данных приложений Отчета о финансовой деятельности и Примечания 20. </w:t>
            </w:r>
          </w:p>
        </w:tc>
      </w:tr>
    </w:tbl>
    <w:p w:rsidR="002C3063" w:rsidRPr="007F6CEF" w:rsidRDefault="002C3063" w:rsidP="00170B2C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2C3063" w:rsidRPr="00C21591" w:rsidTr="00A72B24">
        <w:trPr>
          <w:cantSplit/>
        </w:trPr>
        <w:tc>
          <w:tcPr>
            <w:tcW w:w="9645" w:type="dxa"/>
          </w:tcPr>
          <w:p w:rsidR="002C3063" w:rsidRPr="007F6CEF" w:rsidRDefault="002C3063" w:rsidP="00170B2C">
            <w:pPr>
              <w:rPr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7F6CEF">
              <w:rPr>
                <w:lang w:val="ru-RU"/>
              </w:rPr>
              <w:t>:</w:t>
            </w:r>
          </w:p>
          <w:p w:rsidR="002C3063" w:rsidRPr="007F6CEF" w:rsidRDefault="00632141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 xml:space="preserve">Процедуры учета и отчетности будут задокументированы для обеспечения обмена ноу-хау и составления документации по аудиту, что позволит эффективно выверять данные по внебюджетным средствам. </w:t>
            </w:r>
          </w:p>
        </w:tc>
      </w:tr>
    </w:tbl>
    <w:p w:rsidR="00F60C11" w:rsidRPr="007F6CEF" w:rsidRDefault="00997DFD" w:rsidP="00170B2C">
      <w:pPr>
        <w:pStyle w:val="Title1"/>
        <w:jc w:val="left"/>
        <w:rPr>
          <w:lang w:val="ru-RU"/>
        </w:rPr>
      </w:pPr>
      <w:bookmarkStart w:id="227" w:name="_Toc398125351"/>
      <w:bookmarkStart w:id="228" w:name="_Toc398125830"/>
      <w:r w:rsidRPr="007F6CEF">
        <w:rPr>
          <w:lang w:val="ru-RU"/>
        </w:rPr>
        <w:t>оценка деятельности по</w:t>
      </w:r>
      <w:r w:rsidR="007F6CEF">
        <w:rPr>
          <w:lang w:val="ru-RU"/>
        </w:rPr>
        <w:t>Д</w:t>
      </w:r>
      <w:r w:rsidRPr="007F6CEF">
        <w:rPr>
          <w:lang w:val="ru-RU"/>
        </w:rPr>
        <w:t>разделения внутреннего аудита</w:t>
      </w:r>
      <w:bookmarkEnd w:id="227"/>
      <w:bookmarkEnd w:id="228"/>
      <w:r w:rsidRPr="007F6CEF">
        <w:rPr>
          <w:lang w:val="ru-RU"/>
        </w:rPr>
        <w:t xml:space="preserve"> </w:t>
      </w:r>
    </w:p>
    <w:p w:rsidR="00F60C11" w:rsidRPr="007F6CEF" w:rsidRDefault="00750E3F" w:rsidP="00170B2C">
      <w:pPr>
        <w:rPr>
          <w:lang w:val="ru-RU"/>
        </w:rPr>
      </w:pPr>
      <w:r w:rsidRPr="007F6CEF">
        <w:rPr>
          <w:lang w:val="ru-RU"/>
        </w:rPr>
        <w:t>133</w:t>
      </w:r>
      <w:r w:rsidR="00F60C11" w:rsidRPr="007F6CEF">
        <w:rPr>
          <w:lang w:val="ru-RU"/>
        </w:rPr>
        <w:tab/>
      </w:r>
      <w:r w:rsidR="00997DFD" w:rsidRPr="007F6CEF">
        <w:rPr>
          <w:lang w:val="ru-RU"/>
        </w:rPr>
        <w:t xml:space="preserve">В соответствии с международными стандартами, такими как </w:t>
      </w:r>
      <w:r w:rsidR="00F60C11" w:rsidRPr="007F6CEF">
        <w:rPr>
          <w:lang w:val="ru-RU"/>
        </w:rPr>
        <w:t>ISSAI 1610, ISSA</w:t>
      </w:r>
      <w:r w:rsidRPr="007F6CEF">
        <w:rPr>
          <w:lang w:val="ru-RU"/>
        </w:rPr>
        <w:t>I 200 c.2.45, INTOSAI gov 9140 и</w:t>
      </w:r>
      <w:r w:rsidR="00F60C11" w:rsidRPr="007F6CEF">
        <w:rPr>
          <w:lang w:val="ru-RU"/>
        </w:rPr>
        <w:t xml:space="preserve"> 9150, </w:t>
      </w:r>
      <w:r w:rsidR="00997DFD" w:rsidRPr="007F6CEF">
        <w:rPr>
          <w:lang w:val="ru-RU"/>
        </w:rPr>
        <w:t xml:space="preserve">одной из задач внешнего аудитора является оценка деятельности Подразделения внутреннего аудита </w:t>
      </w:r>
      <w:r w:rsidR="00F60C11" w:rsidRPr="007F6CEF">
        <w:rPr>
          <w:lang w:val="ru-RU"/>
        </w:rPr>
        <w:t>(IAU).</w:t>
      </w:r>
    </w:p>
    <w:p w:rsidR="00F60C11" w:rsidRPr="007F6CEF" w:rsidRDefault="00750E3F" w:rsidP="00170B2C">
      <w:pPr>
        <w:rPr>
          <w:lang w:val="ru-RU"/>
        </w:rPr>
      </w:pPr>
      <w:r w:rsidRPr="007F6CEF">
        <w:rPr>
          <w:lang w:val="ru-RU"/>
        </w:rPr>
        <w:t>134</w:t>
      </w:r>
      <w:r w:rsidR="00F60C11" w:rsidRPr="007F6CEF">
        <w:rPr>
          <w:lang w:val="ru-RU"/>
        </w:rPr>
        <w:tab/>
      </w:r>
      <w:r w:rsidR="00DB4918" w:rsidRPr="007F6CEF">
        <w:rPr>
          <w:lang w:val="ru-RU"/>
        </w:rPr>
        <w:t>В том что касается</w:t>
      </w:r>
      <w:r w:rsidR="00997DFD" w:rsidRPr="007F6CEF">
        <w:rPr>
          <w:lang w:val="ru-RU"/>
        </w:rPr>
        <w:t xml:space="preserve"> оценки в системе ООН</w:t>
      </w:r>
      <w:r w:rsidR="00DB4918" w:rsidRPr="007F6CEF">
        <w:rPr>
          <w:lang w:val="ru-RU"/>
        </w:rPr>
        <w:t>,</w:t>
      </w:r>
      <w:r w:rsidR="00997DFD" w:rsidRPr="007F6CEF">
        <w:rPr>
          <w:lang w:val="ru-RU"/>
        </w:rPr>
        <w:t xml:space="preserve"> речь идет о вышеупомянутых общих принципах и о Принципе ревизии </w:t>
      </w:r>
      <w:r w:rsidRPr="007F6CEF">
        <w:rPr>
          <w:lang w:val="ru-RU"/>
        </w:rPr>
        <w:t>202 "</w:t>
      </w:r>
      <w:r w:rsidR="00DB4918" w:rsidRPr="007F6CEF">
        <w:rPr>
          <w:i/>
          <w:lang w:val="ru-RU"/>
        </w:rPr>
        <w:t xml:space="preserve">Оценка служб внутренней ревизии в организациях системы Организации Объединенных </w:t>
      </w:r>
      <w:r w:rsidR="00BF3DF0" w:rsidRPr="007F6CEF">
        <w:rPr>
          <w:i/>
          <w:lang w:val="ru-RU"/>
        </w:rPr>
        <w:t>Н</w:t>
      </w:r>
      <w:r w:rsidR="00DB4918" w:rsidRPr="007F6CEF">
        <w:rPr>
          <w:i/>
          <w:lang w:val="ru-RU"/>
        </w:rPr>
        <w:t>аций</w:t>
      </w:r>
      <w:r w:rsidR="00DB4918" w:rsidRPr="00873F8A">
        <w:rPr>
          <w:iCs/>
          <w:lang w:val="ru-RU"/>
        </w:rPr>
        <w:t>"</w:t>
      </w:r>
      <w:r w:rsidR="00F60C11" w:rsidRPr="007F6CEF">
        <w:rPr>
          <w:lang w:val="ru-RU"/>
        </w:rPr>
        <w:t xml:space="preserve">, </w:t>
      </w:r>
      <w:r w:rsidR="00DB4918" w:rsidRPr="007F6CEF">
        <w:rPr>
          <w:lang w:val="ru-RU"/>
        </w:rPr>
        <w:t>который был принят Группой внешних ревизоров Организации Объединенных Наций, специализированных учреждений и Международного агентства по атомной энергии на 34-й сессии в ноябре 1992 года, в который был добавлен новый раздел на 35-й сессии в ноябре 1993 года и предисловие к которому было пересмотрено на 41-</w:t>
      </w:r>
      <w:r w:rsidR="00BF3DF0" w:rsidRPr="007F6CEF">
        <w:rPr>
          <w:lang w:val="ru-RU"/>
        </w:rPr>
        <w:t xml:space="preserve">й </w:t>
      </w:r>
      <w:r w:rsidR="00DB4918" w:rsidRPr="007F6CEF">
        <w:rPr>
          <w:lang w:val="ru-RU"/>
        </w:rPr>
        <w:t>сессии в октябре 2000 года. На собрании Группы внешних ревизоров</w:t>
      </w:r>
      <w:r w:rsidR="00F60C11" w:rsidRPr="007F6CEF">
        <w:rPr>
          <w:lang w:val="ru-RU"/>
        </w:rPr>
        <w:t xml:space="preserve"> </w:t>
      </w:r>
      <w:r w:rsidR="00DB4918" w:rsidRPr="007F6CEF">
        <w:rPr>
          <w:lang w:val="ru-RU"/>
        </w:rPr>
        <w:t>в Вене в декабре 2013 года мы предложили обновить это</w:t>
      </w:r>
      <w:r w:rsidR="00BF3DF0" w:rsidRPr="007F6CEF">
        <w:rPr>
          <w:lang w:val="ru-RU"/>
        </w:rPr>
        <w:t>т принцип</w:t>
      </w:r>
      <w:r w:rsidR="00DB4918" w:rsidRPr="007F6CEF">
        <w:rPr>
          <w:lang w:val="ru-RU"/>
        </w:rPr>
        <w:t>. Ввиду напряженной повес</w:t>
      </w:r>
      <w:r w:rsidR="008B7E30" w:rsidRPr="007F6CEF">
        <w:rPr>
          <w:lang w:val="ru-RU"/>
        </w:rPr>
        <w:t>тки дня предложенный аргумент не</w:t>
      </w:r>
      <w:r w:rsidR="00DB4918" w:rsidRPr="007F6CEF">
        <w:rPr>
          <w:lang w:val="ru-RU"/>
        </w:rPr>
        <w:t xml:space="preserve"> обсуждался, и обсуждение было от</w:t>
      </w:r>
      <w:r w:rsidR="00BF3DF0" w:rsidRPr="007F6CEF">
        <w:rPr>
          <w:lang w:val="ru-RU"/>
        </w:rPr>
        <w:t>ложено до следующего собрания Г</w:t>
      </w:r>
      <w:r w:rsidR="00DB4918" w:rsidRPr="007F6CEF">
        <w:rPr>
          <w:lang w:val="ru-RU"/>
        </w:rPr>
        <w:t>руппы, кот</w:t>
      </w:r>
      <w:r w:rsidR="00BF3DF0" w:rsidRPr="007F6CEF">
        <w:rPr>
          <w:lang w:val="ru-RU"/>
        </w:rPr>
        <w:t>о</w:t>
      </w:r>
      <w:r w:rsidR="00DB4918" w:rsidRPr="007F6CEF">
        <w:rPr>
          <w:lang w:val="ru-RU"/>
        </w:rPr>
        <w:t xml:space="preserve">рое состоится в декабре 2014 года. </w:t>
      </w:r>
    </w:p>
    <w:p w:rsidR="00F60C11" w:rsidRPr="007F6CEF" w:rsidRDefault="00CD492C" w:rsidP="00170B2C">
      <w:pPr>
        <w:rPr>
          <w:lang w:val="ru-RU"/>
        </w:rPr>
      </w:pPr>
      <w:r w:rsidRPr="007F6CEF">
        <w:rPr>
          <w:lang w:val="ru-RU"/>
        </w:rPr>
        <w:t>135</w:t>
      </w:r>
      <w:r w:rsidR="00F60C11" w:rsidRPr="007F6CEF">
        <w:rPr>
          <w:lang w:val="ru-RU"/>
        </w:rPr>
        <w:tab/>
      </w:r>
      <w:r w:rsidR="00BF3DF0" w:rsidRPr="007F6CEF">
        <w:rPr>
          <w:lang w:val="ru-RU"/>
        </w:rPr>
        <w:t>Кроме того, в дополнение к нашей задаче,</w:t>
      </w:r>
      <w:r w:rsidR="0091029E" w:rsidRPr="007F6CEF">
        <w:rPr>
          <w:lang w:val="ru-RU"/>
        </w:rPr>
        <w:t xml:space="preserve"> </w:t>
      </w:r>
      <w:r w:rsidR="00F60C11" w:rsidRPr="007F6CEF">
        <w:rPr>
          <w:lang w:val="ru-RU"/>
        </w:rPr>
        <w:t>IMAC (</w:t>
      </w:r>
      <w:r w:rsidR="00BF3DF0" w:rsidRPr="007F6CEF">
        <w:rPr>
          <w:lang w:val="ru-RU"/>
        </w:rPr>
        <w:t>Независимый консультативный комитет по управлению</w:t>
      </w:r>
      <w:r w:rsidR="00F60C11" w:rsidRPr="007F6CEF">
        <w:rPr>
          <w:lang w:val="ru-RU"/>
        </w:rPr>
        <w:t xml:space="preserve">) </w:t>
      </w:r>
      <w:r w:rsidR="00BF3DF0" w:rsidRPr="007F6CEF">
        <w:rPr>
          <w:lang w:val="ru-RU"/>
        </w:rPr>
        <w:t xml:space="preserve">рекомендовал нам провести оценку деятельности </w:t>
      </w:r>
      <w:r w:rsidR="00F60C11" w:rsidRPr="007F6CEF">
        <w:rPr>
          <w:lang w:val="ru-RU"/>
        </w:rPr>
        <w:t xml:space="preserve">IAU </w:t>
      </w:r>
      <w:r w:rsidR="00BC0397" w:rsidRPr="007F6CEF">
        <w:rPr>
          <w:lang w:val="ru-RU"/>
        </w:rPr>
        <w:t>в Р</w:t>
      </w:r>
      <w:r w:rsidR="00BF3DF0" w:rsidRPr="007F6CEF">
        <w:rPr>
          <w:lang w:val="ru-RU"/>
        </w:rPr>
        <w:t>екомендации</w:t>
      </w:r>
      <w:r w:rsidRPr="007F6CEF">
        <w:rPr>
          <w:lang w:val="ru-RU"/>
        </w:rPr>
        <w:t xml:space="preserve"> №</w:t>
      </w:r>
      <w:r w:rsidR="00F60C11" w:rsidRPr="007F6CEF">
        <w:rPr>
          <w:lang w:val="ru-RU"/>
        </w:rPr>
        <w:t xml:space="preserve"> 5</w:t>
      </w:r>
      <w:r w:rsidR="00BF3DF0" w:rsidRPr="007F6CEF">
        <w:rPr>
          <w:lang w:val="ru-RU"/>
        </w:rPr>
        <w:t xml:space="preserve">, содержащейся в его отчете Совету от 31 мая 2013 года (Документ </w:t>
      </w:r>
      <w:r w:rsidR="00F60C11" w:rsidRPr="007F6CEF">
        <w:rPr>
          <w:lang w:val="ru-RU"/>
        </w:rPr>
        <w:t>C13/65).</w:t>
      </w:r>
    </w:p>
    <w:p w:rsidR="00F60C11" w:rsidRPr="007F6CEF" w:rsidRDefault="00F60C11" w:rsidP="00170B2C">
      <w:pPr>
        <w:rPr>
          <w:lang w:val="ru-RU"/>
        </w:rPr>
      </w:pPr>
      <w:r w:rsidRPr="007F6CEF">
        <w:rPr>
          <w:lang w:val="ru-RU"/>
        </w:rPr>
        <w:t>136</w:t>
      </w:r>
      <w:r w:rsidRPr="007F6CEF">
        <w:rPr>
          <w:lang w:val="ru-RU"/>
        </w:rPr>
        <w:tab/>
      </w:r>
      <w:r w:rsidR="00BF3DF0" w:rsidRPr="007F6CEF">
        <w:rPr>
          <w:lang w:val="ru-RU"/>
        </w:rPr>
        <w:t>Хотя</w:t>
      </w:r>
      <w:r w:rsidR="0091029E" w:rsidRPr="007F6CEF">
        <w:rPr>
          <w:lang w:val="ru-RU"/>
        </w:rPr>
        <w:t xml:space="preserve"> </w:t>
      </w:r>
      <w:r w:rsidR="00BF3DF0" w:rsidRPr="007F6CEF">
        <w:rPr>
          <w:lang w:val="ru-RU"/>
        </w:rPr>
        <w:t>Принцип ревизии</w:t>
      </w:r>
      <w:r w:rsidRPr="007F6CEF">
        <w:rPr>
          <w:lang w:val="ru-RU"/>
        </w:rPr>
        <w:t xml:space="preserve"> 202 </w:t>
      </w:r>
      <w:r w:rsidR="00BF3DF0" w:rsidRPr="007F6CEF">
        <w:rPr>
          <w:lang w:val="ru-RU"/>
        </w:rPr>
        <w:t xml:space="preserve">существует давно, он использовался в качестве основы для нашей оценки, для того чтобы обеспечить общий подход в рамках ООН, и при необходимости конкретный контрольный список обновлялся. </w:t>
      </w:r>
    </w:p>
    <w:p w:rsidR="00F60C11" w:rsidRPr="007F6CEF" w:rsidRDefault="00CD492C" w:rsidP="00170B2C">
      <w:pPr>
        <w:rPr>
          <w:lang w:val="ru-RU"/>
        </w:rPr>
      </w:pPr>
      <w:r w:rsidRPr="007F6CEF">
        <w:rPr>
          <w:lang w:val="ru-RU"/>
        </w:rPr>
        <w:t>137</w:t>
      </w:r>
      <w:r w:rsidR="00F60C11" w:rsidRPr="007F6CEF">
        <w:rPr>
          <w:lang w:val="ru-RU"/>
        </w:rPr>
        <w:tab/>
      </w:r>
      <w:r w:rsidR="00BF3DF0" w:rsidRPr="007F6CEF">
        <w:rPr>
          <w:lang w:val="ru-RU"/>
        </w:rPr>
        <w:t xml:space="preserve">Мы проводили нашу оценку с помощью опросов и обмена сообщениями электронной почты с руководителем </w:t>
      </w:r>
      <w:r w:rsidR="00F60C11" w:rsidRPr="007F6CEF">
        <w:rPr>
          <w:lang w:val="ru-RU"/>
        </w:rPr>
        <w:t xml:space="preserve">IAU, </w:t>
      </w:r>
      <w:r w:rsidR="00BF3DF0" w:rsidRPr="007F6CEF">
        <w:rPr>
          <w:lang w:val="ru-RU"/>
        </w:rPr>
        <w:t xml:space="preserve">а также путем анализа основных документов. Мы также изучили файлы, касающиеся аудиторских проверок, проведенных </w:t>
      </w:r>
      <w:r w:rsidR="00F60C11" w:rsidRPr="007F6CEF">
        <w:rPr>
          <w:lang w:val="ru-RU"/>
        </w:rPr>
        <w:t>IAU</w:t>
      </w:r>
      <w:r w:rsidR="00BF3DF0" w:rsidRPr="007F6CEF">
        <w:rPr>
          <w:lang w:val="ru-RU"/>
        </w:rPr>
        <w:t xml:space="preserve"> за два последних года. </w:t>
      </w:r>
    </w:p>
    <w:p w:rsidR="00F60C11" w:rsidRPr="007F6CEF" w:rsidRDefault="00BF3DF0" w:rsidP="00170B2C">
      <w:pPr>
        <w:keepNext/>
        <w:keepLines/>
        <w:rPr>
          <w:lang w:val="ru-RU"/>
        </w:rPr>
      </w:pPr>
      <w:r w:rsidRPr="007F6CEF">
        <w:rPr>
          <w:lang w:val="ru-RU"/>
        </w:rPr>
        <w:t xml:space="preserve">Ниже приводится список </w:t>
      </w:r>
      <w:r w:rsidR="008B7E30" w:rsidRPr="007F6CEF">
        <w:rPr>
          <w:lang w:val="ru-RU"/>
        </w:rPr>
        <w:t>некоторых</w:t>
      </w:r>
      <w:r w:rsidRPr="007F6CEF">
        <w:rPr>
          <w:lang w:val="ru-RU"/>
        </w:rPr>
        <w:t xml:space="preserve"> документов, </w:t>
      </w:r>
      <w:r w:rsidR="00AE71E4" w:rsidRPr="007F6CEF">
        <w:rPr>
          <w:lang w:val="ru-RU"/>
        </w:rPr>
        <w:t>проанализирова</w:t>
      </w:r>
      <w:r w:rsidR="008B7E30" w:rsidRPr="007F6CEF">
        <w:rPr>
          <w:lang w:val="ru-RU"/>
        </w:rPr>
        <w:t>нных нами</w:t>
      </w:r>
      <w:r w:rsidR="00AE71E4" w:rsidRPr="007F6CEF">
        <w:rPr>
          <w:lang w:val="ru-RU"/>
        </w:rPr>
        <w:t xml:space="preserve"> для оценки</w:t>
      </w:r>
      <w:r w:rsidRPr="007F6CEF">
        <w:rPr>
          <w:lang w:val="ru-RU"/>
        </w:rPr>
        <w:t xml:space="preserve"> </w:t>
      </w:r>
      <w:r w:rsidR="00AE71E4" w:rsidRPr="007F6CEF">
        <w:rPr>
          <w:lang w:val="ru-RU"/>
        </w:rPr>
        <w:t xml:space="preserve">деятельности </w:t>
      </w:r>
      <w:r w:rsidR="00F60C11" w:rsidRPr="007F6CEF">
        <w:rPr>
          <w:lang w:val="ru-RU"/>
        </w:rPr>
        <w:t>IAU:</w:t>
      </w:r>
    </w:p>
    <w:p w:rsidR="00F60C11" w:rsidRPr="007F6CEF" w:rsidRDefault="00F60C11" w:rsidP="00170B2C">
      <w:pPr>
        <w:pStyle w:val="enumlev1"/>
        <w:rPr>
          <w:lang w:val="ru-RU"/>
        </w:rPr>
      </w:pPr>
      <w:r w:rsidRPr="007F6CEF">
        <w:rPr>
          <w:lang w:val="ru-RU"/>
        </w:rPr>
        <w:t>•</w:t>
      </w:r>
      <w:r w:rsidRPr="007F6CEF">
        <w:rPr>
          <w:lang w:val="ru-RU"/>
        </w:rPr>
        <w:tab/>
      </w:r>
      <w:r w:rsidR="00AE71E4" w:rsidRPr="007F6CEF">
        <w:rPr>
          <w:lang w:val="ru-RU"/>
        </w:rPr>
        <w:t>Финансовый регламент и Финансовые правила</w:t>
      </w:r>
      <w:r w:rsidR="00AB71B2" w:rsidRPr="007F6CEF">
        <w:rPr>
          <w:lang w:val="ru-RU"/>
        </w:rPr>
        <w:t xml:space="preserve"> МСЭ</w:t>
      </w:r>
      <w:r w:rsidRPr="007F6CEF">
        <w:rPr>
          <w:lang w:val="ru-RU"/>
        </w:rPr>
        <w:t xml:space="preserve"> (</w:t>
      </w:r>
      <w:r w:rsidR="00AE71E4" w:rsidRPr="007F6CEF">
        <w:rPr>
          <w:lang w:val="ru-RU"/>
        </w:rPr>
        <w:t>издание</w:t>
      </w:r>
      <w:r w:rsidR="00CD492C" w:rsidRPr="007F6CEF">
        <w:rPr>
          <w:lang w:val="ru-RU"/>
        </w:rPr>
        <w:t xml:space="preserve"> </w:t>
      </w:r>
      <w:r w:rsidRPr="007F6CEF">
        <w:rPr>
          <w:lang w:val="ru-RU"/>
        </w:rPr>
        <w:t>2010</w:t>
      </w:r>
      <w:r w:rsidR="00CD492C" w:rsidRPr="007F6CEF">
        <w:rPr>
          <w:lang w:val="ru-RU"/>
        </w:rPr>
        <w:t> г.</w:t>
      </w:r>
      <w:r w:rsidRPr="007F6CEF">
        <w:rPr>
          <w:lang w:val="ru-RU"/>
        </w:rPr>
        <w:t>)</w:t>
      </w:r>
      <w:r w:rsidR="00AB71B2" w:rsidRPr="007F6CEF">
        <w:rPr>
          <w:lang w:val="ru-RU"/>
        </w:rPr>
        <w:t>.</w:t>
      </w:r>
    </w:p>
    <w:p w:rsidR="00F60C11" w:rsidRPr="007F6CEF" w:rsidRDefault="00F60C11" w:rsidP="00170B2C">
      <w:pPr>
        <w:pStyle w:val="enumlev1"/>
        <w:rPr>
          <w:lang w:val="ru-RU"/>
        </w:rPr>
      </w:pPr>
      <w:r w:rsidRPr="007F6CEF">
        <w:rPr>
          <w:lang w:val="ru-RU"/>
        </w:rPr>
        <w:t>•</w:t>
      </w:r>
      <w:r w:rsidRPr="007F6CEF">
        <w:rPr>
          <w:lang w:val="ru-RU"/>
        </w:rPr>
        <w:tab/>
      </w:r>
      <w:r w:rsidR="00AE71E4" w:rsidRPr="007F6CEF">
        <w:rPr>
          <w:lang w:val="ru-RU"/>
        </w:rPr>
        <w:t>Руководство МСЭ по внутреннему аудиту, главы которого (за исключением главы 1) не обновлялись с 2012 года</w:t>
      </w:r>
      <w:r w:rsidR="00AB71B2" w:rsidRPr="007F6CEF">
        <w:rPr>
          <w:lang w:val="ru-RU"/>
        </w:rPr>
        <w:t>.</w:t>
      </w:r>
    </w:p>
    <w:p w:rsidR="00F60C11" w:rsidRPr="007F6CEF" w:rsidRDefault="00F60C11" w:rsidP="00170B2C">
      <w:pPr>
        <w:pStyle w:val="enumlev1"/>
        <w:rPr>
          <w:lang w:val="ru-RU"/>
        </w:rPr>
      </w:pPr>
      <w:r w:rsidRPr="007F6CEF">
        <w:rPr>
          <w:lang w:val="ru-RU"/>
        </w:rPr>
        <w:t>•</w:t>
      </w:r>
      <w:r w:rsidRPr="007F6CEF">
        <w:rPr>
          <w:lang w:val="ru-RU"/>
        </w:rPr>
        <w:tab/>
      </w:r>
      <w:r w:rsidR="00AE71E4" w:rsidRPr="007F6CEF">
        <w:rPr>
          <w:lang w:val="ru-RU"/>
        </w:rPr>
        <w:t>Устав службы внутреннего аудита</w:t>
      </w:r>
      <w:r w:rsidRPr="007F6CEF">
        <w:rPr>
          <w:lang w:val="ru-RU"/>
        </w:rPr>
        <w:t xml:space="preserve"> (10</w:t>
      </w:r>
      <w:r w:rsidR="00CD492C" w:rsidRPr="007F6CEF">
        <w:rPr>
          <w:lang w:val="ru-RU"/>
        </w:rPr>
        <w:t xml:space="preserve"> июня </w:t>
      </w:r>
      <w:r w:rsidRPr="007F6CEF">
        <w:rPr>
          <w:lang w:val="ru-RU"/>
        </w:rPr>
        <w:t>199</w:t>
      </w:r>
      <w:r w:rsidR="00CD492C" w:rsidRPr="007F6CEF">
        <w:rPr>
          <w:lang w:val="ru-RU"/>
        </w:rPr>
        <w:t xml:space="preserve">9 г., </w:t>
      </w:r>
      <w:r w:rsidR="00AE71E4" w:rsidRPr="007F6CEF">
        <w:rPr>
          <w:lang w:val="ru-RU"/>
        </w:rPr>
        <w:t xml:space="preserve">заменен версией от </w:t>
      </w:r>
      <w:r w:rsidR="00CD492C" w:rsidRPr="007F6CEF">
        <w:rPr>
          <w:lang w:val="ru-RU"/>
        </w:rPr>
        <w:t xml:space="preserve">27 июня </w:t>
      </w:r>
      <w:r w:rsidRPr="007F6CEF">
        <w:rPr>
          <w:lang w:val="ru-RU"/>
        </w:rPr>
        <w:t>2013</w:t>
      </w:r>
      <w:r w:rsidR="00CD492C" w:rsidRPr="007F6CEF">
        <w:rPr>
          <w:lang w:val="ru-RU"/>
        </w:rPr>
        <w:t> г.</w:t>
      </w:r>
      <w:r w:rsidRPr="007F6CEF">
        <w:rPr>
          <w:lang w:val="ru-RU"/>
        </w:rPr>
        <w:t>)</w:t>
      </w:r>
      <w:r w:rsidR="00AB71B2" w:rsidRPr="007F6CEF">
        <w:rPr>
          <w:lang w:val="ru-RU"/>
        </w:rPr>
        <w:t>.</w:t>
      </w:r>
    </w:p>
    <w:p w:rsidR="00F60C11" w:rsidRPr="007F6CEF" w:rsidRDefault="00F60C11" w:rsidP="00170B2C">
      <w:pPr>
        <w:pStyle w:val="enumlev1"/>
        <w:rPr>
          <w:lang w:val="ru-RU"/>
        </w:rPr>
      </w:pPr>
      <w:r w:rsidRPr="007F6CEF">
        <w:rPr>
          <w:lang w:val="ru-RU"/>
        </w:rPr>
        <w:t>•</w:t>
      </w:r>
      <w:r w:rsidRPr="007F6CEF">
        <w:rPr>
          <w:lang w:val="ru-RU"/>
        </w:rPr>
        <w:tab/>
      </w:r>
      <w:r w:rsidR="00AE71E4" w:rsidRPr="007F6CEF">
        <w:rPr>
          <w:lang w:val="ru-RU"/>
        </w:rPr>
        <w:t xml:space="preserve">План внутренней аудиторской проверки за </w:t>
      </w:r>
      <w:r w:rsidRPr="007F6CEF">
        <w:rPr>
          <w:lang w:val="ru-RU"/>
        </w:rPr>
        <w:t>2012</w:t>
      </w:r>
      <w:r w:rsidR="00AB71B2" w:rsidRPr="007F6CEF">
        <w:rPr>
          <w:lang w:val="ru-RU"/>
        </w:rPr>
        <w:t> год</w:t>
      </w:r>
      <w:r w:rsidRPr="007F6CEF">
        <w:rPr>
          <w:lang w:val="ru-RU"/>
        </w:rPr>
        <w:t xml:space="preserve"> (SG-SGO/IA/12-03)</w:t>
      </w:r>
      <w:r w:rsidR="00AB71B2" w:rsidRPr="007F6CEF">
        <w:rPr>
          <w:lang w:val="ru-RU"/>
        </w:rPr>
        <w:t>.</w:t>
      </w:r>
    </w:p>
    <w:p w:rsidR="00F60C11" w:rsidRPr="007F6CEF" w:rsidRDefault="00F60C11" w:rsidP="00170B2C">
      <w:pPr>
        <w:pStyle w:val="enumlev1"/>
        <w:rPr>
          <w:lang w:val="ru-RU"/>
        </w:rPr>
      </w:pPr>
      <w:r w:rsidRPr="007F6CEF">
        <w:rPr>
          <w:lang w:val="ru-RU"/>
        </w:rPr>
        <w:t>•</w:t>
      </w:r>
      <w:r w:rsidRPr="007F6CEF">
        <w:rPr>
          <w:lang w:val="ru-RU"/>
        </w:rPr>
        <w:tab/>
      </w:r>
      <w:r w:rsidR="00AE71E4" w:rsidRPr="007F6CEF">
        <w:rPr>
          <w:lang w:val="ru-RU"/>
        </w:rPr>
        <w:t xml:space="preserve">План внутренней аудиторской проверки за </w:t>
      </w:r>
      <w:r w:rsidRPr="007F6CEF">
        <w:rPr>
          <w:lang w:val="ru-RU"/>
        </w:rPr>
        <w:t>2013</w:t>
      </w:r>
      <w:r w:rsidR="00AB71B2" w:rsidRPr="007F6CEF">
        <w:rPr>
          <w:lang w:val="ru-RU"/>
        </w:rPr>
        <w:t> год</w:t>
      </w:r>
      <w:r w:rsidRPr="007F6CEF">
        <w:rPr>
          <w:lang w:val="ru-RU"/>
        </w:rPr>
        <w:t xml:space="preserve"> (SG-SGO/IA/13-01)</w:t>
      </w:r>
      <w:r w:rsidR="00AB71B2" w:rsidRPr="007F6CEF">
        <w:rPr>
          <w:lang w:val="ru-RU"/>
        </w:rPr>
        <w:t>.</w:t>
      </w:r>
    </w:p>
    <w:p w:rsidR="00F60C11" w:rsidRPr="007F6CEF" w:rsidRDefault="00F60C11" w:rsidP="00170B2C">
      <w:pPr>
        <w:pStyle w:val="enumlev1"/>
        <w:rPr>
          <w:lang w:val="ru-RU"/>
        </w:rPr>
      </w:pPr>
      <w:r w:rsidRPr="007F6CEF">
        <w:rPr>
          <w:lang w:val="ru-RU"/>
        </w:rPr>
        <w:t>•</w:t>
      </w:r>
      <w:r w:rsidRPr="007F6CEF">
        <w:rPr>
          <w:lang w:val="ru-RU"/>
        </w:rPr>
        <w:tab/>
      </w:r>
      <w:r w:rsidR="00AE71E4" w:rsidRPr="007F6CEF">
        <w:rPr>
          <w:lang w:val="ru-RU"/>
        </w:rPr>
        <w:t xml:space="preserve">План внутренней аудиторской проверки за </w:t>
      </w:r>
      <w:r w:rsidRPr="007F6CEF">
        <w:rPr>
          <w:lang w:val="ru-RU"/>
        </w:rPr>
        <w:t>2014</w:t>
      </w:r>
      <w:r w:rsidR="00AB71B2" w:rsidRPr="007F6CEF">
        <w:rPr>
          <w:lang w:val="ru-RU"/>
        </w:rPr>
        <w:t> год</w:t>
      </w:r>
      <w:r w:rsidRPr="007F6CEF">
        <w:rPr>
          <w:lang w:val="ru-RU"/>
        </w:rPr>
        <w:t xml:space="preserve"> (SG-SGO/IA/13-19)</w:t>
      </w:r>
      <w:r w:rsidR="00AB71B2" w:rsidRPr="007F6CEF">
        <w:rPr>
          <w:lang w:val="ru-RU"/>
        </w:rPr>
        <w:t>.</w:t>
      </w:r>
    </w:p>
    <w:p w:rsidR="00F60C11" w:rsidRPr="007F6CEF" w:rsidRDefault="00F60C11" w:rsidP="00170B2C">
      <w:pPr>
        <w:pStyle w:val="enumlev1"/>
        <w:rPr>
          <w:lang w:val="ru-RU"/>
        </w:rPr>
      </w:pPr>
      <w:r w:rsidRPr="007F6CEF">
        <w:rPr>
          <w:lang w:val="ru-RU"/>
        </w:rPr>
        <w:t>•</w:t>
      </w:r>
      <w:r w:rsidRPr="007F6CEF">
        <w:rPr>
          <w:lang w:val="ru-RU"/>
        </w:rPr>
        <w:tab/>
      </w:r>
      <w:r w:rsidR="00AE71E4" w:rsidRPr="007F6CEF">
        <w:rPr>
          <w:lang w:val="ru-RU"/>
        </w:rPr>
        <w:t xml:space="preserve">Проект краткого отчета о 168-м собрании Совета управляющих Генерального секретариата </w:t>
      </w:r>
      <w:r w:rsidRPr="007F6CEF">
        <w:rPr>
          <w:lang w:val="ru-RU"/>
        </w:rPr>
        <w:t>(</w:t>
      </w:r>
      <w:r w:rsidR="00AB71B2" w:rsidRPr="007F6CEF">
        <w:rPr>
          <w:lang w:val="ru-RU"/>
        </w:rPr>
        <w:t>Документ </w:t>
      </w:r>
      <w:r w:rsidRPr="007F6CEF">
        <w:rPr>
          <w:lang w:val="ru-RU"/>
        </w:rPr>
        <w:t>169</w:t>
      </w:r>
      <w:r w:rsidR="00AB71B2" w:rsidRPr="007F6CEF">
        <w:rPr>
          <w:lang w:val="ru-RU"/>
        </w:rPr>
        <w:noBreakHyphen/>
      </w:r>
      <w:r w:rsidRPr="007F6CEF">
        <w:rPr>
          <w:lang w:val="ru-RU"/>
        </w:rPr>
        <w:t xml:space="preserve">2 </w:t>
      </w:r>
      <w:r w:rsidR="00AB71B2" w:rsidRPr="007F6CEF">
        <w:rPr>
          <w:lang w:val="ru-RU"/>
        </w:rPr>
        <w:t>от 4 сентября 2</w:t>
      </w:r>
      <w:r w:rsidRPr="007F6CEF">
        <w:rPr>
          <w:lang w:val="ru-RU"/>
        </w:rPr>
        <w:t>013</w:t>
      </w:r>
      <w:r w:rsidR="00AB71B2" w:rsidRPr="007F6CEF">
        <w:rPr>
          <w:lang w:val="ru-RU"/>
        </w:rPr>
        <w:t> г.</w:t>
      </w:r>
      <w:r w:rsidRPr="007F6CEF">
        <w:rPr>
          <w:lang w:val="ru-RU"/>
        </w:rPr>
        <w:t>)</w:t>
      </w:r>
      <w:r w:rsidR="00AB71B2" w:rsidRPr="007F6CEF">
        <w:rPr>
          <w:lang w:val="ru-RU"/>
        </w:rPr>
        <w:t>.</w:t>
      </w:r>
    </w:p>
    <w:p w:rsidR="00F60C11" w:rsidRPr="007F6CEF" w:rsidRDefault="00F60C11" w:rsidP="00170B2C">
      <w:pPr>
        <w:pStyle w:val="enumlev1"/>
        <w:rPr>
          <w:lang w:val="ru-RU"/>
        </w:rPr>
      </w:pPr>
      <w:r w:rsidRPr="007F6CEF">
        <w:rPr>
          <w:lang w:val="ru-RU"/>
        </w:rPr>
        <w:t>•</w:t>
      </w:r>
      <w:r w:rsidRPr="007F6CEF">
        <w:rPr>
          <w:lang w:val="ru-RU"/>
        </w:rPr>
        <w:tab/>
      </w:r>
      <w:r w:rsidR="00AE71E4" w:rsidRPr="007F6CEF">
        <w:rPr>
          <w:lang w:val="ru-RU"/>
        </w:rPr>
        <w:t>Отчеты внутреннего аудитора о деятельности по внутренней аудиторской проверке</w:t>
      </w:r>
      <w:r w:rsidRPr="007F6CEF">
        <w:rPr>
          <w:lang w:val="ru-RU"/>
        </w:rPr>
        <w:t>:</w:t>
      </w:r>
    </w:p>
    <w:p w:rsidR="00F60C11" w:rsidRPr="007F6CEF" w:rsidRDefault="00AB71B2" w:rsidP="00170B2C">
      <w:pPr>
        <w:pStyle w:val="enumlev2"/>
        <w:rPr>
          <w:lang w:val="ru-RU"/>
        </w:rPr>
      </w:pPr>
      <w:r w:rsidRPr="007F6CEF">
        <w:rPr>
          <w:lang w:val="ru-RU"/>
        </w:rPr>
        <w:t>−</w:t>
      </w:r>
      <w:r w:rsidR="00F60C11" w:rsidRPr="007F6CEF">
        <w:rPr>
          <w:lang w:val="ru-RU"/>
        </w:rPr>
        <w:tab/>
        <w:t xml:space="preserve">C12/INF/2 </w:t>
      </w:r>
      <w:r w:rsidRPr="007F6CEF">
        <w:rPr>
          <w:lang w:val="ru-RU"/>
        </w:rPr>
        <w:t>от</w:t>
      </w:r>
      <w:r w:rsidR="00F60C11" w:rsidRPr="007F6CEF">
        <w:rPr>
          <w:lang w:val="ru-RU"/>
        </w:rPr>
        <w:t xml:space="preserve"> 29</w:t>
      </w:r>
      <w:r w:rsidRPr="007F6CEF">
        <w:rPr>
          <w:lang w:val="ru-RU"/>
        </w:rPr>
        <w:t xml:space="preserve"> марта </w:t>
      </w:r>
      <w:r w:rsidR="00F60C11" w:rsidRPr="007F6CEF">
        <w:rPr>
          <w:lang w:val="ru-RU"/>
        </w:rPr>
        <w:t>2012</w:t>
      </w:r>
      <w:r w:rsidRPr="007F6CEF">
        <w:rPr>
          <w:lang w:val="ru-RU"/>
        </w:rPr>
        <w:t> года;</w:t>
      </w:r>
    </w:p>
    <w:p w:rsidR="00F60C11" w:rsidRPr="007F6CEF" w:rsidRDefault="00AB71B2" w:rsidP="00170B2C">
      <w:pPr>
        <w:pStyle w:val="enumlev2"/>
        <w:rPr>
          <w:lang w:val="ru-RU"/>
        </w:rPr>
      </w:pPr>
      <w:r w:rsidRPr="007F6CEF">
        <w:rPr>
          <w:lang w:val="ru-RU"/>
        </w:rPr>
        <w:t>−</w:t>
      </w:r>
      <w:r w:rsidRPr="007F6CEF">
        <w:rPr>
          <w:lang w:val="ru-RU"/>
        </w:rPr>
        <w:tab/>
        <w:t xml:space="preserve">C13/INF/4 </w:t>
      </w:r>
      <w:r w:rsidR="00EB3839" w:rsidRPr="007F6CEF">
        <w:rPr>
          <w:lang w:val="ru-RU"/>
        </w:rPr>
        <w:t>от</w:t>
      </w:r>
      <w:r w:rsidRPr="007F6CEF">
        <w:rPr>
          <w:lang w:val="ru-RU"/>
        </w:rPr>
        <w:t xml:space="preserve"> </w:t>
      </w:r>
      <w:r w:rsidR="00F60C11" w:rsidRPr="007F6CEF">
        <w:rPr>
          <w:lang w:val="ru-RU"/>
        </w:rPr>
        <w:t>5</w:t>
      </w:r>
      <w:r w:rsidRPr="007F6CEF">
        <w:rPr>
          <w:lang w:val="ru-RU"/>
        </w:rPr>
        <w:t xml:space="preserve"> апреля </w:t>
      </w:r>
      <w:r w:rsidR="00F60C11" w:rsidRPr="007F6CEF">
        <w:rPr>
          <w:lang w:val="ru-RU"/>
        </w:rPr>
        <w:t>2013</w:t>
      </w:r>
      <w:r w:rsidRPr="007F6CEF">
        <w:rPr>
          <w:lang w:val="ru-RU"/>
        </w:rPr>
        <w:t> года;</w:t>
      </w:r>
    </w:p>
    <w:p w:rsidR="00F60C11" w:rsidRPr="007F6CEF" w:rsidRDefault="00AB71B2" w:rsidP="00170B2C">
      <w:pPr>
        <w:pStyle w:val="enumlev2"/>
        <w:rPr>
          <w:lang w:val="ru-RU"/>
        </w:rPr>
      </w:pPr>
      <w:r w:rsidRPr="007F6CEF">
        <w:rPr>
          <w:lang w:val="ru-RU"/>
        </w:rPr>
        <w:t>−</w:t>
      </w:r>
      <w:r w:rsidRPr="007F6CEF">
        <w:rPr>
          <w:lang w:val="ru-RU"/>
        </w:rPr>
        <w:tab/>
        <w:t xml:space="preserve">C14/47 </w:t>
      </w:r>
      <w:r w:rsidR="00EB3839" w:rsidRPr="007F6CEF">
        <w:rPr>
          <w:lang w:val="ru-RU"/>
        </w:rPr>
        <w:t>от</w:t>
      </w:r>
      <w:r w:rsidRPr="007F6CEF">
        <w:rPr>
          <w:lang w:val="ru-RU"/>
        </w:rPr>
        <w:t xml:space="preserve"> 18 марта </w:t>
      </w:r>
      <w:r w:rsidR="00F60C11" w:rsidRPr="007F6CEF">
        <w:rPr>
          <w:lang w:val="ru-RU"/>
        </w:rPr>
        <w:t>2014</w:t>
      </w:r>
      <w:r w:rsidRPr="007F6CEF">
        <w:rPr>
          <w:lang w:val="ru-RU"/>
        </w:rPr>
        <w:t> года.</w:t>
      </w:r>
    </w:p>
    <w:p w:rsidR="00F60C11" w:rsidRPr="007F6CEF" w:rsidRDefault="00F60C11" w:rsidP="00170B2C">
      <w:pPr>
        <w:pStyle w:val="enumlev1"/>
        <w:rPr>
          <w:lang w:val="ru-RU"/>
        </w:rPr>
      </w:pPr>
      <w:r w:rsidRPr="007F6CEF">
        <w:rPr>
          <w:lang w:val="ru-RU"/>
        </w:rPr>
        <w:t>•</w:t>
      </w:r>
      <w:r w:rsidRPr="007F6CEF">
        <w:rPr>
          <w:lang w:val="ru-RU"/>
        </w:rPr>
        <w:tab/>
      </w:r>
      <w:r w:rsidR="00AB71B2" w:rsidRPr="007F6CEF">
        <w:rPr>
          <w:lang w:val="ru-RU"/>
        </w:rPr>
        <w:t>Документ</w:t>
      </w:r>
      <w:r w:rsidRPr="007F6CEF">
        <w:rPr>
          <w:lang w:val="ru-RU"/>
        </w:rPr>
        <w:t xml:space="preserve"> IMAC-6/14 </w:t>
      </w:r>
      <w:r w:rsidR="00AB71B2" w:rsidRPr="007F6CEF">
        <w:rPr>
          <w:lang w:val="ru-RU"/>
        </w:rPr>
        <w:t>от</w:t>
      </w:r>
      <w:r w:rsidRPr="007F6CEF">
        <w:rPr>
          <w:lang w:val="ru-RU"/>
        </w:rPr>
        <w:t xml:space="preserve"> 30</w:t>
      </w:r>
      <w:r w:rsidR="00AB71B2" w:rsidRPr="007F6CEF">
        <w:rPr>
          <w:lang w:val="ru-RU"/>
        </w:rPr>
        <w:t xml:space="preserve"> ноября </w:t>
      </w:r>
      <w:r w:rsidRPr="007F6CEF">
        <w:rPr>
          <w:lang w:val="ru-RU"/>
        </w:rPr>
        <w:t>2013</w:t>
      </w:r>
      <w:r w:rsidR="00AB71B2" w:rsidRPr="007F6CEF">
        <w:rPr>
          <w:lang w:val="ru-RU"/>
        </w:rPr>
        <w:t> года.</w:t>
      </w:r>
    </w:p>
    <w:p w:rsidR="00F60C11" w:rsidRPr="007F6CEF" w:rsidRDefault="00F60C11" w:rsidP="00170B2C">
      <w:pPr>
        <w:pStyle w:val="enumlev1"/>
        <w:rPr>
          <w:lang w:val="ru-RU"/>
        </w:rPr>
      </w:pPr>
      <w:r w:rsidRPr="007F6CEF">
        <w:rPr>
          <w:lang w:val="ru-RU"/>
        </w:rPr>
        <w:t>•</w:t>
      </w:r>
      <w:r w:rsidRPr="007F6CEF">
        <w:rPr>
          <w:lang w:val="ru-RU"/>
        </w:rPr>
        <w:tab/>
      </w:r>
      <w:r w:rsidR="00AE71E4" w:rsidRPr="007F6CEF">
        <w:rPr>
          <w:lang w:val="ru-RU"/>
        </w:rPr>
        <w:t>Ежегодные отчеты</w:t>
      </w:r>
      <w:r w:rsidRPr="007F6CEF">
        <w:rPr>
          <w:lang w:val="ru-RU"/>
        </w:rPr>
        <w:t xml:space="preserve"> IMAC:</w:t>
      </w:r>
    </w:p>
    <w:p w:rsidR="00F60C11" w:rsidRPr="007F6CEF" w:rsidRDefault="00AB71B2" w:rsidP="00170B2C">
      <w:pPr>
        <w:pStyle w:val="enumlev2"/>
        <w:rPr>
          <w:lang w:val="ru-RU"/>
        </w:rPr>
      </w:pPr>
      <w:r w:rsidRPr="007F6CEF">
        <w:rPr>
          <w:lang w:val="ru-RU"/>
        </w:rPr>
        <w:t>−</w:t>
      </w:r>
      <w:r w:rsidR="00F60C11" w:rsidRPr="007F6CEF">
        <w:rPr>
          <w:lang w:val="ru-RU"/>
        </w:rPr>
        <w:tab/>
        <w:t xml:space="preserve">C13/65 </w:t>
      </w:r>
      <w:r w:rsidRPr="007F6CEF">
        <w:rPr>
          <w:lang w:val="ru-RU"/>
        </w:rPr>
        <w:t>от</w:t>
      </w:r>
      <w:r w:rsidR="00F60C11" w:rsidRPr="007F6CEF">
        <w:rPr>
          <w:lang w:val="ru-RU"/>
        </w:rPr>
        <w:t xml:space="preserve"> 3</w:t>
      </w:r>
      <w:r w:rsidRPr="007F6CEF">
        <w:rPr>
          <w:lang w:val="ru-RU"/>
        </w:rPr>
        <w:t xml:space="preserve"> июня </w:t>
      </w:r>
      <w:r w:rsidR="00F60C11" w:rsidRPr="007F6CEF">
        <w:rPr>
          <w:lang w:val="ru-RU"/>
        </w:rPr>
        <w:t>2013</w:t>
      </w:r>
      <w:r w:rsidRPr="007F6CEF">
        <w:rPr>
          <w:lang w:val="ru-RU"/>
        </w:rPr>
        <w:t> года;</w:t>
      </w:r>
    </w:p>
    <w:p w:rsidR="00F60C11" w:rsidRPr="007F6CEF" w:rsidRDefault="00AB71B2" w:rsidP="00170B2C">
      <w:pPr>
        <w:pStyle w:val="enumlev2"/>
        <w:rPr>
          <w:lang w:val="ru-RU"/>
        </w:rPr>
      </w:pPr>
      <w:r w:rsidRPr="007F6CEF">
        <w:rPr>
          <w:lang w:val="ru-RU"/>
        </w:rPr>
        <w:t>−</w:t>
      </w:r>
      <w:r w:rsidR="00F60C11" w:rsidRPr="007F6CEF">
        <w:rPr>
          <w:lang w:val="ru-RU"/>
        </w:rPr>
        <w:tab/>
        <w:t xml:space="preserve">C14/22 </w:t>
      </w:r>
      <w:r w:rsidRPr="007F6CEF">
        <w:rPr>
          <w:lang w:val="ru-RU"/>
        </w:rPr>
        <w:t>от</w:t>
      </w:r>
      <w:r w:rsidR="00F60C11" w:rsidRPr="007F6CEF">
        <w:rPr>
          <w:lang w:val="ru-RU"/>
        </w:rPr>
        <w:t xml:space="preserve"> 31</w:t>
      </w:r>
      <w:r w:rsidRPr="007F6CEF">
        <w:rPr>
          <w:lang w:val="ru-RU"/>
        </w:rPr>
        <w:t xml:space="preserve"> марта </w:t>
      </w:r>
      <w:r w:rsidR="00F60C11" w:rsidRPr="007F6CEF">
        <w:rPr>
          <w:lang w:val="ru-RU"/>
        </w:rPr>
        <w:t>2014</w:t>
      </w:r>
      <w:r w:rsidRPr="007F6CEF">
        <w:rPr>
          <w:lang w:val="ru-RU"/>
        </w:rPr>
        <w:t> года.</w:t>
      </w:r>
    </w:p>
    <w:p w:rsidR="00F60C11" w:rsidRPr="007F6CEF" w:rsidRDefault="00F60C11" w:rsidP="00170B2C">
      <w:pPr>
        <w:pStyle w:val="enumlev1"/>
        <w:rPr>
          <w:lang w:val="ru-RU"/>
        </w:rPr>
      </w:pPr>
      <w:r w:rsidRPr="007F6CEF">
        <w:rPr>
          <w:lang w:val="ru-RU"/>
        </w:rPr>
        <w:t>•</w:t>
      </w:r>
      <w:r w:rsidRPr="007F6CEF">
        <w:rPr>
          <w:lang w:val="ru-RU"/>
        </w:rPr>
        <w:tab/>
      </w:r>
      <w:r w:rsidR="00AE71E4" w:rsidRPr="007F6CEF">
        <w:rPr>
          <w:lang w:val="ru-RU"/>
        </w:rPr>
        <w:t>Отчет о внутреннем аудите</w:t>
      </w:r>
      <w:r w:rsidRPr="007F6CEF">
        <w:rPr>
          <w:lang w:val="ru-RU"/>
        </w:rPr>
        <w:t xml:space="preserve"> (</w:t>
      </w:r>
      <w:r w:rsidR="00AE71E4" w:rsidRPr="007F6CEF">
        <w:rPr>
          <w:lang w:val="ru-RU"/>
        </w:rPr>
        <w:t>Аудит регионального присутствия МСЭ</w:t>
      </w:r>
      <w:r w:rsidRPr="007F6CEF">
        <w:rPr>
          <w:lang w:val="ru-RU"/>
        </w:rPr>
        <w:t xml:space="preserve"> – </w:t>
      </w:r>
      <w:r w:rsidR="00AE71E4" w:rsidRPr="007F6CEF">
        <w:rPr>
          <w:lang w:val="ru-RU"/>
        </w:rPr>
        <w:t>Региональные и зональные отделения для Азиатско-Тихоокеанского региона)</w:t>
      </w:r>
      <w:r w:rsidR="0091029E" w:rsidRPr="007F6CEF">
        <w:rPr>
          <w:lang w:val="ru-RU"/>
        </w:rPr>
        <w:t xml:space="preserve"> </w:t>
      </w:r>
      <w:r w:rsidRPr="007F6CEF">
        <w:rPr>
          <w:lang w:val="ru-RU"/>
        </w:rPr>
        <w:t xml:space="preserve">– SG-SGO/IA/13-04 </w:t>
      </w:r>
      <w:r w:rsidR="00EB3839" w:rsidRPr="007F6CEF">
        <w:rPr>
          <w:lang w:val="ru-RU"/>
        </w:rPr>
        <w:t>от</w:t>
      </w:r>
      <w:r w:rsidRPr="007F6CEF">
        <w:rPr>
          <w:lang w:val="ru-RU"/>
        </w:rPr>
        <w:t xml:space="preserve"> 29</w:t>
      </w:r>
      <w:r w:rsidR="00EB3839" w:rsidRPr="007F6CEF">
        <w:rPr>
          <w:lang w:val="ru-RU"/>
        </w:rPr>
        <w:t xml:space="preserve"> апреля </w:t>
      </w:r>
      <w:r w:rsidRPr="007F6CEF">
        <w:rPr>
          <w:lang w:val="ru-RU"/>
        </w:rPr>
        <w:t>2013</w:t>
      </w:r>
      <w:r w:rsidR="00EB3839" w:rsidRPr="007F6CEF">
        <w:rPr>
          <w:lang w:val="ru-RU"/>
        </w:rPr>
        <w:t> года.</w:t>
      </w:r>
    </w:p>
    <w:p w:rsidR="00F60C11" w:rsidRPr="007F6CEF" w:rsidRDefault="00F60C11" w:rsidP="00170B2C">
      <w:pPr>
        <w:pStyle w:val="enumlev1"/>
        <w:rPr>
          <w:lang w:val="ru-RU"/>
        </w:rPr>
      </w:pPr>
      <w:r w:rsidRPr="007F6CEF">
        <w:rPr>
          <w:lang w:val="ru-RU"/>
        </w:rPr>
        <w:t>•</w:t>
      </w:r>
      <w:r w:rsidRPr="007F6CEF">
        <w:rPr>
          <w:lang w:val="ru-RU"/>
        </w:rPr>
        <w:tab/>
      </w:r>
      <w:r w:rsidR="00AE71E4" w:rsidRPr="007F6CEF">
        <w:rPr>
          <w:lang w:val="ru-RU"/>
        </w:rPr>
        <w:t xml:space="preserve">Отчет о внутреннем аудите </w:t>
      </w:r>
      <w:r w:rsidRPr="007F6CEF">
        <w:rPr>
          <w:lang w:val="ru-RU"/>
        </w:rPr>
        <w:t>(</w:t>
      </w:r>
      <w:r w:rsidR="00AE71E4" w:rsidRPr="007F6CEF">
        <w:rPr>
          <w:lang w:val="ru-RU"/>
        </w:rPr>
        <w:t xml:space="preserve">Аудит регионального присутствия МСЭ </w:t>
      </w:r>
      <w:r w:rsidRPr="007F6CEF">
        <w:rPr>
          <w:lang w:val="ru-RU"/>
        </w:rPr>
        <w:t>–</w:t>
      </w:r>
      <w:r w:rsidR="0084670D" w:rsidRPr="007F6CEF">
        <w:rPr>
          <w:lang w:val="ru-RU"/>
        </w:rPr>
        <w:t xml:space="preserve"> Зональное отделение для Содружества Независимых Государств</w:t>
      </w:r>
      <w:r w:rsidRPr="007F6CEF">
        <w:rPr>
          <w:lang w:val="ru-RU"/>
        </w:rPr>
        <w:t xml:space="preserve">) – SG-SGO/IA/13-13 </w:t>
      </w:r>
      <w:r w:rsidR="00EB3839" w:rsidRPr="007F6CEF">
        <w:rPr>
          <w:lang w:val="ru-RU"/>
        </w:rPr>
        <w:t xml:space="preserve">от 30 июля </w:t>
      </w:r>
      <w:r w:rsidRPr="007F6CEF">
        <w:rPr>
          <w:lang w:val="ru-RU"/>
        </w:rPr>
        <w:t>2013</w:t>
      </w:r>
      <w:r w:rsidR="00EB3839" w:rsidRPr="007F6CEF">
        <w:rPr>
          <w:lang w:val="ru-RU"/>
        </w:rPr>
        <w:t> года</w:t>
      </w:r>
      <w:r w:rsidRPr="007F6CEF">
        <w:rPr>
          <w:lang w:val="ru-RU"/>
        </w:rPr>
        <w:t>;</w:t>
      </w:r>
    </w:p>
    <w:p w:rsidR="00F60C11" w:rsidRPr="007F6CEF" w:rsidRDefault="00F60C11" w:rsidP="00170B2C">
      <w:pPr>
        <w:pStyle w:val="enumlev1"/>
        <w:rPr>
          <w:lang w:val="ru-RU"/>
        </w:rPr>
      </w:pPr>
      <w:r w:rsidRPr="007F6CEF">
        <w:rPr>
          <w:lang w:val="ru-RU"/>
        </w:rPr>
        <w:t>•</w:t>
      </w:r>
      <w:r w:rsidRPr="007F6CEF">
        <w:rPr>
          <w:lang w:val="ru-RU"/>
        </w:rPr>
        <w:tab/>
      </w:r>
      <w:r w:rsidR="00AE71E4" w:rsidRPr="007F6CEF">
        <w:rPr>
          <w:lang w:val="ru-RU"/>
        </w:rPr>
        <w:t xml:space="preserve">Отчет о внутреннем аудите </w:t>
      </w:r>
      <w:r w:rsidRPr="007F6CEF">
        <w:rPr>
          <w:lang w:val="ru-RU"/>
        </w:rPr>
        <w:t>(</w:t>
      </w:r>
      <w:r w:rsidR="00AE71E4" w:rsidRPr="007F6CEF">
        <w:rPr>
          <w:lang w:val="ru-RU"/>
        </w:rPr>
        <w:t xml:space="preserve">Аудит регионального присутствия МСЭ </w:t>
      </w:r>
      <w:r w:rsidRPr="007F6CEF">
        <w:rPr>
          <w:lang w:val="ru-RU"/>
        </w:rPr>
        <w:t xml:space="preserve">– </w:t>
      </w:r>
      <w:r w:rsidR="00AE71E4" w:rsidRPr="007F6CEF">
        <w:rPr>
          <w:lang w:val="ru-RU"/>
        </w:rPr>
        <w:t>Региональные и зональные отделения для Северной и Южной Америки</w:t>
      </w:r>
      <w:r w:rsidRPr="007F6CEF">
        <w:rPr>
          <w:lang w:val="ru-RU"/>
        </w:rPr>
        <w:t xml:space="preserve">) – SG-SGO/IA/13-15 </w:t>
      </w:r>
      <w:r w:rsidR="00EB3839" w:rsidRPr="007F6CEF">
        <w:rPr>
          <w:lang w:val="ru-RU"/>
        </w:rPr>
        <w:t>от</w:t>
      </w:r>
      <w:r w:rsidRPr="007F6CEF">
        <w:rPr>
          <w:lang w:val="ru-RU"/>
        </w:rPr>
        <w:t xml:space="preserve"> 29</w:t>
      </w:r>
      <w:r w:rsidR="00EB3839" w:rsidRPr="007F6CEF">
        <w:rPr>
          <w:lang w:val="ru-RU"/>
        </w:rPr>
        <w:t xml:space="preserve"> ноября </w:t>
      </w:r>
      <w:r w:rsidRPr="007F6CEF">
        <w:rPr>
          <w:lang w:val="ru-RU"/>
        </w:rPr>
        <w:t>2013</w:t>
      </w:r>
      <w:r w:rsidR="00EB3839" w:rsidRPr="007F6CEF">
        <w:rPr>
          <w:lang w:val="ru-RU"/>
        </w:rPr>
        <w:t> года.</w:t>
      </w:r>
    </w:p>
    <w:p w:rsidR="00F60C11" w:rsidRPr="007F6CEF" w:rsidRDefault="00F60C11" w:rsidP="00170B2C">
      <w:pPr>
        <w:pStyle w:val="enumlev1"/>
        <w:rPr>
          <w:lang w:val="ru-RU"/>
        </w:rPr>
      </w:pPr>
      <w:r w:rsidRPr="007F6CEF">
        <w:rPr>
          <w:lang w:val="ru-RU"/>
        </w:rPr>
        <w:t>•</w:t>
      </w:r>
      <w:r w:rsidRPr="007F6CEF">
        <w:rPr>
          <w:lang w:val="ru-RU"/>
        </w:rPr>
        <w:tab/>
      </w:r>
      <w:r w:rsidR="0084670D" w:rsidRPr="007F6CEF">
        <w:rPr>
          <w:lang w:val="ru-RU"/>
        </w:rPr>
        <w:t>Прочие различные документы</w:t>
      </w:r>
      <w:r w:rsidRPr="007F6CEF">
        <w:rPr>
          <w:lang w:val="ru-RU"/>
        </w:rPr>
        <w:t>.</w:t>
      </w:r>
    </w:p>
    <w:p w:rsidR="00F60C11" w:rsidRPr="007F6CEF" w:rsidRDefault="00615027" w:rsidP="00170B2C">
      <w:pPr>
        <w:rPr>
          <w:lang w:val="ru-RU"/>
        </w:rPr>
      </w:pPr>
      <w:r w:rsidRPr="007F6CEF">
        <w:rPr>
          <w:lang w:val="ru-RU"/>
        </w:rPr>
        <w:t>138</w:t>
      </w:r>
      <w:r w:rsidR="00F60C11" w:rsidRPr="007F6CEF">
        <w:rPr>
          <w:lang w:val="ru-RU"/>
        </w:rPr>
        <w:tab/>
      </w:r>
      <w:r w:rsidR="0084670D" w:rsidRPr="007F6CEF">
        <w:rPr>
          <w:lang w:val="ru-RU"/>
        </w:rPr>
        <w:t>Подразделение внутреннего аудита следует международным стандартам, в особенности стандартам Института внутренних ревизоров (</w:t>
      </w:r>
      <w:r w:rsidR="00F60C11" w:rsidRPr="007F6CEF">
        <w:rPr>
          <w:lang w:val="ru-RU"/>
        </w:rPr>
        <w:t>IIA</w:t>
      </w:r>
      <w:r w:rsidR="0084670D" w:rsidRPr="007F6CEF">
        <w:rPr>
          <w:lang w:val="ru-RU"/>
        </w:rPr>
        <w:t>), которые приводятся как в Руководстве МСЭ по внутреннему аудиту</w:t>
      </w:r>
      <w:r w:rsidR="00F60C11" w:rsidRPr="007F6CEF">
        <w:rPr>
          <w:lang w:val="ru-RU"/>
        </w:rPr>
        <w:t>,</w:t>
      </w:r>
      <w:r w:rsidR="0091029E" w:rsidRPr="007F6CEF">
        <w:rPr>
          <w:lang w:val="ru-RU"/>
        </w:rPr>
        <w:t xml:space="preserve"> </w:t>
      </w:r>
      <w:r w:rsidR="0084670D" w:rsidRPr="007F6CEF">
        <w:rPr>
          <w:lang w:val="ru-RU"/>
        </w:rPr>
        <w:t xml:space="preserve">так и в Уставе службы внутреннего аудита. </w:t>
      </w:r>
    </w:p>
    <w:p w:rsidR="00F60C11" w:rsidRPr="007F6CEF" w:rsidRDefault="00615027" w:rsidP="00170B2C">
      <w:pPr>
        <w:rPr>
          <w:lang w:val="ru-RU"/>
        </w:rPr>
      </w:pPr>
      <w:r w:rsidRPr="007F6CEF">
        <w:rPr>
          <w:lang w:val="ru-RU"/>
        </w:rPr>
        <w:t>139</w:t>
      </w:r>
      <w:r w:rsidR="00F60C11" w:rsidRPr="007F6CEF">
        <w:rPr>
          <w:lang w:val="ru-RU"/>
        </w:rPr>
        <w:tab/>
      </w:r>
      <w:r w:rsidR="0084670D" w:rsidRPr="007F6CEF">
        <w:rPr>
          <w:lang w:val="ru-RU"/>
        </w:rPr>
        <w:t>В настоящее время в состав Подразделения внутреннего аудита входят два аудитора (включая руководителя</w:t>
      </w:r>
      <w:r w:rsidR="00F60C11" w:rsidRPr="007F6CEF">
        <w:rPr>
          <w:lang w:val="ru-RU"/>
        </w:rPr>
        <w:t xml:space="preserve"> IAU)</w:t>
      </w:r>
      <w:r w:rsidR="0084670D" w:rsidRPr="007F6CEF">
        <w:rPr>
          <w:lang w:val="ru-RU"/>
        </w:rPr>
        <w:t xml:space="preserve"> и помощник аудитора, который работает с января 2014 года на полставки (ранее это была должность на полную ставку). </w:t>
      </w:r>
      <w:r w:rsidR="00E96DC9" w:rsidRPr="007F6CEF">
        <w:rPr>
          <w:lang w:val="ru-RU"/>
        </w:rPr>
        <w:t xml:space="preserve">Образование </w:t>
      </w:r>
      <w:r w:rsidR="0084670D" w:rsidRPr="007F6CEF">
        <w:rPr>
          <w:lang w:val="ru-RU"/>
        </w:rPr>
        <w:t xml:space="preserve">и профессиональная квалификация персонала соответствуют требуемым стандартам и целям их мандата, как это показано в приведенной ниже таблице: </w:t>
      </w:r>
    </w:p>
    <w:p w:rsidR="00615027" w:rsidRPr="007F6CEF" w:rsidRDefault="00615027" w:rsidP="00170B2C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83"/>
        <w:gridCol w:w="2078"/>
        <w:gridCol w:w="2268"/>
        <w:gridCol w:w="2891"/>
        <w:gridCol w:w="1134"/>
      </w:tblGrid>
      <w:tr w:rsidR="00615027" w:rsidRPr="007F6CEF" w:rsidTr="00837E48">
        <w:trPr>
          <w:cantSplit/>
        </w:trPr>
        <w:tc>
          <w:tcPr>
            <w:tcW w:w="1183" w:type="dxa"/>
            <w:vAlign w:val="center"/>
          </w:tcPr>
          <w:p w:rsidR="00615027" w:rsidRPr="007F6CEF" w:rsidRDefault="00E96DC9" w:rsidP="00170B2C">
            <w:pPr>
              <w:pStyle w:val="Tablehead"/>
              <w:rPr>
                <w:lang w:val="ru-RU"/>
              </w:rPr>
            </w:pPr>
            <w:r w:rsidRPr="007F6CEF">
              <w:rPr>
                <w:lang w:val="ru-RU"/>
              </w:rPr>
              <w:t>Уровень должности</w:t>
            </w:r>
          </w:p>
        </w:tc>
        <w:tc>
          <w:tcPr>
            <w:tcW w:w="2078" w:type="dxa"/>
            <w:vAlign w:val="center"/>
          </w:tcPr>
          <w:p w:rsidR="00615027" w:rsidRPr="007F6CEF" w:rsidRDefault="00E96DC9" w:rsidP="00170B2C">
            <w:pPr>
              <w:pStyle w:val="Tablehead"/>
              <w:rPr>
                <w:lang w:val="ru-RU"/>
              </w:rPr>
            </w:pPr>
            <w:r w:rsidRPr="007F6CEF">
              <w:rPr>
                <w:lang w:val="ru-RU"/>
              </w:rPr>
              <w:t>Должность, занимаемая в Подразделении</w:t>
            </w:r>
          </w:p>
        </w:tc>
        <w:tc>
          <w:tcPr>
            <w:tcW w:w="2268" w:type="dxa"/>
            <w:vAlign w:val="center"/>
          </w:tcPr>
          <w:p w:rsidR="00615027" w:rsidRPr="007F6CEF" w:rsidRDefault="00E96DC9" w:rsidP="00170B2C">
            <w:pPr>
              <w:pStyle w:val="Tablehead"/>
              <w:rPr>
                <w:lang w:val="ru-RU"/>
              </w:rPr>
            </w:pPr>
            <w:r w:rsidRPr="007F6CEF">
              <w:rPr>
                <w:lang w:val="ru-RU"/>
              </w:rPr>
              <w:t>Профессиональная квалификация</w:t>
            </w:r>
          </w:p>
        </w:tc>
        <w:tc>
          <w:tcPr>
            <w:tcW w:w="2891" w:type="dxa"/>
            <w:vAlign w:val="center"/>
          </w:tcPr>
          <w:p w:rsidR="00615027" w:rsidRPr="007F6CEF" w:rsidRDefault="00E96DC9" w:rsidP="00170B2C">
            <w:pPr>
              <w:pStyle w:val="Tablehead"/>
              <w:rPr>
                <w:lang w:val="ru-RU"/>
              </w:rPr>
            </w:pPr>
            <w:r w:rsidRPr="007F6CEF">
              <w:rPr>
                <w:lang w:val="ru-RU"/>
              </w:rPr>
              <w:t>Диплом о высшем образовании</w:t>
            </w:r>
          </w:p>
        </w:tc>
        <w:tc>
          <w:tcPr>
            <w:tcW w:w="1134" w:type="dxa"/>
            <w:vAlign w:val="center"/>
          </w:tcPr>
          <w:p w:rsidR="00615027" w:rsidRPr="007F6CEF" w:rsidRDefault="00E96DC9" w:rsidP="00170B2C">
            <w:pPr>
              <w:pStyle w:val="Tablehead"/>
              <w:rPr>
                <w:lang w:val="ru-RU"/>
              </w:rPr>
            </w:pPr>
            <w:r w:rsidRPr="007F6CEF">
              <w:rPr>
                <w:lang w:val="ru-RU"/>
              </w:rPr>
              <w:t xml:space="preserve">Опыт работы </w:t>
            </w:r>
            <w:r w:rsidR="00837E48" w:rsidRPr="007F6CEF">
              <w:rPr>
                <w:lang w:val="ru-RU"/>
              </w:rPr>
              <w:br/>
            </w:r>
            <w:r w:rsidRPr="007F6CEF">
              <w:rPr>
                <w:lang w:val="ru-RU"/>
              </w:rPr>
              <w:t xml:space="preserve">в </w:t>
            </w:r>
            <w:r w:rsidR="00615027" w:rsidRPr="007F6CEF">
              <w:rPr>
                <w:lang w:val="ru-RU"/>
              </w:rPr>
              <w:t>IA</w:t>
            </w:r>
          </w:p>
        </w:tc>
      </w:tr>
      <w:tr w:rsidR="00615027" w:rsidRPr="007F6CEF" w:rsidTr="00837E48">
        <w:trPr>
          <w:cantSplit/>
        </w:trPr>
        <w:tc>
          <w:tcPr>
            <w:tcW w:w="1183" w:type="dxa"/>
          </w:tcPr>
          <w:p w:rsidR="00615027" w:rsidRPr="007F6CEF" w:rsidRDefault="00615027" w:rsidP="00170B2C">
            <w:pPr>
              <w:pStyle w:val="Tabletext"/>
              <w:jc w:val="center"/>
              <w:rPr>
                <w:lang w:val="ru-RU"/>
              </w:rPr>
            </w:pPr>
            <w:r w:rsidRPr="007F6CEF">
              <w:rPr>
                <w:lang w:val="ru-RU"/>
              </w:rPr>
              <w:t>P5</w:t>
            </w:r>
          </w:p>
        </w:tc>
        <w:tc>
          <w:tcPr>
            <w:tcW w:w="2078" w:type="dxa"/>
          </w:tcPr>
          <w:p w:rsidR="00615027" w:rsidRPr="007F6CEF" w:rsidRDefault="00E96DC9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Руководитель Подразделения</w:t>
            </w:r>
            <w:r w:rsidR="00615027" w:rsidRPr="007F6CEF">
              <w:rPr>
                <w:lang w:val="ru-RU"/>
              </w:rPr>
              <w:t xml:space="preserve"> IA </w:t>
            </w:r>
          </w:p>
        </w:tc>
        <w:tc>
          <w:tcPr>
            <w:tcW w:w="2268" w:type="dxa"/>
          </w:tcPr>
          <w:p w:rsidR="00615027" w:rsidRPr="007F6CEF" w:rsidRDefault="00E96DC9" w:rsidP="00170B2C">
            <w:pPr>
              <w:pStyle w:val="Tabletext"/>
              <w:rPr>
                <w:lang w:val="ru-RU"/>
              </w:rPr>
            </w:pPr>
            <w:r w:rsidRPr="007F6CEF">
              <w:rPr>
                <w:iCs/>
                <w:lang w:val="ru-RU"/>
              </w:rPr>
              <w:t xml:space="preserve">Дипломированный внутренний аудитор </w:t>
            </w:r>
            <w:r w:rsidR="00615027" w:rsidRPr="007F6CEF">
              <w:rPr>
                <w:lang w:val="ru-RU"/>
              </w:rPr>
              <w:t>(CIA);</w:t>
            </w:r>
            <w:r w:rsidR="00615027" w:rsidRPr="007F6CEF">
              <w:rPr>
                <w:lang w:val="ru-RU"/>
              </w:rPr>
              <w:br/>
            </w:r>
            <w:r w:rsidRPr="007F6CEF">
              <w:rPr>
                <w:lang w:val="ru-RU"/>
              </w:rPr>
              <w:t xml:space="preserve">диплом </w:t>
            </w:r>
            <w:r w:rsidR="00E24191" w:rsidRPr="007F6CEF">
              <w:rPr>
                <w:lang w:val="ru-RU"/>
              </w:rPr>
              <w:t xml:space="preserve">по управлению рисками в страховой деятельности </w:t>
            </w:r>
            <w:r w:rsidR="00615027" w:rsidRPr="007F6CEF">
              <w:rPr>
                <w:lang w:val="ru-RU"/>
              </w:rPr>
              <w:t>(CRMA)</w:t>
            </w:r>
          </w:p>
        </w:tc>
        <w:tc>
          <w:tcPr>
            <w:tcW w:w="2891" w:type="dxa"/>
          </w:tcPr>
          <w:p w:rsidR="00615027" w:rsidRPr="007F6CEF" w:rsidRDefault="006B3C1A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Диплом магистра в области бухгалтерского учета </w:t>
            </w:r>
          </w:p>
        </w:tc>
        <w:tc>
          <w:tcPr>
            <w:tcW w:w="1134" w:type="dxa"/>
          </w:tcPr>
          <w:p w:rsidR="00615027" w:rsidRPr="007F6CEF" w:rsidRDefault="00615027" w:rsidP="00170B2C">
            <w:pPr>
              <w:pStyle w:val="Tabletext"/>
              <w:jc w:val="center"/>
              <w:rPr>
                <w:lang w:val="ru-RU"/>
              </w:rPr>
            </w:pPr>
            <w:r w:rsidRPr="007F6CEF">
              <w:rPr>
                <w:lang w:val="ru-RU"/>
              </w:rPr>
              <w:t>&gt; 20 лет</w:t>
            </w:r>
          </w:p>
        </w:tc>
      </w:tr>
      <w:tr w:rsidR="00615027" w:rsidRPr="007F6CEF" w:rsidTr="00837E48">
        <w:trPr>
          <w:cantSplit/>
        </w:trPr>
        <w:tc>
          <w:tcPr>
            <w:tcW w:w="1183" w:type="dxa"/>
          </w:tcPr>
          <w:p w:rsidR="00615027" w:rsidRPr="007F6CEF" w:rsidRDefault="00615027" w:rsidP="00170B2C">
            <w:pPr>
              <w:pStyle w:val="Tabletext"/>
              <w:jc w:val="center"/>
              <w:rPr>
                <w:lang w:val="ru-RU"/>
              </w:rPr>
            </w:pPr>
            <w:r w:rsidRPr="007F6CEF">
              <w:rPr>
                <w:lang w:val="ru-RU"/>
              </w:rPr>
              <w:t>P3</w:t>
            </w:r>
          </w:p>
        </w:tc>
        <w:tc>
          <w:tcPr>
            <w:tcW w:w="2078" w:type="dxa"/>
          </w:tcPr>
          <w:p w:rsidR="00615027" w:rsidRPr="007F6CEF" w:rsidRDefault="00E96DC9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Аудитор</w:t>
            </w:r>
          </w:p>
        </w:tc>
        <w:tc>
          <w:tcPr>
            <w:tcW w:w="2268" w:type="dxa"/>
          </w:tcPr>
          <w:p w:rsidR="00615027" w:rsidRPr="007F6CEF" w:rsidRDefault="00615027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CIA</w:t>
            </w:r>
          </w:p>
        </w:tc>
        <w:tc>
          <w:tcPr>
            <w:tcW w:w="2891" w:type="dxa"/>
          </w:tcPr>
          <w:p w:rsidR="00615027" w:rsidRPr="007F6CEF" w:rsidRDefault="006B3C1A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Магистр в области управления производством </w:t>
            </w:r>
          </w:p>
        </w:tc>
        <w:tc>
          <w:tcPr>
            <w:tcW w:w="1134" w:type="dxa"/>
          </w:tcPr>
          <w:p w:rsidR="00615027" w:rsidRPr="007F6CEF" w:rsidRDefault="00615027" w:rsidP="00170B2C">
            <w:pPr>
              <w:pStyle w:val="Tabletext"/>
              <w:jc w:val="center"/>
              <w:rPr>
                <w:lang w:val="ru-RU"/>
              </w:rPr>
            </w:pPr>
            <w:r w:rsidRPr="007F6CEF">
              <w:rPr>
                <w:lang w:val="ru-RU"/>
              </w:rPr>
              <w:t>10−15 лет</w:t>
            </w:r>
          </w:p>
        </w:tc>
      </w:tr>
      <w:tr w:rsidR="00615027" w:rsidRPr="007F6CEF" w:rsidTr="00837E48">
        <w:trPr>
          <w:cantSplit/>
        </w:trPr>
        <w:tc>
          <w:tcPr>
            <w:tcW w:w="1183" w:type="dxa"/>
          </w:tcPr>
          <w:p w:rsidR="00615027" w:rsidRPr="007F6CEF" w:rsidRDefault="00615027" w:rsidP="00170B2C">
            <w:pPr>
              <w:pStyle w:val="Tabletext"/>
              <w:jc w:val="center"/>
              <w:rPr>
                <w:lang w:val="ru-RU"/>
              </w:rPr>
            </w:pPr>
            <w:r w:rsidRPr="007F6CEF">
              <w:rPr>
                <w:lang w:val="ru-RU"/>
              </w:rPr>
              <w:t>G5</w:t>
            </w:r>
          </w:p>
        </w:tc>
        <w:tc>
          <w:tcPr>
            <w:tcW w:w="2078" w:type="dxa"/>
          </w:tcPr>
          <w:p w:rsidR="00615027" w:rsidRPr="007F6CEF" w:rsidRDefault="00E96DC9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Помощник аудитора </w:t>
            </w:r>
          </w:p>
        </w:tc>
        <w:tc>
          <w:tcPr>
            <w:tcW w:w="2268" w:type="dxa"/>
          </w:tcPr>
          <w:p w:rsidR="00615027" w:rsidRPr="007F6CEF" w:rsidRDefault="00615027" w:rsidP="00170B2C">
            <w:pPr>
              <w:pStyle w:val="Tabletext"/>
              <w:rPr>
                <w:lang w:val="ru-RU"/>
              </w:rPr>
            </w:pPr>
          </w:p>
        </w:tc>
        <w:tc>
          <w:tcPr>
            <w:tcW w:w="2891" w:type="dxa"/>
          </w:tcPr>
          <w:p w:rsidR="00615027" w:rsidRPr="007F6CEF" w:rsidRDefault="006B3C1A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Программа </w:t>
            </w:r>
            <w:r w:rsidR="00615027" w:rsidRPr="007F6CEF">
              <w:rPr>
                <w:lang w:val="ru-RU"/>
              </w:rPr>
              <w:t>MB</w:t>
            </w:r>
            <w:r w:rsidRPr="007F6CEF">
              <w:rPr>
                <w:lang w:val="ru-RU"/>
              </w:rPr>
              <w:t xml:space="preserve">A, первый этап, Открытый университет; Диплом о послевузовском образовании в области управления людскими ресурсами, Открытый университет </w:t>
            </w:r>
          </w:p>
        </w:tc>
        <w:tc>
          <w:tcPr>
            <w:tcW w:w="1134" w:type="dxa"/>
          </w:tcPr>
          <w:p w:rsidR="00615027" w:rsidRPr="007F6CEF" w:rsidRDefault="00615027" w:rsidP="00170B2C">
            <w:pPr>
              <w:pStyle w:val="Tabletext"/>
              <w:jc w:val="center"/>
              <w:rPr>
                <w:lang w:val="ru-RU"/>
              </w:rPr>
            </w:pPr>
            <w:r w:rsidRPr="007F6CEF">
              <w:rPr>
                <w:lang w:val="ru-RU"/>
              </w:rPr>
              <w:t>&lt; 3 лет</w:t>
            </w:r>
          </w:p>
        </w:tc>
      </w:tr>
    </w:tbl>
    <w:p w:rsidR="00F60C11" w:rsidRPr="007F6CEF" w:rsidRDefault="00F60C11" w:rsidP="00170B2C">
      <w:pPr>
        <w:spacing w:before="240"/>
        <w:rPr>
          <w:lang w:val="ru-RU"/>
        </w:rPr>
      </w:pPr>
      <w:r w:rsidRPr="007F6CEF">
        <w:rPr>
          <w:lang w:val="ru-RU"/>
        </w:rPr>
        <w:t>140</w:t>
      </w:r>
      <w:r w:rsidRPr="007F6CEF">
        <w:rPr>
          <w:lang w:val="ru-RU"/>
        </w:rPr>
        <w:tab/>
      </w:r>
      <w:r w:rsidR="006B3C1A" w:rsidRPr="007F6CEF">
        <w:rPr>
          <w:lang w:val="ru-RU"/>
        </w:rPr>
        <w:t xml:space="preserve">Персонал знает кодекс этики </w:t>
      </w:r>
      <w:r w:rsidR="008B2212" w:rsidRPr="007F6CEF">
        <w:rPr>
          <w:lang w:val="ru-RU"/>
        </w:rPr>
        <w:t>IIA, и Устав службы внутреннего аудита</w:t>
      </w:r>
      <w:r w:rsidRPr="007F6CEF">
        <w:rPr>
          <w:lang w:val="ru-RU"/>
        </w:rPr>
        <w:t xml:space="preserve"> </w:t>
      </w:r>
      <w:r w:rsidR="008B2212" w:rsidRPr="007F6CEF">
        <w:rPr>
          <w:lang w:val="ru-RU"/>
        </w:rPr>
        <w:t xml:space="preserve">призывает действовать в соответствии с этим кодексом. Сотрудники категории специалистов ежегодно </w:t>
      </w:r>
      <w:r w:rsidR="00924287" w:rsidRPr="007F6CEF">
        <w:rPr>
          <w:lang w:val="ru-RU"/>
        </w:rPr>
        <w:t xml:space="preserve">проходят </w:t>
      </w:r>
      <w:r w:rsidR="008B2212" w:rsidRPr="007F6CEF">
        <w:rPr>
          <w:lang w:val="ru-RU"/>
        </w:rPr>
        <w:t xml:space="preserve">программу профессиональной подготовки для </w:t>
      </w:r>
      <w:r w:rsidR="00947590" w:rsidRPr="007F6CEF">
        <w:rPr>
          <w:lang w:val="ru-RU"/>
        </w:rPr>
        <w:t xml:space="preserve">переаттестации и </w:t>
      </w:r>
      <w:r w:rsidR="00924287" w:rsidRPr="007F6CEF">
        <w:rPr>
          <w:lang w:val="ru-RU"/>
        </w:rPr>
        <w:t xml:space="preserve">для </w:t>
      </w:r>
      <w:r w:rsidR="00947590" w:rsidRPr="007F6CEF">
        <w:rPr>
          <w:lang w:val="ru-RU"/>
        </w:rPr>
        <w:t xml:space="preserve">непрерывного профессионального образования </w:t>
      </w:r>
      <w:r w:rsidRPr="007F6CEF">
        <w:rPr>
          <w:lang w:val="ru-RU"/>
        </w:rPr>
        <w:t xml:space="preserve">(CPE); </w:t>
      </w:r>
      <w:r w:rsidR="00947590" w:rsidRPr="007F6CEF">
        <w:rPr>
          <w:lang w:val="ru-RU"/>
        </w:rPr>
        <w:t>руководитель</w:t>
      </w:r>
      <w:r w:rsidRPr="007F6CEF">
        <w:rPr>
          <w:lang w:val="ru-RU"/>
        </w:rPr>
        <w:t xml:space="preserve"> IAU </w:t>
      </w:r>
      <w:r w:rsidR="00947590" w:rsidRPr="007F6CEF">
        <w:rPr>
          <w:lang w:val="ru-RU"/>
        </w:rPr>
        <w:t xml:space="preserve">предусматривает в плане аудиторской проверки не менее одной недели в год на официальную подготовку персонала, занимающегося аудитом. Он отмечает, что проблем с бюджетом на профессиональную подготовку не имеется, даже хотя каждый раз им приходится обращаться в </w:t>
      </w:r>
      <w:r w:rsidR="00321954" w:rsidRPr="007F6CEF">
        <w:rPr>
          <w:lang w:val="ru-RU"/>
        </w:rPr>
        <w:t>Департамент управления людскими ресурсами (</w:t>
      </w:r>
      <w:r w:rsidRPr="007F6CEF">
        <w:rPr>
          <w:lang w:val="ru-RU"/>
        </w:rPr>
        <w:t>HR</w:t>
      </w:r>
      <w:r w:rsidR="00DE1B41" w:rsidRPr="007F6CEF">
        <w:rPr>
          <w:lang w:val="ru-RU"/>
        </w:rPr>
        <w:t>), чтобы получить требуе</w:t>
      </w:r>
      <w:r w:rsidR="00321954" w:rsidRPr="007F6CEF">
        <w:rPr>
          <w:lang w:val="ru-RU"/>
        </w:rPr>
        <w:t xml:space="preserve">мые суммы. </w:t>
      </w:r>
      <w:r w:rsidR="00DE1B41" w:rsidRPr="007F6CEF">
        <w:rPr>
          <w:lang w:val="ru-RU"/>
        </w:rPr>
        <w:t xml:space="preserve">Но в МСЭ это является стандартной практикой и обычно применяемой процедурой в отношении профессиональной подготовки. Каждый год сотрудники категории специалистов </w:t>
      </w:r>
      <w:r w:rsidRPr="007F6CEF">
        <w:rPr>
          <w:lang w:val="ru-RU"/>
        </w:rPr>
        <w:t xml:space="preserve">IAU </w:t>
      </w:r>
      <w:r w:rsidR="00DE1B41" w:rsidRPr="007F6CEF">
        <w:rPr>
          <w:lang w:val="ru-RU"/>
        </w:rPr>
        <w:t xml:space="preserve">соблюдают требования </w:t>
      </w:r>
      <w:r w:rsidRPr="007F6CEF">
        <w:rPr>
          <w:lang w:val="ru-RU"/>
        </w:rPr>
        <w:t>IIA</w:t>
      </w:r>
      <w:r w:rsidR="00DE1B41" w:rsidRPr="007F6CEF">
        <w:rPr>
          <w:lang w:val="ru-RU"/>
        </w:rPr>
        <w:t>, связанные с</w:t>
      </w:r>
      <w:r w:rsidRPr="007F6CEF">
        <w:rPr>
          <w:lang w:val="ru-RU"/>
        </w:rPr>
        <w:t xml:space="preserve"> CPE. </w:t>
      </w:r>
      <w:r w:rsidR="00DE1B41" w:rsidRPr="007F6CEF">
        <w:rPr>
          <w:lang w:val="ru-RU"/>
        </w:rPr>
        <w:t>Этот процесс позволяет им</w:t>
      </w:r>
      <w:r w:rsidR="0091029E" w:rsidRPr="007F6CEF">
        <w:rPr>
          <w:lang w:val="ru-RU"/>
        </w:rPr>
        <w:t xml:space="preserve"> </w:t>
      </w:r>
      <w:r w:rsidR="00DE1B41" w:rsidRPr="007F6CEF">
        <w:rPr>
          <w:lang w:val="ru-RU"/>
        </w:rPr>
        <w:t xml:space="preserve">проходить переаттестацию. Выбор МСЭ состоял в том, чтобы принимать на работу в IAU сотрудников уровня специалистов только со статусом </w:t>
      </w:r>
      <w:r w:rsidR="00DE1B41" w:rsidRPr="007F6CEF">
        <w:rPr>
          <w:i/>
          <w:iCs/>
          <w:lang w:val="ru-RU"/>
        </w:rPr>
        <w:t>дипломированного внутреннего аудитора</w:t>
      </w:r>
      <w:r w:rsidR="00DE1B41" w:rsidRPr="007F6CEF">
        <w:rPr>
          <w:lang w:val="ru-RU"/>
        </w:rPr>
        <w:t xml:space="preserve">. </w:t>
      </w:r>
    </w:p>
    <w:p w:rsidR="00F60C11" w:rsidRPr="007F6CEF" w:rsidRDefault="00A84C01" w:rsidP="00170B2C">
      <w:pPr>
        <w:pStyle w:val="Headingb"/>
        <w:rPr>
          <w:lang w:val="ru-RU"/>
        </w:rPr>
      </w:pPr>
      <w:bookmarkStart w:id="229" w:name="_Toc398125352"/>
      <w:bookmarkStart w:id="230" w:name="_Toc398125831"/>
      <w:bookmarkStart w:id="231" w:name="_Toc398127109"/>
      <w:r w:rsidRPr="007F6CEF">
        <w:rPr>
          <w:lang w:val="ru-RU"/>
        </w:rPr>
        <w:t>Отсутствие плана внутренней аудиторской проверки, рассчитанного на несколько лет</w:t>
      </w:r>
      <w:bookmarkEnd w:id="229"/>
      <w:bookmarkEnd w:id="230"/>
      <w:bookmarkEnd w:id="231"/>
    </w:p>
    <w:p w:rsidR="00F60C11" w:rsidRPr="007F6CEF" w:rsidRDefault="003C0EFE" w:rsidP="00170B2C">
      <w:pPr>
        <w:rPr>
          <w:lang w:val="ru-RU"/>
        </w:rPr>
      </w:pPr>
      <w:r w:rsidRPr="007F6CEF">
        <w:rPr>
          <w:lang w:val="ru-RU"/>
        </w:rPr>
        <w:t>141</w:t>
      </w:r>
      <w:r w:rsidR="00F60C11" w:rsidRPr="007F6CEF">
        <w:rPr>
          <w:lang w:val="ru-RU"/>
        </w:rPr>
        <w:tab/>
      </w:r>
      <w:r w:rsidR="00A84C01" w:rsidRPr="007F6CEF">
        <w:rPr>
          <w:lang w:val="ru-RU"/>
        </w:rPr>
        <w:t>Внутренний аудитор представляет план работы по внутреннему аудиту на год, но не на несколько лет (долго- или средн</w:t>
      </w:r>
      <w:r w:rsidR="00772176" w:rsidRPr="007F6CEF">
        <w:rPr>
          <w:lang w:val="ru-RU"/>
        </w:rPr>
        <w:t xml:space="preserve">есрочный план). Подразделения внутреннего аудита в других учреждениях ООН, на основе консультаций с руководителем </w:t>
      </w:r>
      <w:r w:rsidR="00F60C11" w:rsidRPr="007F6CEF">
        <w:rPr>
          <w:lang w:val="ru-RU"/>
        </w:rPr>
        <w:t xml:space="preserve">IAU, </w:t>
      </w:r>
      <w:r w:rsidR="00772176" w:rsidRPr="007F6CEF">
        <w:rPr>
          <w:lang w:val="ru-RU"/>
        </w:rPr>
        <w:t xml:space="preserve">представляют только годовые планы аудиторской проверки, а </w:t>
      </w:r>
      <w:r w:rsidR="00924287" w:rsidRPr="007F6CEF">
        <w:rPr>
          <w:lang w:val="ru-RU"/>
        </w:rPr>
        <w:t xml:space="preserve">некоторые </w:t>
      </w:r>
      <w:r w:rsidR="00772176" w:rsidRPr="007F6CEF">
        <w:rPr>
          <w:lang w:val="ru-RU"/>
        </w:rPr>
        <w:t>другие – двухгодичные планы.</w:t>
      </w:r>
      <w:r w:rsidR="00021769" w:rsidRPr="007F6CEF">
        <w:rPr>
          <w:lang w:val="ru-RU"/>
        </w:rPr>
        <w:t xml:space="preserve"> На основании передовой практики и в соответствии с ней в Руководстве по аудиту Отдела внутренней ревизии ООН</w:t>
      </w:r>
      <w:r w:rsidR="00772176" w:rsidRPr="007F6CEF">
        <w:rPr>
          <w:lang w:val="ru-RU"/>
        </w:rPr>
        <w:t xml:space="preserve"> </w:t>
      </w:r>
      <w:r w:rsidR="00021769" w:rsidRPr="007F6CEF">
        <w:rPr>
          <w:lang w:val="ru-RU"/>
        </w:rPr>
        <w:t xml:space="preserve">(IAD) указывается </w:t>
      </w:r>
      <w:r w:rsidR="00F60C11" w:rsidRPr="007F6CEF">
        <w:rPr>
          <w:lang w:val="ru-RU"/>
        </w:rPr>
        <w:t>(</w:t>
      </w:r>
      <w:r w:rsidR="00021769" w:rsidRPr="007F6CEF">
        <w:rPr>
          <w:lang w:val="ru-RU"/>
        </w:rPr>
        <w:t>раздел</w:t>
      </w:r>
      <w:r w:rsidR="00F60C11" w:rsidRPr="007F6CEF">
        <w:rPr>
          <w:lang w:val="ru-RU"/>
        </w:rPr>
        <w:t xml:space="preserve"> B</w:t>
      </w:r>
      <w:r w:rsidR="00021769" w:rsidRPr="007F6CEF">
        <w:rPr>
          <w:lang w:val="ru-RU"/>
        </w:rPr>
        <w:t xml:space="preserve">.5.1), что </w:t>
      </w:r>
      <w:r w:rsidR="00F60C11" w:rsidRPr="007F6CEF">
        <w:rPr>
          <w:lang w:val="ru-RU"/>
        </w:rPr>
        <w:t xml:space="preserve">IAD </w:t>
      </w:r>
      <w:r w:rsidRPr="007F6CEF">
        <w:rPr>
          <w:lang w:val="ru-RU"/>
        </w:rPr>
        <w:t>"</w:t>
      </w:r>
      <w:r w:rsidR="00021769" w:rsidRPr="007F6CEF">
        <w:rPr>
          <w:i/>
          <w:lang w:val="ru-RU"/>
        </w:rPr>
        <w:t>составляет планы работы по аудиту со скользящим трехгодичным циклом, в первую очередь на основе деятельности по оценке рисков</w:t>
      </w:r>
      <w:r w:rsidR="00021769" w:rsidRPr="00873F8A">
        <w:rPr>
          <w:iCs/>
          <w:lang w:val="ru-RU"/>
        </w:rPr>
        <w:t>"</w:t>
      </w:r>
      <w:r w:rsidR="00021769" w:rsidRPr="007F6CEF">
        <w:rPr>
          <w:i/>
          <w:lang w:val="ru-RU"/>
        </w:rPr>
        <w:t xml:space="preserve">. </w:t>
      </w:r>
    </w:p>
    <w:p w:rsidR="003C0EFE" w:rsidRPr="007F6CEF" w:rsidRDefault="003C0EFE" w:rsidP="00170B2C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3C0EFE" w:rsidRPr="00C21591" w:rsidTr="00A72B24">
        <w:tc>
          <w:tcPr>
            <w:tcW w:w="9645" w:type="dxa"/>
          </w:tcPr>
          <w:p w:rsidR="003C0EFE" w:rsidRPr="007F6CEF" w:rsidRDefault="003C0EFE" w:rsidP="00170B2C">
            <w:pPr>
              <w:rPr>
                <w:b/>
                <w:bCs/>
                <w:u w:val="single"/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Предложение 5</w:t>
            </w:r>
          </w:p>
          <w:p w:rsidR="003C0EFE" w:rsidRPr="007F6CEF" w:rsidRDefault="003C0EFE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>142</w:t>
            </w:r>
            <w:r w:rsidRPr="007F6CEF">
              <w:rPr>
                <w:lang w:val="ru-RU"/>
              </w:rPr>
              <w:tab/>
            </w:r>
            <w:r w:rsidR="00021769" w:rsidRPr="007F6CEF">
              <w:rPr>
                <w:u w:val="single"/>
                <w:lang w:val="ru-RU"/>
              </w:rPr>
              <w:t>Мы предлагаем</w:t>
            </w:r>
            <w:r w:rsidRPr="007F6CEF">
              <w:rPr>
                <w:lang w:val="ru-RU"/>
              </w:rPr>
              <w:t xml:space="preserve"> IAU </w:t>
            </w:r>
            <w:r w:rsidR="00021769" w:rsidRPr="007F6CEF">
              <w:rPr>
                <w:lang w:val="ru-RU"/>
              </w:rPr>
              <w:t xml:space="preserve">принять план аудита, рассчитанный на несколько лет, со скользящим циклом на основе деятельности по оценке рисков. </w:t>
            </w:r>
          </w:p>
        </w:tc>
      </w:tr>
    </w:tbl>
    <w:p w:rsidR="003C0EFE" w:rsidRPr="007F6CEF" w:rsidRDefault="003C0EFE" w:rsidP="00170B2C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3C0EFE" w:rsidRPr="00C21591" w:rsidTr="00A72B24">
        <w:trPr>
          <w:cantSplit/>
        </w:trPr>
        <w:tc>
          <w:tcPr>
            <w:tcW w:w="9645" w:type="dxa"/>
          </w:tcPr>
          <w:p w:rsidR="003C0EFE" w:rsidRPr="007F6CEF" w:rsidRDefault="003C0EFE" w:rsidP="00170B2C">
            <w:pPr>
              <w:rPr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7F6CEF">
              <w:rPr>
                <w:lang w:val="ru-RU"/>
              </w:rPr>
              <w:t>:</w:t>
            </w:r>
          </w:p>
          <w:p w:rsidR="003C0EFE" w:rsidRPr="007F6CEF" w:rsidRDefault="00744E16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>Подразделение внутреннего аудита приложит усилия к тому, чтобы расширить планирование аудита на много</w:t>
            </w:r>
            <w:r w:rsidR="00924287" w:rsidRPr="007F6CEF">
              <w:rPr>
                <w:lang w:val="ru-RU"/>
              </w:rPr>
              <w:t>летней</w:t>
            </w:r>
            <w:r w:rsidRPr="007F6CEF">
              <w:rPr>
                <w:lang w:val="ru-RU"/>
              </w:rPr>
              <w:t xml:space="preserve"> основе. </w:t>
            </w:r>
          </w:p>
        </w:tc>
      </w:tr>
    </w:tbl>
    <w:p w:rsidR="00F60C11" w:rsidRPr="007F6CEF" w:rsidRDefault="00744E16" w:rsidP="00170B2C">
      <w:pPr>
        <w:pStyle w:val="Headingb"/>
        <w:rPr>
          <w:lang w:val="ru-RU"/>
        </w:rPr>
      </w:pPr>
      <w:bookmarkStart w:id="232" w:name="_Toc398125353"/>
      <w:bookmarkStart w:id="233" w:name="_Toc398125832"/>
      <w:bookmarkStart w:id="234" w:name="_Toc398127110"/>
      <w:r w:rsidRPr="007F6CEF">
        <w:rPr>
          <w:lang w:val="ru-RU"/>
        </w:rPr>
        <w:t>Хотя управление рисками предприятия еще не внедрено, необходим план, основанный на оценке рисков</w:t>
      </w:r>
      <w:bookmarkEnd w:id="232"/>
      <w:bookmarkEnd w:id="233"/>
      <w:bookmarkEnd w:id="234"/>
      <w:r w:rsidRPr="007F6CEF">
        <w:rPr>
          <w:lang w:val="ru-RU"/>
        </w:rPr>
        <w:t xml:space="preserve"> </w:t>
      </w:r>
    </w:p>
    <w:p w:rsidR="00F60C11" w:rsidRPr="007F6CEF" w:rsidRDefault="001961FA" w:rsidP="00170B2C">
      <w:pPr>
        <w:rPr>
          <w:lang w:val="ru-RU"/>
        </w:rPr>
      </w:pPr>
      <w:r w:rsidRPr="007F6CEF">
        <w:rPr>
          <w:lang w:val="ru-RU"/>
        </w:rPr>
        <w:t>143</w:t>
      </w:r>
      <w:r w:rsidR="00F60C11" w:rsidRPr="007F6CEF">
        <w:rPr>
          <w:lang w:val="ru-RU"/>
        </w:rPr>
        <w:tab/>
      </w:r>
      <w:r w:rsidR="00793FD8" w:rsidRPr="007F6CEF">
        <w:rPr>
          <w:lang w:val="ru-RU"/>
        </w:rPr>
        <w:t xml:space="preserve">Мы сравнили </w:t>
      </w:r>
      <w:r w:rsidR="002115C3" w:rsidRPr="007F6CEF">
        <w:rPr>
          <w:lang w:val="ru-RU"/>
        </w:rPr>
        <w:t xml:space="preserve">годовые </w:t>
      </w:r>
      <w:r w:rsidR="00793FD8" w:rsidRPr="007F6CEF">
        <w:rPr>
          <w:lang w:val="ru-RU"/>
        </w:rPr>
        <w:t>планы работы на</w:t>
      </w:r>
      <w:r w:rsidR="00F60C11" w:rsidRPr="007F6CEF">
        <w:rPr>
          <w:lang w:val="ru-RU"/>
        </w:rPr>
        <w:t xml:space="preserve"> 2012, 2013 </w:t>
      </w:r>
      <w:r w:rsidRPr="007F6CEF">
        <w:rPr>
          <w:lang w:val="ru-RU"/>
        </w:rPr>
        <w:t>и</w:t>
      </w:r>
      <w:r w:rsidR="00F60C11" w:rsidRPr="007F6CEF">
        <w:rPr>
          <w:lang w:val="ru-RU"/>
        </w:rPr>
        <w:t xml:space="preserve"> 2014 </w:t>
      </w:r>
      <w:r w:rsidRPr="007F6CEF">
        <w:rPr>
          <w:lang w:val="ru-RU"/>
        </w:rPr>
        <w:t xml:space="preserve">годы </w:t>
      </w:r>
      <w:r w:rsidR="00793FD8" w:rsidRPr="007F6CEF">
        <w:rPr>
          <w:lang w:val="ru-RU"/>
        </w:rPr>
        <w:t xml:space="preserve">и обнаружили, что они усовершенствовались. Эти планы определены как </w:t>
      </w:r>
      <w:r w:rsidRPr="007F6CEF">
        <w:rPr>
          <w:lang w:val="ru-RU"/>
        </w:rPr>
        <w:t>"</w:t>
      </w:r>
      <w:r w:rsidR="00793FD8" w:rsidRPr="007F6CEF">
        <w:rPr>
          <w:i/>
          <w:lang w:val="ru-RU"/>
        </w:rPr>
        <w:t>основанные на оценке рисков</w:t>
      </w:r>
      <w:r w:rsidRPr="007F6CEF">
        <w:rPr>
          <w:lang w:val="ru-RU"/>
        </w:rPr>
        <w:t>"</w:t>
      </w:r>
      <w:r w:rsidR="00F60C11" w:rsidRPr="007F6CEF">
        <w:rPr>
          <w:lang w:val="ru-RU"/>
        </w:rPr>
        <w:t xml:space="preserve">, </w:t>
      </w:r>
      <w:r w:rsidR="00793FD8" w:rsidRPr="007F6CEF">
        <w:rPr>
          <w:lang w:val="ru-RU"/>
        </w:rPr>
        <w:t xml:space="preserve">но это не привело к тому, что Подразделение внутреннего аудита </w:t>
      </w:r>
      <w:r w:rsidR="002115C3" w:rsidRPr="007F6CEF">
        <w:rPr>
          <w:lang w:val="ru-RU"/>
        </w:rPr>
        <w:t>стало проводить</w:t>
      </w:r>
      <w:r w:rsidR="00793FD8" w:rsidRPr="007F6CEF">
        <w:rPr>
          <w:lang w:val="ru-RU"/>
        </w:rPr>
        <w:t xml:space="preserve"> оценку рисков. Мы отмечаем, что политика управления рисками предприятия </w:t>
      </w:r>
      <w:r w:rsidR="00F60C11" w:rsidRPr="007F6CEF">
        <w:rPr>
          <w:lang w:val="ru-RU"/>
        </w:rPr>
        <w:t xml:space="preserve">(ERM) </w:t>
      </w:r>
      <w:r w:rsidR="00793FD8" w:rsidRPr="007F6CEF">
        <w:rPr>
          <w:lang w:val="ru-RU"/>
        </w:rPr>
        <w:t>в МСЭ еще не внедрена. Для выполнения Резолюции</w:t>
      </w:r>
      <w:r w:rsidR="00F60C11" w:rsidRPr="007F6CEF">
        <w:rPr>
          <w:lang w:val="ru-RU"/>
        </w:rPr>
        <w:t xml:space="preserve"> 151 (</w:t>
      </w:r>
      <w:r w:rsidRPr="007F6CEF">
        <w:rPr>
          <w:lang w:val="ru-RU"/>
        </w:rPr>
        <w:t>Пересм</w:t>
      </w:r>
      <w:r w:rsidR="00F60C11" w:rsidRPr="007F6CEF">
        <w:rPr>
          <w:lang w:val="ru-RU"/>
        </w:rPr>
        <w:t xml:space="preserve">. </w:t>
      </w:r>
      <w:r w:rsidRPr="007F6CEF">
        <w:rPr>
          <w:lang w:val="ru-RU"/>
        </w:rPr>
        <w:t>Гвадалахара,</w:t>
      </w:r>
      <w:r w:rsidR="00F60C11" w:rsidRPr="007F6CEF">
        <w:rPr>
          <w:lang w:val="ru-RU"/>
        </w:rPr>
        <w:t xml:space="preserve"> 2010</w:t>
      </w:r>
      <w:r w:rsidRPr="007F6CEF">
        <w:rPr>
          <w:lang w:val="ru-RU"/>
        </w:rPr>
        <w:t> г.</w:t>
      </w:r>
      <w:r w:rsidR="00F60C11" w:rsidRPr="007F6CEF">
        <w:rPr>
          <w:lang w:val="ru-RU"/>
        </w:rPr>
        <w:t>)</w:t>
      </w:r>
      <w:r w:rsidRPr="007F6CEF">
        <w:rPr>
          <w:lang w:val="ru-RU"/>
        </w:rPr>
        <w:t xml:space="preserve"> ПК</w:t>
      </w:r>
      <w:r w:rsidR="00793FD8" w:rsidRPr="007F6CEF">
        <w:rPr>
          <w:lang w:val="ru-RU"/>
        </w:rPr>
        <w:t xml:space="preserve"> в мае 2013 года был проведен семинар-практикум </w:t>
      </w:r>
      <w:r w:rsidRPr="007F6CEF">
        <w:rPr>
          <w:lang w:val="ru-RU"/>
        </w:rPr>
        <w:t>"</w:t>
      </w:r>
      <w:r w:rsidR="00793FD8" w:rsidRPr="007F6CEF">
        <w:rPr>
          <w:i/>
          <w:lang w:val="ru-RU"/>
        </w:rPr>
        <w:t>Управление стратегическими рисками</w:t>
      </w:r>
      <w:r w:rsidR="00F60C11" w:rsidRPr="007F6CEF">
        <w:rPr>
          <w:i/>
          <w:lang w:val="ru-RU"/>
        </w:rPr>
        <w:t xml:space="preserve"> (SRM) </w:t>
      </w:r>
      <w:r w:rsidR="00793FD8" w:rsidRPr="007F6CEF">
        <w:rPr>
          <w:i/>
          <w:lang w:val="ru-RU"/>
        </w:rPr>
        <w:t>в</w:t>
      </w:r>
      <w:r w:rsidR="00F60C11" w:rsidRPr="007F6CEF">
        <w:rPr>
          <w:i/>
          <w:lang w:val="ru-RU"/>
        </w:rPr>
        <w:t xml:space="preserve"> </w:t>
      </w:r>
      <w:r w:rsidR="00E91ED8" w:rsidRPr="007F6CEF">
        <w:rPr>
          <w:i/>
          <w:lang w:val="ru-RU"/>
        </w:rPr>
        <w:t>МСЭ</w:t>
      </w:r>
      <w:r w:rsidRPr="007F6CEF">
        <w:rPr>
          <w:lang w:val="ru-RU"/>
        </w:rPr>
        <w:t>"</w:t>
      </w:r>
      <w:r w:rsidR="00793FD8" w:rsidRPr="007F6CEF">
        <w:rPr>
          <w:lang w:val="ru-RU"/>
        </w:rPr>
        <w:t xml:space="preserve">. </w:t>
      </w:r>
      <w:r w:rsidR="00520EAF" w:rsidRPr="007F6CEF">
        <w:rPr>
          <w:lang w:val="ru-RU"/>
        </w:rPr>
        <w:t>При подготовке семинара-практикума для исполнительного руководства по SRM р</w:t>
      </w:r>
      <w:r w:rsidR="00793FD8" w:rsidRPr="007F6CEF">
        <w:rPr>
          <w:lang w:val="ru-RU"/>
        </w:rPr>
        <w:t>уководств</w:t>
      </w:r>
      <w:r w:rsidR="00520EAF" w:rsidRPr="007F6CEF">
        <w:rPr>
          <w:lang w:val="ru-RU"/>
        </w:rPr>
        <w:t>у</w:t>
      </w:r>
      <w:r w:rsidR="00793FD8" w:rsidRPr="007F6CEF">
        <w:rPr>
          <w:lang w:val="ru-RU"/>
        </w:rPr>
        <w:t xml:space="preserve"> МСЭ </w:t>
      </w:r>
      <w:r w:rsidR="00520EAF" w:rsidRPr="007F6CEF">
        <w:rPr>
          <w:lang w:val="ru-RU"/>
        </w:rPr>
        <w:t xml:space="preserve">оказала поддержку и </w:t>
      </w:r>
      <w:r w:rsidR="002115C3" w:rsidRPr="007F6CEF">
        <w:rPr>
          <w:lang w:val="ru-RU"/>
        </w:rPr>
        <w:t>содействие</w:t>
      </w:r>
      <w:r w:rsidR="00520EAF" w:rsidRPr="007F6CEF">
        <w:rPr>
          <w:lang w:val="ru-RU"/>
        </w:rPr>
        <w:t xml:space="preserve"> консультативная компания </w:t>
      </w:r>
      <w:r w:rsidRPr="007F6CEF">
        <w:rPr>
          <w:lang w:val="ru-RU"/>
        </w:rPr>
        <w:t>"</w:t>
      </w:r>
      <w:r w:rsidR="00F60C11" w:rsidRPr="007F6CEF">
        <w:rPr>
          <w:i/>
          <w:lang w:val="ru-RU"/>
        </w:rPr>
        <w:t>Dalberg Global Development Advisors</w:t>
      </w:r>
      <w:r w:rsidRPr="007F6CEF">
        <w:rPr>
          <w:lang w:val="ru-RU"/>
        </w:rPr>
        <w:t>"</w:t>
      </w:r>
      <w:r w:rsidR="00F60C11" w:rsidRPr="007F6CEF">
        <w:rPr>
          <w:lang w:val="ru-RU"/>
        </w:rPr>
        <w:t>.</w:t>
      </w:r>
    </w:p>
    <w:p w:rsidR="00F60C11" w:rsidRPr="007F6CEF" w:rsidRDefault="00E91ED8" w:rsidP="00170B2C">
      <w:pPr>
        <w:rPr>
          <w:lang w:val="ru-RU"/>
        </w:rPr>
      </w:pPr>
      <w:r w:rsidRPr="007F6CEF">
        <w:rPr>
          <w:lang w:val="ru-RU"/>
        </w:rPr>
        <w:t>144</w:t>
      </w:r>
      <w:r w:rsidR="00F60C11" w:rsidRPr="007F6CEF">
        <w:rPr>
          <w:lang w:val="ru-RU"/>
        </w:rPr>
        <w:tab/>
        <w:t xml:space="preserve">IMAC </w:t>
      </w:r>
      <w:r w:rsidR="00167046" w:rsidRPr="007F6CEF">
        <w:rPr>
          <w:lang w:val="ru-RU"/>
        </w:rPr>
        <w:t xml:space="preserve">в своем годовом докладе за </w:t>
      </w:r>
      <w:r w:rsidR="00F60C11" w:rsidRPr="007F6CEF">
        <w:rPr>
          <w:lang w:val="ru-RU"/>
        </w:rPr>
        <w:t>2013</w:t>
      </w:r>
      <w:r w:rsidR="001961FA" w:rsidRPr="007F6CEF">
        <w:rPr>
          <w:lang w:val="ru-RU"/>
        </w:rPr>
        <w:t> </w:t>
      </w:r>
      <w:r w:rsidR="00167046" w:rsidRPr="007F6CEF">
        <w:rPr>
          <w:lang w:val="ru-RU"/>
        </w:rPr>
        <w:t>год</w:t>
      </w:r>
      <w:r w:rsidR="00F60C11" w:rsidRPr="007F6CEF">
        <w:rPr>
          <w:lang w:val="ru-RU"/>
        </w:rPr>
        <w:t xml:space="preserve"> </w:t>
      </w:r>
      <w:r w:rsidR="00A77EE9" w:rsidRPr="007F6CEF">
        <w:rPr>
          <w:lang w:val="ru-RU"/>
        </w:rPr>
        <w:t>рекоменд</w:t>
      </w:r>
      <w:r w:rsidR="00167046" w:rsidRPr="007F6CEF">
        <w:rPr>
          <w:lang w:val="ru-RU"/>
        </w:rPr>
        <w:t>овал</w:t>
      </w:r>
      <w:r w:rsidR="00F60C11" w:rsidRPr="007F6CEF">
        <w:rPr>
          <w:lang w:val="ru-RU"/>
        </w:rPr>
        <w:t xml:space="preserve"> </w:t>
      </w:r>
      <w:r w:rsidR="001961FA" w:rsidRPr="007F6CEF">
        <w:rPr>
          <w:lang w:val="ru-RU"/>
        </w:rPr>
        <w:t>"</w:t>
      </w:r>
      <w:r w:rsidR="00A77EE9" w:rsidRPr="007F6CEF">
        <w:rPr>
          <w:i/>
          <w:lang w:val="ru-RU"/>
        </w:rPr>
        <w:t>МСЭ продолжить в приоритетном порядке разработку мер по систематическому управлению рисками в масштабах всей организации, обеспечивая выделение необходимых бюджетных ресурсов</w:t>
      </w:r>
      <w:r w:rsidR="001961FA" w:rsidRPr="007F6CEF">
        <w:rPr>
          <w:lang w:val="ru-RU"/>
        </w:rPr>
        <w:t>"</w:t>
      </w:r>
      <w:r w:rsidR="00F60C11" w:rsidRPr="007F6CEF">
        <w:rPr>
          <w:lang w:val="ru-RU"/>
        </w:rPr>
        <w:t xml:space="preserve">; </w:t>
      </w:r>
      <w:r w:rsidR="00167046" w:rsidRPr="007F6CEF">
        <w:rPr>
          <w:lang w:val="ru-RU"/>
        </w:rPr>
        <w:t xml:space="preserve">в годовом докладе за 2014 год </w:t>
      </w:r>
      <w:r w:rsidR="00F60C11" w:rsidRPr="007F6CEF">
        <w:rPr>
          <w:lang w:val="ru-RU"/>
        </w:rPr>
        <w:t xml:space="preserve">IMAC </w:t>
      </w:r>
      <w:r w:rsidR="00167046" w:rsidRPr="007F6CEF">
        <w:rPr>
          <w:lang w:val="ru-RU"/>
        </w:rPr>
        <w:t>признал улучшения в подготовке проекта стратегического плана в аспекте идентификации рисков</w:t>
      </w:r>
      <w:r w:rsidR="00F60C11" w:rsidRPr="007F6CEF">
        <w:rPr>
          <w:lang w:val="ru-RU"/>
        </w:rPr>
        <w:t xml:space="preserve">; </w:t>
      </w:r>
      <w:r w:rsidR="00167046" w:rsidRPr="007F6CEF">
        <w:rPr>
          <w:lang w:val="ru-RU"/>
        </w:rPr>
        <w:t>тем не менее</w:t>
      </w:r>
      <w:r w:rsidR="00F60C11" w:rsidRPr="007F6CEF">
        <w:rPr>
          <w:lang w:val="ru-RU"/>
        </w:rPr>
        <w:t xml:space="preserve">, IMAC </w:t>
      </w:r>
      <w:r w:rsidR="00A77EE9" w:rsidRPr="007F6CEF">
        <w:rPr>
          <w:lang w:val="ru-RU"/>
        </w:rPr>
        <w:t>рекоменд</w:t>
      </w:r>
      <w:r w:rsidR="00167046" w:rsidRPr="007F6CEF">
        <w:rPr>
          <w:lang w:val="ru-RU"/>
        </w:rPr>
        <w:t>овал</w:t>
      </w:r>
      <w:r w:rsidR="00F60C11" w:rsidRPr="007F6CEF">
        <w:rPr>
          <w:lang w:val="ru-RU"/>
        </w:rPr>
        <w:t xml:space="preserve"> </w:t>
      </w:r>
      <w:r w:rsidR="001961FA" w:rsidRPr="007F6CEF">
        <w:rPr>
          <w:lang w:val="ru-RU"/>
        </w:rPr>
        <w:t>"</w:t>
      </w:r>
      <w:r w:rsidR="00A77EE9" w:rsidRPr="007F6CEF">
        <w:rPr>
          <w:i/>
          <w:lang w:val="ru-RU"/>
        </w:rPr>
        <w:t>продолжить разработку мер по систематическому управлению рисками и применять их на оперативном уровне в качестве непрерывной части бизнес-процесса с использованием реестра рисков с указанием ответственных за риски и регулярного рассмотрения на уровне высшего руководства</w:t>
      </w:r>
      <w:r w:rsidR="001961FA" w:rsidRPr="007F6CEF">
        <w:rPr>
          <w:lang w:val="ru-RU"/>
        </w:rPr>
        <w:t>"</w:t>
      </w:r>
      <w:r w:rsidR="00F60C11" w:rsidRPr="007F6CEF">
        <w:rPr>
          <w:lang w:val="ru-RU"/>
        </w:rPr>
        <w:t>.</w:t>
      </w:r>
    </w:p>
    <w:p w:rsidR="00F60C11" w:rsidRPr="007F6CEF" w:rsidRDefault="00E91ED8" w:rsidP="00170B2C">
      <w:pPr>
        <w:rPr>
          <w:lang w:val="ru-RU"/>
        </w:rPr>
      </w:pPr>
      <w:r w:rsidRPr="007F6CEF">
        <w:rPr>
          <w:lang w:val="ru-RU"/>
        </w:rPr>
        <w:t>145</w:t>
      </w:r>
      <w:r w:rsidR="00F60C11" w:rsidRPr="007F6CEF">
        <w:rPr>
          <w:lang w:val="ru-RU"/>
        </w:rPr>
        <w:tab/>
      </w:r>
      <w:r w:rsidR="00EE3AE8" w:rsidRPr="007F6CEF">
        <w:rPr>
          <w:lang w:val="ru-RU"/>
        </w:rPr>
        <w:t>В принципе</w:t>
      </w:r>
      <w:r w:rsidR="00F60C11" w:rsidRPr="007F6CEF">
        <w:rPr>
          <w:lang w:val="ru-RU"/>
        </w:rPr>
        <w:t xml:space="preserve"> 2010.A1 </w:t>
      </w:r>
      <w:r w:rsidR="00EE3AE8" w:rsidRPr="007F6CEF">
        <w:rPr>
          <w:lang w:val="ru-RU"/>
        </w:rPr>
        <w:t>стандартов</w:t>
      </w:r>
      <w:r w:rsidR="00F60C11" w:rsidRPr="007F6CEF">
        <w:rPr>
          <w:lang w:val="ru-RU"/>
        </w:rPr>
        <w:t xml:space="preserve"> IIA </w:t>
      </w:r>
      <w:r w:rsidR="00EE3AE8" w:rsidRPr="007F6CEF">
        <w:rPr>
          <w:lang w:val="ru-RU"/>
        </w:rPr>
        <w:t>предписывается следующее: "</w:t>
      </w:r>
      <w:r w:rsidR="00EE3AE8" w:rsidRPr="007F6CEF">
        <w:rPr>
          <w:i/>
          <w:iCs/>
          <w:lang w:val="ru-RU"/>
        </w:rPr>
        <w:t xml:space="preserve">План деятельности по внутреннему аудиту </w:t>
      </w:r>
      <w:r w:rsidR="00A96081" w:rsidRPr="007F6CEF">
        <w:rPr>
          <w:i/>
          <w:iCs/>
          <w:lang w:val="ru-RU"/>
        </w:rPr>
        <w:t>должен составляться на основе задокументированной оценки рисков, проводимой не реже одного раза в год</w:t>
      </w:r>
      <w:r w:rsidR="00A96081" w:rsidRPr="007F6CEF">
        <w:rPr>
          <w:lang w:val="ru-RU"/>
        </w:rPr>
        <w:t>"</w:t>
      </w:r>
      <w:r w:rsidR="00A96081" w:rsidRPr="007F6CEF">
        <w:rPr>
          <w:i/>
          <w:iCs/>
          <w:lang w:val="ru-RU"/>
        </w:rPr>
        <w:t xml:space="preserve">. </w:t>
      </w:r>
      <w:r w:rsidR="00A96081" w:rsidRPr="007F6CEF">
        <w:rPr>
          <w:lang w:val="ru-RU"/>
        </w:rPr>
        <w:t>Согласно Руководству МСЭ по внутреннему аудиту, руководитель</w:t>
      </w:r>
      <w:r w:rsidR="00F60C11" w:rsidRPr="007F6CEF">
        <w:rPr>
          <w:lang w:val="ru-RU"/>
        </w:rPr>
        <w:t xml:space="preserve"> IAU </w:t>
      </w:r>
      <w:r w:rsidR="00A96081" w:rsidRPr="007F6CEF">
        <w:rPr>
          <w:lang w:val="ru-RU"/>
        </w:rPr>
        <w:t>ведет реестр рисков</w:t>
      </w:r>
      <w:r w:rsidR="00F60C11" w:rsidRPr="007F6CEF">
        <w:rPr>
          <w:lang w:val="ru-RU"/>
        </w:rPr>
        <w:t>.</w:t>
      </w:r>
    </w:p>
    <w:p w:rsidR="00F60C11" w:rsidRPr="007F6CEF" w:rsidRDefault="00E91ED8" w:rsidP="00170B2C">
      <w:pPr>
        <w:rPr>
          <w:lang w:val="ru-RU"/>
        </w:rPr>
      </w:pPr>
      <w:r w:rsidRPr="007F6CEF">
        <w:rPr>
          <w:lang w:val="ru-RU"/>
        </w:rPr>
        <w:t>146</w:t>
      </w:r>
      <w:r w:rsidR="00F60C11" w:rsidRPr="007F6CEF">
        <w:rPr>
          <w:lang w:val="ru-RU"/>
        </w:rPr>
        <w:tab/>
      </w:r>
      <w:r w:rsidR="00A96081" w:rsidRPr="007F6CEF">
        <w:rPr>
          <w:lang w:val="ru-RU"/>
        </w:rPr>
        <w:t xml:space="preserve">В связи с этой темой мы отмечаем, что не имеется правил, касающихся частоты проведения аудиторской проверки каждой из крупных финансовых и нефинансовых функций организации; поскольку </w:t>
      </w:r>
      <w:r w:rsidR="00F60C11" w:rsidRPr="007F6CEF">
        <w:rPr>
          <w:lang w:val="ru-RU"/>
        </w:rPr>
        <w:t xml:space="preserve">ERM </w:t>
      </w:r>
      <w:r w:rsidR="00A96081" w:rsidRPr="007F6CEF">
        <w:rPr>
          <w:lang w:val="ru-RU"/>
        </w:rPr>
        <w:t xml:space="preserve">еще не внедрено, руководитель </w:t>
      </w:r>
      <w:r w:rsidR="00F60C11" w:rsidRPr="007F6CEF">
        <w:rPr>
          <w:lang w:val="ru-RU"/>
        </w:rPr>
        <w:t xml:space="preserve">IAU </w:t>
      </w:r>
      <w:r w:rsidR="00A96081" w:rsidRPr="007F6CEF">
        <w:rPr>
          <w:lang w:val="ru-RU"/>
        </w:rPr>
        <w:t xml:space="preserve">следует своему собственному реестру рисков и полученной от руководства информации для определения того, какие виды аудиторской проверки включать в план работы на год. </w:t>
      </w:r>
    </w:p>
    <w:p w:rsidR="00E91ED8" w:rsidRPr="007F6CEF" w:rsidRDefault="00E91ED8" w:rsidP="00170B2C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E91ED8" w:rsidRPr="00C21591" w:rsidTr="006521C2">
        <w:tc>
          <w:tcPr>
            <w:tcW w:w="9645" w:type="dxa"/>
          </w:tcPr>
          <w:p w:rsidR="00E91ED8" w:rsidRPr="007F6CEF" w:rsidRDefault="00E91ED8" w:rsidP="00170B2C">
            <w:pPr>
              <w:rPr>
                <w:b/>
                <w:bCs/>
                <w:u w:val="single"/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Рекомендация 5</w:t>
            </w:r>
          </w:p>
          <w:p w:rsidR="00E91ED8" w:rsidRPr="007F6CEF" w:rsidRDefault="00E91ED8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>147</w:t>
            </w:r>
            <w:r w:rsidRPr="007F6CEF">
              <w:rPr>
                <w:lang w:val="ru-RU"/>
              </w:rPr>
              <w:tab/>
            </w:r>
            <w:r w:rsidR="00A96081" w:rsidRPr="007F6CEF">
              <w:rPr>
                <w:lang w:val="ru-RU"/>
              </w:rPr>
              <w:t xml:space="preserve">Хотя мы знаем о том, что может оказаться сложным проводить оценку рисков в отсутствии </w:t>
            </w:r>
            <w:r w:rsidRPr="007F6CEF">
              <w:rPr>
                <w:lang w:val="ru-RU"/>
              </w:rPr>
              <w:t xml:space="preserve">ERM, </w:t>
            </w:r>
            <w:r w:rsidR="00A96081" w:rsidRPr="007F6CEF">
              <w:rPr>
                <w:u w:val="single"/>
                <w:lang w:val="ru-RU"/>
              </w:rPr>
              <w:t>мы рекомендуем</w:t>
            </w:r>
            <w:r w:rsidRPr="007F6CEF">
              <w:rPr>
                <w:lang w:val="ru-RU"/>
              </w:rPr>
              <w:t xml:space="preserve"> </w:t>
            </w:r>
            <w:r w:rsidR="00A96081" w:rsidRPr="007F6CEF">
              <w:rPr>
                <w:lang w:val="ru-RU"/>
              </w:rPr>
              <w:t xml:space="preserve">внутреннему аудитору </w:t>
            </w:r>
            <w:r w:rsidR="00DF17B8" w:rsidRPr="007F6CEF">
              <w:rPr>
                <w:lang w:val="ru-RU"/>
              </w:rPr>
              <w:t xml:space="preserve">усовершенствовать процесс составления плана аудиторской проверки, "основанного на оценке рисков", начав с составления реестра рисков и анализа рисков (проводимого ежегодно). </w:t>
            </w:r>
          </w:p>
        </w:tc>
      </w:tr>
    </w:tbl>
    <w:p w:rsidR="00E91ED8" w:rsidRPr="007F6CEF" w:rsidRDefault="00E91ED8" w:rsidP="00170B2C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E91ED8" w:rsidRPr="00C21591" w:rsidTr="006521C2">
        <w:trPr>
          <w:cantSplit/>
        </w:trPr>
        <w:tc>
          <w:tcPr>
            <w:tcW w:w="9645" w:type="dxa"/>
          </w:tcPr>
          <w:p w:rsidR="00E91ED8" w:rsidRPr="007F6CEF" w:rsidRDefault="00E91ED8" w:rsidP="00170B2C">
            <w:pPr>
              <w:rPr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7F6CEF">
              <w:rPr>
                <w:lang w:val="ru-RU"/>
              </w:rPr>
              <w:t>:</w:t>
            </w:r>
          </w:p>
          <w:p w:rsidR="00E91ED8" w:rsidRPr="007F6CEF" w:rsidRDefault="000E05CF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 xml:space="preserve">В соответствии с рекомендацией, также представленной </w:t>
            </w:r>
            <w:r w:rsidR="00E91ED8" w:rsidRPr="007F6CEF">
              <w:rPr>
                <w:lang w:val="ru-RU"/>
              </w:rPr>
              <w:t xml:space="preserve">IMAC, </w:t>
            </w:r>
            <w:r w:rsidRPr="007F6CEF">
              <w:rPr>
                <w:lang w:val="ru-RU"/>
              </w:rPr>
              <w:t xml:space="preserve">Подразделение внутреннего аудита усовершенствует процесс планирования и представит элементы плана аудиторской проверки, касающиеся анализа рисков и приоритетов. </w:t>
            </w:r>
          </w:p>
        </w:tc>
      </w:tr>
    </w:tbl>
    <w:p w:rsidR="00F60C11" w:rsidRPr="007F6CEF" w:rsidRDefault="00E0603F" w:rsidP="00170B2C">
      <w:pPr>
        <w:pStyle w:val="Headingb"/>
        <w:spacing w:before="240"/>
        <w:rPr>
          <w:lang w:val="ru-RU"/>
        </w:rPr>
      </w:pPr>
      <w:bookmarkStart w:id="235" w:name="_Toc398125354"/>
      <w:bookmarkStart w:id="236" w:name="_Toc398125833"/>
      <w:bookmarkStart w:id="237" w:name="_Toc398127111"/>
      <w:r w:rsidRPr="007F6CEF">
        <w:rPr>
          <w:lang w:val="ru-RU"/>
        </w:rPr>
        <w:t xml:space="preserve">Охватывает ли план работы </w:t>
      </w:r>
      <w:r w:rsidR="008116AC" w:rsidRPr="007F6CEF">
        <w:rPr>
          <w:lang w:val="ru-RU"/>
        </w:rPr>
        <w:t>на год достаточным образом все риски</w:t>
      </w:r>
      <w:r w:rsidR="00F60C11" w:rsidRPr="007F6CEF">
        <w:rPr>
          <w:lang w:val="ru-RU"/>
        </w:rPr>
        <w:t>?</w:t>
      </w:r>
      <w:bookmarkEnd w:id="235"/>
      <w:bookmarkEnd w:id="236"/>
      <w:bookmarkEnd w:id="237"/>
    </w:p>
    <w:p w:rsidR="00F60C11" w:rsidRPr="007F6CEF" w:rsidRDefault="00E91ED8" w:rsidP="00B47A48">
      <w:pPr>
        <w:rPr>
          <w:lang w:val="ru-RU"/>
        </w:rPr>
      </w:pPr>
      <w:r w:rsidRPr="007F6CEF">
        <w:rPr>
          <w:lang w:val="ru-RU"/>
        </w:rPr>
        <w:t>148</w:t>
      </w:r>
      <w:r w:rsidR="00F60C11" w:rsidRPr="007F6CEF">
        <w:rPr>
          <w:lang w:val="ru-RU"/>
        </w:rPr>
        <w:tab/>
      </w:r>
      <w:r w:rsidR="008116AC" w:rsidRPr="007F6CEF">
        <w:rPr>
          <w:lang w:val="ru-RU"/>
        </w:rPr>
        <w:t>В плане работы на 2013 год (AWP</w:t>
      </w:r>
      <w:r w:rsidR="00F60C11" w:rsidRPr="007F6CEF">
        <w:rPr>
          <w:lang w:val="ru-RU"/>
        </w:rPr>
        <w:t xml:space="preserve"> </w:t>
      </w:r>
      <w:r w:rsidRPr="007F6CEF">
        <w:rPr>
          <w:lang w:val="ru-RU"/>
        </w:rPr>
        <w:t>2013 г</w:t>
      </w:r>
      <w:r w:rsidR="00B47A48" w:rsidRPr="007F6CEF">
        <w:rPr>
          <w:lang w:val="ru-RU"/>
        </w:rPr>
        <w:t>.</w:t>
      </w:r>
      <w:r w:rsidR="008116AC" w:rsidRPr="007F6CEF">
        <w:rPr>
          <w:lang w:val="ru-RU"/>
        </w:rPr>
        <w:t>)</w:t>
      </w:r>
      <w:r w:rsidRPr="007F6CEF">
        <w:rPr>
          <w:lang w:val="ru-RU"/>
        </w:rPr>
        <w:t xml:space="preserve"> </w:t>
      </w:r>
      <w:r w:rsidR="008116AC" w:rsidRPr="007F6CEF">
        <w:rPr>
          <w:lang w:val="ru-RU"/>
        </w:rPr>
        <w:t>запланирован</w:t>
      </w:r>
      <w:r w:rsidR="006521C2" w:rsidRPr="007F6CEF">
        <w:rPr>
          <w:lang w:val="ru-RU"/>
        </w:rPr>
        <w:t>ы три аудиторские проверки (две </w:t>
      </w:r>
      <w:r w:rsidR="008116AC" w:rsidRPr="007F6CEF">
        <w:rPr>
          <w:lang w:val="ru-RU"/>
        </w:rPr>
        <w:t xml:space="preserve">из них касаются региональных и зональных отделений для СНГ </w:t>
      </w:r>
      <w:r w:rsidR="006521C2" w:rsidRPr="007F6CEF">
        <w:rPr>
          <w:lang w:val="ru-RU"/>
        </w:rPr>
        <w:t>и Северной и Южной Америки). За </w:t>
      </w:r>
      <w:r w:rsidR="008116AC" w:rsidRPr="007F6CEF">
        <w:rPr>
          <w:lang w:val="ru-RU"/>
        </w:rPr>
        <w:t>последние два года в штаб-квартире МСЭ не проводилось ни одно</w:t>
      </w:r>
      <w:r w:rsidR="009154A8" w:rsidRPr="007F6CEF">
        <w:rPr>
          <w:lang w:val="ru-RU"/>
        </w:rPr>
        <w:t xml:space="preserve">го аудита. </w:t>
      </w:r>
      <w:r w:rsidR="008116AC" w:rsidRPr="007F6CEF">
        <w:rPr>
          <w:lang w:val="ru-RU"/>
        </w:rPr>
        <w:t xml:space="preserve">В 2011 году были проведены только две аудиторские </w:t>
      </w:r>
      <w:r w:rsidR="009154A8" w:rsidRPr="007F6CEF">
        <w:rPr>
          <w:lang w:val="ru-RU"/>
        </w:rPr>
        <w:t>проверки, касающие</w:t>
      </w:r>
      <w:r w:rsidR="008116AC" w:rsidRPr="007F6CEF">
        <w:rPr>
          <w:lang w:val="ru-RU"/>
        </w:rPr>
        <w:t xml:space="preserve">ся </w:t>
      </w:r>
      <w:r w:rsidRPr="007F6CEF">
        <w:rPr>
          <w:lang w:val="ru-RU"/>
        </w:rPr>
        <w:t>"</w:t>
      </w:r>
      <w:r w:rsidR="008116AC" w:rsidRPr="007F6CEF">
        <w:rPr>
          <w:i/>
          <w:lang w:val="ru-RU"/>
        </w:rPr>
        <w:t>Расчета стоимости публикаций</w:t>
      </w:r>
      <w:r w:rsidRPr="007F6CEF">
        <w:rPr>
          <w:lang w:val="ru-RU"/>
        </w:rPr>
        <w:t>"</w:t>
      </w:r>
      <w:r w:rsidR="00F60C11" w:rsidRPr="007F6CEF">
        <w:rPr>
          <w:lang w:val="ru-RU"/>
        </w:rPr>
        <w:t xml:space="preserve"> </w:t>
      </w:r>
      <w:r w:rsidR="008116AC" w:rsidRPr="007F6CEF">
        <w:rPr>
          <w:lang w:val="ru-RU"/>
        </w:rPr>
        <w:t>и</w:t>
      </w:r>
      <w:r w:rsidR="00F60C11" w:rsidRPr="007F6CEF">
        <w:rPr>
          <w:lang w:val="ru-RU"/>
        </w:rPr>
        <w:t xml:space="preserve"> </w:t>
      </w:r>
      <w:r w:rsidRPr="007F6CEF">
        <w:rPr>
          <w:lang w:val="ru-RU"/>
        </w:rPr>
        <w:t>"</w:t>
      </w:r>
      <w:r w:rsidR="00405F18" w:rsidRPr="007F6CEF">
        <w:rPr>
          <w:i/>
          <w:lang w:val="ru-RU"/>
        </w:rPr>
        <w:t>Добровольных взносов</w:t>
      </w:r>
      <w:r w:rsidRPr="007F6CEF">
        <w:rPr>
          <w:lang w:val="ru-RU"/>
        </w:rPr>
        <w:t>"</w:t>
      </w:r>
      <w:r w:rsidR="00F60C11" w:rsidRPr="007F6CEF">
        <w:rPr>
          <w:lang w:val="ru-RU"/>
        </w:rPr>
        <w:t xml:space="preserve">. </w:t>
      </w:r>
      <w:r w:rsidR="00405F18" w:rsidRPr="007F6CEF">
        <w:rPr>
          <w:lang w:val="ru-RU"/>
        </w:rPr>
        <w:t xml:space="preserve">Однако мы отметили улучшения в аспекте количества аудиторских проверок, запланированных в </w:t>
      </w:r>
      <w:r w:rsidR="00F60C11" w:rsidRPr="007F6CEF">
        <w:rPr>
          <w:lang w:val="ru-RU"/>
        </w:rPr>
        <w:t>AWP</w:t>
      </w:r>
      <w:r w:rsidRPr="007F6CEF">
        <w:rPr>
          <w:lang w:val="ru-RU"/>
        </w:rPr>
        <w:t xml:space="preserve"> 2014 года</w:t>
      </w:r>
      <w:r w:rsidR="00F60C11" w:rsidRPr="007F6CEF">
        <w:rPr>
          <w:lang w:val="ru-RU"/>
        </w:rPr>
        <w:t>.</w:t>
      </w:r>
    </w:p>
    <w:p w:rsidR="00F60C11" w:rsidRPr="007F6CEF" w:rsidRDefault="00E91ED8" w:rsidP="00170B2C">
      <w:pPr>
        <w:rPr>
          <w:lang w:val="ru-RU"/>
        </w:rPr>
      </w:pPr>
      <w:r w:rsidRPr="007F6CEF">
        <w:rPr>
          <w:lang w:val="ru-RU"/>
        </w:rPr>
        <w:t>149</w:t>
      </w:r>
      <w:r w:rsidR="00F60C11" w:rsidRPr="007F6CEF">
        <w:rPr>
          <w:lang w:val="ru-RU"/>
        </w:rPr>
        <w:tab/>
      </w:r>
      <w:r w:rsidR="00F72272" w:rsidRPr="007F6CEF">
        <w:rPr>
          <w:lang w:val="ru-RU"/>
        </w:rPr>
        <w:t>В том что касается аудит</w:t>
      </w:r>
      <w:r w:rsidR="00924287" w:rsidRPr="007F6CEF">
        <w:rPr>
          <w:lang w:val="ru-RU"/>
        </w:rPr>
        <w:t>а</w:t>
      </w:r>
      <w:r w:rsidR="00F72272" w:rsidRPr="007F6CEF">
        <w:rPr>
          <w:lang w:val="ru-RU"/>
        </w:rPr>
        <w:t xml:space="preserve"> региональных отделений, мы проверили некоторые подтверждающие документы. Согласно </w:t>
      </w:r>
      <w:r w:rsidR="00F60C11" w:rsidRPr="007F6CEF">
        <w:rPr>
          <w:lang w:val="ru-RU"/>
        </w:rPr>
        <w:t>AWP</w:t>
      </w:r>
      <w:r w:rsidRPr="007F6CEF">
        <w:rPr>
          <w:lang w:val="ru-RU"/>
        </w:rPr>
        <w:t xml:space="preserve"> 2013 года</w:t>
      </w:r>
      <w:r w:rsidR="00F60C11" w:rsidRPr="007F6CEF">
        <w:rPr>
          <w:lang w:val="ru-RU"/>
        </w:rPr>
        <w:t xml:space="preserve">, </w:t>
      </w:r>
      <w:r w:rsidR="00F72272" w:rsidRPr="007F6CEF">
        <w:rPr>
          <w:lang w:val="ru-RU"/>
        </w:rPr>
        <w:t xml:space="preserve">сроки были соблюдены и отчеты были представлены Генеральному секретарю, который передал их соответствующим руководителям; предварительный анализ и обсуждения с руководством были должным образом задокументированы; все подтверждающие документы, связанные с аудиторскими проверками, были представлены проверяемым сторонам, отредактированы и утверждены руководителем </w:t>
      </w:r>
      <w:r w:rsidR="00F60C11" w:rsidRPr="007F6CEF">
        <w:rPr>
          <w:lang w:val="ru-RU"/>
        </w:rPr>
        <w:t xml:space="preserve">IAU; </w:t>
      </w:r>
      <w:r w:rsidR="00F72272" w:rsidRPr="007F6CEF">
        <w:rPr>
          <w:lang w:val="ru-RU"/>
        </w:rPr>
        <w:t xml:space="preserve">отчеты об аудите содержат рекомендации, все из которых были приняты руководством. </w:t>
      </w:r>
    </w:p>
    <w:p w:rsidR="00F60C11" w:rsidRPr="007F6CEF" w:rsidRDefault="00E91ED8" w:rsidP="00170B2C">
      <w:pPr>
        <w:rPr>
          <w:lang w:val="ru-RU"/>
        </w:rPr>
      </w:pPr>
      <w:r w:rsidRPr="007F6CEF">
        <w:rPr>
          <w:lang w:val="ru-RU"/>
        </w:rPr>
        <w:t>150</w:t>
      </w:r>
      <w:r w:rsidR="00F60C11" w:rsidRPr="007F6CEF">
        <w:rPr>
          <w:lang w:val="ru-RU"/>
        </w:rPr>
        <w:tab/>
      </w:r>
      <w:r w:rsidR="00F72272" w:rsidRPr="007F6CEF">
        <w:rPr>
          <w:lang w:val="ru-RU"/>
        </w:rPr>
        <w:t>Фактически, в прошлом году мы также использовали некоторые выводы</w:t>
      </w:r>
      <w:r w:rsidR="009154A8" w:rsidRPr="007F6CEF">
        <w:rPr>
          <w:lang w:val="ru-RU"/>
        </w:rPr>
        <w:t xml:space="preserve">, касающиеся региональных отделений. </w:t>
      </w:r>
    </w:p>
    <w:p w:rsidR="00F60C11" w:rsidRPr="007F6CEF" w:rsidRDefault="001232C0" w:rsidP="00170B2C">
      <w:pPr>
        <w:rPr>
          <w:lang w:val="ru-RU"/>
        </w:rPr>
      </w:pPr>
      <w:r w:rsidRPr="007F6CEF">
        <w:rPr>
          <w:lang w:val="ru-RU"/>
        </w:rPr>
        <w:t>151</w:t>
      </w:r>
      <w:r w:rsidR="00F60C11" w:rsidRPr="007F6CEF">
        <w:rPr>
          <w:lang w:val="ru-RU"/>
        </w:rPr>
        <w:tab/>
      </w:r>
      <w:r w:rsidR="009154A8" w:rsidRPr="007F6CEF">
        <w:rPr>
          <w:lang w:val="ru-RU"/>
        </w:rPr>
        <w:t xml:space="preserve">Кроме того, мы признаем, что согласно </w:t>
      </w:r>
      <w:r w:rsidR="003511F6" w:rsidRPr="007F6CEF">
        <w:rPr>
          <w:lang w:val="ru-RU"/>
        </w:rPr>
        <w:t>Р</w:t>
      </w:r>
      <w:r w:rsidR="009154A8" w:rsidRPr="007F6CEF">
        <w:rPr>
          <w:lang w:val="ru-RU"/>
        </w:rPr>
        <w:t xml:space="preserve">екомендации № 1 </w:t>
      </w:r>
      <w:r w:rsidR="00F60C11" w:rsidRPr="007F6CEF">
        <w:rPr>
          <w:lang w:val="ru-RU"/>
        </w:rPr>
        <w:t>IMAC</w:t>
      </w:r>
      <w:r w:rsidR="009154A8" w:rsidRPr="007F6CEF">
        <w:rPr>
          <w:lang w:val="ru-RU"/>
        </w:rPr>
        <w:t>, содержащейся во втором ежегодном отчете (</w:t>
      </w:r>
      <w:r w:rsidRPr="007F6CEF">
        <w:rPr>
          <w:lang w:val="ru-RU"/>
        </w:rPr>
        <w:t>Документ</w:t>
      </w:r>
      <w:r w:rsidR="00F60C11" w:rsidRPr="007F6CEF">
        <w:rPr>
          <w:lang w:val="ru-RU"/>
        </w:rPr>
        <w:t xml:space="preserve"> C13/65), </w:t>
      </w:r>
      <w:r w:rsidR="009154A8" w:rsidRPr="007F6CEF">
        <w:rPr>
          <w:lang w:val="ru-RU"/>
        </w:rPr>
        <w:t xml:space="preserve">план работы на год по внутреннему аудиту на 2014 год был представлен </w:t>
      </w:r>
      <w:r w:rsidR="00F9595F" w:rsidRPr="007F6CEF">
        <w:rPr>
          <w:lang w:val="ru-RU"/>
        </w:rPr>
        <w:t xml:space="preserve">в </w:t>
      </w:r>
      <w:r w:rsidR="00F60C11" w:rsidRPr="007F6CEF">
        <w:rPr>
          <w:lang w:val="ru-RU"/>
        </w:rPr>
        <w:t xml:space="preserve">IMAC </w:t>
      </w:r>
      <w:r w:rsidR="009154A8" w:rsidRPr="007F6CEF">
        <w:rPr>
          <w:lang w:val="ru-RU"/>
        </w:rPr>
        <w:t xml:space="preserve">до его утверждения Генеральным секретарем. </w:t>
      </w:r>
    </w:p>
    <w:p w:rsidR="001F4C3F" w:rsidRPr="007F6CEF" w:rsidRDefault="001F4C3F" w:rsidP="00170B2C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1F4C3F" w:rsidRPr="00C21591" w:rsidTr="006521C2">
        <w:tc>
          <w:tcPr>
            <w:tcW w:w="9645" w:type="dxa"/>
          </w:tcPr>
          <w:p w:rsidR="001F4C3F" w:rsidRPr="007F6CEF" w:rsidRDefault="001F4C3F" w:rsidP="00170B2C">
            <w:pPr>
              <w:rPr>
                <w:b/>
                <w:bCs/>
                <w:u w:val="single"/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Предложение 6</w:t>
            </w:r>
          </w:p>
          <w:p w:rsidR="001F4C3F" w:rsidRPr="007F6CEF" w:rsidRDefault="001F4C3F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>152</w:t>
            </w:r>
            <w:r w:rsidRPr="007F6CEF">
              <w:rPr>
                <w:lang w:val="ru-RU"/>
              </w:rPr>
              <w:tab/>
            </w:r>
            <w:r w:rsidR="003071BE" w:rsidRPr="007F6CEF">
              <w:rPr>
                <w:lang w:val="ru-RU"/>
              </w:rPr>
              <w:t xml:space="preserve">Согласно нашей предыдущей </w:t>
            </w:r>
            <w:r w:rsidR="003511F6" w:rsidRPr="007F6CEF">
              <w:rPr>
                <w:lang w:val="ru-RU"/>
              </w:rPr>
              <w:t>Р</w:t>
            </w:r>
            <w:r w:rsidR="003071BE" w:rsidRPr="007F6CEF">
              <w:rPr>
                <w:lang w:val="ru-RU"/>
              </w:rPr>
              <w:t>екомендации</w:t>
            </w:r>
            <w:r w:rsidRPr="007F6CEF">
              <w:rPr>
                <w:lang w:val="ru-RU"/>
              </w:rPr>
              <w:t xml:space="preserve"> № 5, </w:t>
            </w:r>
            <w:r w:rsidR="003071BE" w:rsidRPr="007F6CEF">
              <w:rPr>
                <w:lang w:val="ru-RU"/>
              </w:rPr>
              <w:t xml:space="preserve">увязка деятельности с рисками является, по нашему мнению, важной. Хотя мы заметили, что в </w:t>
            </w:r>
            <w:r w:rsidRPr="007F6CEF">
              <w:rPr>
                <w:lang w:val="ru-RU"/>
              </w:rPr>
              <w:t xml:space="preserve">AWP 2014 года </w:t>
            </w:r>
            <w:r w:rsidR="003071BE" w:rsidRPr="007F6CEF">
              <w:rPr>
                <w:lang w:val="ru-RU"/>
              </w:rPr>
              <w:t xml:space="preserve">запланировано проведение большего количества аудиторских проверок на уровне штаб-квартиры, </w:t>
            </w:r>
            <w:r w:rsidR="003071BE" w:rsidRPr="007F6CEF">
              <w:rPr>
                <w:u w:val="single"/>
                <w:lang w:val="ru-RU"/>
              </w:rPr>
              <w:t>мы предлагаем</w:t>
            </w:r>
            <w:r w:rsidRPr="007F6CEF">
              <w:rPr>
                <w:lang w:val="ru-RU"/>
              </w:rPr>
              <w:t xml:space="preserve"> IAU </w:t>
            </w:r>
            <w:r w:rsidR="003071BE" w:rsidRPr="007F6CEF">
              <w:rPr>
                <w:lang w:val="ru-RU"/>
              </w:rPr>
              <w:t xml:space="preserve">уточнить для Генерального секретаря и </w:t>
            </w:r>
            <w:r w:rsidRPr="007F6CEF">
              <w:rPr>
                <w:lang w:val="ru-RU"/>
              </w:rPr>
              <w:t xml:space="preserve">IMAC </w:t>
            </w:r>
            <w:r w:rsidR="003071BE" w:rsidRPr="007F6CEF">
              <w:rPr>
                <w:lang w:val="ru-RU"/>
              </w:rPr>
              <w:t xml:space="preserve">при утверждении </w:t>
            </w:r>
            <w:r w:rsidRPr="007F6CEF">
              <w:rPr>
                <w:lang w:val="ru-RU"/>
              </w:rPr>
              <w:t>AWP</w:t>
            </w:r>
            <w:r w:rsidR="003071BE" w:rsidRPr="007F6CEF">
              <w:rPr>
                <w:lang w:val="ru-RU"/>
              </w:rPr>
              <w:t xml:space="preserve">, является ли количество запланированных аудиторских проверок достаточным для </w:t>
            </w:r>
            <w:r w:rsidR="00F9595F" w:rsidRPr="007F6CEF">
              <w:rPr>
                <w:lang w:val="ru-RU"/>
              </w:rPr>
              <w:t>охвата</w:t>
            </w:r>
            <w:r w:rsidR="003071BE" w:rsidRPr="007F6CEF">
              <w:rPr>
                <w:lang w:val="ru-RU"/>
              </w:rPr>
              <w:t xml:space="preserve"> основных установленных рисков. </w:t>
            </w:r>
          </w:p>
        </w:tc>
      </w:tr>
    </w:tbl>
    <w:p w:rsidR="001F4C3F" w:rsidRPr="007F6CEF" w:rsidRDefault="001F4C3F" w:rsidP="00FD09B4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1F4C3F" w:rsidRPr="00C21591" w:rsidTr="006521C2">
        <w:trPr>
          <w:cantSplit/>
        </w:trPr>
        <w:tc>
          <w:tcPr>
            <w:tcW w:w="9645" w:type="dxa"/>
          </w:tcPr>
          <w:p w:rsidR="001F4C3F" w:rsidRPr="007F6CEF" w:rsidRDefault="001F4C3F" w:rsidP="00170B2C">
            <w:pPr>
              <w:rPr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7F6CEF">
              <w:rPr>
                <w:lang w:val="ru-RU"/>
              </w:rPr>
              <w:t>:</w:t>
            </w:r>
          </w:p>
          <w:p w:rsidR="001F4C3F" w:rsidRPr="007F6CEF" w:rsidRDefault="003071BE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 xml:space="preserve">Подразделению внутреннего аудита будет поставлена </w:t>
            </w:r>
            <w:r w:rsidR="00A03617" w:rsidRPr="007F6CEF">
              <w:rPr>
                <w:lang w:val="ru-RU"/>
              </w:rPr>
              <w:t>задача</w:t>
            </w:r>
            <w:r w:rsidRPr="007F6CEF">
              <w:rPr>
                <w:lang w:val="ru-RU"/>
              </w:rPr>
              <w:t xml:space="preserve"> сообщ</w:t>
            </w:r>
            <w:r w:rsidR="003511F6" w:rsidRPr="007F6CEF">
              <w:rPr>
                <w:lang w:val="ru-RU"/>
              </w:rPr>
              <w:t>а</w:t>
            </w:r>
            <w:r w:rsidRPr="007F6CEF">
              <w:rPr>
                <w:lang w:val="ru-RU"/>
              </w:rPr>
              <w:t xml:space="preserve">ть </w:t>
            </w:r>
            <w:r w:rsidR="003511F6" w:rsidRPr="007F6CEF">
              <w:rPr>
                <w:lang w:val="ru-RU"/>
              </w:rPr>
              <w:t>Генеральному секретарю и</w:t>
            </w:r>
            <w:r w:rsidR="001F4C3F" w:rsidRPr="007F6CEF">
              <w:rPr>
                <w:lang w:val="ru-RU"/>
              </w:rPr>
              <w:t xml:space="preserve"> IMAC</w:t>
            </w:r>
            <w:r w:rsidR="003511F6" w:rsidRPr="007F6CEF">
              <w:rPr>
                <w:lang w:val="ru-RU"/>
              </w:rPr>
              <w:t xml:space="preserve">, были ли установлены какие-либо пробелы в сфере охвата аудита. </w:t>
            </w:r>
          </w:p>
        </w:tc>
      </w:tr>
    </w:tbl>
    <w:p w:rsidR="00F60C11" w:rsidRPr="007F6CEF" w:rsidRDefault="00F60C11" w:rsidP="00170B2C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1F4C3F" w:rsidRPr="00C21591" w:rsidTr="006521C2">
        <w:tc>
          <w:tcPr>
            <w:tcW w:w="9645" w:type="dxa"/>
          </w:tcPr>
          <w:p w:rsidR="001F4C3F" w:rsidRPr="007F6CEF" w:rsidRDefault="001F4C3F" w:rsidP="00170B2C">
            <w:pPr>
              <w:rPr>
                <w:b/>
                <w:bCs/>
                <w:u w:val="single"/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Предложение 7</w:t>
            </w:r>
          </w:p>
          <w:p w:rsidR="001F4C3F" w:rsidRPr="007F6CEF" w:rsidRDefault="001F4C3F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>153</w:t>
            </w:r>
            <w:r w:rsidRPr="007F6CEF">
              <w:rPr>
                <w:lang w:val="ru-RU"/>
              </w:rPr>
              <w:tab/>
            </w:r>
            <w:r w:rsidR="003511F6" w:rsidRPr="007F6CEF">
              <w:rPr>
                <w:lang w:val="ru-RU"/>
              </w:rPr>
              <w:t>Согласно нашему предыдущему</w:t>
            </w:r>
            <w:r w:rsidRPr="007F6CEF">
              <w:rPr>
                <w:lang w:val="ru-RU"/>
              </w:rPr>
              <w:t xml:space="preserve"> Предложени</w:t>
            </w:r>
            <w:r w:rsidR="003511F6" w:rsidRPr="007F6CEF">
              <w:rPr>
                <w:lang w:val="ru-RU"/>
              </w:rPr>
              <w:t>ю</w:t>
            </w:r>
            <w:r w:rsidRPr="007F6CEF">
              <w:rPr>
                <w:lang w:val="ru-RU"/>
              </w:rPr>
              <w:t xml:space="preserve"> № 5, </w:t>
            </w:r>
            <w:r w:rsidR="007545C1" w:rsidRPr="007F6CEF">
              <w:rPr>
                <w:lang w:val="ru-RU"/>
              </w:rPr>
              <w:t>учитывая,</w:t>
            </w:r>
            <w:r w:rsidR="00BC0397" w:rsidRPr="007F6CEF">
              <w:rPr>
                <w:lang w:val="ru-RU"/>
              </w:rPr>
              <w:t xml:space="preserve"> что может оказаться сложным </w:t>
            </w:r>
            <w:r w:rsidR="00F9595F" w:rsidRPr="007F6CEF">
              <w:rPr>
                <w:lang w:val="ru-RU"/>
              </w:rPr>
              <w:t>охватить</w:t>
            </w:r>
            <w:r w:rsidR="00BC0397" w:rsidRPr="007F6CEF">
              <w:rPr>
                <w:lang w:val="ru-RU"/>
              </w:rPr>
              <w:t xml:space="preserve"> все риски, установленные в том или ином конкретном году, </w:t>
            </w:r>
            <w:r w:rsidR="00BC0397" w:rsidRPr="007F6CEF">
              <w:rPr>
                <w:u w:val="single"/>
                <w:lang w:val="ru-RU"/>
              </w:rPr>
              <w:t>мы предлагаем</w:t>
            </w:r>
            <w:r w:rsidRPr="007F6CEF">
              <w:rPr>
                <w:lang w:val="ru-RU"/>
              </w:rPr>
              <w:t xml:space="preserve"> </w:t>
            </w:r>
            <w:r w:rsidR="00BC0397" w:rsidRPr="007F6CEF">
              <w:rPr>
                <w:lang w:val="ru-RU"/>
              </w:rPr>
              <w:t>Подразделению внутренне</w:t>
            </w:r>
            <w:r w:rsidR="007545C1" w:rsidRPr="007F6CEF">
              <w:rPr>
                <w:lang w:val="ru-RU"/>
              </w:rPr>
              <w:t>го</w:t>
            </w:r>
            <w:r w:rsidR="00BC0397" w:rsidRPr="007F6CEF">
              <w:rPr>
                <w:lang w:val="ru-RU"/>
              </w:rPr>
              <w:t xml:space="preserve"> аудит</w:t>
            </w:r>
            <w:r w:rsidR="007545C1" w:rsidRPr="007F6CEF">
              <w:rPr>
                <w:lang w:val="ru-RU"/>
              </w:rPr>
              <w:t>а</w:t>
            </w:r>
            <w:r w:rsidR="00BC0397" w:rsidRPr="007F6CEF">
              <w:rPr>
                <w:lang w:val="ru-RU"/>
              </w:rPr>
              <w:t xml:space="preserve"> представить в плане работы на несколько лет такое количество аудиторских проверок, которое достаточно для </w:t>
            </w:r>
            <w:r w:rsidR="00F9595F" w:rsidRPr="007F6CEF">
              <w:rPr>
                <w:lang w:val="ru-RU"/>
              </w:rPr>
              <w:t>охвата</w:t>
            </w:r>
            <w:r w:rsidR="00BC0397" w:rsidRPr="007F6CEF">
              <w:rPr>
                <w:lang w:val="ru-RU"/>
              </w:rPr>
              <w:t xml:space="preserve"> в течение определенного срока основных установленных рисков. </w:t>
            </w:r>
          </w:p>
        </w:tc>
      </w:tr>
    </w:tbl>
    <w:p w:rsidR="001F4C3F" w:rsidRPr="007F6CEF" w:rsidRDefault="001F4C3F" w:rsidP="00FD09B4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1F4C3F" w:rsidRPr="00C21591" w:rsidTr="006521C2">
        <w:trPr>
          <w:cantSplit/>
        </w:trPr>
        <w:tc>
          <w:tcPr>
            <w:tcW w:w="9645" w:type="dxa"/>
          </w:tcPr>
          <w:p w:rsidR="001F4C3F" w:rsidRPr="007F6CEF" w:rsidRDefault="001F4C3F" w:rsidP="00170B2C">
            <w:pPr>
              <w:rPr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7F6CEF">
              <w:rPr>
                <w:lang w:val="ru-RU"/>
              </w:rPr>
              <w:t>:</w:t>
            </w:r>
          </w:p>
          <w:p w:rsidR="001F4C3F" w:rsidRPr="007F6CEF" w:rsidRDefault="00A03617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 xml:space="preserve">Подразделение внутреннего аудита </w:t>
            </w:r>
            <w:r w:rsidR="0034186A" w:rsidRPr="007F6CEF">
              <w:rPr>
                <w:lang w:val="ru-RU"/>
              </w:rPr>
              <w:t xml:space="preserve">будет стремиться расширить планирование аудита на несколько лет с учетом того, чтобы аудит охватывал основные риски, установленные Подразделением. </w:t>
            </w:r>
          </w:p>
        </w:tc>
      </w:tr>
    </w:tbl>
    <w:p w:rsidR="00B47A48" w:rsidRPr="007F6CEF" w:rsidRDefault="00B47A48" w:rsidP="00B47A48">
      <w:pPr>
        <w:pStyle w:val="Headingb"/>
        <w:spacing w:before="240"/>
        <w:rPr>
          <w:rFonts w:ascii="Calibri" w:hAnsi="Calibri"/>
          <w:lang w:val="ru-RU"/>
        </w:rPr>
      </w:pPr>
      <w:bookmarkStart w:id="238" w:name="_Toc398127112"/>
      <w:r w:rsidRPr="007F6CEF">
        <w:rPr>
          <w:lang w:val="ru-RU"/>
        </w:rPr>
        <w:t>Являются ли выделенные IAU ресурсы достаточными?</w:t>
      </w:r>
      <w:bookmarkEnd w:id="238"/>
    </w:p>
    <w:p w:rsidR="00F60C11" w:rsidRPr="007F6CEF" w:rsidRDefault="001F4C3F" w:rsidP="00170B2C">
      <w:pPr>
        <w:rPr>
          <w:lang w:val="ru-RU"/>
        </w:rPr>
      </w:pPr>
      <w:r w:rsidRPr="007F6CEF">
        <w:rPr>
          <w:lang w:val="ru-RU"/>
        </w:rPr>
        <w:t>154</w:t>
      </w:r>
      <w:r w:rsidR="00F60C11" w:rsidRPr="007F6CEF">
        <w:rPr>
          <w:lang w:val="ru-RU"/>
        </w:rPr>
        <w:tab/>
      </w:r>
      <w:r w:rsidR="0034186A" w:rsidRPr="007F6CEF">
        <w:rPr>
          <w:lang w:val="ru-RU"/>
        </w:rPr>
        <w:t>Мы используем результаты проведенного</w:t>
      </w:r>
      <w:r w:rsidR="00F60C11" w:rsidRPr="007F6CEF">
        <w:rPr>
          <w:lang w:val="ru-RU"/>
        </w:rPr>
        <w:t xml:space="preserve"> IMAC </w:t>
      </w:r>
      <w:r w:rsidR="0034186A" w:rsidRPr="007F6CEF">
        <w:rPr>
          <w:lang w:val="ru-RU"/>
        </w:rPr>
        <w:t>анализа, касающегося необходимости изучения возможного увеличения ресурсов, распределяемых</w:t>
      </w:r>
      <w:r w:rsidR="00F60C11" w:rsidRPr="007F6CEF">
        <w:rPr>
          <w:lang w:val="ru-RU"/>
        </w:rPr>
        <w:t xml:space="preserve"> IAU; </w:t>
      </w:r>
      <w:r w:rsidR="0034186A" w:rsidRPr="007F6CEF">
        <w:rPr>
          <w:lang w:val="ru-RU"/>
        </w:rPr>
        <w:t>кроме того, мы принимаем во внимание тот факт, что Генеральный секретарь на данное время ответил</w:t>
      </w:r>
      <w:r w:rsidR="00F60C11" w:rsidRPr="007F6CEF">
        <w:rPr>
          <w:lang w:val="ru-RU"/>
        </w:rPr>
        <w:t xml:space="preserve"> IMAC</w:t>
      </w:r>
      <w:r w:rsidR="0034186A" w:rsidRPr="007F6CEF">
        <w:rPr>
          <w:lang w:val="ru-RU"/>
        </w:rPr>
        <w:t xml:space="preserve">, что увеличение ресурсов, предоставляемых </w:t>
      </w:r>
      <w:r w:rsidR="00E01999" w:rsidRPr="007F6CEF">
        <w:rPr>
          <w:lang w:val="ru-RU"/>
        </w:rPr>
        <w:t>сейчас</w:t>
      </w:r>
      <w:r w:rsidR="0034186A" w:rsidRPr="007F6CEF">
        <w:rPr>
          <w:lang w:val="ru-RU"/>
        </w:rPr>
        <w:t xml:space="preserve"> Подразделению, невозможно. </w:t>
      </w:r>
    </w:p>
    <w:p w:rsidR="00F60C11" w:rsidRPr="007F6CEF" w:rsidRDefault="001F4C3F" w:rsidP="00170B2C">
      <w:pPr>
        <w:rPr>
          <w:lang w:val="ru-RU"/>
        </w:rPr>
      </w:pPr>
      <w:r w:rsidRPr="007F6CEF">
        <w:rPr>
          <w:lang w:val="ru-RU"/>
        </w:rPr>
        <w:t>155</w:t>
      </w:r>
      <w:r w:rsidR="00F60C11" w:rsidRPr="007F6CEF">
        <w:rPr>
          <w:lang w:val="ru-RU"/>
        </w:rPr>
        <w:tab/>
      </w:r>
      <w:r w:rsidR="0034186A" w:rsidRPr="007F6CEF">
        <w:rPr>
          <w:lang w:val="ru-RU"/>
        </w:rPr>
        <w:t xml:space="preserve">Мы считаем, что оценить, достаточно ли ресурсов для проведения аудиторской проверки всех рисков и более крупных областей деятельности Союза, можно только </w:t>
      </w:r>
      <w:r w:rsidR="00E01999" w:rsidRPr="007F6CEF">
        <w:rPr>
          <w:lang w:val="ru-RU"/>
        </w:rPr>
        <w:t xml:space="preserve">благодаря внедрению анализа существующих рисков и мониторингу времени, требуемого для аудита. </w:t>
      </w:r>
    </w:p>
    <w:p w:rsidR="001F4C3F" w:rsidRPr="007F6CEF" w:rsidRDefault="001F4C3F" w:rsidP="00170B2C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1F4C3F" w:rsidRPr="00C21591" w:rsidTr="006521C2">
        <w:tc>
          <w:tcPr>
            <w:tcW w:w="9645" w:type="dxa"/>
          </w:tcPr>
          <w:p w:rsidR="001F4C3F" w:rsidRPr="007F6CEF" w:rsidRDefault="001F4C3F" w:rsidP="00170B2C">
            <w:pPr>
              <w:rPr>
                <w:b/>
                <w:bCs/>
                <w:u w:val="single"/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Предложение 8</w:t>
            </w:r>
          </w:p>
          <w:p w:rsidR="001F4C3F" w:rsidRPr="007F6CEF" w:rsidRDefault="001F4C3F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>156</w:t>
            </w:r>
            <w:r w:rsidRPr="007F6CEF">
              <w:rPr>
                <w:lang w:val="ru-RU"/>
              </w:rPr>
              <w:tab/>
            </w:r>
            <w:r w:rsidR="00E01999" w:rsidRPr="007F6CEF">
              <w:rPr>
                <w:lang w:val="ru-RU"/>
              </w:rPr>
              <w:t xml:space="preserve">Хотя мы признаем наличие детальной системы отслеживания времени, </w:t>
            </w:r>
            <w:r w:rsidR="00E01999" w:rsidRPr="007F6CEF">
              <w:rPr>
                <w:u w:val="single"/>
                <w:lang w:val="ru-RU"/>
              </w:rPr>
              <w:t>мы предлагаем</w:t>
            </w:r>
            <w:r w:rsidRPr="007F6CEF">
              <w:rPr>
                <w:lang w:val="ru-RU"/>
              </w:rPr>
              <w:t xml:space="preserve"> IAU </w:t>
            </w:r>
            <w:r w:rsidR="00E01999" w:rsidRPr="007F6CEF">
              <w:rPr>
                <w:lang w:val="ru-RU"/>
              </w:rPr>
              <w:t xml:space="preserve">увязать ее со всеми возможными задачами, предусмотренными в </w:t>
            </w:r>
            <w:r w:rsidRPr="007F6CEF">
              <w:rPr>
                <w:lang w:val="ru-RU"/>
              </w:rPr>
              <w:t xml:space="preserve">AWP </w:t>
            </w:r>
            <w:r w:rsidR="00E01999" w:rsidRPr="007F6CEF">
              <w:rPr>
                <w:lang w:val="ru-RU"/>
              </w:rPr>
              <w:t xml:space="preserve">и в плане работы на несколько лет </w:t>
            </w:r>
            <w:r w:rsidRPr="007F6CEF">
              <w:rPr>
                <w:lang w:val="ru-RU"/>
              </w:rPr>
              <w:t xml:space="preserve">(см. Предложение № 7), </w:t>
            </w:r>
            <w:r w:rsidR="00E01999" w:rsidRPr="007F6CEF">
              <w:rPr>
                <w:lang w:val="ru-RU"/>
              </w:rPr>
              <w:t xml:space="preserve">с тем чтобы ГС можно было предоставить больше элементов и информации для принятия в будущем решения о том, достаточно ли ресурсов у </w:t>
            </w:r>
            <w:r w:rsidRPr="007F6CEF">
              <w:rPr>
                <w:lang w:val="ru-RU"/>
              </w:rPr>
              <w:t>IAU.</w:t>
            </w:r>
          </w:p>
        </w:tc>
      </w:tr>
    </w:tbl>
    <w:p w:rsidR="001F4C3F" w:rsidRPr="007F6CEF" w:rsidRDefault="001F4C3F" w:rsidP="00170B2C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1F4C3F" w:rsidRPr="00C21591" w:rsidTr="006521C2">
        <w:trPr>
          <w:cantSplit/>
        </w:trPr>
        <w:tc>
          <w:tcPr>
            <w:tcW w:w="9645" w:type="dxa"/>
          </w:tcPr>
          <w:p w:rsidR="001F4C3F" w:rsidRPr="007F6CEF" w:rsidRDefault="001F4C3F" w:rsidP="00170B2C">
            <w:pPr>
              <w:rPr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7F6CEF">
              <w:rPr>
                <w:lang w:val="ru-RU"/>
              </w:rPr>
              <w:t>:</w:t>
            </w:r>
          </w:p>
          <w:p w:rsidR="001F4C3F" w:rsidRPr="007F6CEF" w:rsidRDefault="00CB2359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>Подразделени</w:t>
            </w:r>
            <w:r w:rsidR="00E01999" w:rsidRPr="007F6CEF">
              <w:rPr>
                <w:lang w:val="ru-RU"/>
              </w:rPr>
              <w:t>ю</w:t>
            </w:r>
            <w:r w:rsidRPr="007F6CEF">
              <w:rPr>
                <w:lang w:val="ru-RU"/>
              </w:rPr>
              <w:t xml:space="preserve"> внутреннего аудита </w:t>
            </w:r>
            <w:r w:rsidR="00E01999" w:rsidRPr="007F6CEF">
              <w:rPr>
                <w:lang w:val="ru-RU"/>
              </w:rPr>
              <w:t xml:space="preserve">будет дано поручение продолжить отслеживать свое время и на регулярной основе сообщать о прогрессе, достигнутом по сравнению с </w:t>
            </w:r>
            <w:r w:rsidR="001F4C3F" w:rsidRPr="007F6CEF">
              <w:rPr>
                <w:lang w:val="ru-RU"/>
              </w:rPr>
              <w:t>AWP.</w:t>
            </w:r>
          </w:p>
        </w:tc>
      </w:tr>
    </w:tbl>
    <w:p w:rsidR="00F60C11" w:rsidRPr="007F6CEF" w:rsidRDefault="00E01999" w:rsidP="00170B2C">
      <w:pPr>
        <w:pStyle w:val="Headingb"/>
        <w:spacing w:before="240"/>
        <w:rPr>
          <w:lang w:val="ru-RU"/>
        </w:rPr>
      </w:pPr>
      <w:bookmarkStart w:id="239" w:name="_Toc398125355"/>
      <w:bookmarkStart w:id="240" w:name="_Toc398125834"/>
      <w:bookmarkStart w:id="241" w:name="_Toc398127113"/>
      <w:r w:rsidRPr="007F6CEF">
        <w:rPr>
          <w:lang w:val="ru-RU"/>
        </w:rPr>
        <w:t>Автономия и независимость Подразделения внутреннего аудита</w:t>
      </w:r>
      <w:bookmarkEnd w:id="239"/>
      <w:bookmarkEnd w:id="240"/>
      <w:bookmarkEnd w:id="241"/>
    </w:p>
    <w:p w:rsidR="00F60C11" w:rsidRPr="007F6CEF" w:rsidRDefault="001F4C3F" w:rsidP="00170B2C">
      <w:pPr>
        <w:rPr>
          <w:lang w:val="ru-RU"/>
        </w:rPr>
      </w:pPr>
      <w:r w:rsidRPr="007F6CEF">
        <w:rPr>
          <w:lang w:val="ru-RU"/>
        </w:rPr>
        <w:t>157</w:t>
      </w:r>
      <w:r w:rsidR="00F60C11" w:rsidRPr="007F6CEF">
        <w:rPr>
          <w:lang w:val="ru-RU"/>
        </w:rPr>
        <w:tab/>
      </w:r>
      <w:r w:rsidR="001869F6" w:rsidRPr="007F6CEF">
        <w:rPr>
          <w:lang w:val="ru-RU"/>
        </w:rPr>
        <w:t>Запланированная на 2013 год третья аудиторская проверка касалась внутренней нормативной баз</w:t>
      </w:r>
      <w:r w:rsidR="009D634A" w:rsidRPr="007F6CEF">
        <w:rPr>
          <w:lang w:val="ru-RU"/>
        </w:rPr>
        <w:t>ы</w:t>
      </w:r>
      <w:r w:rsidR="001869F6" w:rsidRPr="007F6CEF">
        <w:rPr>
          <w:lang w:val="ru-RU"/>
        </w:rPr>
        <w:t xml:space="preserve"> МСЭ (служебных приказов); в связи с изменением приоритетов она была отменена Генеральным секретарем, который назначил со</w:t>
      </w:r>
      <w:r w:rsidR="005F7A9B" w:rsidRPr="007F6CEF">
        <w:rPr>
          <w:lang w:val="ru-RU"/>
        </w:rPr>
        <w:t>ответствующий департамент – при </w:t>
      </w:r>
      <w:r w:rsidR="001869F6" w:rsidRPr="007F6CEF">
        <w:rPr>
          <w:lang w:val="ru-RU"/>
        </w:rPr>
        <w:t xml:space="preserve">координации с </w:t>
      </w:r>
      <w:r w:rsidR="00F60C11" w:rsidRPr="007F6CEF">
        <w:rPr>
          <w:lang w:val="ru-RU"/>
        </w:rPr>
        <w:t xml:space="preserve">JUR </w:t>
      </w:r>
      <w:r w:rsidR="001869F6" w:rsidRPr="007F6CEF">
        <w:rPr>
          <w:lang w:val="ru-RU"/>
        </w:rPr>
        <w:t>и</w:t>
      </w:r>
      <w:r w:rsidR="00F60C11" w:rsidRPr="007F6CEF">
        <w:rPr>
          <w:lang w:val="ru-RU"/>
        </w:rPr>
        <w:t xml:space="preserve"> HRMD – </w:t>
      </w:r>
      <w:r w:rsidR="001869F6" w:rsidRPr="007F6CEF">
        <w:rPr>
          <w:lang w:val="ru-RU"/>
        </w:rPr>
        <w:t xml:space="preserve">для рассмотрения служебных приказов. </w:t>
      </w:r>
    </w:p>
    <w:p w:rsidR="00F60C11" w:rsidRPr="007F6CEF" w:rsidRDefault="001F4C3F" w:rsidP="00170B2C">
      <w:pPr>
        <w:rPr>
          <w:lang w:val="ru-RU"/>
        </w:rPr>
      </w:pPr>
      <w:r w:rsidRPr="007F6CEF">
        <w:rPr>
          <w:lang w:val="ru-RU"/>
        </w:rPr>
        <w:t>158</w:t>
      </w:r>
      <w:r w:rsidR="00F60C11" w:rsidRPr="007F6CEF">
        <w:rPr>
          <w:lang w:val="ru-RU"/>
        </w:rPr>
        <w:tab/>
      </w:r>
      <w:r w:rsidR="001869F6" w:rsidRPr="007F6CEF">
        <w:rPr>
          <w:lang w:val="ru-RU"/>
        </w:rPr>
        <w:t>В бюджете</w:t>
      </w:r>
      <w:r w:rsidR="00F60C11" w:rsidRPr="007F6CEF">
        <w:rPr>
          <w:lang w:val="ru-RU"/>
        </w:rPr>
        <w:t xml:space="preserve"> IAU </w:t>
      </w:r>
      <w:r w:rsidR="001869F6" w:rsidRPr="007F6CEF">
        <w:rPr>
          <w:lang w:val="ru-RU"/>
        </w:rPr>
        <w:t xml:space="preserve">предусмотрено ассигновать небольшую сумму на контрактные услуги </w:t>
      </w:r>
      <w:r w:rsidRPr="007F6CEF">
        <w:rPr>
          <w:lang w:val="ru-RU"/>
        </w:rPr>
        <w:t>(5000 швейцарских франков на</w:t>
      </w:r>
      <w:r w:rsidR="00F60C11" w:rsidRPr="007F6CEF">
        <w:rPr>
          <w:lang w:val="ru-RU"/>
        </w:rPr>
        <w:t xml:space="preserve"> 2014</w:t>
      </w:r>
      <w:r w:rsidRPr="007F6CEF">
        <w:rPr>
          <w:lang w:val="ru-RU"/>
        </w:rPr>
        <w:t> г.</w:t>
      </w:r>
      <w:r w:rsidR="00F60C11" w:rsidRPr="007F6CEF">
        <w:rPr>
          <w:lang w:val="ru-RU"/>
        </w:rPr>
        <w:t xml:space="preserve">); </w:t>
      </w:r>
      <w:r w:rsidR="001869F6" w:rsidRPr="007F6CEF">
        <w:rPr>
          <w:lang w:val="ru-RU"/>
        </w:rPr>
        <w:t>с другой стороны, руководитель</w:t>
      </w:r>
      <w:r w:rsidR="00F60C11" w:rsidRPr="007F6CEF">
        <w:rPr>
          <w:lang w:val="ru-RU"/>
        </w:rPr>
        <w:t xml:space="preserve"> IAU </w:t>
      </w:r>
      <w:r w:rsidR="001869F6" w:rsidRPr="007F6CEF">
        <w:rPr>
          <w:lang w:val="ru-RU"/>
        </w:rPr>
        <w:t xml:space="preserve">не имеет полномочий непосредственно распоряжаться этим бюджетом, чтобы привлекать внешнюю помощь, когда требуются специальные навыки. Необходимо следовать обычной процедуре МСЭ </w:t>
      </w:r>
      <w:r w:rsidR="009D634A" w:rsidRPr="007F6CEF">
        <w:rPr>
          <w:lang w:val="ru-RU"/>
        </w:rPr>
        <w:t xml:space="preserve">в отношении обязательств по издержкам с соответствующим согласованием. Это могло бы стать потенциальным недостатком в случае возникновения необходимости использовать для проведения особых аудиторских проверок в чувствительных областях специалистов, которых в </w:t>
      </w:r>
      <w:r w:rsidR="00F60C11" w:rsidRPr="007F6CEF">
        <w:rPr>
          <w:lang w:val="ru-RU"/>
        </w:rPr>
        <w:t>IAU</w:t>
      </w:r>
      <w:r w:rsidR="009D634A" w:rsidRPr="007F6CEF">
        <w:rPr>
          <w:lang w:val="ru-RU"/>
        </w:rPr>
        <w:t xml:space="preserve"> не имеется. </w:t>
      </w:r>
    </w:p>
    <w:p w:rsidR="001F4C3F" w:rsidRPr="007F6CEF" w:rsidRDefault="001F4C3F" w:rsidP="00170B2C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1F4C3F" w:rsidRPr="00C21591" w:rsidTr="006521C2">
        <w:tc>
          <w:tcPr>
            <w:tcW w:w="9645" w:type="dxa"/>
          </w:tcPr>
          <w:p w:rsidR="001F4C3F" w:rsidRPr="007F6CEF" w:rsidRDefault="001F4C3F" w:rsidP="00170B2C">
            <w:pPr>
              <w:rPr>
                <w:b/>
                <w:bCs/>
                <w:u w:val="single"/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Предложение 9</w:t>
            </w:r>
          </w:p>
          <w:p w:rsidR="001F4C3F" w:rsidRPr="007F6CEF" w:rsidRDefault="001F4C3F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>159</w:t>
            </w:r>
            <w:r w:rsidRPr="007F6CEF">
              <w:rPr>
                <w:lang w:val="ru-RU"/>
              </w:rPr>
              <w:tab/>
            </w:r>
            <w:r w:rsidR="009D634A" w:rsidRPr="007F6CEF">
              <w:rPr>
                <w:lang w:val="ru-RU"/>
              </w:rPr>
              <w:t xml:space="preserve">Руководствуясь принципами укрепления автономии </w:t>
            </w:r>
            <w:r w:rsidRPr="007F6CEF">
              <w:rPr>
                <w:lang w:val="ru-RU"/>
              </w:rPr>
              <w:t xml:space="preserve">IAU, </w:t>
            </w:r>
            <w:r w:rsidR="009D634A" w:rsidRPr="007F6CEF">
              <w:rPr>
                <w:u w:val="single"/>
                <w:lang w:val="ru-RU"/>
              </w:rPr>
              <w:t>мы предлагаем</w:t>
            </w:r>
            <w:r w:rsidR="009D634A" w:rsidRPr="007F6CEF">
              <w:rPr>
                <w:lang w:val="ru-RU"/>
              </w:rPr>
              <w:t xml:space="preserve"> руководителю</w:t>
            </w:r>
            <w:r w:rsidRPr="007F6CEF">
              <w:rPr>
                <w:lang w:val="ru-RU"/>
              </w:rPr>
              <w:t xml:space="preserve"> IAU </w:t>
            </w:r>
            <w:r w:rsidR="00B86EE3" w:rsidRPr="007F6CEF">
              <w:rPr>
                <w:lang w:val="ru-RU"/>
              </w:rPr>
              <w:t xml:space="preserve">уже </w:t>
            </w:r>
            <w:r w:rsidR="009D634A" w:rsidRPr="007F6CEF">
              <w:rPr>
                <w:lang w:val="ru-RU"/>
              </w:rPr>
              <w:t>в процессе утверждения AWP указывать, в случае необходимости, сумму, которая требуется для найма специалистов</w:t>
            </w:r>
            <w:r w:rsidR="002A363A" w:rsidRPr="007F6CEF">
              <w:rPr>
                <w:lang w:val="ru-RU"/>
              </w:rPr>
              <w:t xml:space="preserve"> в конкретных профессиональных сферах. Таким образом</w:t>
            </w:r>
            <w:r w:rsidR="00B86EE3" w:rsidRPr="007F6CEF">
              <w:rPr>
                <w:lang w:val="ru-RU"/>
              </w:rPr>
              <w:t>,</w:t>
            </w:r>
            <w:r w:rsidR="002A363A" w:rsidRPr="007F6CEF">
              <w:rPr>
                <w:lang w:val="ru-RU"/>
              </w:rPr>
              <w:t xml:space="preserve"> Генеральный секретарь и косвенно </w:t>
            </w:r>
            <w:r w:rsidRPr="007F6CEF">
              <w:rPr>
                <w:lang w:val="ru-RU"/>
              </w:rPr>
              <w:t>IMAC</w:t>
            </w:r>
            <w:r w:rsidR="002A363A" w:rsidRPr="007F6CEF">
              <w:rPr>
                <w:lang w:val="ru-RU"/>
              </w:rPr>
              <w:t xml:space="preserve"> могли бы утверждать или не утверждать предусмотренные в бюджете суммы, а затем </w:t>
            </w:r>
            <w:r w:rsidRPr="007F6CEF">
              <w:rPr>
                <w:lang w:val="ru-RU"/>
              </w:rPr>
              <w:t xml:space="preserve">IAU </w:t>
            </w:r>
            <w:r w:rsidR="002A363A" w:rsidRPr="007F6CEF">
              <w:rPr>
                <w:lang w:val="ru-RU"/>
              </w:rPr>
              <w:t>мог</w:t>
            </w:r>
            <w:r w:rsidR="00B86EE3" w:rsidRPr="007F6CEF">
              <w:rPr>
                <w:lang w:val="ru-RU"/>
              </w:rPr>
              <w:t>ло</w:t>
            </w:r>
            <w:r w:rsidR="002A363A" w:rsidRPr="007F6CEF">
              <w:rPr>
                <w:lang w:val="ru-RU"/>
              </w:rPr>
              <w:t xml:space="preserve"> бы непосредственно распоряжаться суммой, предусмотренной для контрактных услуг, при необходимости в течение года, следуя при этом действующей в МСЭ процедуре в отношении обязательств. </w:t>
            </w:r>
          </w:p>
        </w:tc>
      </w:tr>
    </w:tbl>
    <w:p w:rsidR="001F4C3F" w:rsidRPr="007F6CEF" w:rsidRDefault="001F4C3F" w:rsidP="00170B2C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1F4C3F" w:rsidRPr="00C21591" w:rsidTr="006521C2">
        <w:trPr>
          <w:cantSplit/>
        </w:trPr>
        <w:tc>
          <w:tcPr>
            <w:tcW w:w="9645" w:type="dxa"/>
          </w:tcPr>
          <w:p w:rsidR="001F4C3F" w:rsidRPr="007F6CEF" w:rsidRDefault="001F4C3F" w:rsidP="00170B2C">
            <w:pPr>
              <w:rPr>
                <w:lang w:val="ru-RU"/>
              </w:rPr>
            </w:pPr>
            <w:r w:rsidRPr="007F6CEF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7F6CEF">
              <w:rPr>
                <w:lang w:val="ru-RU"/>
              </w:rPr>
              <w:t>:</w:t>
            </w:r>
          </w:p>
          <w:p w:rsidR="001F4C3F" w:rsidRPr="007F6CEF" w:rsidRDefault="001F6CA7" w:rsidP="00170B2C">
            <w:pPr>
              <w:spacing w:after="120"/>
              <w:rPr>
                <w:lang w:val="ru-RU"/>
              </w:rPr>
            </w:pPr>
            <w:r w:rsidRPr="007F6CEF">
              <w:rPr>
                <w:lang w:val="ru-RU"/>
              </w:rPr>
              <w:t>В ходе планирования годовой аудиторской проверки или когда это требуется в течение года, руководитель IAU</w:t>
            </w:r>
            <w:r w:rsidR="0091029E" w:rsidRPr="007F6CEF">
              <w:rPr>
                <w:lang w:val="ru-RU"/>
              </w:rPr>
              <w:t xml:space="preserve"> </w:t>
            </w:r>
            <w:r w:rsidRPr="007F6CEF">
              <w:rPr>
                <w:lang w:val="ru-RU"/>
              </w:rPr>
              <w:t xml:space="preserve">будет определять необходимость в конкретных специальных </w:t>
            </w:r>
            <w:r w:rsidR="00B86EE3" w:rsidRPr="007F6CEF">
              <w:rPr>
                <w:lang w:val="ru-RU"/>
              </w:rPr>
              <w:t>знаниях</w:t>
            </w:r>
            <w:r w:rsidRPr="007F6CEF">
              <w:rPr>
                <w:lang w:val="ru-RU"/>
              </w:rPr>
              <w:t xml:space="preserve">. Это позволит Генеральному секретарю выделять соответствующие ресурсы в рамках общего бюджета Союза. </w:t>
            </w:r>
          </w:p>
        </w:tc>
      </w:tr>
    </w:tbl>
    <w:p w:rsidR="00F60C11" w:rsidRPr="007F6CEF" w:rsidRDefault="001F6CA7" w:rsidP="00170B2C">
      <w:pPr>
        <w:pStyle w:val="Headingb"/>
        <w:spacing w:before="240"/>
        <w:rPr>
          <w:lang w:val="ru-RU"/>
        </w:rPr>
      </w:pPr>
      <w:bookmarkStart w:id="242" w:name="_Toc398125356"/>
      <w:bookmarkStart w:id="243" w:name="_Toc398125835"/>
      <w:bookmarkStart w:id="244" w:name="_Toc398127114"/>
      <w:r w:rsidRPr="007F6CEF">
        <w:rPr>
          <w:lang w:val="ru-RU"/>
        </w:rPr>
        <w:t>Сотрудничество между внутренним аудитором и внешним аудитором</w:t>
      </w:r>
      <w:bookmarkEnd w:id="242"/>
      <w:bookmarkEnd w:id="243"/>
      <w:bookmarkEnd w:id="244"/>
      <w:r w:rsidR="0091029E" w:rsidRPr="007F6CEF">
        <w:rPr>
          <w:lang w:val="ru-RU"/>
        </w:rPr>
        <w:t xml:space="preserve"> </w:t>
      </w:r>
    </w:p>
    <w:p w:rsidR="00124AB9" w:rsidRPr="007F6CEF" w:rsidRDefault="001F4C3F" w:rsidP="00170B2C">
      <w:pPr>
        <w:rPr>
          <w:lang w:val="ru-RU"/>
        </w:rPr>
      </w:pPr>
      <w:r w:rsidRPr="007F6CEF">
        <w:rPr>
          <w:lang w:val="ru-RU"/>
        </w:rPr>
        <w:t>160</w:t>
      </w:r>
      <w:r w:rsidR="00F60C11" w:rsidRPr="007F6CEF">
        <w:rPr>
          <w:lang w:val="ru-RU"/>
        </w:rPr>
        <w:tab/>
      </w:r>
      <w:r w:rsidR="001F6CA7" w:rsidRPr="007F6CEF">
        <w:rPr>
          <w:lang w:val="ru-RU"/>
        </w:rPr>
        <w:t>В том что касается правил, изложенных в Руководстве МСЭ по внутреннему аудиту, хотя связь с внешним аудитором всегда можно укреплять, мы признаем, что до настоящего времени мы не получали от</w:t>
      </w:r>
      <w:r w:rsidR="00F60C11" w:rsidRPr="007F6CEF">
        <w:rPr>
          <w:lang w:val="ru-RU"/>
        </w:rPr>
        <w:t xml:space="preserve"> IAU</w:t>
      </w:r>
      <w:r w:rsidR="001F6CA7" w:rsidRPr="007F6CEF">
        <w:rPr>
          <w:lang w:val="ru-RU"/>
        </w:rPr>
        <w:t xml:space="preserve"> постоянного потока информации</w:t>
      </w:r>
      <w:r w:rsidR="00F60C11" w:rsidRPr="007F6CEF">
        <w:rPr>
          <w:lang w:val="ru-RU"/>
        </w:rPr>
        <w:t>.</w:t>
      </w:r>
    </w:p>
    <w:p w:rsidR="00CA5377" w:rsidRPr="007F6CEF" w:rsidRDefault="00CA5377" w:rsidP="00170B2C">
      <w:pPr>
        <w:rPr>
          <w:highlight w:val="yellow"/>
          <w:lang w:val="ru-RU"/>
        </w:rPr>
        <w:sectPr w:rsidR="00CA5377" w:rsidRPr="007F6CEF" w:rsidSect="00FD7A02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4"/>
          <w:pgMar w:top="1418" w:right="1134" w:bottom="1418" w:left="1134" w:header="567" w:footer="567" w:gutter="0"/>
          <w:paperSrc w:first="1264" w:other="1264"/>
          <w:cols w:space="720"/>
          <w:titlePg/>
        </w:sectPr>
      </w:pPr>
      <w:r w:rsidRPr="007F6CEF">
        <w:rPr>
          <w:noProof/>
          <w:lang w:val="en-US" w:eastAsia="zh-CN"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2CD2B60A" wp14:editId="2A9E6258">
                <wp:simplePos x="0" y="0"/>
                <wp:positionH relativeFrom="page">
                  <wp:posOffset>3774440</wp:posOffset>
                </wp:positionH>
                <wp:positionV relativeFrom="page">
                  <wp:posOffset>10484485</wp:posOffset>
                </wp:positionV>
                <wp:extent cx="18415" cy="19431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" cy="194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A48" w:rsidRDefault="00B47A48" w:rsidP="00CA5377">
                            <w:pPr>
                              <w:pStyle w:val="Style20"/>
                              <w:kinsoku w:val="0"/>
                              <w:autoSpaceDE/>
                              <w:autoSpaceDN/>
                              <w:spacing w:line="153" w:lineRule="exact"/>
                              <w:rPr>
                                <w:rStyle w:val="CharacterStyle15"/>
                                <w:rFonts w:ascii="Arial" w:hAnsi="Arial" w:cs="Arial"/>
                                <w:w w:val="30"/>
                              </w:rPr>
                            </w:pPr>
                            <w:r>
                              <w:rPr>
                                <w:rStyle w:val="CharacterStyle15"/>
                                <w:rFonts w:ascii="Arial" w:hAnsi="Arial" w:cs="Arial"/>
                                <w:w w:val="30"/>
                              </w:rPr>
                              <w:t>1</w:t>
                            </w:r>
                            <w:r>
                              <w:rPr>
                                <w:rStyle w:val="CharacterStyle15"/>
                                <w:rFonts w:ascii="Arial" w:hAnsi="Arial" w:cs="Arial"/>
                                <w:w w:val="30"/>
                              </w:rPr>
                              <w:br/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D2B6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7.2pt;margin-top:825.55pt;width:1.45pt;height:15.3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" o:allowincell="f" stroked="f">
                <v:fill opacity="0"/>
                <v:textbox inset="0,0,0,0">
                  <w:txbxContent>
                    <w:p w:rsidR="00B47A48" w:rsidRDefault="00B47A48" w:rsidP="00CA5377">
                      <w:pPr>
                        <w:pStyle w:val="Style20"/>
                        <w:kinsoku w:val="0"/>
                        <w:autoSpaceDE/>
                        <w:autoSpaceDN/>
                        <w:spacing w:line="153" w:lineRule="exact"/>
                        <w:rPr>
                          <w:rStyle w:val="CharacterStyle15"/>
                          <w:rFonts w:ascii="Arial" w:hAnsi="Arial" w:cs="Arial"/>
                          <w:w w:val="30"/>
                        </w:rPr>
                      </w:pPr>
                      <w:r>
                        <w:rPr>
                          <w:rStyle w:val="CharacterStyle15"/>
                          <w:rFonts w:ascii="Arial" w:hAnsi="Arial" w:cs="Arial"/>
                          <w:w w:val="30"/>
                        </w:rPr>
                        <w:t>1</w:t>
                      </w:r>
                      <w:r>
                        <w:rPr>
                          <w:rStyle w:val="CharacterStyle15"/>
                          <w:rFonts w:ascii="Arial" w:hAnsi="Arial" w:cs="Arial"/>
                          <w:w w:val="30"/>
                        </w:rPr>
                        <w:br/>
                        <w:t>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CA5377" w:rsidRPr="007F6CEF" w:rsidRDefault="00CA5377" w:rsidP="00170B2C">
      <w:pPr>
        <w:pStyle w:val="AnnexNo"/>
        <w:spacing w:before="0" w:after="120"/>
        <w:rPr>
          <w:lang w:val="ru-RU"/>
        </w:rPr>
      </w:pPr>
      <w:bookmarkStart w:id="245" w:name="_Toc358192866"/>
      <w:bookmarkStart w:id="246" w:name="_Toc398125357"/>
      <w:bookmarkStart w:id="247" w:name="_Toc398125836"/>
      <w:r w:rsidRPr="007F6CEF">
        <w:rPr>
          <w:lang w:val="ru-RU"/>
        </w:rPr>
        <w:t>ПРИЛОЖЕНИЕ 1</w:t>
      </w:r>
      <w:bookmarkEnd w:id="245"/>
      <w:bookmarkEnd w:id="246"/>
      <w:bookmarkEnd w:id="247"/>
    </w:p>
    <w:p w:rsidR="00352E06" w:rsidRPr="007F6CEF" w:rsidRDefault="002B7D7D" w:rsidP="00170B2C">
      <w:pPr>
        <w:pStyle w:val="Annextitle"/>
        <w:spacing w:before="120" w:after="240"/>
        <w:rPr>
          <w:lang w:val="ru-RU"/>
        </w:rPr>
      </w:pPr>
      <w:bookmarkStart w:id="248" w:name="_Toc392672739"/>
      <w:bookmarkStart w:id="249" w:name="_Toc398125358"/>
      <w:bookmarkStart w:id="250" w:name="_Toc398125837"/>
      <w:r w:rsidRPr="007F6CEF">
        <w:rPr>
          <w:lang w:val="ru-RU" w:eastAsia="it-IT"/>
        </w:rPr>
        <w:t>Меры в связи с рекомендациями, содержащимися в нашем предыдущем отчете</w:t>
      </w:r>
      <w:bookmarkEnd w:id="248"/>
      <w:bookmarkEnd w:id="249"/>
      <w:bookmarkEnd w:id="250"/>
    </w:p>
    <w:tbl>
      <w:tblPr>
        <w:tblW w:w="14601" w:type="dxa"/>
        <w:tblInd w:w="5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3402"/>
        <w:gridCol w:w="3685"/>
        <w:gridCol w:w="2694"/>
      </w:tblGrid>
      <w:tr w:rsidR="007E5FBE" w:rsidRPr="00C21591" w:rsidTr="00B62E08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5377" w:rsidRPr="007F6CEF" w:rsidRDefault="00CA5377" w:rsidP="00170B2C">
            <w:pPr>
              <w:pStyle w:val="Tablehead"/>
              <w:spacing w:before="20" w:after="20"/>
              <w:rPr>
                <w:lang w:val="ru-RU"/>
              </w:rPr>
            </w:pPr>
            <w:r w:rsidRPr="007F6CEF">
              <w:rPr>
                <w:lang w:val="ru-RU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5377" w:rsidRPr="007F6CEF" w:rsidRDefault="00CA5377" w:rsidP="00170B2C">
            <w:pPr>
              <w:pStyle w:val="Tablehead"/>
              <w:spacing w:before="20" w:after="20"/>
              <w:rPr>
                <w:lang w:val="ru-RU"/>
              </w:rPr>
            </w:pPr>
            <w:r w:rsidRPr="007F6CEF">
              <w:rPr>
                <w:lang w:val="ru-RU"/>
              </w:rPr>
              <w:t xml:space="preserve">Рекомендации </w:t>
            </w:r>
            <w:r w:rsidR="002B7D7D" w:rsidRPr="007F6CEF">
              <w:rPr>
                <w:lang w:val="ru-RU"/>
              </w:rPr>
              <w:t>С</w:t>
            </w:r>
            <w:r w:rsidR="00437DFC" w:rsidRPr="007F6CEF">
              <w:rPr>
                <w:lang w:val="ru-RU"/>
              </w:rPr>
              <w:t>четной палат</w:t>
            </w:r>
            <w:r w:rsidR="00B86EE3" w:rsidRPr="007F6CEF">
              <w:rPr>
                <w:lang w:val="ru-RU"/>
              </w:rPr>
              <w:t>ы</w:t>
            </w:r>
            <w:r w:rsidR="00437DFC" w:rsidRPr="007F6CEF">
              <w:rPr>
                <w:lang w:val="ru-RU"/>
              </w:rPr>
              <w:t xml:space="preserve"> Италии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5377" w:rsidRPr="007F6CEF" w:rsidRDefault="00011A05" w:rsidP="00170B2C">
            <w:pPr>
              <w:pStyle w:val="Tablehead"/>
              <w:spacing w:before="20" w:after="20"/>
              <w:rPr>
                <w:lang w:val="ru-RU"/>
              </w:rPr>
            </w:pPr>
            <w:r w:rsidRPr="007F6CEF">
              <w:rPr>
                <w:lang w:val="ru-RU"/>
              </w:rPr>
              <w:t>Комментарии, полученные от </w:t>
            </w:r>
            <w:r w:rsidR="00CA5377" w:rsidRPr="007F6CEF">
              <w:rPr>
                <w:lang w:val="ru-RU"/>
              </w:rPr>
              <w:t xml:space="preserve">Генерального секретаря в момент опубликования </w:t>
            </w:r>
            <w:r w:rsidR="002B7D7D" w:rsidRPr="007F6CEF">
              <w:rPr>
                <w:lang w:val="ru-RU"/>
              </w:rPr>
              <w:t>о</w:t>
            </w:r>
            <w:r w:rsidR="00437DFC" w:rsidRPr="007F6CEF">
              <w:rPr>
                <w:lang w:val="ru-RU"/>
              </w:rPr>
              <w:t>тчета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5377" w:rsidRPr="007F6CEF" w:rsidRDefault="00CA5377" w:rsidP="00170B2C">
            <w:pPr>
              <w:pStyle w:val="Tablehead"/>
              <w:spacing w:before="20" w:after="20"/>
              <w:rPr>
                <w:lang w:val="ru-RU"/>
              </w:rPr>
            </w:pPr>
            <w:r w:rsidRPr="007F6CEF">
              <w:rPr>
                <w:lang w:val="ru-RU"/>
              </w:rPr>
              <w:t>Состояние дел</w:t>
            </w:r>
            <w:r w:rsidR="00437DFC" w:rsidRPr="007F6CEF">
              <w:rPr>
                <w:lang w:val="ru-RU"/>
              </w:rPr>
              <w:t>, по </w:t>
            </w:r>
            <w:r w:rsidRPr="007F6CEF">
              <w:rPr>
                <w:lang w:val="ru-RU"/>
              </w:rPr>
              <w:t>сообщению руководства МСЭ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5377" w:rsidRPr="007F6CEF" w:rsidRDefault="00CA5377" w:rsidP="00170B2C">
            <w:pPr>
              <w:pStyle w:val="Tablehead"/>
              <w:spacing w:before="20" w:after="20"/>
              <w:rPr>
                <w:lang w:val="ru-RU"/>
              </w:rPr>
            </w:pPr>
            <w:r w:rsidRPr="007F6CEF">
              <w:rPr>
                <w:lang w:val="ru-RU"/>
              </w:rPr>
              <w:t xml:space="preserve">Ход выполнения </w:t>
            </w:r>
            <w:r w:rsidR="00B86EE3" w:rsidRPr="007F6CEF">
              <w:rPr>
                <w:lang w:val="ru-RU"/>
              </w:rPr>
              <w:t xml:space="preserve">принимаемых руководством </w:t>
            </w:r>
            <w:r w:rsidRPr="007F6CEF">
              <w:rPr>
                <w:lang w:val="ru-RU"/>
              </w:rPr>
              <w:t>мер,</w:t>
            </w:r>
            <w:r w:rsidR="0091029E" w:rsidRPr="007F6CEF">
              <w:rPr>
                <w:lang w:val="ru-RU"/>
              </w:rPr>
              <w:t xml:space="preserve"> </w:t>
            </w:r>
            <w:r w:rsidRPr="007F6CEF">
              <w:rPr>
                <w:lang w:val="ru-RU"/>
              </w:rPr>
              <w:t xml:space="preserve">по оценке </w:t>
            </w:r>
            <w:r w:rsidR="002B7D7D" w:rsidRPr="007F6CEF">
              <w:rPr>
                <w:lang w:val="ru-RU"/>
              </w:rPr>
              <w:t>С</w:t>
            </w:r>
            <w:r w:rsidRPr="007F6CEF">
              <w:rPr>
                <w:lang w:val="ru-RU"/>
              </w:rPr>
              <w:t>четн</w:t>
            </w:r>
            <w:r w:rsidR="007E5FBE" w:rsidRPr="007F6CEF">
              <w:rPr>
                <w:lang w:val="ru-RU"/>
              </w:rPr>
              <w:t>ой</w:t>
            </w:r>
            <w:r w:rsidRPr="007F6CEF">
              <w:rPr>
                <w:lang w:val="ru-RU"/>
              </w:rPr>
              <w:t xml:space="preserve"> палат</w:t>
            </w:r>
            <w:r w:rsidR="007E5FBE" w:rsidRPr="007F6CEF">
              <w:rPr>
                <w:lang w:val="ru-RU"/>
              </w:rPr>
              <w:t>ы</w:t>
            </w:r>
            <w:r w:rsidRPr="007F6CEF">
              <w:rPr>
                <w:lang w:val="ru-RU"/>
              </w:rPr>
              <w:t xml:space="preserve"> Италии</w:t>
            </w:r>
          </w:p>
        </w:tc>
      </w:tr>
      <w:tr w:rsidR="00437DFC" w:rsidRPr="00C21591" w:rsidTr="00B62E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DFC" w:rsidRPr="007F6CEF" w:rsidRDefault="00437DFC" w:rsidP="00170B2C">
            <w:pPr>
              <w:pStyle w:val="Tabletext"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Рек. 1</w:t>
            </w:r>
            <w:r w:rsidRPr="007F6CEF">
              <w:rPr>
                <w:b/>
                <w:lang w:val="ru-RU"/>
              </w:rPr>
              <w:br/>
              <w:t>2012 г</w:t>
            </w:r>
            <w:r w:rsidRPr="007F6CEF">
              <w:rPr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DFC" w:rsidRPr="007F6CEF" w:rsidRDefault="002B7D7D" w:rsidP="00170B2C">
            <w:pPr>
              <w:pStyle w:val="Tabletext"/>
              <w:rPr>
                <w:rFonts w:asciiTheme="minorHAnsi" w:hAnsiTheme="minorHAnsi"/>
                <w:b/>
                <w:bCs/>
                <w:i/>
                <w:iCs/>
                <w:lang w:val="ru-RU"/>
              </w:rPr>
            </w:pPr>
            <w:r w:rsidRPr="007F6CEF">
              <w:rPr>
                <w:rFonts w:asciiTheme="minorHAnsi" w:hAnsiTheme="minorHAnsi" w:cs="Segoe UI"/>
                <w:b/>
                <w:bCs/>
                <w:i/>
                <w:iCs/>
                <w:color w:val="000000"/>
                <w:lang w:val="ru-RU"/>
              </w:rPr>
              <w:t>Следует, чтобы для сумм, превышающих 5000 швейцарских франков, требовалось два подписывающих лица</w:t>
            </w:r>
          </w:p>
          <w:p w:rsidR="00437DFC" w:rsidRPr="007F6CEF" w:rsidRDefault="00437DFC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Хотя из разъяснений руководства мы поняли вопрос, связанный с практической возможностью внедрения в отделениях на местах принципа двойной подписи – например, в местном отделении может работать только один сотрудник категории специалистов, – мы рекоменд</w:t>
            </w:r>
            <w:r w:rsidR="00F47F68" w:rsidRPr="007F6CEF">
              <w:rPr>
                <w:lang w:val="ru-RU"/>
              </w:rPr>
              <w:t>овали</w:t>
            </w:r>
            <w:r w:rsidRPr="007F6CEF">
              <w:rPr>
                <w:lang w:val="ru-RU"/>
              </w:rPr>
              <w:t xml:space="preserve"> руководству обеспечить, когда это возможно, чтобы при финансовых операциях с банками на суммы, превышающие 5000 швейцарских франков, имелось два подписывающих лица, а в случае, если ответственный сотрудник на месте один распоряжается счетом МСЭ в банке, он должен получить от руководства предварительное разрешение.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DFC" w:rsidRPr="007F6CEF" w:rsidRDefault="00437DFC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Такие процедуры применяются, когда это возможно. Для отделений на местах, в которых двойная подпись невозможна в связи с конкретными ограничениями (юридические ограничения в некоторых странах для банковских подписей), будет применяться практика разрешений и мониторинга.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DFC" w:rsidRPr="007F6CEF" w:rsidRDefault="003F29C8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Процедуры применяются в соответствии с комментарием Генерального секретаря. </w:t>
            </w:r>
          </w:p>
          <w:p w:rsidR="00437DFC" w:rsidRPr="007F6CEF" w:rsidRDefault="003F29C8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Кроме того, проверена актуальность разрешенных подписей, и ответственным сотрудникам отделений на местах направлены официальные напоминания о том, чтобы они своевременно сообщали о любых изменениях в персонале, влияющих на уполномоченных лиц с правом подписи. Кроме того, внесены изменения в служебную записку</w:t>
            </w:r>
            <w:r w:rsidR="00437DFC" w:rsidRPr="007F6CEF">
              <w:rPr>
                <w:lang w:val="ru-RU"/>
              </w:rPr>
              <w:t xml:space="preserve"> FRMD</w:t>
            </w:r>
            <w:r w:rsidRPr="007F6CEF">
              <w:rPr>
                <w:lang w:val="ru-RU"/>
              </w:rPr>
              <w:t xml:space="preserve">, касающуюся делегирования права подписи, для отражения последних изменений в персонале, а также предельной суммы в </w:t>
            </w:r>
            <w:r w:rsidR="00437DFC" w:rsidRPr="007F6CEF">
              <w:rPr>
                <w:lang w:val="ru-RU"/>
              </w:rPr>
              <w:t xml:space="preserve">5000 долл. США </w:t>
            </w:r>
            <w:r w:rsidRPr="007F6CEF">
              <w:rPr>
                <w:lang w:val="ru-RU"/>
              </w:rPr>
              <w:t>для отделений на местах.</w:t>
            </w:r>
            <w:r w:rsidR="0091029E" w:rsidRPr="007F6CEF">
              <w:rPr>
                <w:lang w:val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DFC" w:rsidRPr="007F6CEF" w:rsidRDefault="00454B8B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В 2013 г. не выполнен</w:t>
            </w:r>
            <w:r w:rsidR="00F47F68" w:rsidRPr="007F6CEF">
              <w:rPr>
                <w:lang w:val="ru-RU"/>
              </w:rPr>
              <w:t>о</w:t>
            </w:r>
            <w:r w:rsidRPr="007F6CEF">
              <w:rPr>
                <w:lang w:val="ru-RU"/>
              </w:rPr>
              <w:t xml:space="preserve">, также с учетом того, что указано Подразделением внутреннего аудита МСЭ в его отчетах, касающихся региональных и зональных отделений и опубликованных в </w:t>
            </w:r>
            <w:r w:rsidR="00437DFC" w:rsidRPr="007F6CEF">
              <w:rPr>
                <w:lang w:val="ru-RU"/>
              </w:rPr>
              <w:t>2013 г.</w:t>
            </w:r>
          </w:p>
          <w:p w:rsidR="00437DFC" w:rsidRPr="007F6CEF" w:rsidRDefault="00454B8B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Мы также отмечаем, что в 2014 г. эти меры продолжали выполняться. </w:t>
            </w:r>
          </w:p>
        </w:tc>
      </w:tr>
      <w:tr w:rsidR="00437DFC" w:rsidRPr="00C21591" w:rsidTr="00B62E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DFC" w:rsidRPr="007F6CEF" w:rsidRDefault="00437DFC" w:rsidP="00170B2C">
            <w:pPr>
              <w:pStyle w:val="Tabletext"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Рек. 2</w:t>
            </w:r>
            <w:r w:rsidRPr="007F6CEF">
              <w:rPr>
                <w:b/>
                <w:lang w:val="ru-RU"/>
              </w:rPr>
              <w:br/>
              <w:t>2012 г</w:t>
            </w:r>
            <w:r w:rsidRPr="007F6CEF">
              <w:rPr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DFC" w:rsidRPr="007F6CEF" w:rsidRDefault="00F47F68" w:rsidP="00170B2C">
            <w:pPr>
              <w:pStyle w:val="Tabletext"/>
              <w:rPr>
                <w:b/>
                <w:i/>
                <w:lang w:val="ru-RU"/>
              </w:rPr>
            </w:pPr>
            <w:r w:rsidRPr="007F6CEF">
              <w:rPr>
                <w:b/>
                <w:i/>
                <w:lang w:val="ru-RU"/>
              </w:rPr>
              <w:t>Наличные денежные средства в отделениях на местах</w:t>
            </w:r>
          </w:p>
          <w:p w:rsidR="00437DFC" w:rsidRPr="007F6CEF" w:rsidRDefault="00B32CAA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Мы считаем, что разница, которую мы обнаружили благодаря выверке, не является существенной с точки зрения ее величины. Тем не менее, мы рекоменд</w:t>
            </w:r>
            <w:r w:rsidR="00F47F68" w:rsidRPr="007F6CEF">
              <w:rPr>
                <w:lang w:val="ru-RU"/>
              </w:rPr>
              <w:t>овали</w:t>
            </w:r>
            <w:r w:rsidRPr="007F6CEF">
              <w:rPr>
                <w:lang w:val="ru-RU"/>
              </w:rPr>
              <w:t xml:space="preserve"> руководству усилить контроль над наличными денежными средствами, ссылаясь также на рекомендацию, которую </w:t>
            </w:r>
            <w:r w:rsidR="00F47F68" w:rsidRPr="007F6CEF">
              <w:rPr>
                <w:lang w:val="ru-RU"/>
              </w:rPr>
              <w:t>Подразделение внутреннего аудита дало</w:t>
            </w:r>
            <w:r w:rsidRPr="007F6CEF">
              <w:rPr>
                <w:lang w:val="ru-RU"/>
              </w:rPr>
              <w:t xml:space="preserve"> в своих отчетах, связанных с региональным присутствием МСЭ.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DFC" w:rsidRPr="007F6CEF" w:rsidRDefault="007A0F22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Выверка наличных средств в настоящее время проводится в отделениях на местах на ежемесячной основе. Поэтому любой подсчет в течение месяца приведет к возникновению вопросов, связанных с выверкой. Департамент управления финансовыми ресурсами (FRMD) обеспечит проведение в 2013 г. обзора текущих процессов. В недавних отчетах по внутреннему аудиту уже определены эти вопросы, а также процедуры внутреннего контроля, направленные на уменьшение связанных с этим рисков. Руководство уже согласилось с этими рекомендациями, и в 2013 г. будут приняты дальнейшие меры.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DFC" w:rsidRPr="007F6CEF" w:rsidRDefault="00437DFC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FRMD </w:t>
            </w:r>
            <w:r w:rsidR="00F47F68" w:rsidRPr="007F6CEF">
              <w:rPr>
                <w:lang w:val="ru-RU"/>
              </w:rPr>
              <w:t xml:space="preserve">в настоящее время занимается стандартизацией отчетов об управлении денежными средствами и рассматривается процесс отчетности в целях оптимизации выверки. Этот процесс будет окончательно внедрен в 2014 г.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47F68" w:rsidRPr="007F6CEF" w:rsidRDefault="00F47F68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В 2013 г. не выполнено, также с учетом того, что указано Подразделением внутреннего аудита МСЭ в его отчетах, касающихся региональных и зональных отделений и опубликованных в 2013 г.</w:t>
            </w:r>
          </w:p>
          <w:p w:rsidR="00437DFC" w:rsidRPr="007F6CEF" w:rsidRDefault="00F47F68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Мы также отмечаем, что в 2014 г. эти меры продолжали выполняться</w:t>
            </w:r>
            <w:r w:rsidR="00437DFC" w:rsidRPr="007F6CEF">
              <w:rPr>
                <w:lang w:val="ru-RU"/>
              </w:rPr>
              <w:t>.</w:t>
            </w:r>
          </w:p>
        </w:tc>
      </w:tr>
      <w:tr w:rsidR="007A0F22" w:rsidRPr="00C21591" w:rsidTr="00B62E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A0F22" w:rsidRPr="007F6CEF" w:rsidRDefault="007A0F22" w:rsidP="00170B2C">
            <w:pPr>
              <w:pStyle w:val="Tabletext"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Рек. 3</w:t>
            </w:r>
            <w:r w:rsidRPr="007F6CEF">
              <w:rPr>
                <w:b/>
                <w:lang w:val="ru-RU"/>
              </w:rPr>
              <w:br/>
              <w:t>2012 г</w:t>
            </w:r>
            <w:r w:rsidRPr="007F6CEF">
              <w:rPr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A0F22" w:rsidRPr="007F6CEF" w:rsidRDefault="007A0F22" w:rsidP="00170B2C">
            <w:pPr>
              <w:pStyle w:val="Tabletext"/>
              <w:rPr>
                <w:b/>
                <w:i/>
                <w:lang w:val="ru-RU"/>
              </w:rPr>
            </w:pPr>
            <w:r w:rsidRPr="007F6CEF">
              <w:rPr>
                <w:lang w:val="ru-RU"/>
              </w:rPr>
              <w:t>"</w:t>
            </w:r>
            <w:r w:rsidRPr="007F6CEF">
              <w:rPr>
                <w:rFonts w:cs="Segoe UI"/>
                <w:b/>
                <w:i/>
                <w:color w:val="000000"/>
                <w:lang w:val="ru-RU"/>
              </w:rPr>
              <w:t>Право суперфиция</w:t>
            </w:r>
            <w:r w:rsidRPr="007F6CEF">
              <w:rPr>
                <w:lang w:val="ru-RU"/>
              </w:rPr>
              <w:t>"</w:t>
            </w:r>
          </w:p>
          <w:p w:rsidR="007A0F22" w:rsidRPr="007F6CEF" w:rsidRDefault="007A0F22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С учетом того, что важно и в интересах МСЭ продлить "право суперфиция", предоставленное МСЭ администрацией Женевы с 1967 г., мы рекоменд</w:t>
            </w:r>
            <w:r w:rsidR="00945370" w:rsidRPr="007F6CEF">
              <w:rPr>
                <w:lang w:val="ru-RU"/>
              </w:rPr>
              <w:t>овали</w:t>
            </w:r>
            <w:r w:rsidRPr="007F6CEF">
              <w:rPr>
                <w:lang w:val="ru-RU"/>
              </w:rPr>
              <w:t xml:space="preserve"> руководству как можно скорее начать переговоры по этому вопросу с компетентными органами власти принимающей страны.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A0F22" w:rsidRPr="007F6CEF" w:rsidRDefault="007A0F22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В январе 2013 г. Советник по правовым вопросам уже связался с компетентными органами власти принимающей страны в целях начала процесса переговоров.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A0F22" w:rsidRPr="007F6CEF" w:rsidRDefault="00945370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Компетентные органы власти принимающей страны в принципе поддержали просьбу МСЭ и подтвердили свою заинтересованность, а также то, что дальнейшее развитие событий будет зависеть от решений, связанных с заменой здания "Варембе", которые в настоящее время все еще обсуждаются.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A0F22" w:rsidRPr="007F6CEF" w:rsidRDefault="00945370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Ожидает решения</w:t>
            </w:r>
            <w:r w:rsidR="007A0F22" w:rsidRPr="007F6CEF">
              <w:rPr>
                <w:lang w:val="ru-RU"/>
              </w:rPr>
              <w:t>.</w:t>
            </w:r>
          </w:p>
          <w:p w:rsidR="007A0F22" w:rsidRPr="007F6CEF" w:rsidRDefault="00945370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Мы принимаем к сведению информацию по этому вопросу, предоставленную руководством. </w:t>
            </w:r>
          </w:p>
        </w:tc>
      </w:tr>
      <w:tr w:rsidR="00CC7DA7" w:rsidRPr="007F6CEF" w:rsidTr="00B62E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7DA7" w:rsidRPr="007F6CEF" w:rsidRDefault="00CC7DA7" w:rsidP="00170B2C">
            <w:pPr>
              <w:pStyle w:val="Tabletext"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Рек. 4</w:t>
            </w:r>
            <w:r w:rsidRPr="007F6CEF">
              <w:rPr>
                <w:b/>
                <w:lang w:val="ru-RU"/>
              </w:rPr>
              <w:br/>
              <w:t>2012 г</w:t>
            </w:r>
            <w:r w:rsidRPr="007F6CEF">
              <w:rPr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7DA7" w:rsidRPr="007F6CEF" w:rsidRDefault="00A1398E" w:rsidP="00170B2C">
            <w:pPr>
              <w:pStyle w:val="Tabletext"/>
              <w:rPr>
                <w:b/>
                <w:i/>
                <w:lang w:val="ru-RU"/>
              </w:rPr>
            </w:pPr>
            <w:r w:rsidRPr="007F6CEF">
              <w:rPr>
                <w:b/>
                <w:i/>
                <w:lang w:val="ru-RU"/>
              </w:rPr>
              <w:t>Учет активов в реестре</w:t>
            </w:r>
          </w:p>
          <w:p w:rsidR="00CC7DA7" w:rsidRPr="007F6CEF" w:rsidRDefault="00E93F89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[...]</w:t>
            </w:r>
            <w:r w:rsidR="00CC7DA7" w:rsidRPr="007F6CEF">
              <w:rPr>
                <w:lang w:val="ru-RU"/>
              </w:rPr>
              <w:t xml:space="preserve"> </w:t>
            </w:r>
            <w:r w:rsidR="00471DF5" w:rsidRPr="007F6CEF">
              <w:rPr>
                <w:lang w:val="ru-RU"/>
              </w:rPr>
              <w:t>М</w:t>
            </w:r>
            <w:r w:rsidR="00CC7DA7" w:rsidRPr="007F6CEF">
              <w:rPr>
                <w:lang w:val="ru-RU"/>
              </w:rPr>
              <w:t>ы провели проверку реальных запасов по некоторым категориям основного капитала на основе выборки предметов мебели и оборудования ИТ и отследили их в счетах. Мы заметили, что ответственные лица МСЭ из Отдела административно-хозяйственного управления (Департамент HRMD) в ходе проверки реальных запасов на конец года не обнаружили некоторых активов (около 0,73% от стоимости приобретения соответствующих активов). Мы в курсе того, при контроле было обнаружено, что часть этих активов в конце года не была найдена, но, тем не менее, мы рекоменд</w:t>
            </w:r>
            <w:r w:rsidR="00A1398E" w:rsidRPr="007F6CEF">
              <w:rPr>
                <w:lang w:val="ru-RU"/>
              </w:rPr>
              <w:t>овали</w:t>
            </w:r>
            <w:r w:rsidR="00CC7DA7" w:rsidRPr="007F6CEF">
              <w:rPr>
                <w:lang w:val="ru-RU"/>
              </w:rPr>
              <w:t xml:space="preserve"> руководству продолжить изучение этого вопроса и списать предметы, которые не будут обнаружены в течение 2013</w:t>
            </w:r>
            <w:r w:rsidRPr="007F6CEF">
              <w:rPr>
                <w:lang w:val="ru-RU"/>
              </w:rPr>
              <w:t> </w:t>
            </w:r>
            <w:r w:rsidR="00CC7DA7" w:rsidRPr="007F6CEF">
              <w:rPr>
                <w:lang w:val="ru-RU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7DA7" w:rsidRPr="007F6CEF" w:rsidRDefault="001D36EE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Я дам FRMD поручение коорди</w:t>
            </w:r>
            <w:r w:rsidR="006366CD" w:rsidRPr="007F6CEF">
              <w:rPr>
                <w:lang w:val="ru-RU"/>
              </w:rPr>
              <w:t>-</w:t>
            </w:r>
            <w:r w:rsidRPr="007F6CEF">
              <w:rPr>
                <w:lang w:val="ru-RU"/>
              </w:rPr>
              <w:t>нировать свою работу с Отделом административно-хозяйственного управления, чтобы продолжить в 2013 г. эти усилия, и представлю пояснения по поводу существования и порядка действий в отношении позиций, которые не были охвачены при проверке запасов.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7DA7" w:rsidRPr="007F6CEF" w:rsidRDefault="00F9266D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Процесс выявления и определения местонахождения и/или списания активов, не обнаруженных в ходе проверки запасов, был начат в прошлых годах и продолжается согласно плану.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7DA7" w:rsidRPr="007F6CEF" w:rsidRDefault="00F9266D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Выполняется</w:t>
            </w:r>
            <w:r w:rsidR="00CC7DA7" w:rsidRPr="007F6CEF">
              <w:rPr>
                <w:lang w:val="ru-RU"/>
              </w:rPr>
              <w:t>.</w:t>
            </w:r>
          </w:p>
        </w:tc>
      </w:tr>
      <w:tr w:rsidR="001D36EE" w:rsidRPr="007F6CEF" w:rsidTr="00B62E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36EE" w:rsidRPr="007F6CEF" w:rsidRDefault="001D36EE" w:rsidP="00170B2C">
            <w:pPr>
              <w:pStyle w:val="Tabletext"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Рек. 5</w:t>
            </w:r>
            <w:r w:rsidRPr="007F6CEF">
              <w:rPr>
                <w:b/>
                <w:lang w:val="ru-RU"/>
              </w:rPr>
              <w:br/>
              <w:t>2012 г</w:t>
            </w:r>
            <w:r w:rsidRPr="007F6CEF">
              <w:rPr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36EE" w:rsidRPr="007F6CEF" w:rsidRDefault="00EC616B" w:rsidP="00170B2C">
            <w:pPr>
              <w:pStyle w:val="Tabletext"/>
              <w:rPr>
                <w:b/>
                <w:i/>
                <w:lang w:val="ru-RU"/>
              </w:rPr>
            </w:pPr>
            <w:r w:rsidRPr="007F6CEF">
              <w:rPr>
                <w:b/>
                <w:i/>
                <w:lang w:val="ru-RU"/>
              </w:rPr>
              <w:t>Вознаграждение сотрудников</w:t>
            </w:r>
            <w:r w:rsidR="001D36EE" w:rsidRPr="007F6CEF">
              <w:rPr>
                <w:b/>
                <w:i/>
                <w:lang w:val="ru-RU"/>
              </w:rPr>
              <w:t xml:space="preserve">: </w:t>
            </w:r>
            <w:r w:rsidRPr="007F6CEF">
              <w:rPr>
                <w:b/>
                <w:i/>
                <w:lang w:val="ru-RU"/>
              </w:rPr>
              <w:t>субсидии на репатриацию</w:t>
            </w:r>
          </w:p>
          <w:p w:rsidR="001D36EE" w:rsidRPr="007F6CEF" w:rsidRDefault="001D36EE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При том что данное различие в ключевых допущениях [</w:t>
            </w:r>
            <w:r w:rsidR="00A30123" w:rsidRPr="007F6CEF">
              <w:rPr>
                <w:lang w:val="ru-RU"/>
              </w:rPr>
              <w:t>между</w:t>
            </w:r>
            <w:r w:rsidRPr="007F6CEF">
              <w:rPr>
                <w:lang w:val="ru-RU"/>
              </w:rPr>
              <w:t xml:space="preserve"> CPA и AON Hewitt] не оказывает существенного влияния на итоговый расчет, в частности, более низкая ставка дисконтирования, которую использовала компания CPA, обусловила более пруденциальный характер итогового значения, тем не менее мы рекомендуем руководству использовать аналогичные ключевые допущения во всех проводимых актуарных исследованиях в случае сопоставимости условий, в частности, это касается используемой ставки дисконтирования.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36EE" w:rsidRPr="007F6CEF" w:rsidRDefault="001D36EE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Я принимаю к сведению данную рекомендацию и поручу FRMD обеспечить согласование выбранных ключевых допущений в актуарных исследованиях, когда это применимо, в 2013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36EE" w:rsidRPr="007F6CEF" w:rsidRDefault="00EC616B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Данная рекомендация была принята к сведению для актуарных отчетов на конец 2013 г. Ключевые допущения были сопоставлены, чтобы обеспечить использование аналогичных допущений при сопоставимых условиях и согласованность при различных условиях (особенно в рассматриваемый период времени).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36EE" w:rsidRPr="007F6CEF" w:rsidRDefault="00EC616B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Завершено</w:t>
            </w:r>
            <w:r w:rsidR="00A30123" w:rsidRPr="007F6CEF">
              <w:rPr>
                <w:lang w:val="ru-RU"/>
              </w:rPr>
              <w:t>.</w:t>
            </w:r>
          </w:p>
        </w:tc>
      </w:tr>
      <w:tr w:rsidR="00A30123" w:rsidRPr="00C21591" w:rsidTr="00B62E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30123" w:rsidRPr="007F6CEF" w:rsidRDefault="00794A55" w:rsidP="00170B2C">
            <w:pPr>
              <w:pStyle w:val="Tabletext"/>
              <w:keepNext/>
              <w:keepLines/>
              <w:jc w:val="center"/>
              <w:rPr>
                <w:b/>
                <w:u w:val="single"/>
                <w:lang w:val="ru-RU"/>
              </w:rPr>
            </w:pPr>
            <w:r w:rsidRPr="007F6CEF">
              <w:rPr>
                <w:b/>
                <w:lang w:val="ru-RU"/>
              </w:rPr>
              <w:t>Рек. 6</w:t>
            </w:r>
            <w:r w:rsidRPr="007F6CEF">
              <w:rPr>
                <w:b/>
                <w:lang w:val="ru-RU"/>
              </w:rPr>
              <w:br/>
              <w:t>2012 г</w:t>
            </w:r>
            <w:r w:rsidRPr="007F6CEF">
              <w:rPr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94A55" w:rsidRPr="007F6CEF" w:rsidRDefault="00D86179" w:rsidP="00170B2C">
            <w:pPr>
              <w:pStyle w:val="Tabletext"/>
              <w:keepNext/>
              <w:keepLines/>
              <w:rPr>
                <w:b/>
                <w:i/>
                <w:lang w:val="ru-RU"/>
              </w:rPr>
            </w:pPr>
            <w:r w:rsidRPr="007F6CEF">
              <w:rPr>
                <w:b/>
                <w:i/>
                <w:lang w:val="ru-RU"/>
              </w:rPr>
              <w:t>Корректирующие меры в отношении отрицательн</w:t>
            </w:r>
            <w:r w:rsidR="00670104" w:rsidRPr="007F6CEF">
              <w:rPr>
                <w:b/>
                <w:i/>
                <w:lang w:val="ru-RU"/>
              </w:rPr>
              <w:t>ых</w:t>
            </w:r>
            <w:r w:rsidRPr="007F6CEF">
              <w:rPr>
                <w:b/>
                <w:i/>
                <w:lang w:val="ru-RU"/>
              </w:rPr>
              <w:t xml:space="preserve"> чистых активов </w:t>
            </w:r>
            <w:r w:rsidR="00F20B96" w:rsidRPr="007F6CEF">
              <w:rPr>
                <w:b/>
                <w:i/>
                <w:lang w:val="ru-RU"/>
              </w:rPr>
              <w:t>в результате</w:t>
            </w:r>
            <w:r w:rsidRPr="007F6CEF">
              <w:rPr>
                <w:b/>
                <w:i/>
                <w:lang w:val="ru-RU"/>
              </w:rPr>
              <w:t xml:space="preserve"> пособий после прекращения службы </w:t>
            </w:r>
          </w:p>
          <w:p w:rsidR="00794A55" w:rsidRPr="007F6CEF" w:rsidRDefault="00D86179" w:rsidP="00170B2C">
            <w:pPr>
              <w:pStyle w:val="Tabletext"/>
              <w:keepNext/>
              <w:keepLines/>
              <w:rPr>
                <w:lang w:val="ru-RU"/>
              </w:rPr>
            </w:pPr>
            <w:r w:rsidRPr="007F6CEF">
              <w:rPr>
                <w:lang w:val="ru-RU"/>
              </w:rPr>
              <w:t xml:space="preserve">Поскольку резервные фонды </w:t>
            </w:r>
            <w:r w:rsidR="00794A55" w:rsidRPr="007F6CEF">
              <w:rPr>
                <w:lang w:val="ru-RU"/>
              </w:rPr>
              <w:t xml:space="preserve">АСХИ </w:t>
            </w:r>
            <w:r w:rsidRPr="007F6CEF">
              <w:rPr>
                <w:lang w:val="ru-RU"/>
              </w:rPr>
              <w:t>существенно влияют на отрицательн</w:t>
            </w:r>
            <w:r w:rsidR="00670104" w:rsidRPr="007F6CEF">
              <w:rPr>
                <w:lang w:val="ru-RU"/>
              </w:rPr>
              <w:t>ы</w:t>
            </w:r>
            <w:r w:rsidRPr="007F6CEF">
              <w:rPr>
                <w:lang w:val="ru-RU"/>
              </w:rPr>
              <w:t>е чисты</w:t>
            </w:r>
            <w:r w:rsidR="00670104" w:rsidRPr="007F6CEF">
              <w:rPr>
                <w:lang w:val="ru-RU"/>
              </w:rPr>
              <w:t>е</w:t>
            </w:r>
            <w:r w:rsidRPr="007F6CEF">
              <w:rPr>
                <w:lang w:val="ru-RU"/>
              </w:rPr>
              <w:t xml:space="preserve"> актив</w:t>
            </w:r>
            <w:r w:rsidR="00670104" w:rsidRPr="007F6CEF">
              <w:rPr>
                <w:lang w:val="ru-RU"/>
              </w:rPr>
              <w:t>ы</w:t>
            </w:r>
            <w:r w:rsidRPr="007F6CEF">
              <w:rPr>
                <w:lang w:val="ru-RU"/>
              </w:rPr>
              <w:t xml:space="preserve">, хотя финансовая стабильность обеспечивается в краткосрочном отношении, </w:t>
            </w:r>
            <w:r w:rsidR="00794A55" w:rsidRPr="007F6CEF">
              <w:rPr>
                <w:lang w:val="ru-RU"/>
              </w:rPr>
              <w:t>в настоящий период невозможно оценить, когда может ухуд</w:t>
            </w:r>
            <w:r w:rsidRPr="007F6CEF">
              <w:rPr>
                <w:lang w:val="ru-RU"/>
              </w:rPr>
              <w:t>шиться финансовое положение МСЭ.</w:t>
            </w:r>
            <w:r w:rsidR="00794A55" w:rsidRPr="007F6CEF">
              <w:rPr>
                <w:lang w:val="ru-RU"/>
              </w:rPr>
              <w:t xml:space="preserve"> </w:t>
            </w:r>
            <w:r w:rsidRPr="007F6CEF">
              <w:rPr>
                <w:lang w:val="ru-RU"/>
              </w:rPr>
              <w:t>П</w:t>
            </w:r>
            <w:r w:rsidR="00794A55" w:rsidRPr="007F6CEF">
              <w:rPr>
                <w:lang w:val="ru-RU"/>
              </w:rPr>
              <w:t>оэтому мы рекомендуем руководству провести для поддержки в ближайшие годы полное актуарное экспертное исследование, которое могло бы дать ответы и возможные решения по данном</w:t>
            </w:r>
            <w:r w:rsidR="00471DF5" w:rsidRPr="007F6CEF">
              <w:rPr>
                <w:lang w:val="ru-RU"/>
              </w:rPr>
              <w:t>у</w:t>
            </w:r>
            <w:r w:rsidR="00794A55" w:rsidRPr="007F6CEF">
              <w:rPr>
                <w:lang w:val="ru-RU"/>
              </w:rPr>
              <w:t xml:space="preserve"> вопросу.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30123" w:rsidRPr="007F6CEF" w:rsidRDefault="00794A55" w:rsidP="00170B2C">
            <w:pPr>
              <w:pStyle w:val="Tabletext"/>
              <w:keepNext/>
              <w:keepLines/>
              <w:rPr>
                <w:lang w:val="ru-RU"/>
              </w:rPr>
            </w:pPr>
            <w:r w:rsidRPr="007F6CEF">
              <w:rPr>
                <w:lang w:val="ru-RU"/>
              </w:rPr>
              <w:t>Я принимаю к сведению данную рекомендацию и сообщаю вам, что осуществляется процесс для проведения полного актуарного исследования и определения различных сценариев, с тем чтобы оценить корректирующие меры, направленные на сокращение недофинансированных обязательств по линии АСХИ.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5D66" w:rsidRPr="007F6CEF" w:rsidRDefault="00D1476A" w:rsidP="00170B2C">
            <w:pPr>
              <w:pStyle w:val="Tabletext"/>
              <w:keepNext/>
              <w:keepLines/>
              <w:rPr>
                <w:lang w:val="ru-RU"/>
              </w:rPr>
            </w:pPr>
            <w:r w:rsidRPr="007F6CEF">
              <w:rPr>
                <w:lang w:val="ru-RU"/>
              </w:rPr>
              <w:t>МСЭ</w:t>
            </w:r>
            <w:r w:rsidR="00C65D66" w:rsidRPr="007F6CEF">
              <w:rPr>
                <w:lang w:val="ru-RU"/>
              </w:rPr>
              <w:t xml:space="preserve"> </w:t>
            </w:r>
            <w:r w:rsidR="003931C5" w:rsidRPr="007F6CEF">
              <w:rPr>
                <w:lang w:val="ru-RU"/>
              </w:rPr>
              <w:t>перевел 1 мая 2014 г. свой план страхования из</w:t>
            </w:r>
            <w:r w:rsidR="0091029E" w:rsidRPr="007F6CEF">
              <w:rPr>
                <w:lang w:val="ru-RU"/>
              </w:rPr>
              <w:t xml:space="preserve"> </w:t>
            </w:r>
            <w:r w:rsidR="003931C5" w:rsidRPr="007F6CEF">
              <w:rPr>
                <w:lang w:val="ru-RU"/>
              </w:rPr>
              <w:t xml:space="preserve">Фонда медицинского страхования персонала </w:t>
            </w:r>
            <w:r w:rsidR="00C65D66" w:rsidRPr="007F6CEF">
              <w:rPr>
                <w:lang w:val="ru-RU"/>
              </w:rPr>
              <w:t>(</w:t>
            </w:r>
            <w:r w:rsidR="005F6FFB" w:rsidRPr="007F6CEF">
              <w:rPr>
                <w:lang w:val="ru-RU"/>
              </w:rPr>
              <w:t>ФМСП</w:t>
            </w:r>
            <w:r w:rsidR="00C65D66" w:rsidRPr="007F6CEF">
              <w:rPr>
                <w:lang w:val="ru-RU"/>
              </w:rPr>
              <w:t xml:space="preserve">) </w:t>
            </w:r>
            <w:r w:rsidR="003931C5" w:rsidRPr="007F6CEF">
              <w:rPr>
                <w:lang w:val="ru-RU"/>
              </w:rPr>
              <w:t xml:space="preserve">в </w:t>
            </w:r>
            <w:r w:rsidR="00C65D66" w:rsidRPr="007F6CEF">
              <w:rPr>
                <w:lang w:val="ru-RU"/>
              </w:rPr>
              <w:t>Cigna</w:t>
            </w:r>
            <w:r w:rsidR="007F6CEF">
              <w:rPr>
                <w:lang w:val="ru-RU"/>
              </w:rPr>
              <w:noBreakHyphen/>
            </w:r>
            <w:r w:rsidR="00C65D66" w:rsidRPr="007F6CEF">
              <w:rPr>
                <w:lang w:val="ru-RU"/>
              </w:rPr>
              <w:t>van Breda</w:t>
            </w:r>
            <w:r w:rsidR="003931C5" w:rsidRPr="007F6CEF">
              <w:rPr>
                <w:lang w:val="ru-RU"/>
              </w:rPr>
              <w:t xml:space="preserve">. Полное актуарное исследование будет проведено в 2016 г. Корректирующие меры уже приняты, и они будут контролироваться и корректироваться для обеспечения финансирования на основе оплаты по факту оказания услуг, а также финансирования обязательств </w:t>
            </w:r>
            <w:r w:rsidR="00F20B96" w:rsidRPr="007F6CEF">
              <w:rPr>
                <w:lang w:val="ru-RU"/>
              </w:rPr>
              <w:t xml:space="preserve">по линии </w:t>
            </w:r>
            <w:r w:rsidRPr="007F6CEF">
              <w:rPr>
                <w:lang w:val="ru-RU"/>
              </w:rPr>
              <w:t>АСХИ</w:t>
            </w:r>
            <w:r w:rsidR="00C65D66" w:rsidRPr="007F6CEF">
              <w:rPr>
                <w:lang w:val="ru-RU"/>
              </w:rPr>
              <w:t xml:space="preserve"> </w:t>
            </w:r>
            <w:r w:rsidR="003931C5" w:rsidRPr="007F6CEF">
              <w:rPr>
                <w:lang w:val="ru-RU"/>
              </w:rPr>
              <w:t>на долгосрочной основе.</w:t>
            </w:r>
          </w:p>
          <w:p w:rsidR="00A30123" w:rsidRPr="007F6CEF" w:rsidRDefault="003931C5" w:rsidP="00170B2C">
            <w:pPr>
              <w:pStyle w:val="Tabletext"/>
              <w:keepNext/>
              <w:keepLines/>
              <w:rPr>
                <w:lang w:val="ru-RU"/>
              </w:rPr>
            </w:pPr>
            <w:r w:rsidRPr="007F6CEF">
              <w:rPr>
                <w:lang w:val="ru-RU"/>
              </w:rPr>
              <w:t xml:space="preserve">Так, взнос МСЭ в ФМСП был увеличен с </w:t>
            </w:r>
            <w:r w:rsidR="00D1476A" w:rsidRPr="007F6CEF">
              <w:rPr>
                <w:lang w:val="ru-RU"/>
              </w:rPr>
              <w:t>3,</w:t>
            </w:r>
            <w:r w:rsidR="00C65D66" w:rsidRPr="007F6CEF">
              <w:rPr>
                <w:lang w:val="ru-RU"/>
              </w:rPr>
              <w:t xml:space="preserve">31% </w:t>
            </w:r>
            <w:r w:rsidRPr="007F6CEF">
              <w:rPr>
                <w:lang w:val="ru-RU"/>
              </w:rPr>
              <w:t>до</w:t>
            </w:r>
            <w:r w:rsidR="00C65D66" w:rsidRPr="007F6CEF">
              <w:rPr>
                <w:lang w:val="ru-RU"/>
              </w:rPr>
              <w:t xml:space="preserve"> 3</w:t>
            </w:r>
            <w:r w:rsidR="00D1476A" w:rsidRPr="007F6CEF">
              <w:rPr>
                <w:lang w:val="ru-RU"/>
              </w:rPr>
              <w:t xml:space="preserve">,91% </w:t>
            </w:r>
            <w:r w:rsidRPr="007F6CEF">
              <w:rPr>
                <w:lang w:val="ru-RU"/>
              </w:rPr>
              <w:t>для бюджета на</w:t>
            </w:r>
            <w:r w:rsidR="00D1476A" w:rsidRPr="007F6CEF">
              <w:rPr>
                <w:lang w:val="ru-RU"/>
              </w:rPr>
              <w:t xml:space="preserve"> 2014−</w:t>
            </w:r>
            <w:r w:rsidR="00C65D66" w:rsidRPr="007F6CEF">
              <w:rPr>
                <w:lang w:val="ru-RU"/>
              </w:rPr>
              <w:t>2015</w:t>
            </w:r>
            <w:r w:rsidR="00D1476A" w:rsidRPr="007F6CEF">
              <w:rPr>
                <w:lang w:val="ru-RU"/>
              </w:rPr>
              <w:t> гг.</w:t>
            </w:r>
            <w:r w:rsidR="00C65D66" w:rsidRPr="007F6CEF">
              <w:rPr>
                <w:lang w:val="ru-RU"/>
              </w:rPr>
              <w:t xml:space="preserve"> </w:t>
            </w:r>
            <w:r w:rsidR="00B57F2C" w:rsidRPr="007F6CEF">
              <w:rPr>
                <w:lang w:val="ru-RU"/>
              </w:rPr>
              <w:t>С</w:t>
            </w:r>
            <w:r w:rsidRPr="007F6CEF">
              <w:rPr>
                <w:lang w:val="ru-RU"/>
              </w:rPr>
              <w:t xml:space="preserve">оздан резерв для </w:t>
            </w:r>
            <w:r w:rsidR="0026158C" w:rsidRPr="007F6CEF">
              <w:rPr>
                <w:lang w:val="ru-RU"/>
              </w:rPr>
              <w:t>АСХИ</w:t>
            </w:r>
            <w:r w:rsidRPr="007F6CEF">
              <w:rPr>
                <w:lang w:val="ru-RU"/>
              </w:rPr>
              <w:t xml:space="preserve">, и </w:t>
            </w:r>
            <w:r w:rsidR="00672F1D" w:rsidRPr="007F6CEF">
              <w:rPr>
                <w:lang w:val="ru-RU"/>
              </w:rPr>
              <w:t xml:space="preserve">в него переведены </w:t>
            </w:r>
            <w:r w:rsidR="00D1476A" w:rsidRPr="007F6CEF">
              <w:rPr>
                <w:lang w:val="ru-RU"/>
              </w:rPr>
              <w:t xml:space="preserve">2 млн. швейцарских франков </w:t>
            </w:r>
            <w:r w:rsidR="00672F1D" w:rsidRPr="007F6CEF">
              <w:rPr>
                <w:lang w:val="ru-RU"/>
              </w:rPr>
              <w:t>из активного сальдо бюджета за</w:t>
            </w:r>
            <w:r w:rsidR="00C65D66" w:rsidRPr="007F6CEF">
              <w:rPr>
                <w:lang w:val="ru-RU"/>
              </w:rPr>
              <w:t xml:space="preserve"> 2013</w:t>
            </w:r>
            <w:r w:rsidR="00672F1D" w:rsidRPr="007F6CEF">
              <w:rPr>
                <w:lang w:val="ru-RU"/>
              </w:rPr>
              <w:t xml:space="preserve"> г. </w:t>
            </w:r>
            <w:r w:rsidR="002A78B9" w:rsidRPr="007F6CEF">
              <w:rPr>
                <w:lang w:val="ru-RU"/>
              </w:rPr>
              <w:t>Более</w:t>
            </w:r>
            <w:r w:rsidR="00672F1D" w:rsidRPr="007F6CEF">
              <w:rPr>
                <w:lang w:val="ru-RU"/>
              </w:rPr>
              <w:t xml:space="preserve"> того, согласно Резолюции</w:t>
            </w:r>
            <w:r w:rsidR="00C65D66" w:rsidRPr="007F6CEF">
              <w:rPr>
                <w:lang w:val="ru-RU"/>
              </w:rPr>
              <w:t xml:space="preserve"> 1359, 4</w:t>
            </w:r>
            <w:r w:rsidR="0026158C" w:rsidRPr="007F6CEF">
              <w:rPr>
                <w:lang w:val="ru-RU"/>
              </w:rPr>
              <w:t> млн. швейцарских франков</w:t>
            </w:r>
            <w:r w:rsidR="00C65D66" w:rsidRPr="007F6CEF">
              <w:rPr>
                <w:lang w:val="ru-RU"/>
              </w:rPr>
              <w:t xml:space="preserve"> </w:t>
            </w:r>
            <w:r w:rsidR="00672F1D" w:rsidRPr="007F6CEF">
              <w:rPr>
                <w:lang w:val="ru-RU"/>
              </w:rPr>
              <w:t>из Резервного счета</w:t>
            </w:r>
            <w:r w:rsidR="00C65D66" w:rsidRPr="007F6CEF">
              <w:rPr>
                <w:lang w:val="ru-RU"/>
              </w:rPr>
              <w:t xml:space="preserve"> </w:t>
            </w:r>
            <w:r w:rsidR="0026158C" w:rsidRPr="007F6CEF">
              <w:rPr>
                <w:lang w:val="ru-RU"/>
              </w:rPr>
              <w:t xml:space="preserve">МСЭ </w:t>
            </w:r>
            <w:r w:rsidR="00672F1D" w:rsidRPr="007F6CEF">
              <w:rPr>
                <w:lang w:val="ru-RU"/>
              </w:rPr>
              <w:t>были</w:t>
            </w:r>
            <w:r w:rsidR="0091029E" w:rsidRPr="007F6CEF">
              <w:rPr>
                <w:lang w:val="ru-RU"/>
              </w:rPr>
              <w:t xml:space="preserve"> </w:t>
            </w:r>
            <w:r w:rsidR="002A78B9" w:rsidRPr="007F6CEF">
              <w:rPr>
                <w:lang w:val="ru-RU"/>
              </w:rPr>
              <w:t xml:space="preserve">распределены в резерв для долгосрочного финансирования </w:t>
            </w:r>
            <w:r w:rsidR="0026158C" w:rsidRPr="007F6CEF">
              <w:rPr>
                <w:lang w:val="ru-RU"/>
              </w:rPr>
              <w:t>АСХИ</w:t>
            </w:r>
            <w:r w:rsidR="002A78B9" w:rsidRPr="007F6CEF">
              <w:rPr>
                <w:lang w:val="ru-RU"/>
              </w:rPr>
              <w:t>.</w:t>
            </w:r>
            <w:r w:rsidR="0091029E" w:rsidRPr="007F6CEF">
              <w:rPr>
                <w:lang w:val="ru-RU"/>
              </w:rPr>
              <w:t xml:space="preserve"> </w:t>
            </w:r>
            <w:r w:rsidR="002A78B9" w:rsidRPr="007F6CEF">
              <w:rPr>
                <w:lang w:val="ru-RU"/>
              </w:rPr>
              <w:t xml:space="preserve">Кроме того, проект финансового плана на </w:t>
            </w:r>
            <w:r w:rsidR="00D1476A" w:rsidRPr="007F6CEF">
              <w:rPr>
                <w:lang w:val="ru-RU"/>
              </w:rPr>
              <w:t>2016−</w:t>
            </w:r>
            <w:r w:rsidR="00C65D66" w:rsidRPr="007F6CEF">
              <w:rPr>
                <w:lang w:val="ru-RU"/>
              </w:rPr>
              <w:t>2019</w:t>
            </w:r>
            <w:r w:rsidR="00D1476A" w:rsidRPr="007F6CEF">
              <w:rPr>
                <w:lang w:val="ru-RU"/>
              </w:rPr>
              <w:t> гг.</w:t>
            </w:r>
            <w:r w:rsidR="00C65D66" w:rsidRPr="007F6CEF">
              <w:rPr>
                <w:lang w:val="ru-RU"/>
              </w:rPr>
              <w:t xml:space="preserve"> </w:t>
            </w:r>
            <w:r w:rsidR="002A78B9" w:rsidRPr="007F6CEF">
              <w:rPr>
                <w:lang w:val="ru-RU"/>
              </w:rPr>
              <w:t>будет включать дальнейшие корректирующие меры для обеспечения долгосрочного финансирования обязательств по линии</w:t>
            </w:r>
            <w:r w:rsidR="00C65D66" w:rsidRPr="007F6CEF">
              <w:rPr>
                <w:lang w:val="ru-RU"/>
              </w:rPr>
              <w:t xml:space="preserve"> </w:t>
            </w:r>
            <w:r w:rsidR="0026158C" w:rsidRPr="007F6CEF">
              <w:rPr>
                <w:lang w:val="ru-RU"/>
              </w:rPr>
              <w:t>АСХИ</w:t>
            </w:r>
            <w:r w:rsidR="002A78B9" w:rsidRPr="007F6CEF">
              <w:rPr>
                <w:lang w:val="ru-RU"/>
              </w:rPr>
              <w:t>. Следует также отметить, что увеличение ставки дисконтирования, использованной в актуарной оценке 2013 г.,</w:t>
            </w:r>
            <w:r w:rsidR="0091029E" w:rsidRPr="007F6CEF">
              <w:rPr>
                <w:lang w:val="ru-RU"/>
              </w:rPr>
              <w:t xml:space="preserve"> </w:t>
            </w:r>
            <w:r w:rsidR="002A78B9" w:rsidRPr="007F6CEF">
              <w:rPr>
                <w:lang w:val="ru-RU"/>
              </w:rPr>
              <w:t>повлияло</w:t>
            </w:r>
            <w:r w:rsidR="0091029E" w:rsidRPr="007F6CEF">
              <w:rPr>
                <w:lang w:val="ru-RU"/>
              </w:rPr>
              <w:t xml:space="preserve"> </w:t>
            </w:r>
            <w:r w:rsidR="002A78B9" w:rsidRPr="007F6CEF">
              <w:rPr>
                <w:lang w:val="ru-RU"/>
              </w:rPr>
              <w:t>положительным и существенным образом на чистые активы, поскольку</w:t>
            </w:r>
            <w:r w:rsidR="0091029E" w:rsidRPr="007F6CEF">
              <w:rPr>
                <w:lang w:val="ru-RU"/>
              </w:rPr>
              <w:t xml:space="preserve"> </w:t>
            </w:r>
            <w:r w:rsidR="002A78B9" w:rsidRPr="007F6CEF">
              <w:rPr>
                <w:lang w:val="ru-RU"/>
              </w:rPr>
              <w:t xml:space="preserve">актуарные прибыли составили </w:t>
            </w:r>
            <w:r w:rsidR="00C65D66" w:rsidRPr="007F6CEF">
              <w:rPr>
                <w:lang w:val="ru-RU"/>
              </w:rPr>
              <w:t>26</w:t>
            </w:r>
            <w:r w:rsidR="0026158C" w:rsidRPr="007F6CEF">
              <w:rPr>
                <w:lang w:val="ru-RU"/>
              </w:rPr>
              <w:t>,</w:t>
            </w:r>
            <w:r w:rsidR="00C65D66" w:rsidRPr="007F6CEF">
              <w:rPr>
                <w:lang w:val="ru-RU"/>
              </w:rPr>
              <w:t>5</w:t>
            </w:r>
            <w:r w:rsidR="0026158C" w:rsidRPr="007F6CEF">
              <w:rPr>
                <w:lang w:val="ru-RU"/>
              </w:rPr>
              <w:t> млн. швейцарских франков</w:t>
            </w:r>
            <w:r w:rsidR="00C65D66" w:rsidRPr="007F6CEF">
              <w:rPr>
                <w:lang w:val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4D7E" w:rsidRPr="007F6CEF" w:rsidRDefault="00D86179" w:rsidP="00170B2C">
            <w:pPr>
              <w:pStyle w:val="Tabletext"/>
              <w:keepNext/>
              <w:keepLines/>
              <w:rPr>
                <w:lang w:val="ru-RU"/>
              </w:rPr>
            </w:pPr>
            <w:r w:rsidRPr="007F6CEF">
              <w:rPr>
                <w:lang w:val="ru-RU"/>
              </w:rPr>
              <w:t>Завершено</w:t>
            </w:r>
            <w:r w:rsidR="004D4D7E" w:rsidRPr="007F6CEF">
              <w:rPr>
                <w:lang w:val="ru-RU"/>
              </w:rPr>
              <w:t>.</w:t>
            </w:r>
          </w:p>
          <w:p w:rsidR="00A30123" w:rsidRPr="007F6CEF" w:rsidRDefault="00D86179" w:rsidP="00170B2C">
            <w:pPr>
              <w:pStyle w:val="Tabletext"/>
              <w:keepNext/>
              <w:keepLines/>
              <w:rPr>
                <w:lang w:val="ru-RU"/>
              </w:rPr>
            </w:pPr>
            <w:r w:rsidRPr="007F6CEF">
              <w:rPr>
                <w:lang w:val="ru-RU"/>
              </w:rPr>
              <w:t xml:space="preserve">См. Новую рекомендацию, касающуюся актуарного исследования </w:t>
            </w:r>
            <w:r w:rsidR="004D4D7E" w:rsidRPr="007F6CEF">
              <w:rPr>
                <w:lang w:val="ru-RU"/>
              </w:rPr>
              <w:t>АСХИ.</w:t>
            </w:r>
          </w:p>
        </w:tc>
      </w:tr>
      <w:tr w:rsidR="004D4D7E" w:rsidRPr="007F6CEF" w:rsidTr="00B62E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4D7E" w:rsidRPr="007F6CEF" w:rsidRDefault="004D4D7E" w:rsidP="00170B2C">
            <w:pPr>
              <w:pStyle w:val="Tabletext"/>
              <w:keepNext/>
              <w:keepLines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Рек. 7</w:t>
            </w:r>
            <w:r w:rsidRPr="007F6CEF">
              <w:rPr>
                <w:b/>
                <w:lang w:val="ru-RU"/>
              </w:rPr>
              <w:br/>
              <w:t>2012 г</w:t>
            </w:r>
            <w:r w:rsidRPr="007F6CEF">
              <w:rPr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4D7E" w:rsidRPr="007F6CEF" w:rsidRDefault="002A0092" w:rsidP="00170B2C">
            <w:pPr>
              <w:pStyle w:val="Tabletext"/>
              <w:keepNext/>
              <w:keepLines/>
              <w:rPr>
                <w:b/>
                <w:i/>
                <w:lang w:val="ru-RU"/>
              </w:rPr>
            </w:pPr>
            <w:r w:rsidRPr="007F6CEF">
              <w:rPr>
                <w:b/>
                <w:i/>
                <w:lang w:val="ru-RU"/>
              </w:rPr>
              <w:t>Принцип взаимности между</w:t>
            </w:r>
            <w:r w:rsidR="004D4D7E" w:rsidRPr="007F6CEF">
              <w:rPr>
                <w:b/>
                <w:i/>
                <w:lang w:val="ru-RU"/>
              </w:rPr>
              <w:t xml:space="preserve"> МСЭ и </w:t>
            </w:r>
            <w:r w:rsidR="005F6FFB" w:rsidRPr="007F6CEF">
              <w:rPr>
                <w:b/>
                <w:i/>
                <w:lang w:val="ru-RU"/>
              </w:rPr>
              <w:t>МОТ</w:t>
            </w:r>
            <w:r w:rsidR="004D4D7E" w:rsidRPr="007F6CEF">
              <w:rPr>
                <w:b/>
                <w:i/>
                <w:lang w:val="ru-RU"/>
              </w:rPr>
              <w:t xml:space="preserve"> </w:t>
            </w:r>
            <w:r w:rsidRPr="007F6CEF">
              <w:rPr>
                <w:b/>
                <w:i/>
                <w:lang w:val="ru-RU"/>
              </w:rPr>
              <w:t>не соблюдался</w:t>
            </w:r>
          </w:p>
          <w:p w:rsidR="004D4D7E" w:rsidRPr="007F6CEF" w:rsidRDefault="004D4D7E" w:rsidP="00170B2C">
            <w:pPr>
              <w:pStyle w:val="Tabletext"/>
              <w:keepNext/>
              <w:keepLines/>
              <w:rPr>
                <w:lang w:val="ru-RU"/>
              </w:rPr>
            </w:pPr>
            <w:r w:rsidRPr="007F6CEF">
              <w:rPr>
                <w:lang w:val="ru-RU"/>
              </w:rPr>
              <w:t>[...] МОТ не примет "принцип взаимности", определенный нашим предшественником, и в связи с этим мы рекоменд</w:t>
            </w:r>
            <w:r w:rsidR="002A0092" w:rsidRPr="007F6CEF">
              <w:rPr>
                <w:lang w:val="ru-RU"/>
              </w:rPr>
              <w:t>овали</w:t>
            </w:r>
            <w:r w:rsidRPr="007F6CEF">
              <w:rPr>
                <w:lang w:val="ru-RU"/>
              </w:rPr>
              <w:t xml:space="preserve"> руководству рассмотреть альтернативные ФМСП варианты в пределах и за пределами системы Организации Объединенных Наций.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4D7E" w:rsidRPr="007F6CEF" w:rsidRDefault="005F6FFB" w:rsidP="00170B2C">
            <w:pPr>
              <w:pStyle w:val="Tabletext"/>
              <w:keepNext/>
              <w:keepLines/>
              <w:rPr>
                <w:lang w:val="ru-RU"/>
              </w:rPr>
            </w:pPr>
            <w:r w:rsidRPr="007F6CEF">
              <w:rPr>
                <w:lang w:val="ru-RU"/>
              </w:rPr>
              <w:t>С начала 2013 г. МСЭ исследует варианты, альтернативные ФМСП.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4D7E" w:rsidRPr="007F6CEF" w:rsidRDefault="002A0092" w:rsidP="00170B2C">
            <w:pPr>
              <w:pStyle w:val="Tabletext"/>
              <w:keepNext/>
              <w:keepLines/>
              <w:rPr>
                <w:lang w:val="ru-RU"/>
              </w:rPr>
            </w:pPr>
            <w:r w:rsidRPr="007F6CEF">
              <w:rPr>
                <w:lang w:val="ru-RU"/>
              </w:rPr>
              <w:t>МСЭ перевел 1 мая 2014 г. свой план страхования из</w:t>
            </w:r>
            <w:r w:rsidR="0091029E" w:rsidRPr="007F6CEF">
              <w:rPr>
                <w:lang w:val="ru-RU"/>
              </w:rPr>
              <w:t xml:space="preserve"> </w:t>
            </w:r>
            <w:r w:rsidRPr="007F6CEF">
              <w:rPr>
                <w:lang w:val="ru-RU"/>
              </w:rPr>
              <w:t>Фонда медицинского страхования персонала (ФМСП) в Cigna</w:t>
            </w:r>
            <w:r w:rsidR="007F6CEF">
              <w:rPr>
                <w:lang w:val="ru-RU"/>
              </w:rPr>
              <w:noBreakHyphen/>
            </w:r>
            <w:r w:rsidRPr="007F6CEF">
              <w:rPr>
                <w:lang w:val="ru-RU"/>
              </w:rPr>
              <w:t xml:space="preserve">van Breda.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4D7E" w:rsidRPr="007F6CEF" w:rsidRDefault="002A0092" w:rsidP="00170B2C">
            <w:pPr>
              <w:pStyle w:val="Tabletext"/>
              <w:keepNext/>
              <w:keepLines/>
              <w:rPr>
                <w:lang w:val="ru-RU"/>
              </w:rPr>
            </w:pPr>
            <w:r w:rsidRPr="007F6CEF">
              <w:rPr>
                <w:lang w:val="ru-RU"/>
              </w:rPr>
              <w:t>Завершено</w:t>
            </w:r>
            <w:r w:rsidR="005F6FFB" w:rsidRPr="007F6CEF">
              <w:rPr>
                <w:lang w:val="ru-RU"/>
              </w:rPr>
              <w:t>.</w:t>
            </w:r>
          </w:p>
        </w:tc>
      </w:tr>
      <w:tr w:rsidR="005F6FFB" w:rsidRPr="007F6CEF" w:rsidTr="00B62E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F6FFB" w:rsidRPr="007F6CEF" w:rsidRDefault="0090638E" w:rsidP="00170B2C">
            <w:pPr>
              <w:pStyle w:val="Tabletext"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Рек. 8</w:t>
            </w:r>
            <w:r w:rsidRPr="007F6CEF">
              <w:rPr>
                <w:b/>
                <w:lang w:val="ru-RU"/>
              </w:rPr>
              <w:br/>
              <w:t>2012 г</w:t>
            </w:r>
            <w:r w:rsidRPr="007F6CEF">
              <w:rPr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F6FFB" w:rsidRPr="007F6CEF" w:rsidRDefault="0090638E" w:rsidP="00170B2C">
            <w:pPr>
              <w:pStyle w:val="Tabletext"/>
              <w:rPr>
                <w:b/>
                <w:i/>
                <w:lang w:val="ru-RU"/>
              </w:rPr>
            </w:pPr>
            <w:r w:rsidRPr="007F6CEF">
              <w:rPr>
                <w:b/>
                <w:i/>
                <w:lang w:val="ru-RU"/>
              </w:rPr>
              <w:t>Чистые активы</w:t>
            </w:r>
          </w:p>
          <w:p w:rsidR="0090638E" w:rsidRPr="007F6CEF" w:rsidRDefault="0090638E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По результатам состоявшегося на Совете в прошлом году (июль 2013 г.) обсуждения соотношения Резервного фонда и чистых активов мы отметили, что Финансовый регламент не соответствовал принятой практике учета, вследствие чего руководство предложило Рабочей группе Совета по финансовым и людским ресурсам (РГС-ФЛР) разработать поправки </w:t>
            </w:r>
            <w:r w:rsidR="00F67EA4" w:rsidRPr="007F6CEF">
              <w:rPr>
                <w:lang w:val="ru-RU"/>
              </w:rPr>
              <w:t>к</w:t>
            </w:r>
            <w:r w:rsidRPr="007F6CEF">
              <w:rPr>
                <w:lang w:val="ru-RU"/>
              </w:rPr>
              <w:t xml:space="preserve"> Финансов</w:t>
            </w:r>
            <w:r w:rsidR="00F67EA4" w:rsidRPr="007F6CEF">
              <w:rPr>
                <w:lang w:val="ru-RU"/>
              </w:rPr>
              <w:t>ому</w:t>
            </w:r>
            <w:r w:rsidRPr="007F6CEF">
              <w:rPr>
                <w:lang w:val="ru-RU"/>
              </w:rPr>
              <w:t xml:space="preserve"> регламент</w:t>
            </w:r>
            <w:r w:rsidR="00F67EA4" w:rsidRPr="007F6CEF">
              <w:rPr>
                <w:lang w:val="ru-RU"/>
              </w:rPr>
              <w:t>у</w:t>
            </w:r>
            <w:r w:rsidRPr="007F6CEF">
              <w:rPr>
                <w:lang w:val="ru-RU"/>
              </w:rPr>
              <w:t>. Н</w:t>
            </w:r>
            <w:r w:rsidR="00B57F2C" w:rsidRPr="007F6CEF">
              <w:rPr>
                <w:lang w:val="ru-RU"/>
              </w:rPr>
              <w:t>а</w:t>
            </w:r>
            <w:r w:rsidRPr="007F6CEF">
              <w:rPr>
                <w:lang w:val="ru-RU"/>
              </w:rPr>
              <w:t xml:space="preserve"> момент выпуска настоящего Отчета поправки еще не были утверждены. В случае их утверждения мы рекомендуем в следующем Отчете о финансовой деятельности адаптировать текущее представление информации в Таблице I "Отчет о финансовом положении" и Таблице III "Отчет об изменениях в чистых активах" (см. пункт выше)</w:t>
            </w:r>
            <w:r w:rsidR="00F67EA4" w:rsidRPr="007F6CEF">
              <w:rPr>
                <w:lang w:val="ru-RU"/>
              </w:rPr>
              <w:t xml:space="preserve"> и связанных с ними примечаниях</w:t>
            </w:r>
            <w:r w:rsidRPr="007F6CEF">
              <w:rPr>
                <w:lang w:val="ru-RU"/>
              </w:rPr>
              <w:t xml:space="preserve"> к поправленному тексту Финансового регламента, представив подробную разбивку по всем компонентам чистых активов.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F6FFB" w:rsidRPr="007F6CEF" w:rsidRDefault="0090638E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До принятия на Совете 2013 г. решения о предложенных изменениях в Финансовом регламенте и Финансовых правилах я поручил FRMD соответственно адаптировать </w:t>
            </w:r>
            <w:r w:rsidR="00331C02" w:rsidRPr="007F6CEF">
              <w:rPr>
                <w:lang w:val="ru-RU"/>
              </w:rPr>
              <w:t>представление</w:t>
            </w:r>
            <w:r w:rsidRPr="007F6CEF">
              <w:rPr>
                <w:lang w:val="ru-RU"/>
              </w:rPr>
              <w:t xml:space="preserve"> и </w:t>
            </w:r>
            <w:r w:rsidR="00331C02" w:rsidRPr="007F6CEF">
              <w:rPr>
                <w:lang w:val="ru-RU"/>
              </w:rPr>
              <w:t>раскрытие</w:t>
            </w:r>
            <w:r w:rsidRPr="007F6CEF">
              <w:rPr>
                <w:lang w:val="ru-RU"/>
              </w:rPr>
              <w:t xml:space="preserve"> информации, касающейся чистых активов.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F6FFB" w:rsidRPr="007F6CEF" w:rsidRDefault="00331C02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Форма представления чистых активов исправлена, и будет представлена разбивка различных позиций, включенных в чистые активы, а информация по Резервному счету будет раскрыта в отдельной строке. Предложенная форма представления была направлена внешним аудиторам на рассмотрение и подтверждение.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F6FFB" w:rsidRPr="007F6CEF" w:rsidRDefault="00F67EA4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Выполнено</w:t>
            </w:r>
            <w:r w:rsidR="00FA015F" w:rsidRPr="007F6CEF">
              <w:rPr>
                <w:lang w:val="ru-RU"/>
              </w:rPr>
              <w:t>.</w:t>
            </w:r>
          </w:p>
        </w:tc>
      </w:tr>
      <w:tr w:rsidR="00D17ABB" w:rsidRPr="00C21591" w:rsidTr="00B62E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7ABB" w:rsidRPr="007F6CEF" w:rsidRDefault="00D17ABB" w:rsidP="00170B2C">
            <w:pPr>
              <w:pStyle w:val="Tabletext"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Рек. 9</w:t>
            </w:r>
            <w:r w:rsidRPr="007F6CEF">
              <w:rPr>
                <w:b/>
                <w:lang w:val="ru-RU"/>
              </w:rPr>
              <w:br/>
              <w:t>2012 г</w:t>
            </w:r>
            <w:r w:rsidRPr="007F6CEF">
              <w:rPr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7ABB" w:rsidRPr="007F6CEF" w:rsidRDefault="00670104" w:rsidP="00170B2C">
            <w:pPr>
              <w:pStyle w:val="Tabletext"/>
              <w:rPr>
                <w:b/>
                <w:i/>
                <w:lang w:val="ru-RU"/>
              </w:rPr>
            </w:pPr>
            <w:r w:rsidRPr="007F6CEF">
              <w:rPr>
                <w:b/>
                <w:i/>
                <w:lang w:val="ru-RU"/>
              </w:rPr>
              <w:t xml:space="preserve">Возможности покрытия отрицательных чистых активов </w:t>
            </w:r>
          </w:p>
          <w:p w:rsidR="00D17ABB" w:rsidRPr="007F6CEF" w:rsidRDefault="00D17ABB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Мы подтверждаем тот факт, что руководство прилагает усилия к решению ряда вопросов, например имеется намерение увеличить уровень взносов МСЭ в ФМСП (3,91%), как предложено в проекте бюджета, и мы рекомендуем вести постоянную оценку того, являются ли принятые меры действительно структурными мерами, направленными на снижение уровня недофинансирования.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7ABB" w:rsidRPr="007F6CEF" w:rsidRDefault="00D17ABB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Я принимаю к сведению данную рекомендацию и сообщаю, что осуществляется процесс проведения полного актуарного исследования и определения различных сценариев, с тем чтобы оценить корректирующие меры, направленные на сокращение недофинансированных обязательств по линии АСХИ.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7ABB" w:rsidRPr="007F6CEF" w:rsidRDefault="00E34C1F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См. обновленные сведения о состоянии дел для </w:t>
            </w:r>
            <w:r w:rsidR="00D17ABB" w:rsidRPr="007F6CEF">
              <w:rPr>
                <w:lang w:val="ru-RU"/>
              </w:rPr>
              <w:t>Рекомендаций 6 и 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7ABB" w:rsidRPr="007F6CEF" w:rsidRDefault="00E34C1F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Выполняется</w:t>
            </w:r>
            <w:r w:rsidR="00D17ABB" w:rsidRPr="007F6CEF">
              <w:rPr>
                <w:lang w:val="ru-RU"/>
              </w:rPr>
              <w:t>.</w:t>
            </w:r>
          </w:p>
          <w:p w:rsidR="00D17ABB" w:rsidRPr="007F6CEF" w:rsidRDefault="00E34C1F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Мы принимаем к сведению усилия, предпринятые руководством МСЭ. </w:t>
            </w:r>
          </w:p>
        </w:tc>
      </w:tr>
      <w:tr w:rsidR="00D17ABB" w:rsidRPr="00C21591" w:rsidTr="00B62E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7ABB" w:rsidRPr="007F6CEF" w:rsidRDefault="008B08DB" w:rsidP="00170B2C">
            <w:pPr>
              <w:pStyle w:val="Tabletext"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Рек. 10</w:t>
            </w:r>
            <w:r w:rsidRPr="007F6CEF">
              <w:rPr>
                <w:b/>
                <w:lang w:val="ru-RU"/>
              </w:rPr>
              <w:br/>
              <w:t>2012 г</w:t>
            </w:r>
            <w:r w:rsidRPr="007F6CEF">
              <w:rPr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7ABB" w:rsidRPr="007F6CEF" w:rsidRDefault="00D3709C" w:rsidP="00170B2C">
            <w:pPr>
              <w:pStyle w:val="Tabletext"/>
              <w:rPr>
                <w:b/>
                <w:i/>
                <w:lang w:val="ru-RU"/>
              </w:rPr>
            </w:pPr>
            <w:r w:rsidRPr="007F6CEF">
              <w:rPr>
                <w:b/>
                <w:i/>
                <w:lang w:val="ru-RU"/>
              </w:rPr>
              <w:t xml:space="preserve">Перевод в цифровую форму досье сотрудников </w:t>
            </w:r>
          </w:p>
          <w:p w:rsidR="008B08DB" w:rsidRPr="007F6CEF" w:rsidRDefault="008B08DB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Хотя проведенный нами анализ соответствия данных, введенных в систему ИТ, с досье сотрудников не выявил каких-либо серьезных проблем, мы рекоменд</w:t>
            </w:r>
            <w:r w:rsidR="002E5737" w:rsidRPr="007F6CEF">
              <w:rPr>
                <w:lang w:val="ru-RU"/>
              </w:rPr>
              <w:t xml:space="preserve">овали </w:t>
            </w:r>
            <w:r w:rsidRPr="007F6CEF">
              <w:rPr>
                <w:lang w:val="ru-RU"/>
              </w:rPr>
              <w:t>руководству начать оценку экономической эффективности перевода в цифровую форму досье сотрудников, не только для предотвращения потери данных в результате случайного события, но и для обеспечения прямого интерфейса между досье сотрудников с SAP HR.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7ABB" w:rsidRPr="007F6CEF" w:rsidRDefault="008B08DB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Я принимаю к сведению данную рекомендацию и сообщаю вам, что департамент </w:t>
            </w:r>
            <w:r w:rsidR="00493D4B" w:rsidRPr="007F6CEF">
              <w:rPr>
                <w:lang w:val="ru-RU"/>
              </w:rPr>
              <w:t>HRMD</w:t>
            </w:r>
            <w:r w:rsidRPr="007F6CEF">
              <w:rPr>
                <w:lang w:val="ru-RU"/>
              </w:rPr>
              <w:t xml:space="preserve"> изучает эту возможность.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21B8C" w:rsidRPr="007F6CEF" w:rsidRDefault="00621B8C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19 апреля 2013 г. был составлен Подробный концептуальный проект (DBBP) системы электронных личных дел сотрудников (ведения цифровых личных дел). </w:t>
            </w:r>
          </w:p>
          <w:p w:rsidR="008B08DB" w:rsidRPr="007F6CEF" w:rsidRDefault="00621B8C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Этот DBBP включает бизнес-процессы Отдела административного управления людскими ресурсами (HRAD) (Служба по социальным правам и пособиям (E&amp;B)) и отображение структуры личного дела сотрудника (в бумажном виде). Эта</w:t>
            </w:r>
            <w:r w:rsidR="006366CD" w:rsidRPr="007F6CEF">
              <w:rPr>
                <w:lang w:val="ru-RU"/>
              </w:rPr>
              <w:t> </w:t>
            </w:r>
            <w:r w:rsidRPr="007F6CEF">
              <w:rPr>
                <w:lang w:val="ru-RU"/>
              </w:rPr>
              <w:t>система увязана с SAP</w:t>
            </w:r>
            <w:r w:rsidRPr="007F6CEF">
              <w:rPr>
                <w:lang w:val="ru-RU"/>
              </w:rPr>
              <w:noBreakHyphen/>
              <w:t xml:space="preserve">ERP_HCM. </w:t>
            </w:r>
          </w:p>
          <w:p w:rsidR="008B08DB" w:rsidRPr="007F6CEF" w:rsidRDefault="00E63D71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Разработка прототипа завершена, принимая во внимание недавно обновленную версию</w:t>
            </w:r>
            <w:r w:rsidR="008B08DB" w:rsidRPr="007F6CEF">
              <w:rPr>
                <w:lang w:val="ru-RU"/>
              </w:rPr>
              <w:t xml:space="preserve"> SharePoint (2013 г.). </w:t>
            </w:r>
            <w:r w:rsidR="00B57F2C" w:rsidRPr="007F6CEF">
              <w:rPr>
                <w:lang w:val="ru-RU"/>
              </w:rPr>
              <w:t>Сейчас прох</w:t>
            </w:r>
            <w:r w:rsidR="001A7FE4" w:rsidRPr="007F6CEF">
              <w:rPr>
                <w:lang w:val="ru-RU"/>
              </w:rPr>
              <w:t>одит стадия тестирования.</w:t>
            </w:r>
          </w:p>
          <w:p w:rsidR="00D17ABB" w:rsidRPr="007F6CEF" w:rsidRDefault="001A7FE4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Система электронных личных дел сотрудников будет введена в действие в первом квартале </w:t>
            </w:r>
            <w:r w:rsidR="008B08DB" w:rsidRPr="007F6CEF">
              <w:rPr>
                <w:lang w:val="ru-RU"/>
              </w:rPr>
              <w:t>2014 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08DB" w:rsidRPr="007F6CEF" w:rsidRDefault="00B5037E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В стадии выполнения</w:t>
            </w:r>
            <w:r w:rsidR="008B08DB" w:rsidRPr="007F6CEF">
              <w:rPr>
                <w:lang w:val="ru-RU"/>
              </w:rPr>
              <w:t>.</w:t>
            </w:r>
          </w:p>
          <w:p w:rsidR="00D17ABB" w:rsidRPr="007F6CEF" w:rsidRDefault="00B5037E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Мы принимаем к сведению </w:t>
            </w:r>
            <w:r w:rsidR="0084203C" w:rsidRPr="007F6CEF">
              <w:rPr>
                <w:lang w:val="ru-RU"/>
              </w:rPr>
              <w:t xml:space="preserve">недавно внедренную версию. </w:t>
            </w:r>
          </w:p>
        </w:tc>
      </w:tr>
      <w:tr w:rsidR="008B08DB" w:rsidRPr="007F6CEF" w:rsidTr="00B62E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08DB" w:rsidRPr="007F6CEF" w:rsidRDefault="008B08DB" w:rsidP="00170B2C">
            <w:pPr>
              <w:pStyle w:val="Tabletext"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Рек. 11</w:t>
            </w:r>
            <w:r w:rsidRPr="007F6CEF">
              <w:rPr>
                <w:b/>
                <w:lang w:val="ru-RU"/>
              </w:rPr>
              <w:br/>
              <w:t>2012 г</w:t>
            </w:r>
            <w:r w:rsidRPr="007F6CEF">
              <w:rPr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08DB" w:rsidRPr="007F6CEF" w:rsidRDefault="00153497" w:rsidP="00170B2C">
            <w:pPr>
              <w:pStyle w:val="Tabletext"/>
              <w:rPr>
                <w:b/>
                <w:i/>
                <w:lang w:val="ru-RU"/>
              </w:rPr>
            </w:pPr>
            <w:r w:rsidRPr="007F6CEF">
              <w:rPr>
                <w:b/>
                <w:i/>
                <w:lang w:val="ru-RU"/>
              </w:rPr>
              <w:t>Страховая касса персонала</w:t>
            </w:r>
          </w:p>
          <w:p w:rsidR="008B08DB" w:rsidRPr="007F6CEF" w:rsidRDefault="008B08DB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В прошлом году наш предшественник, ШФАБ, заключил, что "новое актуарное исследование не представляется необходимым. Учитывая относительно небольшой объем обязательств, о которых идет речь, достаточным является исследование 2010 г.". Таким образом, в соответствии с позицией нашего предшественника и по причине несущественного объема этих резервных фондов по сравнению с объемом активов мы рекоменд</w:t>
            </w:r>
            <w:r w:rsidR="00153497" w:rsidRPr="007F6CEF">
              <w:rPr>
                <w:lang w:val="ru-RU"/>
              </w:rPr>
              <w:t>овали</w:t>
            </w:r>
            <w:r w:rsidRPr="007F6CEF">
              <w:rPr>
                <w:lang w:val="ru-RU"/>
              </w:rPr>
              <w:t xml:space="preserve"> проводить актуарное исследование раз в пять лет.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08DB" w:rsidRPr="007F6CEF" w:rsidRDefault="008B08DB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Я принимаю к сведению данную рекомендацию и поручил FRMD провести в 2015 г. новое актуарное исследование в отношении старого Пенсионного фонда.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08DB" w:rsidRPr="007F6CEF" w:rsidRDefault="00153497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Будет поручено провести актуарное исследование в 2015 г., согласно рекомендации.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08DB" w:rsidRPr="007F6CEF" w:rsidRDefault="00153497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В стадии выполнения</w:t>
            </w:r>
            <w:r w:rsidR="008B08DB" w:rsidRPr="007F6CEF">
              <w:rPr>
                <w:lang w:val="ru-RU"/>
              </w:rPr>
              <w:t>.</w:t>
            </w:r>
          </w:p>
        </w:tc>
      </w:tr>
    </w:tbl>
    <w:p w:rsidR="00667E8D" w:rsidRPr="007F6CEF" w:rsidRDefault="00667E8D" w:rsidP="00170B2C">
      <w:pPr>
        <w:rPr>
          <w:lang w:val="ru-RU"/>
        </w:rPr>
      </w:pPr>
    </w:p>
    <w:p w:rsidR="00667E8D" w:rsidRPr="007F6CEF" w:rsidRDefault="00090538" w:rsidP="00170B2C">
      <w:pPr>
        <w:pStyle w:val="Annextitle"/>
        <w:rPr>
          <w:lang w:val="ru-RU"/>
        </w:rPr>
      </w:pPr>
      <w:bookmarkStart w:id="251" w:name="_Toc398125359"/>
      <w:bookmarkStart w:id="252" w:name="_Toc398125838"/>
      <w:r w:rsidRPr="007F6CEF">
        <w:rPr>
          <w:lang w:val="ru-RU" w:eastAsia="it-IT"/>
        </w:rPr>
        <w:t>Меры в связи с рекомендациями, представленными ШФАБ</w:t>
      </w:r>
      <w:bookmarkEnd w:id="251"/>
      <w:bookmarkEnd w:id="252"/>
      <w:r w:rsidR="0091029E" w:rsidRPr="007F6CEF">
        <w:rPr>
          <w:lang w:val="ru-RU" w:eastAsia="it-IT"/>
        </w:rPr>
        <w:t xml:space="preserve"> </w:t>
      </w:r>
    </w:p>
    <w:tbl>
      <w:tblPr>
        <w:tblW w:w="14600" w:type="dxa"/>
        <w:tblInd w:w="5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3"/>
        <w:gridCol w:w="2579"/>
        <w:gridCol w:w="3260"/>
        <w:gridCol w:w="2835"/>
        <w:gridCol w:w="2949"/>
        <w:gridCol w:w="1984"/>
      </w:tblGrid>
      <w:tr w:rsidR="00667E8D" w:rsidRPr="00C21591" w:rsidTr="00E84AA7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67E8D" w:rsidRPr="007F6CEF" w:rsidRDefault="00667E8D" w:rsidP="00170B2C">
            <w:pPr>
              <w:pStyle w:val="Tablehead"/>
              <w:spacing w:before="20" w:after="20"/>
              <w:rPr>
                <w:lang w:val="ru-RU"/>
              </w:rPr>
            </w:pPr>
            <w:r w:rsidRPr="007F6CEF">
              <w:rPr>
                <w:lang w:val="ru-RU"/>
              </w:rPr>
              <w:t>Отчет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67E8D" w:rsidRPr="007F6CEF" w:rsidRDefault="00D02C34" w:rsidP="00170B2C">
            <w:pPr>
              <w:pStyle w:val="Tablehead"/>
              <w:spacing w:before="20" w:after="20"/>
              <w:rPr>
                <w:lang w:val="ru-RU"/>
              </w:rPr>
            </w:pPr>
            <w:r w:rsidRPr="007F6CEF">
              <w:rPr>
                <w:lang w:val="ru-RU"/>
              </w:rPr>
              <w:t>Рекомендации</w:t>
            </w:r>
            <w:r w:rsidR="00667E8D" w:rsidRPr="007F6CEF">
              <w:rPr>
                <w:lang w:val="ru-RU"/>
              </w:rPr>
              <w:t xml:space="preserve"> швейцарск</w:t>
            </w:r>
            <w:r w:rsidRPr="007F6CEF">
              <w:rPr>
                <w:lang w:val="ru-RU"/>
              </w:rPr>
              <w:t>ого</w:t>
            </w:r>
            <w:r w:rsidR="00667E8D" w:rsidRPr="007F6CEF">
              <w:rPr>
                <w:lang w:val="ru-RU"/>
              </w:rPr>
              <w:t xml:space="preserve"> аудитор</w:t>
            </w:r>
            <w:r w:rsidRPr="007F6CEF">
              <w:rPr>
                <w:lang w:val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67E8D" w:rsidRPr="007F6CEF" w:rsidRDefault="00667E8D" w:rsidP="00170B2C">
            <w:pPr>
              <w:pStyle w:val="Tablehead"/>
              <w:spacing w:before="20" w:after="20"/>
              <w:rPr>
                <w:lang w:val="ru-RU"/>
              </w:rPr>
            </w:pPr>
            <w:r w:rsidRPr="007F6CEF">
              <w:rPr>
                <w:lang w:val="ru-RU"/>
              </w:rPr>
              <w:t xml:space="preserve">Комментарии, полученные от Генерального секретаря </w:t>
            </w:r>
            <w:r w:rsidR="00873F8A">
              <w:rPr>
                <w:lang w:val="ru-RU"/>
              </w:rPr>
              <w:br/>
            </w:r>
            <w:r w:rsidRPr="007F6CEF">
              <w:rPr>
                <w:lang w:val="ru-RU"/>
              </w:rPr>
              <w:t>в момент опубликования отчета</w:t>
            </w:r>
            <w:r w:rsidR="00090538" w:rsidRPr="007F6CEF">
              <w:rPr>
                <w:lang w:val="ru-RU"/>
              </w:rPr>
              <w:t xml:space="preserve"> швейцарского аудитора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67E8D" w:rsidRPr="007F6CEF" w:rsidRDefault="00667E8D" w:rsidP="00170B2C">
            <w:pPr>
              <w:pStyle w:val="Tablehead"/>
              <w:spacing w:before="20" w:after="20"/>
              <w:rPr>
                <w:lang w:val="ru-RU"/>
              </w:rPr>
            </w:pPr>
            <w:r w:rsidRPr="007F6CEF">
              <w:rPr>
                <w:lang w:val="ru-RU"/>
              </w:rPr>
              <w:t xml:space="preserve">Состояние дел в связи </w:t>
            </w:r>
            <w:r w:rsidR="00873F8A">
              <w:rPr>
                <w:lang w:val="ru-RU"/>
              </w:rPr>
              <w:br/>
            </w:r>
            <w:r w:rsidRPr="007F6CEF">
              <w:rPr>
                <w:lang w:val="ru-RU"/>
              </w:rPr>
              <w:t xml:space="preserve">с </w:t>
            </w:r>
            <w:r w:rsidR="00903A3D" w:rsidRPr="007F6CEF">
              <w:rPr>
                <w:lang w:val="ru-RU"/>
              </w:rPr>
              <w:t>о</w:t>
            </w:r>
            <w:r w:rsidRPr="007F6CEF">
              <w:rPr>
                <w:lang w:val="ru-RU"/>
              </w:rPr>
              <w:t>тчетом швейцарского аудитора, по сообщению руководства МСЭ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67E8D" w:rsidRPr="007F6CEF" w:rsidRDefault="00090538" w:rsidP="00170B2C">
            <w:pPr>
              <w:pStyle w:val="Tablehead"/>
              <w:spacing w:before="20" w:after="20"/>
              <w:rPr>
                <w:lang w:val="ru-RU"/>
              </w:rPr>
            </w:pPr>
            <w:r w:rsidRPr="007F6CEF">
              <w:rPr>
                <w:lang w:val="ru-RU"/>
              </w:rPr>
              <w:t xml:space="preserve">Комментарии, полученные </w:t>
            </w:r>
            <w:r w:rsidR="00873F8A">
              <w:rPr>
                <w:lang w:val="ru-RU"/>
              </w:rPr>
              <w:br/>
            </w:r>
            <w:r w:rsidRPr="007F6CEF">
              <w:rPr>
                <w:lang w:val="ru-RU"/>
              </w:rPr>
              <w:t xml:space="preserve">от руководства МСЭ </w:t>
            </w:r>
            <w:r w:rsidR="00873F8A">
              <w:rPr>
                <w:lang w:val="ru-RU"/>
              </w:rPr>
              <w:br/>
            </w:r>
            <w:r w:rsidRPr="007F6CEF">
              <w:rPr>
                <w:lang w:val="ru-RU"/>
              </w:rPr>
              <w:t xml:space="preserve">и касающиеся предыдущего отчета Счетной палаты Италии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67E8D" w:rsidRPr="007F6CEF" w:rsidRDefault="001F2471" w:rsidP="00170B2C">
            <w:pPr>
              <w:pStyle w:val="Tablehead"/>
              <w:spacing w:before="20" w:after="20"/>
              <w:rPr>
                <w:lang w:val="ru-RU"/>
              </w:rPr>
            </w:pPr>
            <w:r w:rsidRPr="007F6CEF">
              <w:rPr>
                <w:lang w:val="ru-RU"/>
              </w:rPr>
              <w:t xml:space="preserve">Ход выполнения </w:t>
            </w:r>
            <w:r w:rsidR="00D02C34" w:rsidRPr="007F6CEF">
              <w:rPr>
                <w:lang w:val="ru-RU"/>
              </w:rPr>
              <w:t>принимаемых руководством мер,</w:t>
            </w:r>
            <w:r w:rsidRPr="007F6CEF">
              <w:rPr>
                <w:lang w:val="ru-RU"/>
              </w:rPr>
              <w:t xml:space="preserve"> </w:t>
            </w:r>
            <w:r w:rsidR="00F208C8" w:rsidRPr="007F6CEF">
              <w:rPr>
                <w:lang w:val="ru-RU"/>
              </w:rPr>
              <w:br/>
            </w:r>
            <w:r w:rsidRPr="007F6CEF">
              <w:rPr>
                <w:lang w:val="ru-RU"/>
              </w:rPr>
              <w:t xml:space="preserve">по оценке </w:t>
            </w:r>
            <w:r w:rsidR="00090538" w:rsidRPr="007F6CEF">
              <w:rPr>
                <w:lang w:val="ru-RU"/>
              </w:rPr>
              <w:t>С</w:t>
            </w:r>
            <w:r w:rsidRPr="007F6CEF">
              <w:rPr>
                <w:lang w:val="ru-RU"/>
              </w:rPr>
              <w:t>четной палаты Италии</w:t>
            </w:r>
          </w:p>
        </w:tc>
      </w:tr>
      <w:tr w:rsidR="00667E8D" w:rsidRPr="007F6CEF" w:rsidTr="00E84A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7E8D" w:rsidRPr="007F6CEF" w:rsidRDefault="00667E8D" w:rsidP="007F6CEF">
            <w:pPr>
              <w:pStyle w:val="Tabletext"/>
              <w:ind w:left="-57" w:right="-57"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Рек. 1</w:t>
            </w:r>
            <w:r w:rsidRPr="007F6CEF">
              <w:rPr>
                <w:b/>
                <w:lang w:val="ru-RU"/>
              </w:rPr>
              <w:br/>
              <w:t>2010 г., повторно представ</w:t>
            </w:r>
            <w:r w:rsidR="00F208C8" w:rsidRPr="007F6CEF">
              <w:rPr>
                <w:b/>
                <w:lang w:val="ru-RU"/>
              </w:rPr>
              <w:t>-</w:t>
            </w:r>
            <w:r w:rsidRPr="007F6CEF">
              <w:rPr>
                <w:b/>
                <w:lang w:val="ru-RU"/>
              </w:rPr>
              <w:t>ленная в 2011 г</w:t>
            </w:r>
            <w:r w:rsidRPr="007F6CEF">
              <w:rPr>
                <w:lang w:val="ru-RU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7E8D" w:rsidRPr="007F6CEF" w:rsidRDefault="00667E8D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Рекомендую МСЭ </w:t>
            </w:r>
            <w:r w:rsidR="000A4C1A" w:rsidRPr="007F6CEF">
              <w:rPr>
                <w:lang w:val="ru-RU"/>
              </w:rPr>
              <w:t>внести</w:t>
            </w:r>
            <w:r w:rsidRPr="007F6CEF">
              <w:rPr>
                <w:lang w:val="ru-RU"/>
              </w:rPr>
              <w:t xml:space="preserve"> исправлени</w:t>
            </w:r>
            <w:r w:rsidR="000A4C1A" w:rsidRPr="007F6CEF">
              <w:rPr>
                <w:lang w:val="ru-RU"/>
              </w:rPr>
              <w:t>я, необходимые</w:t>
            </w:r>
            <w:r w:rsidRPr="007F6CEF">
              <w:rPr>
                <w:lang w:val="ru-RU"/>
              </w:rPr>
              <w:t xml:space="preserve"> в связи с оценкой стоимости запасов, и, исходя из этого, адаптировать свою систему </w:t>
            </w:r>
            <w:r w:rsidR="000A4C1A" w:rsidRPr="007F6CEF">
              <w:rPr>
                <w:lang w:val="ru-RU"/>
              </w:rPr>
              <w:t xml:space="preserve">ИТ </w:t>
            </w:r>
            <w:r w:rsidRPr="007F6CEF">
              <w:rPr>
                <w:lang w:val="ru-RU"/>
              </w:rPr>
              <w:t>таким образом, чтобы можно было обеспечить правильную оценку запасов в соответствии со стандартами IPSAS.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7E8D" w:rsidRPr="007F6CEF" w:rsidRDefault="00667E8D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В ноябре 2011 г. </w:t>
            </w:r>
            <w:r w:rsidR="00C27B44" w:rsidRPr="007F6CEF">
              <w:rPr>
                <w:lang w:val="ru-RU"/>
              </w:rPr>
              <w:t>коллеге в</w:t>
            </w:r>
            <w:r w:rsidRPr="007F6CEF">
              <w:rPr>
                <w:lang w:val="ru-RU"/>
              </w:rPr>
              <w:t>нешнего аудитора был представлен проект политики в области оценки стоимости запасов. Эта политика устанавливает правила определения стоимости запасов публикаций с линейно начисляемой амортизацией. Мы проведем исследование стоимости публикаций, которая будет включать затраты по персоналу, в целях демонстрации нашего похода и его одобрения новыми внешними аудиторами в 2012 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7E8D" w:rsidRPr="007F6CEF" w:rsidRDefault="00667E8D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Ожидается пересмотр нашими новыми внешними аудиторами политики </w:t>
            </w:r>
            <w:r w:rsidR="00C27B44" w:rsidRPr="007F6CEF">
              <w:rPr>
                <w:lang w:val="ru-RU"/>
              </w:rPr>
              <w:t xml:space="preserve">в области </w:t>
            </w:r>
            <w:r w:rsidRPr="007F6CEF">
              <w:rPr>
                <w:lang w:val="ru-RU"/>
              </w:rPr>
              <w:t>оценки стоимости запасов.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7E8D" w:rsidRPr="007F6CEF" w:rsidRDefault="00C27B44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Политика в области оценки стоимости запасов определена, а также определены и с 1 мая 2014 г. введены изменения, которые должны быть включены в систему управления публикациями </w:t>
            </w:r>
            <w:r w:rsidR="001F2471" w:rsidRPr="007F6CEF">
              <w:rPr>
                <w:lang w:val="ru-RU"/>
              </w:rPr>
              <w:t>(DPS</w:t>
            </w:r>
            <w:r w:rsidRPr="007F6CEF">
              <w:rPr>
                <w:lang w:val="ru-RU"/>
              </w:rPr>
              <w:t>),</w:t>
            </w:r>
            <w:r w:rsidR="0091029E" w:rsidRPr="007F6CEF">
              <w:rPr>
                <w:lang w:val="ru-RU"/>
              </w:rPr>
              <w:t xml:space="preserve"> </w:t>
            </w:r>
            <w:r w:rsidRPr="007F6CEF">
              <w:rPr>
                <w:lang w:val="ru-RU"/>
              </w:rPr>
              <w:t xml:space="preserve">и опубликованы руководящие указания для пользователей. Анализируются результаты первых недель использования данных </w:t>
            </w:r>
            <w:r w:rsidR="001F2471" w:rsidRPr="007F6CEF">
              <w:rPr>
                <w:lang w:val="ru-RU"/>
              </w:rPr>
              <w:t xml:space="preserve">DPS </w:t>
            </w:r>
            <w:r w:rsidRPr="007F6CEF">
              <w:rPr>
                <w:lang w:val="ru-RU"/>
              </w:rPr>
              <w:t xml:space="preserve">и проверяется методика оценки.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67E8D" w:rsidRPr="007F6CEF" w:rsidRDefault="000A4C1A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Завершено</w:t>
            </w:r>
            <w:r w:rsidR="001F2471" w:rsidRPr="007F6CEF">
              <w:rPr>
                <w:lang w:val="ru-RU"/>
              </w:rPr>
              <w:t>.</w:t>
            </w:r>
          </w:p>
        </w:tc>
      </w:tr>
      <w:tr w:rsidR="00E84AA7" w:rsidRPr="007F6CEF" w:rsidTr="00E84AA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4AA7" w:rsidRPr="007F6CEF" w:rsidRDefault="00E84AA7" w:rsidP="00170B2C">
            <w:pPr>
              <w:pStyle w:val="Tabletext"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Рек. 2</w:t>
            </w:r>
            <w:r w:rsidRPr="007F6CEF">
              <w:rPr>
                <w:b/>
                <w:lang w:val="ru-RU"/>
              </w:rPr>
              <w:br/>
              <w:t>2008 г</w:t>
            </w:r>
            <w:r w:rsidRPr="007F6CEF">
              <w:rPr>
                <w:lang w:val="ru-RU"/>
              </w:rPr>
              <w:t>.</w:t>
            </w:r>
          </w:p>
          <w:p w:rsidR="00E84AA7" w:rsidRPr="007F6CEF" w:rsidRDefault="00E84AA7" w:rsidP="00170B2C">
            <w:pPr>
              <w:pStyle w:val="Tabletext"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Рек. 3</w:t>
            </w:r>
            <w:r w:rsidRPr="007F6CEF">
              <w:rPr>
                <w:b/>
                <w:lang w:val="ru-RU"/>
              </w:rPr>
              <w:br/>
              <w:t>2009 г</w:t>
            </w:r>
            <w:r w:rsidRPr="007F6CEF">
              <w:rPr>
                <w:lang w:val="ru-RU"/>
              </w:rPr>
              <w:t>.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4AA7" w:rsidRPr="007F6CEF" w:rsidRDefault="00E84AA7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Операции, произведенные вручную вне среды SAP, приводят к ошибкам и нарушениям в работе и ставят дополнительные задачи, которые могут быть не предусмотрены перечнем обязанностей соответствующих сотрудников. Выполняемые в условиях отсутствия эффективного заместительства, они приводят к задержкам в их реализации. </w:t>
            </w:r>
          </w:p>
          <w:p w:rsidR="00E84AA7" w:rsidRPr="007F6CEF" w:rsidRDefault="00E84AA7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Повторно предлагаю МСЭ как можно скорее приступить к включению системы управления проектами BCS в программное обеспечение SAP.</w:t>
            </w:r>
          </w:p>
          <w:p w:rsidR="00E84AA7" w:rsidRPr="007F6CEF" w:rsidRDefault="00E84AA7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Поэтому я предлагаю МСЭ:</w:t>
            </w:r>
          </w:p>
          <w:p w:rsidR="00E84AA7" w:rsidRPr="007F6CEF" w:rsidRDefault="00E84AA7" w:rsidP="00170B2C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7F6CEF">
              <w:rPr>
                <w:lang w:val="ru-RU"/>
              </w:rPr>
              <w:t>–</w:t>
            </w:r>
            <w:r w:rsidRPr="007F6CEF">
              <w:rPr>
                <w:lang w:val="ru-RU"/>
              </w:rPr>
              <w:tab/>
              <w:t>принять решение о возможном включении в модуль "Управление субсидиями" (GM) всех проектов, не закрытых в оперативном и финансовом отношении, таким образом, чтобы можно было правильно осуществлять расчет и распределение процентов на капитал, вложенный в проекты;</w:t>
            </w:r>
          </w:p>
          <w:p w:rsidR="00E84AA7" w:rsidRPr="007F6CEF" w:rsidRDefault="00E84AA7" w:rsidP="00170B2C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7F6CEF">
              <w:rPr>
                <w:lang w:val="ru-RU"/>
              </w:rPr>
              <w:t>–</w:t>
            </w:r>
            <w:r w:rsidRPr="007F6CEF">
              <w:rPr>
                <w:lang w:val="ru-RU"/>
              </w:rPr>
              <w:tab/>
              <w:t>определить основные процессы технического сотрудничества и установить соответствующие сферы ответственности;</w:t>
            </w:r>
          </w:p>
          <w:p w:rsidR="00E84AA7" w:rsidRPr="007F6CEF" w:rsidRDefault="00E84AA7" w:rsidP="00170B2C">
            <w:pPr>
              <w:pStyle w:val="Tabletext"/>
              <w:tabs>
                <w:tab w:val="left" w:pos="226"/>
              </w:tabs>
              <w:ind w:left="226" w:hanging="226"/>
              <w:rPr>
                <w:lang w:val="ru-RU"/>
              </w:rPr>
            </w:pPr>
            <w:r w:rsidRPr="007F6CEF">
              <w:rPr>
                <w:lang w:val="ru-RU"/>
              </w:rPr>
              <w:t>–</w:t>
            </w:r>
            <w:r w:rsidRPr="007F6CEF">
              <w:rPr>
                <w:lang w:val="ru-RU"/>
              </w:rPr>
              <w:tab/>
              <w:t>внедрить меры по профессиональной подготовке, необходимые для эффективного использования новой среды SAP в области технического сотрудничества.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4AA7" w:rsidRPr="007F6CEF" w:rsidRDefault="00E84AA7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Эти две рекомендации – 1/2008 г. и 2/2009 г. – тесно связаны между собой. В 2011 году Департамент управления финансовыми ресурсами, Бюро развития электросвязи (БРЭ) и Департамент информационных служб при поддержке консультантов провели исследование вопроса о необходимости введения второй системы учета в долларах США. По итогам исследования был сделан вывод о том, что следует активизировать профессиональную подготовку для работы с модулем GM, с тем чтобы добиться максимального использования специальных возможностей этого модуля.</w:t>
            </w:r>
          </w:p>
          <w:p w:rsidR="00E84AA7" w:rsidRPr="007F6CEF" w:rsidRDefault="00E84AA7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Был достигнут определенный прогресс в области административного управления проектами. Все проекты, по которым в течение нескольких лет не велись работы, были закрыты, а оставшиеся средства помещены на промежуточный счет (для возмещения донорам, использования в других проектах и т. д.). К принятию решения о дальнейшем использовании этих средств привлекались доноры. </w:t>
            </w:r>
          </w:p>
          <w:p w:rsidR="00E84AA7" w:rsidRPr="007F6CEF" w:rsidRDefault="00E84AA7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В отношении системы GM SAP в 2011 г. было проведено исследование или анализ пробелов в целях определения потребностей в отношении развития, которые позволили бы обеспечить оптимальное и адаптированное использование этой системы.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4AA7" w:rsidRPr="007F6CEF" w:rsidRDefault="00E84AA7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Модуль SAP "Управление субсидиями" (GM) был внедрен МСЭ в январе 2010 г. для финансового управления проектами технического сотрудничества. В 2011 г. были проанализированы соответствующие финансовые процессы, и в настоящее время осуществляется их оптимизация и переподготовка пользователей.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4AA7" w:rsidRPr="007F6CEF" w:rsidRDefault="00E84AA7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Модуль SAP "Управление субсидиями" (GM) был внедрен МСЭ в январе 2010 г. для финансового управления проектами технического сотрудничества. В 2011 г. были проанализированы соответствующие финансовые процессы, и в настоящее время осуществляется их оптимизация и переподготовка пользователей</w:t>
            </w:r>
            <w:r>
              <w:rPr>
                <w:lang w:val="ru-RU"/>
              </w:rPr>
              <w:t>.</w:t>
            </w:r>
          </w:p>
          <w:p w:rsidR="00E84AA7" w:rsidRPr="007F6CEF" w:rsidRDefault="00E84AA7" w:rsidP="00170B2C">
            <w:pPr>
              <w:pStyle w:val="Tabletext"/>
              <w:ind w:left="57" w:right="57"/>
              <w:rPr>
                <w:lang w:val="ru-RU"/>
              </w:rPr>
            </w:pPr>
            <w:r w:rsidRPr="007F6CEF">
              <w:rPr>
                <w:lang w:val="ru-RU"/>
              </w:rPr>
              <w:t xml:space="preserve">Этот процесс все еще осуществляется в связи с бюджетными ограничениями.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84AA7" w:rsidRPr="007F6CEF" w:rsidRDefault="00E84AA7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Выполняется.</w:t>
            </w:r>
          </w:p>
        </w:tc>
      </w:tr>
      <w:tr w:rsidR="00E84AA7" w:rsidRPr="00E84AA7" w:rsidTr="00E84AA7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4AA7" w:rsidRPr="007F6CEF" w:rsidRDefault="00E84AA7" w:rsidP="00170B2C">
            <w:pPr>
              <w:pStyle w:val="Tabletext"/>
              <w:jc w:val="center"/>
              <w:rPr>
                <w:i/>
                <w:lang w:val="ru-RU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4AA7" w:rsidRPr="007F6CEF" w:rsidRDefault="00E84AA7" w:rsidP="00170B2C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4AA7" w:rsidRPr="007F6CEF" w:rsidRDefault="00E84AA7" w:rsidP="00170B2C">
            <w:pPr>
              <w:pStyle w:val="Tabletext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4AA7" w:rsidRPr="007F6CEF" w:rsidRDefault="00E84AA7" w:rsidP="00170B2C">
            <w:pPr>
              <w:pStyle w:val="Tabletext"/>
              <w:rPr>
                <w:lang w:val="ru-RU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84AA7" w:rsidRPr="007F6CEF" w:rsidRDefault="00E84AA7" w:rsidP="00170B2C">
            <w:pPr>
              <w:pStyle w:val="Tabletext"/>
              <w:ind w:left="57" w:right="57"/>
              <w:rPr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84AA7" w:rsidRPr="007F6CEF" w:rsidRDefault="00E84AA7" w:rsidP="00170B2C">
            <w:pPr>
              <w:pStyle w:val="Tabletext"/>
              <w:ind w:left="57" w:right="57"/>
              <w:rPr>
                <w:lang w:val="ru-RU"/>
              </w:rPr>
            </w:pPr>
          </w:p>
        </w:tc>
      </w:tr>
      <w:tr w:rsidR="00667E8D" w:rsidRPr="007F6CEF" w:rsidTr="00E84A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7E8D" w:rsidRPr="007F6CEF" w:rsidRDefault="00667E8D" w:rsidP="00170B2C">
            <w:pPr>
              <w:pStyle w:val="Tabletext"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Аудит ИС</w:t>
            </w:r>
            <w:r w:rsidRPr="007F6CEF">
              <w:rPr>
                <w:b/>
                <w:lang w:val="ru-RU"/>
              </w:rPr>
              <w:br/>
              <w:t>2011 г</w:t>
            </w:r>
            <w:r w:rsidRPr="007F6CEF">
              <w:rPr>
                <w:lang w:val="ru-RU"/>
              </w:rPr>
              <w:t>.</w:t>
            </w:r>
            <w:r w:rsidRPr="007F6CEF">
              <w:rPr>
                <w:b/>
                <w:lang w:val="ru-RU"/>
              </w:rPr>
              <w:br/>
              <w:t>Рек. 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7E8D" w:rsidRPr="007F6CEF" w:rsidRDefault="00667E8D" w:rsidP="00170B2C">
            <w:pPr>
              <w:pStyle w:val="Tabletext"/>
              <w:rPr>
                <w:b/>
                <w:bCs/>
                <w:lang w:val="ru-RU"/>
              </w:rPr>
            </w:pPr>
            <w:r w:rsidRPr="007F6CEF">
              <w:rPr>
                <w:b/>
                <w:bCs/>
                <w:lang w:val="ru-RU"/>
              </w:rPr>
              <w:t>Ненадлежащее управление разграничением задач (SAP SRM)</w:t>
            </w:r>
          </w:p>
          <w:p w:rsidR="00667E8D" w:rsidRPr="007F6CEF" w:rsidRDefault="00667E8D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Рекомендую МСЭ, чтобы сотрудники, ответственные за бизнес-процессы, определили </w:t>
            </w:r>
            <w:r w:rsidR="00903A3D" w:rsidRPr="007F6CEF">
              <w:rPr>
                <w:lang w:val="ru-RU"/>
              </w:rPr>
              <w:t>чувствительные права доступа</w:t>
            </w:r>
            <w:r w:rsidRPr="007F6CEF">
              <w:rPr>
                <w:lang w:val="ru-RU"/>
              </w:rPr>
              <w:t xml:space="preserve"> и возможные конфликты, связанные с разграничением задач, с тем чтобы команды </w:t>
            </w:r>
            <w:r w:rsidR="00903A3D" w:rsidRPr="007F6CEF">
              <w:rPr>
                <w:lang w:val="ru-RU"/>
              </w:rPr>
              <w:t>ИС</w:t>
            </w:r>
            <w:r w:rsidRPr="007F6CEF">
              <w:rPr>
                <w:lang w:val="ru-RU"/>
              </w:rPr>
              <w:t xml:space="preserve"> могли </w:t>
            </w:r>
            <w:r w:rsidR="00903A3D" w:rsidRPr="007F6CEF">
              <w:rPr>
                <w:lang w:val="ru-RU"/>
              </w:rPr>
              <w:t xml:space="preserve">впоследствии </w:t>
            </w:r>
            <w:r w:rsidRPr="007F6CEF">
              <w:rPr>
                <w:lang w:val="ru-RU"/>
              </w:rPr>
              <w:t xml:space="preserve">на техническом уровне определять </w:t>
            </w:r>
            <w:r w:rsidR="00903A3D" w:rsidRPr="007F6CEF">
              <w:rPr>
                <w:lang w:val="ru-RU"/>
              </w:rPr>
              <w:t>права</w:t>
            </w:r>
            <w:r w:rsidRPr="007F6CEF">
              <w:rPr>
                <w:lang w:val="ru-RU"/>
              </w:rPr>
              <w:t xml:space="preserve"> доступа, связанные с особым риском, и корректировать </w:t>
            </w:r>
            <w:r w:rsidR="00903A3D" w:rsidRPr="007F6CEF">
              <w:rPr>
                <w:lang w:val="ru-RU"/>
              </w:rPr>
              <w:t xml:space="preserve">соответствующие </w:t>
            </w:r>
            <w:r w:rsidRPr="007F6CEF">
              <w:rPr>
                <w:lang w:val="ru-RU"/>
              </w:rPr>
              <w:t>профили SAP.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7E8D" w:rsidRPr="007F6CEF" w:rsidRDefault="00667E8D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Отдел планирования ресурсов предприятия уже переопределил, в первую очередь, функции существующих польз</w:t>
            </w:r>
            <w:r w:rsidR="00423955" w:rsidRPr="007F6CEF">
              <w:rPr>
                <w:lang w:val="ru-RU"/>
              </w:rPr>
              <w:t>ователей SAP. Отдел согласен с в</w:t>
            </w:r>
            <w:r w:rsidRPr="007F6CEF">
              <w:rPr>
                <w:lang w:val="ru-RU"/>
              </w:rPr>
              <w:t>нешним аудитором в том, что решение SAP по управлению процессами GRC (управление, управление рисками и обеспечение соответствия) было бы полезным для управления правами доступа и регулирования конфликтов и рисков, связанных с разграничением задач. Департамент IS представит в Комитет по ИКТ предложение, касающееся инвестиций в программное обеспечение и услуги GRC.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7E8D" w:rsidRPr="007F6CEF" w:rsidRDefault="00C34B0D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Нам сообщ</w:t>
            </w:r>
            <w:r w:rsidR="00423955" w:rsidRPr="007F6CEF">
              <w:rPr>
                <w:lang w:val="ru-RU"/>
              </w:rPr>
              <w:t>или о том</w:t>
            </w:r>
            <w:r w:rsidRPr="007F6CEF">
              <w:rPr>
                <w:lang w:val="ru-RU"/>
              </w:rPr>
              <w:t xml:space="preserve">, что стоимость прикладного программного обеспечения для управления процессами "управление, управление рисками и обеспечение соответствия" (GRC) может достигать 500 000 швейцарских франков. Мы также информированы о том, что внедренные в апреле 2012 г. </w:t>
            </w:r>
            <w:r w:rsidR="00423955" w:rsidRPr="007F6CEF">
              <w:rPr>
                <w:lang w:val="ru-RU"/>
              </w:rPr>
              <w:t>строгие и точные</w:t>
            </w:r>
            <w:r w:rsidRPr="007F6CEF">
              <w:rPr>
                <w:lang w:val="ru-RU"/>
              </w:rPr>
              <w:t xml:space="preserve"> процедуры в рамках процесса получения разрешения на доступ, которые управляются вручную (то есть при двойной проверке на бумаге), предназначены для получения </w:t>
            </w:r>
            <w:r w:rsidR="00423955" w:rsidRPr="007F6CEF">
              <w:rPr>
                <w:lang w:val="ru-RU"/>
              </w:rPr>
              <w:t>надежных</w:t>
            </w:r>
            <w:r w:rsidRPr="007F6CEF">
              <w:rPr>
                <w:lang w:val="ru-RU"/>
              </w:rPr>
              <w:t xml:space="preserve"> результатов в разграничении задач. Мы придерживаемся того мнения, что данная рекомендация, учитывая, что руководство прибегло к решению проблемы обходным путем, не выполнена полностью</w:t>
            </w:r>
            <w:r w:rsidR="00423955" w:rsidRPr="007F6CEF">
              <w:rPr>
                <w:lang w:val="ru-RU"/>
              </w:rPr>
              <w:t xml:space="preserve"> по экономическим причинам</w:t>
            </w:r>
            <w:r w:rsidRPr="007F6CEF">
              <w:rPr>
                <w:lang w:val="ru-RU"/>
              </w:rPr>
              <w:t xml:space="preserve">. На наш взгляд, руководству следует еще раз рассмотреть вопрос об использовании программного обеспечения, если в будущем его стоимость </w:t>
            </w:r>
            <w:r w:rsidR="00423955" w:rsidRPr="007F6CEF">
              <w:rPr>
                <w:lang w:val="ru-RU"/>
              </w:rPr>
              <w:t>снизится</w:t>
            </w:r>
            <w:r w:rsidRPr="007F6CEF">
              <w:rPr>
                <w:lang w:val="ru-RU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4B0D" w:rsidRPr="007F6CEF" w:rsidRDefault="00C34B0D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Департамент IS представил в Комитет по ИКТ предложение о финансировании закупки программного обеспечения GRC и внедрения услуг. Запрос на финансирование не был принят. </w:t>
            </w:r>
          </w:p>
          <w:p w:rsidR="00667E8D" w:rsidRPr="007F6CEF" w:rsidRDefault="00C34B0D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Был внедрен новый процесс запроса разрешения на доступ для SAP (с апреля 2012 г.), который должен снизить риски доступа.</w:t>
            </w:r>
          </w:p>
          <w:p w:rsidR="00C34B0D" w:rsidRPr="007F6CEF" w:rsidRDefault="00216BA3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Это процесс </w:t>
            </w:r>
            <w:r w:rsidR="00A77590" w:rsidRPr="007F6CEF">
              <w:rPr>
                <w:lang w:val="ru-RU"/>
              </w:rPr>
              <w:t>может использоваться для рассмотрения внешними аудиторами</w:t>
            </w:r>
            <w:r w:rsidR="00452697" w:rsidRPr="007F6CEF">
              <w:rPr>
                <w:lang w:val="ru-RU"/>
              </w:rPr>
              <w:t xml:space="preserve">, чтобы считать данную рекомендацию выполненной.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67E8D" w:rsidRPr="007F6CEF" w:rsidRDefault="00AA3FAB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Выполнено</w:t>
            </w:r>
            <w:r w:rsidR="00C34B0D" w:rsidRPr="007F6CEF">
              <w:rPr>
                <w:lang w:val="ru-RU"/>
              </w:rPr>
              <w:t>.</w:t>
            </w:r>
          </w:p>
        </w:tc>
      </w:tr>
    </w:tbl>
    <w:p w:rsidR="002419AF" w:rsidRPr="007F6CEF" w:rsidRDefault="002419AF" w:rsidP="002419AF">
      <w:pPr>
        <w:rPr>
          <w:lang w:val="ru-RU"/>
        </w:rPr>
      </w:pPr>
    </w:p>
    <w:p w:rsidR="002419AF" w:rsidRPr="007F6CEF" w:rsidRDefault="002419AF" w:rsidP="002419AF">
      <w:pPr>
        <w:rPr>
          <w:lang w:val="ru-RU"/>
        </w:rPr>
      </w:pPr>
      <w:r w:rsidRPr="007F6CEF">
        <w:rPr>
          <w:lang w:val="ru-RU"/>
        </w:rPr>
        <w:br w:type="page"/>
      </w:r>
    </w:p>
    <w:p w:rsidR="00452697" w:rsidRPr="007F6CEF" w:rsidRDefault="00452697" w:rsidP="00170B2C">
      <w:pPr>
        <w:pStyle w:val="Annextitle"/>
        <w:rPr>
          <w:lang w:val="ru-RU"/>
        </w:rPr>
      </w:pPr>
      <w:bookmarkStart w:id="253" w:name="_Toc398125360"/>
      <w:bookmarkStart w:id="254" w:name="_Toc398125839"/>
      <w:r w:rsidRPr="007F6CEF">
        <w:rPr>
          <w:lang w:val="ru-RU" w:eastAsia="it-IT"/>
        </w:rPr>
        <w:t>Меры в связи с предложениями, содержащимися в нашем предыдущем отчете</w:t>
      </w:r>
      <w:bookmarkEnd w:id="253"/>
      <w:bookmarkEnd w:id="254"/>
    </w:p>
    <w:tbl>
      <w:tblPr>
        <w:tblW w:w="1443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6"/>
        <w:gridCol w:w="4137"/>
        <w:gridCol w:w="3544"/>
        <w:gridCol w:w="3827"/>
        <w:gridCol w:w="1957"/>
      </w:tblGrid>
      <w:tr w:rsidR="00041E48" w:rsidRPr="00C21591" w:rsidTr="002419AF">
        <w:trPr>
          <w:tblHeader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41E48" w:rsidRPr="007F6CEF" w:rsidRDefault="00041E48" w:rsidP="002419AF">
            <w:pPr>
              <w:pStyle w:val="Tablehead"/>
              <w:spacing w:before="20" w:after="20"/>
              <w:rPr>
                <w:lang w:val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41E48" w:rsidRPr="007F6CEF" w:rsidRDefault="00041E48" w:rsidP="002419AF">
            <w:pPr>
              <w:pStyle w:val="Tablehead"/>
              <w:spacing w:before="20" w:after="20"/>
              <w:rPr>
                <w:lang w:val="ru-RU"/>
              </w:rPr>
            </w:pPr>
            <w:r w:rsidRPr="007F6CEF">
              <w:rPr>
                <w:lang w:val="ru-RU"/>
              </w:rPr>
              <w:t>Предложения</w:t>
            </w:r>
            <w:r w:rsidR="00452697" w:rsidRPr="007F6CEF">
              <w:rPr>
                <w:lang w:val="ru-RU"/>
              </w:rPr>
              <w:t xml:space="preserve"> С</w:t>
            </w:r>
            <w:r w:rsidRPr="007F6CEF">
              <w:rPr>
                <w:lang w:val="ru-RU"/>
              </w:rPr>
              <w:t>четной палат</w:t>
            </w:r>
            <w:r w:rsidR="00D02C34" w:rsidRPr="007F6CEF">
              <w:rPr>
                <w:lang w:val="ru-RU"/>
              </w:rPr>
              <w:t>ы</w:t>
            </w:r>
            <w:r w:rsidRPr="007F6CEF">
              <w:rPr>
                <w:lang w:val="ru-RU"/>
              </w:rPr>
              <w:t xml:space="preserve"> Италии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41E48" w:rsidRPr="007F6CEF" w:rsidRDefault="00011A05" w:rsidP="002419AF">
            <w:pPr>
              <w:pStyle w:val="Tablehead"/>
              <w:spacing w:before="20" w:after="20"/>
              <w:rPr>
                <w:lang w:val="ru-RU"/>
              </w:rPr>
            </w:pPr>
            <w:r w:rsidRPr="007F6CEF">
              <w:rPr>
                <w:lang w:val="ru-RU"/>
              </w:rPr>
              <w:t>Комментарии, полученные от </w:t>
            </w:r>
            <w:r w:rsidR="00041E48" w:rsidRPr="007F6CEF">
              <w:rPr>
                <w:lang w:val="ru-RU"/>
              </w:rPr>
              <w:t>Генерального се</w:t>
            </w:r>
            <w:r w:rsidR="00452697" w:rsidRPr="007F6CEF">
              <w:rPr>
                <w:lang w:val="ru-RU"/>
              </w:rPr>
              <w:t>кретаря в момент опубликования о</w:t>
            </w:r>
            <w:r w:rsidR="00041E48" w:rsidRPr="007F6CEF">
              <w:rPr>
                <w:lang w:val="ru-RU"/>
              </w:rPr>
              <w:t>тчета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41E48" w:rsidRPr="007F6CEF" w:rsidRDefault="00041E48" w:rsidP="002419AF">
            <w:pPr>
              <w:pStyle w:val="Tablehead"/>
              <w:spacing w:before="20" w:after="20"/>
              <w:rPr>
                <w:lang w:val="ru-RU"/>
              </w:rPr>
            </w:pPr>
            <w:r w:rsidRPr="007F6CEF">
              <w:rPr>
                <w:lang w:val="ru-RU"/>
              </w:rPr>
              <w:t>Состояние дел, по сообщению руководства МСЭ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41E48" w:rsidRPr="007F6CEF" w:rsidRDefault="00041E48" w:rsidP="002419AF">
            <w:pPr>
              <w:pStyle w:val="Tablehead"/>
              <w:spacing w:before="20" w:after="20"/>
              <w:rPr>
                <w:lang w:val="ru-RU"/>
              </w:rPr>
            </w:pPr>
            <w:r w:rsidRPr="007F6CEF">
              <w:rPr>
                <w:lang w:val="ru-RU"/>
              </w:rPr>
              <w:t xml:space="preserve">Ход выполнения </w:t>
            </w:r>
            <w:r w:rsidR="00D02C34" w:rsidRPr="007F6CEF">
              <w:rPr>
                <w:lang w:val="ru-RU"/>
              </w:rPr>
              <w:t xml:space="preserve">принимаемых руководством </w:t>
            </w:r>
            <w:r w:rsidRPr="007F6CEF">
              <w:rPr>
                <w:lang w:val="ru-RU"/>
              </w:rPr>
              <w:t>мер,</w:t>
            </w:r>
            <w:r w:rsidR="0091029E" w:rsidRPr="007F6CEF">
              <w:rPr>
                <w:lang w:val="ru-RU"/>
              </w:rPr>
              <w:t xml:space="preserve"> </w:t>
            </w:r>
            <w:r w:rsidRPr="007F6CEF">
              <w:rPr>
                <w:lang w:val="ru-RU"/>
              </w:rPr>
              <w:t xml:space="preserve">по оценке </w:t>
            </w:r>
            <w:r w:rsidR="00452697" w:rsidRPr="007F6CEF">
              <w:rPr>
                <w:lang w:val="ru-RU"/>
              </w:rPr>
              <w:t>С</w:t>
            </w:r>
            <w:r w:rsidRPr="007F6CEF">
              <w:rPr>
                <w:lang w:val="ru-RU"/>
              </w:rPr>
              <w:t>четной палаты Италии</w:t>
            </w:r>
          </w:p>
        </w:tc>
      </w:tr>
      <w:tr w:rsidR="00041E48" w:rsidRPr="007F6CEF" w:rsidTr="002419A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1E48" w:rsidRPr="007F6CEF" w:rsidRDefault="00041E48" w:rsidP="00170B2C">
            <w:pPr>
              <w:pStyle w:val="Tabletext"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Предло-жение 1</w:t>
            </w:r>
            <w:r w:rsidRPr="007F6CEF">
              <w:rPr>
                <w:b/>
                <w:lang w:val="ru-RU"/>
              </w:rPr>
              <w:br/>
              <w:t>2012 г</w:t>
            </w:r>
            <w:r w:rsidRPr="007F6CEF">
              <w:rPr>
                <w:lang w:val="ru-RU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D34BD" w:rsidRPr="007F6CEF" w:rsidRDefault="00BA6F58" w:rsidP="00170B2C">
            <w:pPr>
              <w:pStyle w:val="Tabletext"/>
              <w:rPr>
                <w:b/>
                <w:bCs/>
                <w:lang w:val="ru-RU"/>
              </w:rPr>
            </w:pPr>
            <w:r w:rsidRPr="007F6CEF">
              <w:rPr>
                <w:b/>
                <w:bCs/>
                <w:lang w:val="ru-RU"/>
              </w:rPr>
              <w:t xml:space="preserve">Наличие финансовой отчетности </w:t>
            </w:r>
            <w:r w:rsidR="0068765A" w:rsidRPr="007F6CEF">
              <w:rPr>
                <w:b/>
                <w:bCs/>
                <w:lang w:val="ru-RU"/>
              </w:rPr>
              <w:t xml:space="preserve">для </w:t>
            </w:r>
            <w:r w:rsidRPr="007F6CEF">
              <w:rPr>
                <w:b/>
                <w:bCs/>
                <w:lang w:val="ru-RU"/>
              </w:rPr>
              <w:t xml:space="preserve">отделений на местах </w:t>
            </w:r>
          </w:p>
          <w:p w:rsidR="00041E48" w:rsidRPr="007F6CEF" w:rsidRDefault="00011A05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Следует упомянуть о том, что все банковские счета, использующиеся в отделениях на местах, на периодической основе выверяются и контролируются руководством МСЭ. Но в связи с тем фактом, что суммы не включаются непосредственно в счета сотрудниками на местах, включение всех движений средств в учетную систему ИТ (SAP) осуществляется периодически на уровне штаб-квартиры. Руководство в курсе этого вопроса, и поэтому мы предлагаем продолжить работу, направленную на внедрение подходящей финансовой отчетности на уровне отделений на местах.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1E48" w:rsidRPr="007F6CEF" w:rsidRDefault="00011A05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Я принимаю к сведению это предложение и сообщаю вам о том, что существенная часть выявленных проблем, касающихся финансовой отчетности, будет, в принципе, решена с помощью профессиональной подготовки соответствующих сотрудников отделений на местах.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1E48" w:rsidRPr="007F6CEF" w:rsidRDefault="0068765A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Этот вопрос находится в процессе</w:t>
            </w:r>
            <w:r w:rsidR="00011A05" w:rsidRPr="007F6CEF">
              <w:rPr>
                <w:lang w:val="ru-RU"/>
              </w:rPr>
              <w:t xml:space="preserve"> </w:t>
            </w:r>
            <w:r w:rsidRPr="007F6CEF">
              <w:rPr>
                <w:lang w:val="ru-RU"/>
              </w:rPr>
              <w:t xml:space="preserve">выполнения с учетом </w:t>
            </w:r>
            <w:r w:rsidR="000D46BB" w:rsidRPr="007F6CEF">
              <w:rPr>
                <w:lang w:val="ru-RU"/>
              </w:rPr>
              <w:t xml:space="preserve">проведения </w:t>
            </w:r>
            <w:r w:rsidRPr="007F6CEF">
              <w:rPr>
                <w:lang w:val="ru-RU"/>
              </w:rPr>
              <w:t xml:space="preserve">стандартизации финансовой отчетности отделений на местах, которая, как ожидается, будет внедрена в 2014 г.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1E48" w:rsidRPr="007F6CEF" w:rsidRDefault="000A4C1A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Выполняется</w:t>
            </w:r>
            <w:r w:rsidR="00011A05" w:rsidRPr="007F6CEF">
              <w:rPr>
                <w:lang w:val="ru-RU"/>
              </w:rPr>
              <w:t>.</w:t>
            </w:r>
          </w:p>
        </w:tc>
      </w:tr>
      <w:tr w:rsidR="00041E48" w:rsidRPr="007F6CEF" w:rsidTr="002419A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16AD" w:rsidRPr="007F6CEF" w:rsidRDefault="009616AD" w:rsidP="00170B2C">
            <w:pPr>
              <w:pStyle w:val="Tabletext"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Предло-жение 2</w:t>
            </w:r>
          </w:p>
          <w:p w:rsidR="00041E48" w:rsidRPr="007F6CEF" w:rsidRDefault="009616AD" w:rsidP="00170B2C">
            <w:pPr>
              <w:pStyle w:val="Tabletext"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2012 г.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D6321" w:rsidRPr="007F6CEF" w:rsidRDefault="00BD6321" w:rsidP="00170B2C">
            <w:pPr>
              <w:pStyle w:val="Tabletext"/>
              <w:rPr>
                <w:b/>
                <w:bCs/>
                <w:lang w:val="ru-RU"/>
              </w:rPr>
            </w:pPr>
            <w:r w:rsidRPr="007F6CEF">
              <w:rPr>
                <w:b/>
                <w:bCs/>
                <w:lang w:val="ru-RU"/>
              </w:rPr>
              <w:t>Внедрение стандартов IPSAS 28, 29 и 30</w:t>
            </w:r>
          </w:p>
          <w:p w:rsidR="00041E48" w:rsidRPr="007F6CEF" w:rsidRDefault="009616AD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Руководство заверило нас в том, что участвует во внедрении стандартов IPSAS 28, 29 и 30, и мы будем держать этот вопрос под контролем. В связи с этим мы предлагаем руководству в конце концов пересмотреть классификацию "вкладов" в нетекущих активах и оценить, будут ли вклады сохраняться до срока их возврата или нет.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1E48" w:rsidRPr="007F6CEF" w:rsidRDefault="009616AD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Я принимаю к сведению это предложение и подтверждаю, что оно будет учтено в ходе внедрения стандартов IPSAS 28, 29 и 30 в 2013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16AD" w:rsidRPr="007F6CEF" w:rsidRDefault="00BD6321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Стандарты </w:t>
            </w:r>
            <w:r w:rsidR="009616AD" w:rsidRPr="007F6CEF">
              <w:rPr>
                <w:lang w:val="ru-RU"/>
              </w:rPr>
              <w:t xml:space="preserve">IPSAS 28, 29, 30 </w:t>
            </w:r>
            <w:r w:rsidRPr="007F6CEF">
              <w:rPr>
                <w:lang w:val="ru-RU"/>
              </w:rPr>
              <w:t>внедрены с минимальным воздействие</w:t>
            </w:r>
            <w:r w:rsidR="001177C8" w:rsidRPr="007F6CEF">
              <w:rPr>
                <w:lang w:val="ru-RU"/>
              </w:rPr>
              <w:t>м</w:t>
            </w:r>
            <w:r w:rsidRPr="007F6CEF">
              <w:rPr>
                <w:lang w:val="ru-RU"/>
              </w:rPr>
              <w:t xml:space="preserve">, в том что касается учета и оценки финансовых инструментов, </w:t>
            </w:r>
            <w:r w:rsidR="004F089C" w:rsidRPr="007F6CEF">
              <w:rPr>
                <w:lang w:val="ru-RU"/>
              </w:rPr>
              <w:t xml:space="preserve">в связи с характером </w:t>
            </w:r>
            <w:r w:rsidR="001177C8" w:rsidRPr="007F6CEF">
              <w:rPr>
                <w:lang w:val="ru-RU"/>
              </w:rPr>
              <w:t xml:space="preserve">тех </w:t>
            </w:r>
            <w:r w:rsidR="004F089C" w:rsidRPr="007F6CEF">
              <w:rPr>
                <w:lang w:val="ru-RU"/>
              </w:rPr>
              <w:t xml:space="preserve">финансовых инструментов МСЭ, которые уже </w:t>
            </w:r>
            <w:r w:rsidR="00E81F53" w:rsidRPr="007F6CEF">
              <w:rPr>
                <w:lang w:val="ru-RU"/>
              </w:rPr>
              <w:t>признаны</w:t>
            </w:r>
            <w:r w:rsidR="004F089C" w:rsidRPr="007F6CEF">
              <w:rPr>
                <w:lang w:val="ru-RU"/>
              </w:rPr>
              <w:t xml:space="preserve"> и оценены в соответствии с внедренными стандартам и вариантами, включенными в эти стандарты. </w:t>
            </w:r>
          </w:p>
          <w:p w:rsidR="00041E48" w:rsidRPr="007F6CEF" w:rsidRDefault="004F089C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Информация, раскрываемая в отчетах о финансовой деятельности, была поправлена для получения информации, соответствующей стандарту </w:t>
            </w:r>
            <w:r w:rsidR="009616AD" w:rsidRPr="007F6CEF">
              <w:rPr>
                <w:lang w:val="ru-RU"/>
              </w:rPr>
              <w:t>IPSAS 30</w:t>
            </w:r>
            <w:r w:rsidRPr="007F6CEF">
              <w:rPr>
                <w:lang w:val="ru-RU"/>
              </w:rPr>
              <w:t xml:space="preserve">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1E48" w:rsidRPr="007F6CEF" w:rsidRDefault="00AA3FAB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Выполнено</w:t>
            </w:r>
            <w:r w:rsidR="009616AD" w:rsidRPr="007F6CEF">
              <w:rPr>
                <w:lang w:val="ru-RU"/>
              </w:rPr>
              <w:t>.</w:t>
            </w:r>
          </w:p>
        </w:tc>
      </w:tr>
      <w:tr w:rsidR="009616AD" w:rsidRPr="007F6CEF" w:rsidTr="002419A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16AD" w:rsidRPr="007F6CEF" w:rsidRDefault="009616AD" w:rsidP="00170B2C">
            <w:pPr>
              <w:pStyle w:val="Tabletext"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Предло-жение 3</w:t>
            </w:r>
          </w:p>
          <w:p w:rsidR="009616AD" w:rsidRPr="007F6CEF" w:rsidRDefault="009616AD" w:rsidP="00170B2C">
            <w:pPr>
              <w:pStyle w:val="Tabletext"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2012 г.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16AD" w:rsidRPr="007F6CEF" w:rsidRDefault="009616AD" w:rsidP="00170B2C">
            <w:pPr>
              <w:pStyle w:val="Tabletext"/>
              <w:rPr>
                <w:b/>
                <w:iCs/>
                <w:lang w:val="ru-RU"/>
              </w:rPr>
            </w:pPr>
            <w:r w:rsidRPr="007F6CEF">
              <w:rPr>
                <w:b/>
                <w:iCs/>
                <w:lang w:val="ru-RU"/>
              </w:rPr>
              <w:t>Резервные фонды</w:t>
            </w:r>
          </w:p>
          <w:p w:rsidR="009616AD" w:rsidRPr="007F6CEF" w:rsidRDefault="009616AD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Мы изучили отчеты Советника МСЭ по правовым вопросам и считаем, что сумма, предусмотренная для возможных потерь в результате судебных разбирательств, по существу является правильной. Кроме того, Советник МСЭ по правовым вопросам сообщил нам, что в среднем процесс судебного разбирательства длится в течение двух с половиной лет, прежде чем дело будет решено в Трибунале МОТ. В связи с этим, с учетом вероятного времени урегулирования, мы предлагаем в предстоящие годы перевести сумму, предусмотренную для судебных разбирательств, в категорию нетекущих активов.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16AD" w:rsidRPr="007F6CEF" w:rsidRDefault="009616AD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Я принимаю к сведению это предложение и подтверждаю, что в 2013 г. оно будет учтено.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16AD" w:rsidRPr="007F6CEF" w:rsidRDefault="00820352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Мы рассмотрели это предложение и будем приветствовать возможность сохранения нынешнего метода раскрытия информации, поскольку </w:t>
            </w:r>
            <w:r w:rsidR="00E81F53" w:rsidRPr="007F6CEF">
              <w:rPr>
                <w:lang w:val="ru-RU"/>
              </w:rPr>
              <w:t>этот</w:t>
            </w:r>
            <w:r w:rsidRPr="007F6CEF">
              <w:rPr>
                <w:lang w:val="ru-RU"/>
              </w:rPr>
              <w:t xml:space="preserve"> резервный фонд, </w:t>
            </w:r>
            <w:r w:rsidR="00933C2B" w:rsidRPr="007F6CEF">
              <w:rPr>
                <w:lang w:val="ru-RU"/>
              </w:rPr>
              <w:t>в качестве</w:t>
            </w:r>
            <w:r w:rsidRPr="007F6CEF">
              <w:rPr>
                <w:lang w:val="ru-RU"/>
              </w:rPr>
              <w:t xml:space="preserve"> резервн</w:t>
            </w:r>
            <w:r w:rsidR="00933C2B" w:rsidRPr="007F6CEF">
              <w:rPr>
                <w:lang w:val="ru-RU"/>
              </w:rPr>
              <w:t>ого</w:t>
            </w:r>
            <w:r w:rsidRPr="007F6CEF">
              <w:rPr>
                <w:lang w:val="ru-RU"/>
              </w:rPr>
              <w:t xml:space="preserve"> фонд</w:t>
            </w:r>
            <w:r w:rsidR="00933C2B" w:rsidRPr="007F6CEF">
              <w:rPr>
                <w:lang w:val="ru-RU"/>
              </w:rPr>
              <w:t>а</w:t>
            </w:r>
            <w:r w:rsidRPr="007F6CEF">
              <w:rPr>
                <w:lang w:val="ru-RU"/>
              </w:rPr>
              <w:t xml:space="preserve"> для долгосрочных обязательств, приведет к раскрытию весьма чувствительной информации в отдельной строке </w:t>
            </w:r>
            <w:r w:rsidR="00933C2B" w:rsidRPr="007F6CEF">
              <w:rPr>
                <w:lang w:val="ru-RU"/>
              </w:rPr>
              <w:t xml:space="preserve">в основной части </w:t>
            </w:r>
            <w:r w:rsidRPr="007F6CEF">
              <w:rPr>
                <w:lang w:val="ru-RU"/>
              </w:rPr>
              <w:t>отчет</w:t>
            </w:r>
            <w:r w:rsidR="00933C2B" w:rsidRPr="007F6CEF">
              <w:rPr>
                <w:lang w:val="ru-RU"/>
              </w:rPr>
              <w:t>а</w:t>
            </w:r>
            <w:r w:rsidRPr="007F6CEF">
              <w:rPr>
                <w:lang w:val="ru-RU"/>
              </w:rPr>
              <w:t xml:space="preserve"> о финансовом положении. Кроме того, </w:t>
            </w:r>
            <w:r w:rsidR="0095124E" w:rsidRPr="007F6CEF">
              <w:rPr>
                <w:lang w:val="ru-RU"/>
              </w:rPr>
              <w:t>неопределенность в отношении продолжительности</w:t>
            </w:r>
            <w:r w:rsidR="00755FA2" w:rsidRPr="007F6CEF">
              <w:rPr>
                <w:lang w:val="ru-RU"/>
              </w:rPr>
              <w:t xml:space="preserve"> того или иного конкретного дела может быть аргументом в пользу сохранения классификации </w:t>
            </w:r>
            <w:r w:rsidR="00933C2B" w:rsidRPr="007F6CEF">
              <w:rPr>
                <w:lang w:val="ru-RU"/>
              </w:rPr>
              <w:t xml:space="preserve">обязательств </w:t>
            </w:r>
            <w:r w:rsidR="00755FA2" w:rsidRPr="007F6CEF">
              <w:rPr>
                <w:lang w:val="ru-RU"/>
              </w:rPr>
              <w:t xml:space="preserve">в качестве "краткосрочных".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16AD" w:rsidRPr="007F6CEF" w:rsidRDefault="000A4C1A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Выполняется</w:t>
            </w:r>
            <w:r w:rsidR="009616AD" w:rsidRPr="007F6CEF">
              <w:rPr>
                <w:lang w:val="ru-RU"/>
              </w:rPr>
              <w:t>.</w:t>
            </w:r>
          </w:p>
        </w:tc>
      </w:tr>
      <w:tr w:rsidR="009616AD" w:rsidRPr="007F6CEF" w:rsidTr="002419A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16AD" w:rsidRPr="007F6CEF" w:rsidRDefault="009616AD" w:rsidP="00170B2C">
            <w:pPr>
              <w:pStyle w:val="Tabletext"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Предло-жение 4</w:t>
            </w:r>
          </w:p>
          <w:p w:rsidR="009616AD" w:rsidRPr="007F6CEF" w:rsidRDefault="009616AD" w:rsidP="00170B2C">
            <w:pPr>
              <w:pStyle w:val="Tabletext"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2012 г.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16AD" w:rsidRPr="007F6CEF" w:rsidRDefault="009616AD" w:rsidP="00170B2C">
            <w:pPr>
              <w:pStyle w:val="Tabletext"/>
              <w:rPr>
                <w:b/>
                <w:iCs/>
                <w:lang w:val="ru-RU"/>
              </w:rPr>
            </w:pPr>
            <w:r w:rsidRPr="007F6CEF">
              <w:rPr>
                <w:b/>
                <w:iCs/>
                <w:lang w:val="ru-RU"/>
              </w:rPr>
              <w:t>Возможности покрытия отрицательных чистых активов</w:t>
            </w:r>
          </w:p>
          <w:p w:rsidR="009616AD" w:rsidRPr="007F6CEF" w:rsidRDefault="009616AD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Учитывая необходимость принятия корректирующих мер, Совет должен рассмотреть эти факторы</w:t>
            </w:r>
            <w:r w:rsidR="00755FA2" w:rsidRPr="007F6CEF">
              <w:rPr>
                <w:lang w:val="ru-RU"/>
              </w:rPr>
              <w:t xml:space="preserve"> [как это отмечается в пункте 92]</w:t>
            </w:r>
            <w:r w:rsidRPr="007F6CEF">
              <w:rPr>
                <w:lang w:val="ru-RU"/>
              </w:rPr>
              <w:t>: если первый фактор не входит в сферу компетенции руководства, мы предлагаем руководству рассмотреть другие факторы.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16AD" w:rsidRPr="007F6CEF" w:rsidRDefault="009616AD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Я принимаю к сведению данное предложение, и оно будет </w:t>
            </w:r>
            <w:r w:rsidR="00755FA2" w:rsidRPr="007F6CEF">
              <w:rPr>
                <w:lang w:val="ru-RU"/>
              </w:rPr>
              <w:t>принято во внимание</w:t>
            </w:r>
            <w:r w:rsidRPr="007F6CEF">
              <w:rPr>
                <w:lang w:val="ru-RU"/>
              </w:rPr>
              <w:t xml:space="preserve">, </w:t>
            </w:r>
            <w:r w:rsidR="00755FA2" w:rsidRPr="007F6CEF">
              <w:rPr>
                <w:lang w:val="ru-RU"/>
              </w:rPr>
              <w:t>с учетом того</w:t>
            </w:r>
            <w:r w:rsidRPr="007F6CEF">
              <w:rPr>
                <w:lang w:val="ru-RU"/>
              </w:rPr>
              <w:t xml:space="preserve">, что некоторые факторы, перечисленные в предложении, имеют </w:t>
            </w:r>
            <w:r w:rsidR="00755FA2" w:rsidRPr="007F6CEF">
              <w:rPr>
                <w:lang w:val="ru-RU"/>
              </w:rPr>
              <w:t>чувствительный</w:t>
            </w:r>
            <w:r w:rsidRPr="007F6CEF">
              <w:rPr>
                <w:lang w:val="ru-RU"/>
              </w:rPr>
              <w:t xml:space="preserve"> характер и требуют рассмотрения на уровне Организации Объединенных Наций для обеспечения общего подхода к этой проблеме.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16AD" w:rsidRPr="007F6CEF" w:rsidRDefault="00755FA2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 xml:space="preserve">См. обновленные данные по </w:t>
            </w:r>
            <w:r w:rsidR="00F66596" w:rsidRPr="007F6CEF">
              <w:rPr>
                <w:lang w:val="ru-RU"/>
              </w:rPr>
              <w:t>состоянию дел</w:t>
            </w:r>
            <w:r w:rsidRPr="007F6CEF">
              <w:rPr>
                <w:lang w:val="ru-RU"/>
              </w:rPr>
              <w:t xml:space="preserve"> для </w:t>
            </w:r>
            <w:r w:rsidR="009616AD" w:rsidRPr="007F6CEF">
              <w:rPr>
                <w:lang w:val="ru-RU"/>
              </w:rPr>
              <w:t>Рекомендаций 6 и 7.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16AD" w:rsidRPr="007F6CEF" w:rsidRDefault="000A4C1A" w:rsidP="00170B2C">
            <w:pPr>
              <w:pStyle w:val="Tabletext"/>
              <w:rPr>
                <w:lang w:val="ru-RU"/>
              </w:rPr>
            </w:pPr>
            <w:r w:rsidRPr="007F6CEF">
              <w:rPr>
                <w:lang w:val="ru-RU"/>
              </w:rPr>
              <w:t>Выполняется</w:t>
            </w:r>
            <w:r w:rsidR="009616AD" w:rsidRPr="007F6CEF">
              <w:rPr>
                <w:lang w:val="ru-RU"/>
              </w:rPr>
              <w:t>.</w:t>
            </w:r>
          </w:p>
        </w:tc>
      </w:tr>
      <w:tr w:rsidR="009616AD" w:rsidRPr="007F6CEF" w:rsidTr="002419A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16AD" w:rsidRPr="007F6CEF" w:rsidRDefault="009616AD" w:rsidP="002419AF">
            <w:pPr>
              <w:pStyle w:val="Tabletext"/>
              <w:keepNext/>
              <w:keepLines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Предло-жение 5</w:t>
            </w:r>
          </w:p>
          <w:p w:rsidR="009616AD" w:rsidRPr="007F6CEF" w:rsidRDefault="009616AD" w:rsidP="002419AF">
            <w:pPr>
              <w:pStyle w:val="Tabletext"/>
              <w:keepNext/>
              <w:keepLines/>
              <w:jc w:val="center"/>
              <w:rPr>
                <w:b/>
                <w:lang w:val="ru-RU"/>
              </w:rPr>
            </w:pPr>
            <w:r w:rsidRPr="007F6CEF">
              <w:rPr>
                <w:b/>
                <w:lang w:val="ru-RU"/>
              </w:rPr>
              <w:t>2012 г.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16AD" w:rsidRPr="007F6CEF" w:rsidRDefault="009616AD" w:rsidP="002419AF">
            <w:pPr>
              <w:pStyle w:val="Tabletext"/>
              <w:keepNext/>
              <w:keepLines/>
              <w:rPr>
                <w:lang w:val="ru-RU"/>
              </w:rPr>
            </w:pPr>
            <w:r w:rsidRPr="007F6CEF">
              <w:rPr>
                <w:lang w:val="ru-RU"/>
              </w:rPr>
              <w:t>При том что данное различие в ключевых допущениях не оказывает существенного влияния на итоговый расчет, в частности, более низкая ставка дисконтирования, которую использовала компания CPA, обусловила более пруденциальный характер итогового значения, тем не менее мы рекоменд</w:t>
            </w:r>
            <w:r w:rsidR="00F66596" w:rsidRPr="007F6CEF">
              <w:rPr>
                <w:lang w:val="ru-RU"/>
              </w:rPr>
              <w:t>овали</w:t>
            </w:r>
            <w:r w:rsidRPr="007F6CEF">
              <w:rPr>
                <w:lang w:val="ru-RU"/>
              </w:rPr>
              <w:t xml:space="preserve"> руководству использовать аналогичные ключевые допущения во всех проводимых актуарных исследованиях в случае сопоставимости условий, в частности, </w:t>
            </w:r>
            <w:r w:rsidR="00F66596" w:rsidRPr="007F6CEF">
              <w:rPr>
                <w:lang w:val="ru-RU"/>
              </w:rPr>
              <w:t xml:space="preserve">в том что </w:t>
            </w:r>
            <w:r w:rsidRPr="007F6CEF">
              <w:rPr>
                <w:lang w:val="ru-RU"/>
              </w:rPr>
              <w:t>касается используемой ставки дисконтирования.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16AD" w:rsidRPr="007F6CEF" w:rsidRDefault="009616AD" w:rsidP="002419AF">
            <w:pPr>
              <w:pStyle w:val="Tabletext"/>
              <w:keepNext/>
              <w:keepLines/>
              <w:rPr>
                <w:lang w:val="ru-RU"/>
              </w:rPr>
            </w:pPr>
            <w:r w:rsidRPr="007F6CEF">
              <w:rPr>
                <w:lang w:val="ru-RU"/>
              </w:rPr>
              <w:t>Я принимаю к сведению данную рекомендацию и поручу FRMD обеспечить согласование выбранных ключевых допущений в актуарных исследованиях, когда это применимо, в 2013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16AD" w:rsidRPr="007F6CEF" w:rsidRDefault="00F66596" w:rsidP="002419AF">
            <w:pPr>
              <w:pStyle w:val="Tabletext"/>
              <w:keepNext/>
              <w:keepLines/>
              <w:rPr>
                <w:lang w:val="ru-RU"/>
              </w:rPr>
            </w:pPr>
            <w:r w:rsidRPr="007F6CEF">
              <w:rPr>
                <w:lang w:val="ru-RU"/>
              </w:rPr>
              <w:t xml:space="preserve">См. обновленные данные по состоянию дел для </w:t>
            </w:r>
            <w:r w:rsidR="009616AD" w:rsidRPr="007F6CEF">
              <w:rPr>
                <w:lang w:val="ru-RU"/>
              </w:rPr>
              <w:t>Рекомендации 5.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16AD" w:rsidRPr="007F6CEF" w:rsidRDefault="000A4C1A" w:rsidP="002419AF">
            <w:pPr>
              <w:pStyle w:val="Tabletext"/>
              <w:keepNext/>
              <w:keepLines/>
              <w:rPr>
                <w:lang w:val="ru-RU"/>
              </w:rPr>
            </w:pPr>
            <w:r w:rsidRPr="007F6CEF">
              <w:rPr>
                <w:lang w:val="ru-RU"/>
              </w:rPr>
              <w:t>Завершено</w:t>
            </w:r>
            <w:r w:rsidR="009616AD" w:rsidRPr="007F6CEF">
              <w:rPr>
                <w:lang w:val="ru-RU"/>
              </w:rPr>
              <w:t>.</w:t>
            </w:r>
          </w:p>
        </w:tc>
      </w:tr>
    </w:tbl>
    <w:p w:rsidR="00F02F44" w:rsidRPr="007F6CEF" w:rsidRDefault="00F02F44" w:rsidP="00170B2C">
      <w:pPr>
        <w:rPr>
          <w:lang w:val="ru-RU"/>
        </w:rPr>
      </w:pPr>
    </w:p>
    <w:p w:rsidR="00F02F44" w:rsidRPr="007F6CEF" w:rsidRDefault="00F02F44" w:rsidP="00170B2C">
      <w:pPr>
        <w:rPr>
          <w:lang w:val="ru-RU"/>
        </w:rPr>
        <w:sectPr w:rsidR="00F02F44" w:rsidRPr="007F6CEF" w:rsidSect="00EB65CB">
          <w:headerReference w:type="default" r:id="rId17"/>
          <w:footerReference w:type="default" r:id="rId18"/>
          <w:headerReference w:type="first" r:id="rId19"/>
          <w:footerReference w:type="first" r:id="rId20"/>
          <w:pgSz w:w="16834" w:h="11907" w:orient="landscape"/>
          <w:pgMar w:top="1418" w:right="1134" w:bottom="1418" w:left="1134" w:header="567" w:footer="567" w:gutter="0"/>
          <w:paperSrc w:first="1264" w:other="1264"/>
          <w:cols w:space="720"/>
          <w:titlePg/>
          <w:docGrid w:linePitch="299"/>
        </w:sectPr>
      </w:pPr>
    </w:p>
    <w:p w:rsidR="00A23976" w:rsidRPr="007F6CEF" w:rsidRDefault="00A23976" w:rsidP="00170B2C">
      <w:pPr>
        <w:pStyle w:val="AnnexNo"/>
        <w:spacing w:before="0"/>
        <w:rPr>
          <w:lang w:val="ru-RU" w:eastAsia="zh-CN"/>
        </w:rPr>
      </w:pPr>
      <w:bookmarkStart w:id="255" w:name="_Toc398125361"/>
      <w:bookmarkStart w:id="256" w:name="_Toc398125840"/>
      <w:bookmarkStart w:id="257" w:name="_Toc392672742"/>
      <w:r w:rsidRPr="007F6CEF">
        <w:rPr>
          <w:lang w:val="ru-RU" w:eastAsia="zh-CN"/>
        </w:rPr>
        <w:t>ПРИЛОЖЕНИЕ 2</w:t>
      </w:r>
      <w:bookmarkEnd w:id="255"/>
      <w:bookmarkEnd w:id="256"/>
    </w:p>
    <w:p w:rsidR="00A23976" w:rsidRPr="007F6CEF" w:rsidRDefault="00AD62CF" w:rsidP="00170B2C">
      <w:pPr>
        <w:pStyle w:val="Annextitle"/>
        <w:rPr>
          <w:lang w:val="ru-RU" w:eastAsia="zh-CN"/>
        </w:rPr>
      </w:pPr>
      <w:bookmarkStart w:id="258" w:name="_Toc398125362"/>
      <w:bookmarkStart w:id="259" w:name="_Toc398125841"/>
      <w:r w:rsidRPr="007F6CEF">
        <w:rPr>
          <w:lang w:val="ru-RU" w:eastAsia="zh-CN"/>
        </w:rPr>
        <w:t>Гистограммы выплат ФМСП</w:t>
      </w:r>
      <w:bookmarkEnd w:id="257"/>
      <w:bookmarkEnd w:id="258"/>
      <w:bookmarkEnd w:id="259"/>
    </w:p>
    <w:p w:rsidR="00A23976" w:rsidRPr="007F6CEF" w:rsidRDefault="00A23976" w:rsidP="00170B2C">
      <w:pPr>
        <w:pStyle w:val="Figuretitle"/>
        <w:spacing w:after="240"/>
        <w:rPr>
          <w:rFonts w:eastAsia="SimSun"/>
          <w:lang w:val="ru-RU" w:eastAsia="zh-CN"/>
        </w:rPr>
      </w:pPr>
      <w:r w:rsidRPr="007F6CEF">
        <w:rPr>
          <w:rFonts w:eastAsia="SimSun"/>
          <w:lang w:val="ru-RU" w:eastAsia="zh-CN"/>
        </w:rPr>
        <w:t>2012 год (</w:t>
      </w:r>
      <w:r w:rsidR="00AD62CF" w:rsidRPr="007F6CEF">
        <w:rPr>
          <w:rFonts w:eastAsia="SimSun"/>
          <w:lang w:val="ru-RU" w:eastAsia="zh-CN"/>
        </w:rPr>
        <w:t>вторая половина</w:t>
      </w:r>
      <w:r w:rsidRPr="007F6CEF">
        <w:rPr>
          <w:rFonts w:eastAsia="SimSun"/>
          <w:lang w:val="ru-RU" w:eastAsia="zh-CN"/>
        </w:rPr>
        <w:t>)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400B8D" w:rsidRPr="007F6CEF" w:rsidTr="00530D53">
        <w:trPr>
          <w:jc w:val="center"/>
        </w:trPr>
        <w:tc>
          <w:tcPr>
            <w:tcW w:w="8721" w:type="dxa"/>
          </w:tcPr>
          <w:p w:rsidR="00400B8D" w:rsidRPr="007F6CEF" w:rsidRDefault="00400B8D" w:rsidP="00400B8D">
            <w:pPr>
              <w:pStyle w:val="Normalaftertitle"/>
              <w:spacing w:before="120" w:after="120"/>
              <w:jc w:val="center"/>
              <w:rPr>
                <w:b/>
                <w:bCs/>
                <w:sz w:val="20"/>
                <w:szCs w:val="20"/>
                <w:lang w:val="ru-RU" w:eastAsia="zh-CN"/>
              </w:rPr>
            </w:pPr>
            <w:r w:rsidRPr="007F6CEF">
              <w:rPr>
                <w:b/>
                <w:bCs/>
                <w:sz w:val="20"/>
                <w:szCs w:val="20"/>
                <w:lang w:val="ru-RU" w:eastAsia="zh-CN"/>
              </w:rPr>
              <w:t>1 − Сотрудники (Delta 1000)</w:t>
            </w:r>
          </w:p>
        </w:tc>
      </w:tr>
      <w:tr w:rsidR="00A23976" w:rsidRPr="007F6CEF" w:rsidTr="00530D53">
        <w:trPr>
          <w:jc w:val="center"/>
        </w:trPr>
        <w:tc>
          <w:tcPr>
            <w:tcW w:w="8721" w:type="dxa"/>
          </w:tcPr>
          <w:p w:rsidR="00A23976" w:rsidRPr="007F6CEF" w:rsidRDefault="00A23976" w:rsidP="00400B8D">
            <w:pPr>
              <w:adjustRightInd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6CEF">
              <w:rPr>
                <w:rFonts w:ascii="Times New Roman" w:hAnsi="Times New Roman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32792E36" wp14:editId="6DEEA32F">
                  <wp:extent cx="4319884" cy="2092960"/>
                  <wp:effectExtent l="0" t="0" r="508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1"/>
                          <a:srcRect t="13740"/>
                          <a:stretch/>
                        </pic:blipFill>
                        <pic:spPr bwMode="auto">
                          <a:xfrm>
                            <a:off x="0" y="0"/>
                            <a:ext cx="4320000" cy="2093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B8D" w:rsidRPr="007F6CEF" w:rsidTr="00530D53">
        <w:trPr>
          <w:jc w:val="center"/>
        </w:trPr>
        <w:tc>
          <w:tcPr>
            <w:tcW w:w="8721" w:type="dxa"/>
          </w:tcPr>
          <w:p w:rsidR="00400B8D" w:rsidRPr="007F6CEF" w:rsidRDefault="00400B8D" w:rsidP="00B802C3">
            <w:pPr>
              <w:pStyle w:val="Normalaftertitle"/>
              <w:spacing w:before="240" w:after="120"/>
              <w:jc w:val="center"/>
              <w:rPr>
                <w:b/>
                <w:bCs/>
                <w:sz w:val="20"/>
                <w:szCs w:val="20"/>
                <w:lang w:val="ru-RU" w:eastAsia="zh-CN"/>
              </w:rPr>
            </w:pPr>
            <w:r w:rsidRPr="007F6CEF">
              <w:rPr>
                <w:b/>
                <w:bCs/>
                <w:sz w:val="20"/>
                <w:szCs w:val="20"/>
                <w:lang w:val="ru-RU" w:eastAsia="zh-CN"/>
              </w:rPr>
              <w:t>2 − Пенсионеры (Delta 1000)</w:t>
            </w:r>
          </w:p>
        </w:tc>
      </w:tr>
      <w:tr w:rsidR="00A23976" w:rsidRPr="007F6CEF" w:rsidTr="00530D53">
        <w:trPr>
          <w:jc w:val="center"/>
        </w:trPr>
        <w:tc>
          <w:tcPr>
            <w:tcW w:w="8721" w:type="dxa"/>
          </w:tcPr>
          <w:p w:rsidR="00A23976" w:rsidRPr="007F6CEF" w:rsidRDefault="00A23976" w:rsidP="00400B8D">
            <w:pPr>
              <w:adjustRightInd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6CEF">
              <w:rPr>
                <w:rFonts w:ascii="Times New Roman" w:hAnsi="Times New Roman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6F72C8B" wp14:editId="0374D50C">
                  <wp:extent cx="4319884" cy="2092960"/>
                  <wp:effectExtent l="0" t="0" r="508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2"/>
                          <a:srcRect t="13740"/>
                          <a:stretch/>
                        </pic:blipFill>
                        <pic:spPr bwMode="auto">
                          <a:xfrm>
                            <a:off x="0" y="0"/>
                            <a:ext cx="4320000" cy="2093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B8D" w:rsidRPr="007F6CEF" w:rsidTr="00530D53">
        <w:trPr>
          <w:jc w:val="center"/>
        </w:trPr>
        <w:tc>
          <w:tcPr>
            <w:tcW w:w="8721" w:type="dxa"/>
          </w:tcPr>
          <w:p w:rsidR="00400B8D" w:rsidRPr="007F6CEF" w:rsidRDefault="00400B8D" w:rsidP="00B802C3">
            <w:pPr>
              <w:pStyle w:val="Normalaftertitle"/>
              <w:spacing w:before="240" w:after="120"/>
              <w:jc w:val="center"/>
              <w:rPr>
                <w:b/>
                <w:bCs/>
                <w:sz w:val="20"/>
                <w:szCs w:val="20"/>
                <w:lang w:val="ru-RU" w:eastAsia="zh-CN"/>
              </w:rPr>
            </w:pPr>
            <w:r w:rsidRPr="007F6CEF">
              <w:rPr>
                <w:b/>
                <w:bCs/>
                <w:sz w:val="20"/>
                <w:szCs w:val="20"/>
                <w:lang w:val="ru-RU" w:eastAsia="zh-CN"/>
              </w:rPr>
              <w:t>3 − Пережившие наследники (Delta 1000)</w:t>
            </w:r>
          </w:p>
        </w:tc>
      </w:tr>
      <w:tr w:rsidR="00A23976" w:rsidRPr="007F6CEF" w:rsidTr="00530D53">
        <w:trPr>
          <w:jc w:val="center"/>
        </w:trPr>
        <w:tc>
          <w:tcPr>
            <w:tcW w:w="8721" w:type="dxa"/>
          </w:tcPr>
          <w:p w:rsidR="00A23976" w:rsidRPr="007F6CEF" w:rsidRDefault="00A23976" w:rsidP="00400B8D">
            <w:pPr>
              <w:adjustRightInd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6CEF">
              <w:rPr>
                <w:rFonts w:ascii="Times New Roman" w:hAnsi="Times New Roman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341DED46" wp14:editId="7B246DF1">
                  <wp:extent cx="4319884" cy="2121535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/>
                          <a:srcRect t="12563"/>
                          <a:stretch/>
                        </pic:blipFill>
                        <pic:spPr bwMode="auto">
                          <a:xfrm>
                            <a:off x="0" y="0"/>
                            <a:ext cx="4320000" cy="2121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976" w:rsidRPr="007F6CEF" w:rsidRDefault="00A23976" w:rsidP="00170B2C">
      <w:pPr>
        <w:adjustRightInd/>
        <w:spacing w:after="200"/>
        <w:rPr>
          <w:rFonts w:ascii="Times New Roman" w:eastAsia="SimSun" w:hAnsi="Times New Roman"/>
          <w:b/>
          <w:bCs/>
          <w:szCs w:val="22"/>
          <w:lang w:val="ru-RU" w:eastAsia="zh-CN"/>
        </w:rPr>
      </w:pPr>
      <w:r w:rsidRPr="007F6CEF">
        <w:rPr>
          <w:rFonts w:ascii="Times New Roman" w:eastAsia="SimSun" w:hAnsi="Times New Roman"/>
          <w:b/>
          <w:bCs/>
          <w:szCs w:val="22"/>
          <w:lang w:val="ru-RU" w:eastAsia="zh-CN"/>
        </w:rPr>
        <w:br w:type="page"/>
      </w:r>
    </w:p>
    <w:p w:rsidR="00A23976" w:rsidRPr="007F6CEF" w:rsidRDefault="00A23976" w:rsidP="00170B2C">
      <w:pPr>
        <w:pStyle w:val="Figuretitle"/>
        <w:spacing w:after="240"/>
        <w:rPr>
          <w:rFonts w:eastAsia="SimSun"/>
          <w:lang w:val="ru-RU" w:eastAsia="zh-CN"/>
        </w:rPr>
      </w:pPr>
      <w:r w:rsidRPr="007F6CEF">
        <w:rPr>
          <w:rFonts w:eastAsia="SimSun"/>
          <w:lang w:val="ru-RU" w:eastAsia="zh-CN"/>
        </w:rPr>
        <w:t>2013 год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B802C3" w:rsidRPr="007F6CEF" w:rsidTr="00530D53">
        <w:trPr>
          <w:jc w:val="center"/>
        </w:trPr>
        <w:tc>
          <w:tcPr>
            <w:tcW w:w="8721" w:type="dxa"/>
          </w:tcPr>
          <w:p w:rsidR="00B802C3" w:rsidRPr="007F6CEF" w:rsidRDefault="00B802C3" w:rsidP="00B802C3">
            <w:pPr>
              <w:pStyle w:val="Normalaftertitle"/>
              <w:spacing w:before="240" w:after="120"/>
              <w:jc w:val="center"/>
              <w:rPr>
                <w:b/>
                <w:bCs/>
                <w:sz w:val="20"/>
                <w:szCs w:val="20"/>
                <w:lang w:val="ru-RU" w:eastAsia="zh-CN"/>
              </w:rPr>
            </w:pPr>
            <w:r w:rsidRPr="007F6CEF">
              <w:rPr>
                <w:b/>
                <w:bCs/>
                <w:sz w:val="20"/>
                <w:szCs w:val="20"/>
                <w:lang w:val="ru-RU" w:eastAsia="zh-CN"/>
              </w:rPr>
              <w:t>1 − Сотрудники (Delta 1000)</w:t>
            </w:r>
          </w:p>
        </w:tc>
      </w:tr>
      <w:tr w:rsidR="00B802C3" w:rsidRPr="007F6CEF" w:rsidTr="00530D53">
        <w:trPr>
          <w:jc w:val="center"/>
        </w:trPr>
        <w:tc>
          <w:tcPr>
            <w:tcW w:w="8721" w:type="dxa"/>
          </w:tcPr>
          <w:p w:rsidR="00B802C3" w:rsidRPr="007F6CEF" w:rsidRDefault="00B802C3" w:rsidP="00B802C3">
            <w:pPr>
              <w:adjustRightInd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F6CEF">
              <w:rPr>
                <w:rFonts w:ascii="Times New Roman" w:hAnsi="Times New Roman"/>
                <w:b/>
                <w:bCs/>
                <w:noProof/>
                <w:lang w:val="en-US" w:eastAsia="zh-CN"/>
              </w:rPr>
              <w:drawing>
                <wp:inline distT="0" distB="0" distL="0" distR="0" wp14:anchorId="7B0EB85C" wp14:editId="7EC3AAC3">
                  <wp:extent cx="4319884" cy="2131060"/>
                  <wp:effectExtent l="0" t="0" r="508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4"/>
                          <a:srcRect t="12170"/>
                          <a:stretch/>
                        </pic:blipFill>
                        <pic:spPr bwMode="auto">
                          <a:xfrm>
                            <a:off x="0" y="0"/>
                            <a:ext cx="4320000" cy="2131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2C3" w:rsidRPr="007F6CEF" w:rsidTr="008E41F3">
        <w:trPr>
          <w:jc w:val="center"/>
        </w:trPr>
        <w:tc>
          <w:tcPr>
            <w:tcW w:w="8721" w:type="dxa"/>
          </w:tcPr>
          <w:p w:rsidR="00B802C3" w:rsidRPr="007F6CEF" w:rsidRDefault="00B802C3" w:rsidP="008E41F3">
            <w:pPr>
              <w:pStyle w:val="Normalaftertitle"/>
              <w:spacing w:before="240" w:after="120"/>
              <w:jc w:val="center"/>
              <w:rPr>
                <w:b/>
                <w:bCs/>
                <w:sz w:val="20"/>
                <w:szCs w:val="20"/>
                <w:lang w:val="ru-RU" w:eastAsia="zh-CN"/>
              </w:rPr>
            </w:pPr>
            <w:r w:rsidRPr="007F6CEF">
              <w:rPr>
                <w:b/>
                <w:bCs/>
                <w:sz w:val="20"/>
                <w:szCs w:val="20"/>
                <w:lang w:val="ru-RU" w:eastAsia="zh-CN"/>
              </w:rPr>
              <w:t>2 − Пенсионеры (Delta 1000)</w:t>
            </w:r>
          </w:p>
        </w:tc>
      </w:tr>
      <w:tr w:rsidR="00B802C3" w:rsidRPr="007F6CEF" w:rsidTr="00530D53">
        <w:trPr>
          <w:jc w:val="center"/>
        </w:trPr>
        <w:tc>
          <w:tcPr>
            <w:tcW w:w="8721" w:type="dxa"/>
          </w:tcPr>
          <w:p w:rsidR="00B802C3" w:rsidRPr="007F6CEF" w:rsidRDefault="00B802C3" w:rsidP="00B802C3">
            <w:pPr>
              <w:adjustRightInd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F6CEF">
              <w:rPr>
                <w:rFonts w:ascii="Times New Roman" w:hAnsi="Times New Roman"/>
                <w:b/>
                <w:bCs/>
                <w:noProof/>
                <w:lang w:val="en-US" w:eastAsia="zh-CN"/>
              </w:rPr>
              <w:drawing>
                <wp:inline distT="0" distB="0" distL="0" distR="0" wp14:anchorId="337AF918" wp14:editId="0FB2EA1C">
                  <wp:extent cx="4319129" cy="2105660"/>
                  <wp:effectExtent l="0" t="0" r="5715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5"/>
                          <a:srcRect t="13330"/>
                          <a:stretch/>
                        </pic:blipFill>
                        <pic:spPr bwMode="auto">
                          <a:xfrm>
                            <a:off x="0" y="0"/>
                            <a:ext cx="4320000" cy="2106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2C3" w:rsidRPr="007F6CEF" w:rsidTr="00530D53">
        <w:trPr>
          <w:jc w:val="center"/>
        </w:trPr>
        <w:tc>
          <w:tcPr>
            <w:tcW w:w="8721" w:type="dxa"/>
          </w:tcPr>
          <w:p w:rsidR="00B802C3" w:rsidRPr="007F6CEF" w:rsidRDefault="00B802C3" w:rsidP="00B802C3">
            <w:pPr>
              <w:adjustRightInd/>
              <w:spacing w:before="240" w:after="120"/>
              <w:jc w:val="center"/>
              <w:rPr>
                <w:rFonts w:ascii="Times New Roman" w:hAnsi="Times New Roman"/>
                <w:b/>
                <w:bCs/>
                <w:lang w:val="ru-RU" w:eastAsia="zh-CN"/>
              </w:rPr>
            </w:pPr>
            <w:r w:rsidRPr="007F6CEF">
              <w:rPr>
                <w:b/>
                <w:bCs/>
                <w:sz w:val="20"/>
                <w:szCs w:val="20"/>
                <w:lang w:val="ru-RU" w:eastAsia="zh-CN"/>
              </w:rPr>
              <w:t>3 − Пережившие наследники (Delta 1000)</w:t>
            </w:r>
          </w:p>
        </w:tc>
      </w:tr>
      <w:tr w:rsidR="00B802C3" w:rsidRPr="007F6CEF" w:rsidTr="00530D53">
        <w:trPr>
          <w:jc w:val="center"/>
        </w:trPr>
        <w:tc>
          <w:tcPr>
            <w:tcW w:w="8721" w:type="dxa"/>
          </w:tcPr>
          <w:p w:rsidR="00B802C3" w:rsidRPr="007F6CEF" w:rsidRDefault="00B802C3" w:rsidP="00B802C3">
            <w:pPr>
              <w:adjustRightInd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F6CEF">
              <w:rPr>
                <w:rFonts w:ascii="Times New Roman" w:hAnsi="Times New Roman"/>
                <w:b/>
                <w:bCs/>
                <w:noProof/>
                <w:lang w:val="en-US" w:eastAsia="zh-CN"/>
              </w:rPr>
              <w:drawing>
                <wp:inline distT="0" distB="0" distL="0" distR="0" wp14:anchorId="5DCBE639" wp14:editId="724BFF6E">
                  <wp:extent cx="4319884" cy="2102485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6"/>
                          <a:srcRect t="13348"/>
                          <a:stretch/>
                        </pic:blipFill>
                        <pic:spPr bwMode="auto">
                          <a:xfrm>
                            <a:off x="0" y="0"/>
                            <a:ext cx="4320000" cy="2102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02C3" w:rsidRPr="007F6CEF" w:rsidRDefault="00B802C3" w:rsidP="00B802C3">
      <w:pPr>
        <w:spacing w:before="480"/>
        <w:jc w:val="center"/>
        <w:rPr>
          <w:lang w:val="ru-RU"/>
        </w:rPr>
      </w:pPr>
      <w:r w:rsidRPr="007F6CEF">
        <w:rPr>
          <w:lang w:val="ru-RU"/>
        </w:rPr>
        <w:t>______________</w:t>
      </w:r>
    </w:p>
    <w:sectPr w:rsidR="00B802C3" w:rsidRPr="007F6CEF" w:rsidSect="00530D53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48" w:rsidRDefault="00B47A48">
      <w:r>
        <w:separator/>
      </w:r>
    </w:p>
  </w:endnote>
  <w:endnote w:type="continuationSeparator" w:id="0">
    <w:p w:rsidR="00B47A48" w:rsidRDefault="00B4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0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roid Sans Fallback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48" w:rsidRPr="007A1AAE" w:rsidRDefault="00B47A48">
    <w:pPr>
      <w:pStyle w:val="Footer"/>
    </w:pPr>
    <w:r w:rsidRPr="004C0009">
      <w:rPr>
        <w:sz w:val="20"/>
      </w:rPr>
      <w:fldChar w:fldCharType="begin"/>
    </w:r>
    <w:r w:rsidRPr="007A1AAE">
      <w:rPr>
        <w:sz w:val="20"/>
      </w:rPr>
      <w:instrText xml:space="preserve"> FILENAME \p \* MERGEFORMAT </w:instrText>
    </w:r>
    <w:r w:rsidRPr="004C0009">
      <w:rPr>
        <w:sz w:val="20"/>
      </w:rPr>
      <w:fldChar w:fldCharType="separate"/>
    </w:r>
    <w:r w:rsidR="00347E52">
      <w:rPr>
        <w:sz w:val="20"/>
      </w:rPr>
      <w:t>P:\RUS\SG\CONSEIL\C14\100\105R.docx</w:t>
    </w:r>
    <w:r w:rsidRPr="004C0009">
      <w:rPr>
        <w:sz w:val="20"/>
      </w:rPr>
      <w:fldChar w:fldCharType="end"/>
    </w:r>
    <w:r w:rsidRPr="007A1AAE">
      <w:rPr>
        <w:sz w:val="20"/>
      </w:rPr>
      <w:t xml:space="preserve"> (339867)</w:t>
    </w:r>
    <w:r w:rsidRPr="007A1AAE">
      <w:rPr>
        <w:sz w:val="20"/>
      </w:rPr>
      <w:tab/>
    </w:r>
    <w:r w:rsidRPr="004C0009">
      <w:rPr>
        <w:sz w:val="20"/>
      </w:rPr>
      <w:fldChar w:fldCharType="begin"/>
    </w:r>
    <w:r w:rsidRPr="004C0009">
      <w:rPr>
        <w:sz w:val="20"/>
      </w:rPr>
      <w:instrText xml:space="preserve"> savedate \@ dd.MM.yy </w:instrText>
    </w:r>
    <w:r w:rsidRPr="004C0009">
      <w:rPr>
        <w:sz w:val="20"/>
      </w:rPr>
      <w:fldChar w:fldCharType="separate"/>
    </w:r>
    <w:r w:rsidR="00C21591">
      <w:rPr>
        <w:sz w:val="20"/>
      </w:rPr>
      <w:t>15.09.14</w:t>
    </w:r>
    <w:r w:rsidRPr="004C0009">
      <w:rPr>
        <w:sz w:val="20"/>
      </w:rPr>
      <w:fldChar w:fldCharType="end"/>
    </w:r>
    <w:r w:rsidRPr="007A1AAE">
      <w:rPr>
        <w:sz w:val="20"/>
      </w:rPr>
      <w:tab/>
    </w:r>
    <w:r w:rsidRPr="004C0009">
      <w:rPr>
        <w:sz w:val="20"/>
      </w:rPr>
      <w:fldChar w:fldCharType="begin"/>
    </w:r>
    <w:r w:rsidRPr="004C0009">
      <w:rPr>
        <w:sz w:val="20"/>
      </w:rPr>
      <w:instrText xml:space="preserve"> printdate \@ dd.MM.yy </w:instrText>
    </w:r>
    <w:r w:rsidRPr="004C0009">
      <w:rPr>
        <w:sz w:val="20"/>
      </w:rPr>
      <w:fldChar w:fldCharType="separate"/>
    </w:r>
    <w:r w:rsidR="00347E52">
      <w:rPr>
        <w:sz w:val="20"/>
      </w:rPr>
      <w:t>10.09.14</w:t>
    </w:r>
    <w:r w:rsidRPr="004C0009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48" w:rsidRPr="00C21591" w:rsidRDefault="00B47A48" w:rsidP="00BC7971">
    <w:pPr>
      <w:pStyle w:val="Footer"/>
      <w:rPr>
        <w:color w:val="FFFFFF" w:themeColor="background1"/>
      </w:rPr>
    </w:pPr>
    <w:r w:rsidRPr="00C21591">
      <w:rPr>
        <w:color w:val="FFFFFF" w:themeColor="background1"/>
      </w:rPr>
      <w:fldChar w:fldCharType="begin"/>
    </w:r>
    <w:r w:rsidRPr="00C21591">
      <w:rPr>
        <w:color w:val="FFFFFF" w:themeColor="background1"/>
      </w:rPr>
      <w:instrText xml:space="preserve"> FILENAME \p  \* MERGEFORMAT </w:instrText>
    </w:r>
    <w:r w:rsidRPr="00C21591">
      <w:rPr>
        <w:color w:val="FFFFFF" w:themeColor="background1"/>
      </w:rPr>
      <w:fldChar w:fldCharType="separate"/>
    </w:r>
    <w:r w:rsidR="00347E52" w:rsidRPr="00C21591">
      <w:rPr>
        <w:color w:val="FFFFFF" w:themeColor="background1"/>
      </w:rPr>
      <w:t>P:\RUS\SG\CONSEIL\C14\100\105R.docx</w:t>
    </w:r>
    <w:r w:rsidRPr="00C21591">
      <w:rPr>
        <w:color w:val="FFFFFF" w:themeColor="background1"/>
        <w:lang w:val="en-US"/>
      </w:rPr>
      <w:fldChar w:fldCharType="end"/>
    </w:r>
    <w:r w:rsidRPr="00C21591">
      <w:rPr>
        <w:color w:val="FFFFFF" w:themeColor="background1"/>
      </w:rPr>
      <w:t xml:space="preserve"> (364390)</w:t>
    </w:r>
    <w:r w:rsidRPr="00C21591">
      <w:rPr>
        <w:color w:val="FFFFFF" w:themeColor="background1"/>
      </w:rPr>
      <w:tab/>
    </w:r>
    <w:r w:rsidRPr="00C21591">
      <w:rPr>
        <w:color w:val="FFFFFF" w:themeColor="background1"/>
      </w:rPr>
      <w:fldChar w:fldCharType="begin"/>
    </w:r>
    <w:r w:rsidRPr="00C21591">
      <w:rPr>
        <w:color w:val="FFFFFF" w:themeColor="background1"/>
      </w:rPr>
      <w:instrText xml:space="preserve"> SAVEDATE \@ DD.MM.YY </w:instrText>
    </w:r>
    <w:r w:rsidRPr="00C21591">
      <w:rPr>
        <w:color w:val="FFFFFF" w:themeColor="background1"/>
      </w:rPr>
      <w:fldChar w:fldCharType="separate"/>
    </w:r>
    <w:r w:rsidR="00C21591" w:rsidRPr="00C21591">
      <w:rPr>
        <w:color w:val="FFFFFF" w:themeColor="background1"/>
      </w:rPr>
      <w:t>15.09.14</w:t>
    </w:r>
    <w:r w:rsidRPr="00C21591">
      <w:rPr>
        <w:color w:val="FFFFFF" w:themeColor="background1"/>
      </w:rPr>
      <w:fldChar w:fldCharType="end"/>
    </w:r>
    <w:r w:rsidRPr="00C21591">
      <w:rPr>
        <w:color w:val="FFFFFF" w:themeColor="background1"/>
      </w:rPr>
      <w:tab/>
    </w:r>
    <w:r w:rsidRPr="00C21591">
      <w:rPr>
        <w:color w:val="FFFFFF" w:themeColor="background1"/>
      </w:rPr>
      <w:fldChar w:fldCharType="begin"/>
    </w:r>
    <w:r w:rsidRPr="00C21591">
      <w:rPr>
        <w:color w:val="FFFFFF" w:themeColor="background1"/>
      </w:rPr>
      <w:instrText xml:space="preserve"> PRINTDATE \@ DD.MM.YY </w:instrText>
    </w:r>
    <w:r w:rsidRPr="00C21591">
      <w:rPr>
        <w:color w:val="FFFFFF" w:themeColor="background1"/>
      </w:rPr>
      <w:fldChar w:fldCharType="separate"/>
    </w:r>
    <w:r w:rsidR="00347E52" w:rsidRPr="00C21591">
      <w:rPr>
        <w:color w:val="FFFFFF" w:themeColor="background1"/>
      </w:rPr>
      <w:t>10.09.14</w:t>
    </w:r>
    <w:r w:rsidRPr="00C21591">
      <w:rPr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48" w:rsidRDefault="00B47A48" w:rsidP="0075703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B47A48" w:rsidRPr="00C21591" w:rsidRDefault="00B47A48" w:rsidP="00BC7971">
    <w:pPr>
      <w:pStyle w:val="Footer"/>
      <w:rPr>
        <w:color w:val="FFFFFF" w:themeColor="background1"/>
      </w:rPr>
    </w:pPr>
    <w:r w:rsidRPr="00C21591">
      <w:rPr>
        <w:color w:val="FFFFFF" w:themeColor="background1"/>
      </w:rPr>
      <w:fldChar w:fldCharType="begin"/>
    </w:r>
    <w:r w:rsidRPr="00C21591">
      <w:rPr>
        <w:color w:val="FFFFFF" w:themeColor="background1"/>
      </w:rPr>
      <w:instrText xml:space="preserve"> FILENAME \p  \* MERGEFORMAT </w:instrText>
    </w:r>
    <w:r w:rsidRPr="00C21591">
      <w:rPr>
        <w:color w:val="FFFFFF" w:themeColor="background1"/>
      </w:rPr>
      <w:fldChar w:fldCharType="separate"/>
    </w:r>
    <w:r w:rsidR="00347E52" w:rsidRPr="00C21591">
      <w:rPr>
        <w:color w:val="FFFFFF" w:themeColor="background1"/>
      </w:rPr>
      <w:t>P:\RUS\SG\CONSEIL\C14\100\105R.docx</w:t>
    </w:r>
    <w:r w:rsidRPr="00C21591">
      <w:rPr>
        <w:color w:val="FFFFFF" w:themeColor="background1"/>
        <w:lang w:val="en-US"/>
      </w:rPr>
      <w:fldChar w:fldCharType="end"/>
    </w:r>
    <w:r w:rsidRPr="00C21591">
      <w:rPr>
        <w:color w:val="FFFFFF" w:themeColor="background1"/>
      </w:rPr>
      <w:t xml:space="preserve"> (364390)</w:t>
    </w:r>
    <w:r w:rsidRPr="00C21591">
      <w:rPr>
        <w:color w:val="FFFFFF" w:themeColor="background1"/>
      </w:rPr>
      <w:tab/>
    </w:r>
    <w:r w:rsidRPr="00C21591">
      <w:rPr>
        <w:color w:val="FFFFFF" w:themeColor="background1"/>
      </w:rPr>
      <w:fldChar w:fldCharType="begin"/>
    </w:r>
    <w:r w:rsidRPr="00C21591">
      <w:rPr>
        <w:color w:val="FFFFFF" w:themeColor="background1"/>
      </w:rPr>
      <w:instrText xml:space="preserve"> SAVEDATE \@ DD.MM.YY </w:instrText>
    </w:r>
    <w:r w:rsidRPr="00C21591">
      <w:rPr>
        <w:color w:val="FFFFFF" w:themeColor="background1"/>
      </w:rPr>
      <w:fldChar w:fldCharType="separate"/>
    </w:r>
    <w:r w:rsidR="00C21591" w:rsidRPr="00C21591">
      <w:rPr>
        <w:color w:val="FFFFFF" w:themeColor="background1"/>
      </w:rPr>
      <w:t>15.09.14</w:t>
    </w:r>
    <w:r w:rsidRPr="00C21591">
      <w:rPr>
        <w:color w:val="FFFFFF" w:themeColor="background1"/>
      </w:rPr>
      <w:fldChar w:fldCharType="end"/>
    </w:r>
    <w:r w:rsidRPr="00C21591">
      <w:rPr>
        <w:color w:val="FFFFFF" w:themeColor="background1"/>
      </w:rPr>
      <w:tab/>
    </w:r>
    <w:r w:rsidRPr="00C21591">
      <w:rPr>
        <w:color w:val="FFFFFF" w:themeColor="background1"/>
      </w:rPr>
      <w:fldChar w:fldCharType="begin"/>
    </w:r>
    <w:r w:rsidRPr="00C21591">
      <w:rPr>
        <w:color w:val="FFFFFF" w:themeColor="background1"/>
      </w:rPr>
      <w:instrText xml:space="preserve"> PRINTDATE \@ DD.MM.YY </w:instrText>
    </w:r>
    <w:r w:rsidRPr="00C21591">
      <w:rPr>
        <w:color w:val="FFFFFF" w:themeColor="background1"/>
      </w:rPr>
      <w:fldChar w:fldCharType="separate"/>
    </w:r>
    <w:r w:rsidR="00347E52" w:rsidRPr="00C21591">
      <w:rPr>
        <w:color w:val="FFFFFF" w:themeColor="background1"/>
      </w:rPr>
      <w:t>10.09.14</w:t>
    </w:r>
    <w:r w:rsidRPr="00C21591">
      <w:rPr>
        <w:color w:val="FFFFFF" w:themeColor="background1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48" w:rsidRPr="00C21591" w:rsidRDefault="00B47A48" w:rsidP="00794A5A">
    <w:pPr>
      <w:pStyle w:val="Footer"/>
      <w:tabs>
        <w:tab w:val="clear" w:pos="5954"/>
        <w:tab w:val="clear" w:pos="9639"/>
        <w:tab w:val="left" w:pos="7088"/>
        <w:tab w:val="right" w:pos="13998"/>
      </w:tabs>
      <w:rPr>
        <w:color w:val="FFFFFF" w:themeColor="background1"/>
      </w:rPr>
    </w:pPr>
    <w:r w:rsidRPr="00C21591">
      <w:rPr>
        <w:color w:val="FFFFFF" w:themeColor="background1"/>
      </w:rPr>
      <w:fldChar w:fldCharType="begin"/>
    </w:r>
    <w:r w:rsidRPr="00C21591">
      <w:rPr>
        <w:color w:val="FFFFFF" w:themeColor="background1"/>
      </w:rPr>
      <w:instrText xml:space="preserve"> FILENAME \p  \* MERGEFORMAT </w:instrText>
    </w:r>
    <w:r w:rsidRPr="00C21591">
      <w:rPr>
        <w:color w:val="FFFFFF" w:themeColor="background1"/>
      </w:rPr>
      <w:fldChar w:fldCharType="separate"/>
    </w:r>
    <w:r w:rsidR="00347E52" w:rsidRPr="00C21591">
      <w:rPr>
        <w:color w:val="FFFFFF" w:themeColor="background1"/>
      </w:rPr>
      <w:t>P:\RUS\SG\CONSEIL\C14\100\105R.docx</w:t>
    </w:r>
    <w:r w:rsidRPr="00C21591">
      <w:rPr>
        <w:color w:val="FFFFFF" w:themeColor="background1"/>
        <w:lang w:val="en-US"/>
      </w:rPr>
      <w:fldChar w:fldCharType="end"/>
    </w:r>
    <w:r w:rsidRPr="00C21591">
      <w:rPr>
        <w:color w:val="FFFFFF" w:themeColor="background1"/>
      </w:rPr>
      <w:t xml:space="preserve"> (364390)</w:t>
    </w:r>
    <w:r w:rsidRPr="00C21591">
      <w:rPr>
        <w:color w:val="FFFFFF" w:themeColor="background1"/>
      </w:rPr>
      <w:tab/>
    </w:r>
    <w:r w:rsidRPr="00C21591">
      <w:rPr>
        <w:color w:val="FFFFFF" w:themeColor="background1"/>
      </w:rPr>
      <w:fldChar w:fldCharType="begin"/>
    </w:r>
    <w:r w:rsidRPr="00C21591">
      <w:rPr>
        <w:color w:val="FFFFFF" w:themeColor="background1"/>
      </w:rPr>
      <w:instrText xml:space="preserve"> SAVEDATE \@ DD.MM.YY </w:instrText>
    </w:r>
    <w:r w:rsidRPr="00C21591">
      <w:rPr>
        <w:color w:val="FFFFFF" w:themeColor="background1"/>
      </w:rPr>
      <w:fldChar w:fldCharType="separate"/>
    </w:r>
    <w:r w:rsidR="00C21591" w:rsidRPr="00C21591">
      <w:rPr>
        <w:color w:val="FFFFFF" w:themeColor="background1"/>
      </w:rPr>
      <w:t>15.09.14</w:t>
    </w:r>
    <w:r w:rsidRPr="00C21591">
      <w:rPr>
        <w:color w:val="FFFFFF" w:themeColor="background1"/>
      </w:rPr>
      <w:fldChar w:fldCharType="end"/>
    </w:r>
    <w:r w:rsidRPr="00C21591">
      <w:rPr>
        <w:color w:val="FFFFFF" w:themeColor="background1"/>
      </w:rPr>
      <w:tab/>
    </w:r>
    <w:r w:rsidRPr="00C21591">
      <w:rPr>
        <w:color w:val="FFFFFF" w:themeColor="background1"/>
      </w:rPr>
      <w:fldChar w:fldCharType="begin"/>
    </w:r>
    <w:r w:rsidRPr="00C21591">
      <w:rPr>
        <w:color w:val="FFFFFF" w:themeColor="background1"/>
      </w:rPr>
      <w:instrText xml:space="preserve"> PRINTDATE \@ DD.MM.YY </w:instrText>
    </w:r>
    <w:r w:rsidRPr="00C21591">
      <w:rPr>
        <w:color w:val="FFFFFF" w:themeColor="background1"/>
      </w:rPr>
      <w:fldChar w:fldCharType="separate"/>
    </w:r>
    <w:r w:rsidR="00347E52" w:rsidRPr="00C21591">
      <w:rPr>
        <w:color w:val="FFFFFF" w:themeColor="background1"/>
      </w:rPr>
      <w:t>10.09.14</w:t>
    </w:r>
    <w:r w:rsidRPr="00C21591">
      <w:rPr>
        <w:color w:val="FFFFFF" w:themeColor="background1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48" w:rsidRPr="00C21591" w:rsidRDefault="00B47A48" w:rsidP="00794A5A">
    <w:pPr>
      <w:pStyle w:val="Footer"/>
      <w:tabs>
        <w:tab w:val="clear" w:pos="5954"/>
        <w:tab w:val="clear" w:pos="9639"/>
        <w:tab w:val="left" w:pos="7088"/>
        <w:tab w:val="right" w:pos="13998"/>
      </w:tabs>
      <w:rPr>
        <w:color w:val="FFFFFF" w:themeColor="background1"/>
      </w:rPr>
    </w:pPr>
    <w:r w:rsidRPr="00C21591">
      <w:rPr>
        <w:color w:val="FFFFFF" w:themeColor="background1"/>
      </w:rPr>
      <w:fldChar w:fldCharType="begin"/>
    </w:r>
    <w:r w:rsidRPr="00C21591">
      <w:rPr>
        <w:color w:val="FFFFFF" w:themeColor="background1"/>
      </w:rPr>
      <w:instrText xml:space="preserve"> FILENAME \p  \* MERGEFORMAT </w:instrText>
    </w:r>
    <w:r w:rsidRPr="00C21591">
      <w:rPr>
        <w:color w:val="FFFFFF" w:themeColor="background1"/>
      </w:rPr>
      <w:fldChar w:fldCharType="separate"/>
    </w:r>
    <w:r w:rsidR="00347E52" w:rsidRPr="00C21591">
      <w:rPr>
        <w:color w:val="FFFFFF" w:themeColor="background1"/>
      </w:rPr>
      <w:t>P:\RUS\SG\CONSEIL\C14\100\105R.docx</w:t>
    </w:r>
    <w:r w:rsidRPr="00C21591">
      <w:rPr>
        <w:color w:val="FFFFFF" w:themeColor="background1"/>
        <w:lang w:val="en-US"/>
      </w:rPr>
      <w:fldChar w:fldCharType="end"/>
    </w:r>
    <w:r w:rsidRPr="00C21591">
      <w:rPr>
        <w:color w:val="FFFFFF" w:themeColor="background1"/>
      </w:rPr>
      <w:t xml:space="preserve"> (364390)</w:t>
    </w:r>
    <w:r w:rsidRPr="00C21591">
      <w:rPr>
        <w:color w:val="FFFFFF" w:themeColor="background1"/>
      </w:rPr>
      <w:tab/>
    </w:r>
    <w:r w:rsidRPr="00C21591">
      <w:rPr>
        <w:color w:val="FFFFFF" w:themeColor="background1"/>
      </w:rPr>
      <w:fldChar w:fldCharType="begin"/>
    </w:r>
    <w:r w:rsidRPr="00C21591">
      <w:rPr>
        <w:color w:val="FFFFFF" w:themeColor="background1"/>
      </w:rPr>
      <w:instrText xml:space="preserve"> SAVEDATE \@ DD.MM.YY </w:instrText>
    </w:r>
    <w:r w:rsidRPr="00C21591">
      <w:rPr>
        <w:color w:val="FFFFFF" w:themeColor="background1"/>
      </w:rPr>
      <w:fldChar w:fldCharType="separate"/>
    </w:r>
    <w:r w:rsidR="00C21591" w:rsidRPr="00C21591">
      <w:rPr>
        <w:color w:val="FFFFFF" w:themeColor="background1"/>
      </w:rPr>
      <w:t>15.09.14</w:t>
    </w:r>
    <w:r w:rsidRPr="00C21591">
      <w:rPr>
        <w:color w:val="FFFFFF" w:themeColor="background1"/>
      </w:rPr>
      <w:fldChar w:fldCharType="end"/>
    </w:r>
    <w:r w:rsidRPr="00C21591">
      <w:rPr>
        <w:color w:val="FFFFFF" w:themeColor="background1"/>
      </w:rPr>
      <w:tab/>
    </w:r>
    <w:r w:rsidRPr="00C21591">
      <w:rPr>
        <w:color w:val="FFFFFF" w:themeColor="background1"/>
      </w:rPr>
      <w:fldChar w:fldCharType="begin"/>
    </w:r>
    <w:r w:rsidRPr="00C21591">
      <w:rPr>
        <w:color w:val="FFFFFF" w:themeColor="background1"/>
      </w:rPr>
      <w:instrText xml:space="preserve"> PRINTDATE \@ DD.MM.YY </w:instrText>
    </w:r>
    <w:r w:rsidRPr="00C21591">
      <w:rPr>
        <w:color w:val="FFFFFF" w:themeColor="background1"/>
      </w:rPr>
      <w:fldChar w:fldCharType="separate"/>
    </w:r>
    <w:r w:rsidR="00347E52" w:rsidRPr="00C21591">
      <w:rPr>
        <w:color w:val="FFFFFF" w:themeColor="background1"/>
      </w:rPr>
      <w:t>10.09.14</w:t>
    </w:r>
    <w:r w:rsidRPr="00C21591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48" w:rsidRDefault="00B47A48">
      <w:r>
        <w:t>____________________</w:t>
      </w:r>
    </w:p>
  </w:footnote>
  <w:footnote w:type="continuationSeparator" w:id="0">
    <w:p w:rsidR="00B47A48" w:rsidRDefault="00B47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48" w:rsidRPr="00D31FF8" w:rsidRDefault="00B47A48" w:rsidP="00CA5377">
    <w:pPr>
      <w:pStyle w:val="Header"/>
      <w:framePr w:wrap="around" w:vAnchor="text" w:hAnchor="margin" w:xAlign="outside" w:y="1"/>
      <w:rPr>
        <w:rStyle w:val="PageNumber"/>
        <w:sz w:val="20"/>
      </w:rPr>
    </w:pPr>
    <w:r w:rsidRPr="00D31FF8">
      <w:rPr>
        <w:rStyle w:val="PageNumber"/>
        <w:sz w:val="20"/>
      </w:rPr>
      <w:fldChar w:fldCharType="begin"/>
    </w:r>
    <w:r w:rsidRPr="00D31FF8">
      <w:rPr>
        <w:rStyle w:val="PageNumber"/>
        <w:sz w:val="20"/>
      </w:rPr>
      <w:instrText xml:space="preserve">PAGE  </w:instrText>
    </w:r>
    <w:r w:rsidRPr="00D31FF8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16</w:t>
    </w:r>
    <w:r w:rsidRPr="00D31FF8">
      <w:rPr>
        <w:rStyle w:val="PageNumber"/>
        <w:sz w:val="20"/>
      </w:rPr>
      <w:fldChar w:fldCharType="end"/>
    </w:r>
  </w:p>
  <w:p w:rsidR="00B47A48" w:rsidRDefault="00B47A48" w:rsidP="00CA5377">
    <w:pPr>
      <w:pStyle w:val="Header"/>
      <w:tabs>
        <w:tab w:val="right" w:pos="8789"/>
        <w:tab w:val="right" w:pos="9072"/>
        <w:tab w:val="right" w:pos="14034"/>
      </w:tabs>
      <w:ind w:right="225"/>
      <w:jc w:val="right"/>
      <w:rPr>
        <w:sz w:val="20"/>
        <w:lang w:val="en-US"/>
      </w:rPr>
    </w:pPr>
    <w:r>
      <w:rPr>
        <w:sz w:val="20"/>
      </w:rPr>
      <w:tab/>
    </w:r>
  </w:p>
  <w:p w:rsidR="00B47A48" w:rsidRPr="00D31FF8" w:rsidRDefault="00B47A48" w:rsidP="00CA5377">
    <w:pPr>
      <w:pStyle w:val="Header"/>
      <w:tabs>
        <w:tab w:val="right" w:pos="8789"/>
        <w:tab w:val="right" w:pos="9072"/>
        <w:tab w:val="right" w:pos="14015"/>
      </w:tabs>
      <w:ind w:right="225"/>
      <w:jc w:val="right"/>
      <w:rPr>
        <w:sz w:val="20"/>
        <w:lang w:val="en-US"/>
      </w:rPr>
    </w:pPr>
    <w:r>
      <w:rPr>
        <w:sz w:val="20"/>
        <w:lang w:val="en-US"/>
      </w:rPr>
      <w:t xml:space="preserve"> </w:t>
    </w:r>
  </w:p>
  <w:p w:rsidR="00B47A48" w:rsidRPr="00791787" w:rsidRDefault="00B47A48" w:rsidP="00CA53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48" w:rsidRDefault="00B47A48" w:rsidP="00FD7A02">
    <w:pPr>
      <w:pStyle w:val="Header"/>
    </w:pPr>
    <w:r>
      <w:fldChar w:fldCharType="begin"/>
    </w:r>
    <w:r>
      <w:instrText>PAGE</w:instrText>
    </w:r>
    <w:r>
      <w:fldChar w:fldCharType="separate"/>
    </w:r>
    <w:r w:rsidR="00C21591">
      <w:rPr>
        <w:noProof/>
      </w:rPr>
      <w:t>2</w:t>
    </w:r>
    <w:r>
      <w:rPr>
        <w:noProof/>
      </w:rPr>
      <w:fldChar w:fldCharType="end"/>
    </w:r>
  </w:p>
  <w:p w:rsidR="00B47A48" w:rsidRPr="00FD7A02" w:rsidRDefault="00B47A48" w:rsidP="00FD7A02">
    <w:pPr>
      <w:pStyle w:val="Header"/>
      <w:spacing w:after="480"/>
      <w:rPr>
        <w:lang w:val="ru-RU"/>
      </w:rPr>
    </w:pPr>
    <w:r>
      <w:t>C14/</w:t>
    </w:r>
    <w:r>
      <w:rPr>
        <w:lang w:val="ru-RU"/>
      </w:rPr>
      <w:t>105</w:t>
    </w:r>
    <w: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48" w:rsidRDefault="00B47A48" w:rsidP="0075703E">
    <w:pPr>
      <w:pStyle w:val="Header"/>
    </w:pPr>
    <w:r>
      <w:fldChar w:fldCharType="begin"/>
    </w:r>
    <w:r>
      <w:instrText>PAGE</w:instrText>
    </w:r>
    <w:r>
      <w:fldChar w:fldCharType="separate"/>
    </w:r>
    <w:r w:rsidR="00C21591">
      <w:rPr>
        <w:noProof/>
      </w:rPr>
      <w:t>48</w:t>
    </w:r>
    <w:r>
      <w:rPr>
        <w:noProof/>
      </w:rPr>
      <w:fldChar w:fldCharType="end"/>
    </w:r>
  </w:p>
  <w:p w:rsidR="00B47A48" w:rsidRDefault="00B47A48" w:rsidP="00732269">
    <w:pPr>
      <w:pStyle w:val="Header"/>
      <w:spacing w:after="480"/>
    </w:pPr>
    <w:r>
      <w:t>C14/</w:t>
    </w:r>
    <w:r>
      <w:rPr>
        <w:lang w:val="ru-RU"/>
      </w:rPr>
      <w:t>105</w:t>
    </w:r>
    <w:r>
      <w:t>-R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48" w:rsidRDefault="00B47A48" w:rsidP="00FD7A02">
    <w:pPr>
      <w:pStyle w:val="Header"/>
    </w:pPr>
    <w:r>
      <w:fldChar w:fldCharType="begin"/>
    </w:r>
    <w:r>
      <w:instrText>PAGE</w:instrText>
    </w:r>
    <w:r>
      <w:fldChar w:fldCharType="separate"/>
    </w:r>
    <w:r w:rsidR="00C21591">
      <w:rPr>
        <w:noProof/>
      </w:rPr>
      <w:t>33</w:t>
    </w:r>
    <w:r>
      <w:rPr>
        <w:noProof/>
      </w:rPr>
      <w:fldChar w:fldCharType="end"/>
    </w:r>
  </w:p>
  <w:p w:rsidR="00B47A48" w:rsidRPr="00FD7A02" w:rsidRDefault="00B47A48" w:rsidP="00FD7A02">
    <w:pPr>
      <w:pStyle w:val="Header"/>
      <w:spacing w:after="480"/>
      <w:rPr>
        <w:lang w:val="ru-RU"/>
      </w:rPr>
    </w:pPr>
    <w:r>
      <w:t>C1</w:t>
    </w:r>
    <w:r>
      <w:rPr>
        <w:lang w:val="ru-RU"/>
      </w:rPr>
      <w:t>4</w:t>
    </w:r>
    <w:r>
      <w:t>/</w:t>
    </w:r>
    <w:r>
      <w:rPr>
        <w:lang w:val="ru-RU"/>
      </w:rPr>
      <w:t>105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A4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624CE5"/>
    <w:multiLevelType w:val="hybridMultilevel"/>
    <w:tmpl w:val="70B6915C"/>
    <w:lvl w:ilvl="0" w:tplc="103894FC">
      <w:start w:val="1"/>
      <w:numFmt w:val="bullet"/>
      <w:lvlText w:val=""/>
      <w:lvlJc w:val="left"/>
      <w:pPr>
        <w:tabs>
          <w:tab w:val="num" w:pos="8"/>
        </w:tabs>
        <w:ind w:left="8" w:hanging="144"/>
      </w:pPr>
      <w:rPr>
        <w:rFonts w:ascii="Symbol" w:hAnsi="Symbol" w:hint="default"/>
        <w:snapToGrid/>
        <w:spacing w:val="1"/>
        <w:sz w:val="21"/>
        <w:lang w:val="en-GB"/>
      </w:rPr>
    </w:lvl>
    <w:lvl w:ilvl="1" w:tplc="0410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">
    <w:nsid w:val="15C01D52"/>
    <w:multiLevelType w:val="hybridMultilevel"/>
    <w:tmpl w:val="1DB2C122"/>
    <w:lvl w:ilvl="0" w:tplc="D324B1C2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8090017">
      <w:start w:val="1"/>
      <w:numFmt w:val="lowerLetter"/>
      <w:lvlText w:val="%2)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AF60FA7"/>
    <w:multiLevelType w:val="hybridMultilevel"/>
    <w:tmpl w:val="C8E0D2A8"/>
    <w:lvl w:ilvl="0" w:tplc="FD740AFA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color w:val="auto"/>
      </w:rPr>
    </w:lvl>
    <w:lvl w:ilvl="1" w:tplc="08090017">
      <w:start w:val="1"/>
      <w:numFmt w:val="lowerLetter"/>
      <w:lvlText w:val="%2)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A500C06"/>
    <w:multiLevelType w:val="hybridMultilevel"/>
    <w:tmpl w:val="95FA2852"/>
    <w:lvl w:ilvl="0" w:tplc="B1DE248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8090017">
      <w:start w:val="1"/>
      <w:numFmt w:val="lowerLetter"/>
      <w:lvlText w:val="%2)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1F270A0"/>
    <w:multiLevelType w:val="hybridMultilevel"/>
    <w:tmpl w:val="DD10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B472B"/>
    <w:multiLevelType w:val="multilevel"/>
    <w:tmpl w:val="CAF6EA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25"/>
    <w:rsid w:val="00003FB3"/>
    <w:rsid w:val="00004F92"/>
    <w:rsid w:val="000060E1"/>
    <w:rsid w:val="00010521"/>
    <w:rsid w:val="000118F6"/>
    <w:rsid w:val="00011A05"/>
    <w:rsid w:val="00013437"/>
    <w:rsid w:val="00021769"/>
    <w:rsid w:val="0002183E"/>
    <w:rsid w:val="000220E7"/>
    <w:rsid w:val="00022477"/>
    <w:rsid w:val="00027657"/>
    <w:rsid w:val="00031A16"/>
    <w:rsid w:val="00032103"/>
    <w:rsid w:val="00034442"/>
    <w:rsid w:val="00034952"/>
    <w:rsid w:val="00040F77"/>
    <w:rsid w:val="00041561"/>
    <w:rsid w:val="00041E48"/>
    <w:rsid w:val="000422F7"/>
    <w:rsid w:val="00052ECD"/>
    <w:rsid w:val="000569B4"/>
    <w:rsid w:val="00060D72"/>
    <w:rsid w:val="00061E8A"/>
    <w:rsid w:val="0006734D"/>
    <w:rsid w:val="00070A8E"/>
    <w:rsid w:val="00070B5C"/>
    <w:rsid w:val="00072106"/>
    <w:rsid w:val="000726BC"/>
    <w:rsid w:val="00080E82"/>
    <w:rsid w:val="00085F56"/>
    <w:rsid w:val="00090538"/>
    <w:rsid w:val="00092AC2"/>
    <w:rsid w:val="00094333"/>
    <w:rsid w:val="000A40EB"/>
    <w:rsid w:val="000A4C1A"/>
    <w:rsid w:val="000B1A8E"/>
    <w:rsid w:val="000B212D"/>
    <w:rsid w:val="000B2EAD"/>
    <w:rsid w:val="000B4714"/>
    <w:rsid w:val="000B4E8D"/>
    <w:rsid w:val="000B6E07"/>
    <w:rsid w:val="000C1802"/>
    <w:rsid w:val="000D1761"/>
    <w:rsid w:val="000D46BB"/>
    <w:rsid w:val="000D4A43"/>
    <w:rsid w:val="000D507A"/>
    <w:rsid w:val="000E05CF"/>
    <w:rsid w:val="000E2980"/>
    <w:rsid w:val="000E2A54"/>
    <w:rsid w:val="000E3D71"/>
    <w:rsid w:val="000E4B10"/>
    <w:rsid w:val="000E568E"/>
    <w:rsid w:val="000F637B"/>
    <w:rsid w:val="000F6414"/>
    <w:rsid w:val="001076B6"/>
    <w:rsid w:val="001126C8"/>
    <w:rsid w:val="0011560C"/>
    <w:rsid w:val="00116E4A"/>
    <w:rsid w:val="001177C8"/>
    <w:rsid w:val="00120F96"/>
    <w:rsid w:val="001232C0"/>
    <w:rsid w:val="00124AB9"/>
    <w:rsid w:val="00126ACB"/>
    <w:rsid w:val="00127E37"/>
    <w:rsid w:val="00133A3F"/>
    <w:rsid w:val="00137119"/>
    <w:rsid w:val="00147D13"/>
    <w:rsid w:val="00151E6F"/>
    <w:rsid w:val="00153497"/>
    <w:rsid w:val="00153F13"/>
    <w:rsid w:val="0015710D"/>
    <w:rsid w:val="0015753B"/>
    <w:rsid w:val="00157851"/>
    <w:rsid w:val="001604BB"/>
    <w:rsid w:val="001607F5"/>
    <w:rsid w:val="001620A7"/>
    <w:rsid w:val="00163A32"/>
    <w:rsid w:val="00166E36"/>
    <w:rsid w:val="00167046"/>
    <w:rsid w:val="00170B2C"/>
    <w:rsid w:val="001767D7"/>
    <w:rsid w:val="00180173"/>
    <w:rsid w:val="0018476E"/>
    <w:rsid w:val="001850A8"/>
    <w:rsid w:val="001869F6"/>
    <w:rsid w:val="00186FBA"/>
    <w:rsid w:val="00190912"/>
    <w:rsid w:val="00190B49"/>
    <w:rsid w:val="00192B41"/>
    <w:rsid w:val="00193D5E"/>
    <w:rsid w:val="001961FA"/>
    <w:rsid w:val="00196ACA"/>
    <w:rsid w:val="001A53BF"/>
    <w:rsid w:val="001A7FE4"/>
    <w:rsid w:val="001B24C6"/>
    <w:rsid w:val="001B31F8"/>
    <w:rsid w:val="001B3676"/>
    <w:rsid w:val="001B391C"/>
    <w:rsid w:val="001B5C19"/>
    <w:rsid w:val="001B7B09"/>
    <w:rsid w:val="001C19CD"/>
    <w:rsid w:val="001C1D65"/>
    <w:rsid w:val="001D36EE"/>
    <w:rsid w:val="001E23C0"/>
    <w:rsid w:val="001E3FF9"/>
    <w:rsid w:val="001E5125"/>
    <w:rsid w:val="001E6719"/>
    <w:rsid w:val="001F2471"/>
    <w:rsid w:val="001F414C"/>
    <w:rsid w:val="001F4C3F"/>
    <w:rsid w:val="001F6CA7"/>
    <w:rsid w:val="00201431"/>
    <w:rsid w:val="0020270A"/>
    <w:rsid w:val="00206103"/>
    <w:rsid w:val="00207715"/>
    <w:rsid w:val="00210A03"/>
    <w:rsid w:val="002115C3"/>
    <w:rsid w:val="00211A78"/>
    <w:rsid w:val="002120CC"/>
    <w:rsid w:val="002163A5"/>
    <w:rsid w:val="00216BA3"/>
    <w:rsid w:val="002203E1"/>
    <w:rsid w:val="00221AB5"/>
    <w:rsid w:val="00224D21"/>
    <w:rsid w:val="00226DD4"/>
    <w:rsid w:val="00227FF0"/>
    <w:rsid w:val="00237022"/>
    <w:rsid w:val="00240819"/>
    <w:rsid w:val="00240F55"/>
    <w:rsid w:val="00241835"/>
    <w:rsid w:val="002419AF"/>
    <w:rsid w:val="00247A2B"/>
    <w:rsid w:val="0025064C"/>
    <w:rsid w:val="00254DA1"/>
    <w:rsid w:val="002563D0"/>
    <w:rsid w:val="0026158C"/>
    <w:rsid w:val="00261829"/>
    <w:rsid w:val="002619CA"/>
    <w:rsid w:val="00262BF0"/>
    <w:rsid w:val="002672E6"/>
    <w:rsid w:val="002706D3"/>
    <w:rsid w:val="00271F2D"/>
    <w:rsid w:val="0027334C"/>
    <w:rsid w:val="00280ABD"/>
    <w:rsid w:val="00281A54"/>
    <w:rsid w:val="00282009"/>
    <w:rsid w:val="0028536E"/>
    <w:rsid w:val="002854BE"/>
    <w:rsid w:val="00290673"/>
    <w:rsid w:val="0029089C"/>
    <w:rsid w:val="00291EB6"/>
    <w:rsid w:val="002A0092"/>
    <w:rsid w:val="002A1D90"/>
    <w:rsid w:val="002A2CDD"/>
    <w:rsid w:val="002A363A"/>
    <w:rsid w:val="002A4CF4"/>
    <w:rsid w:val="002A4FD7"/>
    <w:rsid w:val="002A78B9"/>
    <w:rsid w:val="002A7A0D"/>
    <w:rsid w:val="002B3BF6"/>
    <w:rsid w:val="002B699F"/>
    <w:rsid w:val="002B7D7D"/>
    <w:rsid w:val="002C3063"/>
    <w:rsid w:val="002C31A9"/>
    <w:rsid w:val="002C51EF"/>
    <w:rsid w:val="002C5747"/>
    <w:rsid w:val="002C589A"/>
    <w:rsid w:val="002C7974"/>
    <w:rsid w:val="002C7FB3"/>
    <w:rsid w:val="002D2BC1"/>
    <w:rsid w:val="002D2F57"/>
    <w:rsid w:val="002D48C5"/>
    <w:rsid w:val="002D4A6E"/>
    <w:rsid w:val="002E10B7"/>
    <w:rsid w:val="002E1E6C"/>
    <w:rsid w:val="002E229A"/>
    <w:rsid w:val="002E4854"/>
    <w:rsid w:val="002E5737"/>
    <w:rsid w:val="002E66FA"/>
    <w:rsid w:val="002F4647"/>
    <w:rsid w:val="0030144D"/>
    <w:rsid w:val="00301759"/>
    <w:rsid w:val="003071BE"/>
    <w:rsid w:val="00311052"/>
    <w:rsid w:val="00312351"/>
    <w:rsid w:val="00314403"/>
    <w:rsid w:val="00321954"/>
    <w:rsid w:val="00322CFF"/>
    <w:rsid w:val="00324384"/>
    <w:rsid w:val="00327838"/>
    <w:rsid w:val="00331C02"/>
    <w:rsid w:val="003338CD"/>
    <w:rsid w:val="00337402"/>
    <w:rsid w:val="00337AB5"/>
    <w:rsid w:val="00340A27"/>
    <w:rsid w:val="0034174D"/>
    <w:rsid w:val="0034186A"/>
    <w:rsid w:val="00344CCB"/>
    <w:rsid w:val="00345A13"/>
    <w:rsid w:val="003472FF"/>
    <w:rsid w:val="00347E52"/>
    <w:rsid w:val="003511F6"/>
    <w:rsid w:val="00352E06"/>
    <w:rsid w:val="00352FA6"/>
    <w:rsid w:val="00364C13"/>
    <w:rsid w:val="0036638F"/>
    <w:rsid w:val="0037008C"/>
    <w:rsid w:val="0037746C"/>
    <w:rsid w:val="003776EB"/>
    <w:rsid w:val="00380B54"/>
    <w:rsid w:val="00382177"/>
    <w:rsid w:val="00385ACA"/>
    <w:rsid w:val="00385FC5"/>
    <w:rsid w:val="0038612C"/>
    <w:rsid w:val="003906D3"/>
    <w:rsid w:val="00391C6D"/>
    <w:rsid w:val="003931C5"/>
    <w:rsid w:val="00393800"/>
    <w:rsid w:val="003964EC"/>
    <w:rsid w:val="003A2AEB"/>
    <w:rsid w:val="003A417A"/>
    <w:rsid w:val="003A445B"/>
    <w:rsid w:val="003A52BE"/>
    <w:rsid w:val="003A6534"/>
    <w:rsid w:val="003B233E"/>
    <w:rsid w:val="003B7CB7"/>
    <w:rsid w:val="003C0EFE"/>
    <w:rsid w:val="003C13B3"/>
    <w:rsid w:val="003C1ECB"/>
    <w:rsid w:val="003C20A3"/>
    <w:rsid w:val="003C45CB"/>
    <w:rsid w:val="003C7DA1"/>
    <w:rsid w:val="003D4739"/>
    <w:rsid w:val="003D58B7"/>
    <w:rsid w:val="003D5FCE"/>
    <w:rsid w:val="003E1766"/>
    <w:rsid w:val="003E34F8"/>
    <w:rsid w:val="003F099E"/>
    <w:rsid w:val="003F1E9E"/>
    <w:rsid w:val="003F235E"/>
    <w:rsid w:val="003F29C8"/>
    <w:rsid w:val="00400B8D"/>
    <w:rsid w:val="004012EA"/>
    <w:rsid w:val="004018E5"/>
    <w:rsid w:val="004023E0"/>
    <w:rsid w:val="00402DAC"/>
    <w:rsid w:val="004036A3"/>
    <w:rsid w:val="00403BB0"/>
    <w:rsid w:val="00403DD8"/>
    <w:rsid w:val="00405F18"/>
    <w:rsid w:val="00407AEC"/>
    <w:rsid w:val="004155F5"/>
    <w:rsid w:val="00417CB3"/>
    <w:rsid w:val="00422C07"/>
    <w:rsid w:val="00423955"/>
    <w:rsid w:val="00430458"/>
    <w:rsid w:val="00436095"/>
    <w:rsid w:val="00437DFC"/>
    <w:rsid w:val="00437FB4"/>
    <w:rsid w:val="00440750"/>
    <w:rsid w:val="004429E5"/>
    <w:rsid w:val="004437D9"/>
    <w:rsid w:val="00452697"/>
    <w:rsid w:val="00454B8B"/>
    <w:rsid w:val="0045633F"/>
    <w:rsid w:val="0045686C"/>
    <w:rsid w:val="00456DBC"/>
    <w:rsid w:val="004614DE"/>
    <w:rsid w:val="00471DF5"/>
    <w:rsid w:val="00472388"/>
    <w:rsid w:val="00477B2A"/>
    <w:rsid w:val="004918C4"/>
    <w:rsid w:val="00493D4B"/>
    <w:rsid w:val="0049710C"/>
    <w:rsid w:val="004A1228"/>
    <w:rsid w:val="004A4586"/>
    <w:rsid w:val="004A45B5"/>
    <w:rsid w:val="004A669D"/>
    <w:rsid w:val="004A6FC2"/>
    <w:rsid w:val="004C17DC"/>
    <w:rsid w:val="004C1D14"/>
    <w:rsid w:val="004C4443"/>
    <w:rsid w:val="004C5AB1"/>
    <w:rsid w:val="004D0129"/>
    <w:rsid w:val="004D19D1"/>
    <w:rsid w:val="004D3367"/>
    <w:rsid w:val="004D49B8"/>
    <w:rsid w:val="004D4D7E"/>
    <w:rsid w:val="004D5CAA"/>
    <w:rsid w:val="004E0C9B"/>
    <w:rsid w:val="004E7288"/>
    <w:rsid w:val="004F089C"/>
    <w:rsid w:val="004F53D6"/>
    <w:rsid w:val="005040A6"/>
    <w:rsid w:val="00510D1E"/>
    <w:rsid w:val="00520EAF"/>
    <w:rsid w:val="0052609D"/>
    <w:rsid w:val="00527981"/>
    <w:rsid w:val="00527C31"/>
    <w:rsid w:val="00530D53"/>
    <w:rsid w:val="00535B14"/>
    <w:rsid w:val="00536D70"/>
    <w:rsid w:val="00540805"/>
    <w:rsid w:val="00545064"/>
    <w:rsid w:val="00560CD7"/>
    <w:rsid w:val="005616A1"/>
    <w:rsid w:val="00570BDD"/>
    <w:rsid w:val="00571600"/>
    <w:rsid w:val="00583C98"/>
    <w:rsid w:val="00584D80"/>
    <w:rsid w:val="00585C42"/>
    <w:rsid w:val="00586A4D"/>
    <w:rsid w:val="005916DA"/>
    <w:rsid w:val="00595388"/>
    <w:rsid w:val="005969DB"/>
    <w:rsid w:val="005A4319"/>
    <w:rsid w:val="005A4DBA"/>
    <w:rsid w:val="005A64D5"/>
    <w:rsid w:val="005B7C83"/>
    <w:rsid w:val="005C6936"/>
    <w:rsid w:val="005D1A7E"/>
    <w:rsid w:val="005E2A97"/>
    <w:rsid w:val="005E7C62"/>
    <w:rsid w:val="005F1F70"/>
    <w:rsid w:val="005F3C48"/>
    <w:rsid w:val="005F56D5"/>
    <w:rsid w:val="005F6FFB"/>
    <w:rsid w:val="005F7A9B"/>
    <w:rsid w:val="00600344"/>
    <w:rsid w:val="00601994"/>
    <w:rsid w:val="00604902"/>
    <w:rsid w:val="00613513"/>
    <w:rsid w:val="00615027"/>
    <w:rsid w:val="0061533B"/>
    <w:rsid w:val="00615ACD"/>
    <w:rsid w:val="00616FC3"/>
    <w:rsid w:val="006203A5"/>
    <w:rsid w:val="00621B8C"/>
    <w:rsid w:val="00622DA6"/>
    <w:rsid w:val="006231CC"/>
    <w:rsid w:val="00624343"/>
    <w:rsid w:val="00625C14"/>
    <w:rsid w:val="00632141"/>
    <w:rsid w:val="00635E15"/>
    <w:rsid w:val="006366CD"/>
    <w:rsid w:val="006416BF"/>
    <w:rsid w:val="00643759"/>
    <w:rsid w:val="00644D3C"/>
    <w:rsid w:val="00651163"/>
    <w:rsid w:val="006521C2"/>
    <w:rsid w:val="00652B5E"/>
    <w:rsid w:val="00655AA7"/>
    <w:rsid w:val="00667E8D"/>
    <w:rsid w:val="00670104"/>
    <w:rsid w:val="00671B2A"/>
    <w:rsid w:val="00672F1D"/>
    <w:rsid w:val="0068765A"/>
    <w:rsid w:val="0069121D"/>
    <w:rsid w:val="00692BF3"/>
    <w:rsid w:val="00696AD8"/>
    <w:rsid w:val="006A2BF4"/>
    <w:rsid w:val="006B3C1A"/>
    <w:rsid w:val="006C085B"/>
    <w:rsid w:val="006C0E58"/>
    <w:rsid w:val="006C1FF1"/>
    <w:rsid w:val="006C36ED"/>
    <w:rsid w:val="006D30AE"/>
    <w:rsid w:val="006E04E1"/>
    <w:rsid w:val="006E17FD"/>
    <w:rsid w:val="006E2D42"/>
    <w:rsid w:val="006F2E90"/>
    <w:rsid w:val="006F3D8E"/>
    <w:rsid w:val="006F5F4E"/>
    <w:rsid w:val="006F771A"/>
    <w:rsid w:val="0070002F"/>
    <w:rsid w:val="0070197C"/>
    <w:rsid w:val="007025C9"/>
    <w:rsid w:val="00703676"/>
    <w:rsid w:val="00703CEF"/>
    <w:rsid w:val="007060A0"/>
    <w:rsid w:val="00707304"/>
    <w:rsid w:val="0072121F"/>
    <w:rsid w:val="00732269"/>
    <w:rsid w:val="0073269A"/>
    <w:rsid w:val="0073398C"/>
    <w:rsid w:val="007438F5"/>
    <w:rsid w:val="00744E16"/>
    <w:rsid w:val="007450F0"/>
    <w:rsid w:val="00745BA1"/>
    <w:rsid w:val="00750355"/>
    <w:rsid w:val="00750E3F"/>
    <w:rsid w:val="007527CF"/>
    <w:rsid w:val="00753157"/>
    <w:rsid w:val="007545C1"/>
    <w:rsid w:val="00755FA2"/>
    <w:rsid w:val="00756281"/>
    <w:rsid w:val="0075703E"/>
    <w:rsid w:val="00772176"/>
    <w:rsid w:val="0077413D"/>
    <w:rsid w:val="00774905"/>
    <w:rsid w:val="00775A98"/>
    <w:rsid w:val="00785ABD"/>
    <w:rsid w:val="00793FD8"/>
    <w:rsid w:val="00794A55"/>
    <w:rsid w:val="00794A5A"/>
    <w:rsid w:val="00795822"/>
    <w:rsid w:val="007A0F22"/>
    <w:rsid w:val="007A1AAE"/>
    <w:rsid w:val="007A2DD4"/>
    <w:rsid w:val="007A5143"/>
    <w:rsid w:val="007B00F9"/>
    <w:rsid w:val="007B036F"/>
    <w:rsid w:val="007B1110"/>
    <w:rsid w:val="007C1481"/>
    <w:rsid w:val="007D0154"/>
    <w:rsid w:val="007D2180"/>
    <w:rsid w:val="007D34BD"/>
    <w:rsid w:val="007D38B5"/>
    <w:rsid w:val="007D4483"/>
    <w:rsid w:val="007D4E68"/>
    <w:rsid w:val="007E5358"/>
    <w:rsid w:val="007E5FBE"/>
    <w:rsid w:val="007F084E"/>
    <w:rsid w:val="007F1156"/>
    <w:rsid w:val="007F6CEF"/>
    <w:rsid w:val="007F7DDC"/>
    <w:rsid w:val="008033C3"/>
    <w:rsid w:val="0080640B"/>
    <w:rsid w:val="00807255"/>
    <w:rsid w:val="0081023E"/>
    <w:rsid w:val="008116AC"/>
    <w:rsid w:val="008173AA"/>
    <w:rsid w:val="00820352"/>
    <w:rsid w:val="008206A0"/>
    <w:rsid w:val="00820F4B"/>
    <w:rsid w:val="00821A78"/>
    <w:rsid w:val="00826BCE"/>
    <w:rsid w:val="00827063"/>
    <w:rsid w:val="008306C9"/>
    <w:rsid w:val="008308B6"/>
    <w:rsid w:val="008313E6"/>
    <w:rsid w:val="00831B6F"/>
    <w:rsid w:val="00832C60"/>
    <w:rsid w:val="008370F6"/>
    <w:rsid w:val="00837E48"/>
    <w:rsid w:val="00840A14"/>
    <w:rsid w:val="0084203C"/>
    <w:rsid w:val="0084535D"/>
    <w:rsid w:val="00845D88"/>
    <w:rsid w:val="0084670D"/>
    <w:rsid w:val="00855444"/>
    <w:rsid w:val="008601E4"/>
    <w:rsid w:val="00863866"/>
    <w:rsid w:val="00865ACB"/>
    <w:rsid w:val="008661F5"/>
    <w:rsid w:val="00872284"/>
    <w:rsid w:val="00873F8A"/>
    <w:rsid w:val="00874B3C"/>
    <w:rsid w:val="00874E24"/>
    <w:rsid w:val="00882194"/>
    <w:rsid w:val="00883921"/>
    <w:rsid w:val="00891DB8"/>
    <w:rsid w:val="00893089"/>
    <w:rsid w:val="00894703"/>
    <w:rsid w:val="008A3154"/>
    <w:rsid w:val="008A45A6"/>
    <w:rsid w:val="008A59B5"/>
    <w:rsid w:val="008B08DB"/>
    <w:rsid w:val="008B100D"/>
    <w:rsid w:val="008B2212"/>
    <w:rsid w:val="008B46C7"/>
    <w:rsid w:val="008B59A5"/>
    <w:rsid w:val="008B7E30"/>
    <w:rsid w:val="008D2D7B"/>
    <w:rsid w:val="008D33E1"/>
    <w:rsid w:val="008E0737"/>
    <w:rsid w:val="008E3093"/>
    <w:rsid w:val="008E41F3"/>
    <w:rsid w:val="008E7943"/>
    <w:rsid w:val="008F7C2C"/>
    <w:rsid w:val="009033B0"/>
    <w:rsid w:val="00903A3D"/>
    <w:rsid w:val="009040C2"/>
    <w:rsid w:val="0090638E"/>
    <w:rsid w:val="00906808"/>
    <w:rsid w:val="00906E71"/>
    <w:rsid w:val="0091029E"/>
    <w:rsid w:val="009133E9"/>
    <w:rsid w:val="00914281"/>
    <w:rsid w:val="009154A8"/>
    <w:rsid w:val="00917CF0"/>
    <w:rsid w:val="00917D08"/>
    <w:rsid w:val="009213F5"/>
    <w:rsid w:val="00924287"/>
    <w:rsid w:val="00924794"/>
    <w:rsid w:val="009303CD"/>
    <w:rsid w:val="00930B08"/>
    <w:rsid w:val="00933011"/>
    <w:rsid w:val="00933C2B"/>
    <w:rsid w:val="00940E96"/>
    <w:rsid w:val="00943C34"/>
    <w:rsid w:val="00945370"/>
    <w:rsid w:val="00946B4D"/>
    <w:rsid w:val="00947590"/>
    <w:rsid w:val="0095069F"/>
    <w:rsid w:val="0095124E"/>
    <w:rsid w:val="00957CE1"/>
    <w:rsid w:val="009616AD"/>
    <w:rsid w:val="00962B97"/>
    <w:rsid w:val="00965A9A"/>
    <w:rsid w:val="009667B4"/>
    <w:rsid w:val="009667D7"/>
    <w:rsid w:val="00966CA4"/>
    <w:rsid w:val="00966E46"/>
    <w:rsid w:val="0097026A"/>
    <w:rsid w:val="00971871"/>
    <w:rsid w:val="009738A5"/>
    <w:rsid w:val="00973BA8"/>
    <w:rsid w:val="00980591"/>
    <w:rsid w:val="00983F25"/>
    <w:rsid w:val="009901C8"/>
    <w:rsid w:val="00991676"/>
    <w:rsid w:val="00997DFD"/>
    <w:rsid w:val="009A0563"/>
    <w:rsid w:val="009A3372"/>
    <w:rsid w:val="009A3AF9"/>
    <w:rsid w:val="009B0BAE"/>
    <w:rsid w:val="009B6134"/>
    <w:rsid w:val="009B6A83"/>
    <w:rsid w:val="009B7B2E"/>
    <w:rsid w:val="009C345C"/>
    <w:rsid w:val="009C3F89"/>
    <w:rsid w:val="009C6BF6"/>
    <w:rsid w:val="009D634A"/>
    <w:rsid w:val="009D7183"/>
    <w:rsid w:val="009E1F1E"/>
    <w:rsid w:val="009E7B1B"/>
    <w:rsid w:val="009F2262"/>
    <w:rsid w:val="009F5242"/>
    <w:rsid w:val="00A02BD7"/>
    <w:rsid w:val="00A03617"/>
    <w:rsid w:val="00A067CB"/>
    <w:rsid w:val="00A12686"/>
    <w:rsid w:val="00A1326B"/>
    <w:rsid w:val="00A1398E"/>
    <w:rsid w:val="00A15B0E"/>
    <w:rsid w:val="00A16C96"/>
    <w:rsid w:val="00A2268E"/>
    <w:rsid w:val="00A23976"/>
    <w:rsid w:val="00A27952"/>
    <w:rsid w:val="00A30082"/>
    <w:rsid w:val="00A30123"/>
    <w:rsid w:val="00A43DE3"/>
    <w:rsid w:val="00A51CF4"/>
    <w:rsid w:val="00A53776"/>
    <w:rsid w:val="00A5637B"/>
    <w:rsid w:val="00A70065"/>
    <w:rsid w:val="00A71773"/>
    <w:rsid w:val="00A72B24"/>
    <w:rsid w:val="00A744BC"/>
    <w:rsid w:val="00A77590"/>
    <w:rsid w:val="00A77EE9"/>
    <w:rsid w:val="00A84C01"/>
    <w:rsid w:val="00A85FCD"/>
    <w:rsid w:val="00A86644"/>
    <w:rsid w:val="00A900A8"/>
    <w:rsid w:val="00A92042"/>
    <w:rsid w:val="00A93129"/>
    <w:rsid w:val="00A96081"/>
    <w:rsid w:val="00A96D76"/>
    <w:rsid w:val="00A971B8"/>
    <w:rsid w:val="00AA0135"/>
    <w:rsid w:val="00AA3FAB"/>
    <w:rsid w:val="00AA741F"/>
    <w:rsid w:val="00AB445B"/>
    <w:rsid w:val="00AB5195"/>
    <w:rsid w:val="00AB5CF4"/>
    <w:rsid w:val="00AB71B2"/>
    <w:rsid w:val="00AC5B87"/>
    <w:rsid w:val="00AC6833"/>
    <w:rsid w:val="00AC6AFF"/>
    <w:rsid w:val="00AD5445"/>
    <w:rsid w:val="00AD62CF"/>
    <w:rsid w:val="00AE2C85"/>
    <w:rsid w:val="00AE6DEB"/>
    <w:rsid w:val="00AE71E4"/>
    <w:rsid w:val="00AF5E0F"/>
    <w:rsid w:val="00AF6544"/>
    <w:rsid w:val="00B01D1F"/>
    <w:rsid w:val="00B26ADF"/>
    <w:rsid w:val="00B32CAA"/>
    <w:rsid w:val="00B34C30"/>
    <w:rsid w:val="00B3517C"/>
    <w:rsid w:val="00B35B47"/>
    <w:rsid w:val="00B459C0"/>
    <w:rsid w:val="00B47A48"/>
    <w:rsid w:val="00B5037E"/>
    <w:rsid w:val="00B51DC1"/>
    <w:rsid w:val="00B56190"/>
    <w:rsid w:val="00B57F2C"/>
    <w:rsid w:val="00B606E2"/>
    <w:rsid w:val="00B62CEC"/>
    <w:rsid w:val="00B62E08"/>
    <w:rsid w:val="00B63EF2"/>
    <w:rsid w:val="00B6553B"/>
    <w:rsid w:val="00B70373"/>
    <w:rsid w:val="00B73238"/>
    <w:rsid w:val="00B802C3"/>
    <w:rsid w:val="00B822D9"/>
    <w:rsid w:val="00B86EE3"/>
    <w:rsid w:val="00BA44BD"/>
    <w:rsid w:val="00BA6F58"/>
    <w:rsid w:val="00BB581B"/>
    <w:rsid w:val="00BB7588"/>
    <w:rsid w:val="00BC0397"/>
    <w:rsid w:val="00BC0D39"/>
    <w:rsid w:val="00BC5D34"/>
    <w:rsid w:val="00BC6AA7"/>
    <w:rsid w:val="00BC7535"/>
    <w:rsid w:val="00BC7971"/>
    <w:rsid w:val="00BC7BC0"/>
    <w:rsid w:val="00BD0D95"/>
    <w:rsid w:val="00BD57B7"/>
    <w:rsid w:val="00BD6321"/>
    <w:rsid w:val="00BE617C"/>
    <w:rsid w:val="00BE63E2"/>
    <w:rsid w:val="00BE6D32"/>
    <w:rsid w:val="00BE72AB"/>
    <w:rsid w:val="00BE7E41"/>
    <w:rsid w:val="00BF0A70"/>
    <w:rsid w:val="00BF237D"/>
    <w:rsid w:val="00BF3395"/>
    <w:rsid w:val="00BF3DF0"/>
    <w:rsid w:val="00BF4FBC"/>
    <w:rsid w:val="00BF7C1B"/>
    <w:rsid w:val="00C00F02"/>
    <w:rsid w:val="00C02DDC"/>
    <w:rsid w:val="00C07940"/>
    <w:rsid w:val="00C123F9"/>
    <w:rsid w:val="00C21591"/>
    <w:rsid w:val="00C245C7"/>
    <w:rsid w:val="00C24BDB"/>
    <w:rsid w:val="00C27B44"/>
    <w:rsid w:val="00C34B0D"/>
    <w:rsid w:val="00C3719E"/>
    <w:rsid w:val="00C43053"/>
    <w:rsid w:val="00C45432"/>
    <w:rsid w:val="00C46768"/>
    <w:rsid w:val="00C52AA8"/>
    <w:rsid w:val="00C57781"/>
    <w:rsid w:val="00C65D66"/>
    <w:rsid w:val="00C71A42"/>
    <w:rsid w:val="00C7627E"/>
    <w:rsid w:val="00C807E0"/>
    <w:rsid w:val="00C86549"/>
    <w:rsid w:val="00C901E8"/>
    <w:rsid w:val="00C91C5F"/>
    <w:rsid w:val="00C95B67"/>
    <w:rsid w:val="00CA0587"/>
    <w:rsid w:val="00CA5377"/>
    <w:rsid w:val="00CB2359"/>
    <w:rsid w:val="00CC0CED"/>
    <w:rsid w:val="00CC7DA7"/>
    <w:rsid w:val="00CC7F45"/>
    <w:rsid w:val="00CD4228"/>
    <w:rsid w:val="00CD492C"/>
    <w:rsid w:val="00CD687C"/>
    <w:rsid w:val="00CF629C"/>
    <w:rsid w:val="00CF75CB"/>
    <w:rsid w:val="00CF7F40"/>
    <w:rsid w:val="00D02C34"/>
    <w:rsid w:val="00D05982"/>
    <w:rsid w:val="00D135FF"/>
    <w:rsid w:val="00D1476A"/>
    <w:rsid w:val="00D17ABB"/>
    <w:rsid w:val="00D36CB2"/>
    <w:rsid w:val="00D3709C"/>
    <w:rsid w:val="00D45BA0"/>
    <w:rsid w:val="00D51E11"/>
    <w:rsid w:val="00D54070"/>
    <w:rsid w:val="00D54184"/>
    <w:rsid w:val="00D56180"/>
    <w:rsid w:val="00D62F7C"/>
    <w:rsid w:val="00D63B2A"/>
    <w:rsid w:val="00D64DC8"/>
    <w:rsid w:val="00D73B3C"/>
    <w:rsid w:val="00D743FA"/>
    <w:rsid w:val="00D771CC"/>
    <w:rsid w:val="00D81722"/>
    <w:rsid w:val="00D81935"/>
    <w:rsid w:val="00D82FFF"/>
    <w:rsid w:val="00D8453B"/>
    <w:rsid w:val="00D86179"/>
    <w:rsid w:val="00DA1ADB"/>
    <w:rsid w:val="00DA1D1D"/>
    <w:rsid w:val="00DA3A9D"/>
    <w:rsid w:val="00DA5377"/>
    <w:rsid w:val="00DA55F1"/>
    <w:rsid w:val="00DA5D4E"/>
    <w:rsid w:val="00DA69C7"/>
    <w:rsid w:val="00DB0FF7"/>
    <w:rsid w:val="00DB4918"/>
    <w:rsid w:val="00DB4C38"/>
    <w:rsid w:val="00DC0221"/>
    <w:rsid w:val="00DC7A71"/>
    <w:rsid w:val="00DD611D"/>
    <w:rsid w:val="00DE1B41"/>
    <w:rsid w:val="00DF12A9"/>
    <w:rsid w:val="00DF17B8"/>
    <w:rsid w:val="00DF3196"/>
    <w:rsid w:val="00DF36ED"/>
    <w:rsid w:val="00DF4A80"/>
    <w:rsid w:val="00DF7854"/>
    <w:rsid w:val="00E00A8E"/>
    <w:rsid w:val="00E01999"/>
    <w:rsid w:val="00E056AE"/>
    <w:rsid w:val="00E0603F"/>
    <w:rsid w:val="00E0710C"/>
    <w:rsid w:val="00E11C10"/>
    <w:rsid w:val="00E1603F"/>
    <w:rsid w:val="00E176BA"/>
    <w:rsid w:val="00E24191"/>
    <w:rsid w:val="00E34C1F"/>
    <w:rsid w:val="00E365FC"/>
    <w:rsid w:val="00E423EC"/>
    <w:rsid w:val="00E51063"/>
    <w:rsid w:val="00E5227A"/>
    <w:rsid w:val="00E63D71"/>
    <w:rsid w:val="00E64EC8"/>
    <w:rsid w:val="00E72363"/>
    <w:rsid w:val="00E76451"/>
    <w:rsid w:val="00E80015"/>
    <w:rsid w:val="00E81F53"/>
    <w:rsid w:val="00E82634"/>
    <w:rsid w:val="00E84AA7"/>
    <w:rsid w:val="00E87CEE"/>
    <w:rsid w:val="00E91ED8"/>
    <w:rsid w:val="00E93F89"/>
    <w:rsid w:val="00E95959"/>
    <w:rsid w:val="00E96B9F"/>
    <w:rsid w:val="00E96DC9"/>
    <w:rsid w:val="00E9733F"/>
    <w:rsid w:val="00EA2C18"/>
    <w:rsid w:val="00EA6EBC"/>
    <w:rsid w:val="00EB05E7"/>
    <w:rsid w:val="00EB3450"/>
    <w:rsid w:val="00EB3839"/>
    <w:rsid w:val="00EB65CB"/>
    <w:rsid w:val="00EC616B"/>
    <w:rsid w:val="00EC70AD"/>
    <w:rsid w:val="00EE3AE8"/>
    <w:rsid w:val="00EF02F7"/>
    <w:rsid w:val="00EF4440"/>
    <w:rsid w:val="00F01208"/>
    <w:rsid w:val="00F02F44"/>
    <w:rsid w:val="00F0564B"/>
    <w:rsid w:val="00F123AA"/>
    <w:rsid w:val="00F14B80"/>
    <w:rsid w:val="00F14CEA"/>
    <w:rsid w:val="00F208C8"/>
    <w:rsid w:val="00F20B96"/>
    <w:rsid w:val="00F21883"/>
    <w:rsid w:val="00F21CE3"/>
    <w:rsid w:val="00F257C2"/>
    <w:rsid w:val="00F26975"/>
    <w:rsid w:val="00F27B35"/>
    <w:rsid w:val="00F310FB"/>
    <w:rsid w:val="00F35898"/>
    <w:rsid w:val="00F46B1B"/>
    <w:rsid w:val="00F47F68"/>
    <w:rsid w:val="00F5225B"/>
    <w:rsid w:val="00F538FF"/>
    <w:rsid w:val="00F5453E"/>
    <w:rsid w:val="00F60C11"/>
    <w:rsid w:val="00F662A3"/>
    <w:rsid w:val="00F66596"/>
    <w:rsid w:val="00F67EA4"/>
    <w:rsid w:val="00F701D9"/>
    <w:rsid w:val="00F71168"/>
    <w:rsid w:val="00F71797"/>
    <w:rsid w:val="00F72272"/>
    <w:rsid w:val="00F72F7B"/>
    <w:rsid w:val="00F83A63"/>
    <w:rsid w:val="00F8678D"/>
    <w:rsid w:val="00F91081"/>
    <w:rsid w:val="00F9266D"/>
    <w:rsid w:val="00F9595F"/>
    <w:rsid w:val="00F964E1"/>
    <w:rsid w:val="00FA015F"/>
    <w:rsid w:val="00FA2B65"/>
    <w:rsid w:val="00FB1F99"/>
    <w:rsid w:val="00FC3BC3"/>
    <w:rsid w:val="00FD09B4"/>
    <w:rsid w:val="00FD3DC9"/>
    <w:rsid w:val="00FD62AA"/>
    <w:rsid w:val="00FD7A02"/>
    <w:rsid w:val="00FE5701"/>
    <w:rsid w:val="00FE6D28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0135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A0135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A0135"/>
    <w:rPr>
      <w:rFonts w:ascii="Times New Roman Bold" w:hAnsi="Times New Roman Bold"/>
      <w:b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A0135"/>
    <w:rPr>
      <w:rFonts w:ascii="Times New Roman Bold" w:hAnsi="Times New Roman Bold"/>
      <w:i/>
      <w:sz w:val="22"/>
      <w:lang w:val="en-GB" w:eastAsia="en-US"/>
    </w:rPr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</w:style>
  <w:style w:type="paragraph" w:styleId="TOC3">
    <w:name w:val="toc 3"/>
    <w:basedOn w:val="TOC2"/>
    <w:uiPriority w:val="39"/>
    <w:qFormat/>
    <w:rsid w:val="008E41F3"/>
    <w:pPr>
      <w:ind w:left="1134"/>
    </w:pPr>
  </w:style>
  <w:style w:type="paragraph" w:styleId="TOC2">
    <w:name w:val="toc 2"/>
    <w:basedOn w:val="TOC1"/>
    <w:autoRedefine/>
    <w:uiPriority w:val="39"/>
    <w:qFormat/>
    <w:rsid w:val="006416BF"/>
    <w:pPr>
      <w:spacing w:before="80"/>
      <w:ind w:left="567"/>
    </w:pPr>
  </w:style>
  <w:style w:type="paragraph" w:styleId="TOC1">
    <w:name w:val="toc 1"/>
    <w:basedOn w:val="Normal"/>
    <w:autoRedefine/>
    <w:uiPriority w:val="39"/>
    <w:qFormat/>
    <w:rsid w:val="006416BF"/>
    <w:pPr>
      <w:keepLines/>
      <w:tabs>
        <w:tab w:val="clear" w:pos="794"/>
        <w:tab w:val="clear" w:pos="1191"/>
        <w:tab w:val="clear" w:pos="1588"/>
        <w:tab w:val="clear" w:pos="1985"/>
        <w:tab w:val="left" w:leader="dot" w:pos="567"/>
        <w:tab w:val="left" w:leader="dot" w:pos="8789"/>
        <w:tab w:val="right" w:pos="9639"/>
      </w:tabs>
      <w:ind w:right="851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locked/>
    <w:rsid w:val="00AA0135"/>
    <w:rPr>
      <w:rFonts w:ascii="Calibri" w:hAnsi="Calibri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locked/>
    <w:rsid w:val="00AA0135"/>
    <w:rPr>
      <w:rFonts w:ascii="Calibri" w:hAnsi="Calibri"/>
      <w:sz w:val="18"/>
      <w:lang w:val="fr-FR" w:eastAsia="en-US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0135"/>
    <w:rPr>
      <w:rFonts w:ascii="Calibri" w:hAnsi="Calibri"/>
      <w:lang w:val="en-GB" w:eastAsia="en-US"/>
    </w:rPr>
  </w:style>
  <w:style w:type="paragraph" w:styleId="NormalIndent">
    <w:name w:val="Normal Indent"/>
    <w:aliases w:val="Retrait std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57160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Theme="minorHAnsi" w:hAnsiTheme="minorHAnsi"/>
      <w:i w:val="0"/>
    </w:rPr>
  </w:style>
  <w:style w:type="character" w:styleId="FollowedHyperlink">
    <w:name w:val="FollowedHyperlink"/>
    <w:basedOn w:val="DefaultParagraphFont"/>
    <w:uiPriority w:val="99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9102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1029E"/>
    <w:pPr>
      <w:spacing w:before="160"/>
    </w:pPr>
    <w:rPr>
      <w:rFonts w:asciiTheme="minorHAnsi" w:hAnsiTheme="minorHAnsi"/>
      <w:b w:val="0"/>
      <w:lang w:val="ru-RU"/>
    </w:rPr>
  </w:style>
  <w:style w:type="character" w:styleId="PageNumber">
    <w:name w:val="page number"/>
    <w:basedOn w:val="DefaultParagraphFont"/>
    <w:uiPriority w:val="99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uiPriority w:val="99"/>
    <w:rsid w:val="00227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0135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9A0563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A0135"/>
    <w:pPr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Oggetto">
    <w:name w:val="Oggetto"/>
    <w:basedOn w:val="BodyTextIndent"/>
    <w:uiPriority w:val="99"/>
    <w:rsid w:val="00AA0135"/>
    <w:pPr>
      <w:tabs>
        <w:tab w:val="left" w:pos="1134"/>
      </w:tabs>
      <w:spacing w:before="1200" w:after="0"/>
      <w:ind w:left="1304" w:hanging="1304"/>
      <w:jc w:val="both"/>
    </w:pPr>
  </w:style>
  <w:style w:type="paragraph" w:styleId="BodyTextIndent">
    <w:name w:val="Body Text Indent"/>
    <w:basedOn w:val="Normal"/>
    <w:link w:val="BodyTextIndentChar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 w:after="120"/>
      <w:ind w:left="283"/>
      <w:textAlignment w:val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A0135"/>
    <w:rPr>
      <w:rFonts w:ascii="Times New Roman" w:hAnsi="Times New Roman"/>
      <w:sz w:val="24"/>
      <w:szCs w:val="24"/>
      <w:lang w:val="it-IT" w:eastAsia="it-IT"/>
    </w:rPr>
  </w:style>
  <w:style w:type="paragraph" w:customStyle="1" w:styleId="Indirizzo1">
    <w:name w:val="Indirizzo1"/>
    <w:basedOn w:val="BodyTextIndent"/>
    <w:uiPriority w:val="99"/>
    <w:rsid w:val="00AA0135"/>
    <w:pPr>
      <w:tabs>
        <w:tab w:val="left" w:pos="5670"/>
      </w:tabs>
      <w:spacing w:before="720" w:after="840"/>
      <w:ind w:left="5670"/>
      <w:jc w:val="both"/>
    </w:pPr>
    <w:rPr>
      <w:lang w:val="de-DE" w:bidi="he-IL"/>
    </w:rPr>
  </w:style>
  <w:style w:type="paragraph" w:customStyle="1" w:styleId="Notaapidipagina">
    <w:name w:val="Nota a piè di pagina"/>
    <w:basedOn w:val="FootnoteText"/>
    <w:autoRedefine/>
    <w:uiPriority w:val="99"/>
    <w:rsid w:val="00AA0135"/>
    <w:pPr>
      <w:keepLines w:val="0"/>
      <w:widowControl w:val="0"/>
      <w:tabs>
        <w:tab w:val="clear" w:pos="255"/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/>
      <w:ind w:left="567" w:right="567" w:firstLine="0"/>
      <w:jc w:val="both"/>
      <w:textAlignment w:val="auto"/>
    </w:pPr>
    <w:rPr>
      <w:rFonts w:ascii="Verdana" w:hAnsi="Verdana"/>
      <w:sz w:val="16"/>
      <w:lang w:val="it-IT" w:eastAsia="it-IT"/>
    </w:rPr>
  </w:style>
  <w:style w:type="paragraph" w:customStyle="1" w:styleId="rimandoanotapiedipagina">
    <w:name w:val="rimando a nota pie' di pagina"/>
    <w:basedOn w:val="Footer"/>
    <w:autoRedefine/>
    <w:uiPriority w:val="99"/>
    <w:rsid w:val="00AA0135"/>
    <w:pPr>
      <w:widowControl w:val="0"/>
      <w:tabs>
        <w:tab w:val="clear" w:pos="5954"/>
        <w:tab w:val="clear" w:pos="9639"/>
        <w:tab w:val="center" w:pos="4819"/>
        <w:tab w:val="right" w:pos="9638"/>
      </w:tabs>
      <w:kinsoku w:val="0"/>
      <w:overflowPunct/>
      <w:autoSpaceDE/>
      <w:autoSpaceDN/>
      <w:adjustRightInd/>
      <w:ind w:left="567" w:right="567"/>
      <w:jc w:val="both"/>
      <w:textAlignment w:val="auto"/>
    </w:pPr>
    <w:rPr>
      <w:rFonts w:ascii="Verdana" w:hAnsi="Verdana"/>
      <w:caps w:val="0"/>
      <w:noProof w:val="0"/>
      <w:szCs w:val="24"/>
      <w:lang w:val="it-IT" w:eastAsia="it-IT"/>
    </w:rPr>
  </w:style>
  <w:style w:type="paragraph" w:customStyle="1" w:styleId="Style1">
    <w:name w:val="Style 1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ind w:left="6552" w:right="864"/>
      <w:textAlignment w:val="auto"/>
    </w:pPr>
    <w:rPr>
      <w:rFonts w:ascii="Times New Roman" w:hAnsi="Times New Roman"/>
      <w:sz w:val="23"/>
      <w:szCs w:val="23"/>
      <w:lang w:val="it-IT" w:eastAsia="it-IT"/>
    </w:rPr>
  </w:style>
  <w:style w:type="paragraph" w:customStyle="1" w:styleId="Style6">
    <w:name w:val="Style 6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tyle7">
    <w:name w:val="Style 7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80" w:line="204" w:lineRule="auto"/>
      <w:ind w:left="72"/>
      <w:textAlignment w:val="auto"/>
    </w:pPr>
    <w:rPr>
      <w:rFonts w:ascii="Times New Roman" w:hAnsi="Times New Roman"/>
      <w:sz w:val="25"/>
      <w:szCs w:val="25"/>
      <w:lang w:val="it-IT" w:eastAsia="it-IT"/>
    </w:rPr>
  </w:style>
  <w:style w:type="paragraph" w:customStyle="1" w:styleId="Style8">
    <w:name w:val="Style 8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52" w:line="156" w:lineRule="exact"/>
      <w:ind w:left="360"/>
      <w:textAlignment w:val="auto"/>
    </w:pPr>
    <w:rPr>
      <w:rFonts w:ascii="Times New Roman" w:hAnsi="Times New Roman"/>
      <w:sz w:val="25"/>
      <w:szCs w:val="25"/>
      <w:lang w:val="it-IT" w:eastAsia="it-IT"/>
    </w:rPr>
  </w:style>
  <w:style w:type="paragraph" w:customStyle="1" w:styleId="Style3">
    <w:name w:val="Style 3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72" w:line="360" w:lineRule="auto"/>
      <w:ind w:left="216" w:right="360" w:firstLine="720"/>
      <w:jc w:val="both"/>
      <w:textAlignment w:val="auto"/>
    </w:pPr>
    <w:rPr>
      <w:rFonts w:ascii="Times New Roman" w:hAnsi="Times New Roman"/>
      <w:sz w:val="20"/>
      <w:lang w:val="it-IT" w:eastAsia="it-IT"/>
    </w:rPr>
  </w:style>
  <w:style w:type="paragraph" w:customStyle="1" w:styleId="Style4">
    <w:name w:val="Style 4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08" w:line="228" w:lineRule="exact"/>
      <w:ind w:left="504"/>
      <w:textAlignment w:val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tyle14">
    <w:name w:val="Style 14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 w:line="213" w:lineRule="auto"/>
      <w:textAlignment w:val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tyle5">
    <w:name w:val="Style 5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jc w:val="center"/>
      <w:textAlignment w:val="auto"/>
    </w:pPr>
    <w:rPr>
      <w:rFonts w:ascii="Times New Roman" w:hAnsi="Times New Roman"/>
      <w:b/>
      <w:bCs/>
      <w:sz w:val="23"/>
      <w:szCs w:val="23"/>
      <w:lang w:val="it-IT" w:eastAsia="it-IT"/>
    </w:rPr>
  </w:style>
  <w:style w:type="paragraph" w:customStyle="1" w:styleId="Style17">
    <w:name w:val="Style 17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 w:after="180" w:line="204" w:lineRule="auto"/>
      <w:ind w:right="36"/>
      <w:jc w:val="right"/>
      <w:textAlignment w:val="auto"/>
    </w:pPr>
    <w:rPr>
      <w:rFonts w:ascii="Times New Roman" w:hAnsi="Times New Roman"/>
      <w:sz w:val="19"/>
      <w:szCs w:val="19"/>
      <w:lang w:val="it-IT" w:eastAsia="it-IT"/>
    </w:rPr>
  </w:style>
  <w:style w:type="paragraph" w:customStyle="1" w:styleId="Style11">
    <w:name w:val="Style 11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72" w:line="372" w:lineRule="exact"/>
      <w:ind w:left="504" w:right="288" w:firstLine="720"/>
      <w:jc w:val="both"/>
      <w:textAlignment w:val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tyle9">
    <w:name w:val="Style 9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ind w:left="648"/>
      <w:textAlignment w:val="auto"/>
    </w:pPr>
    <w:rPr>
      <w:rFonts w:ascii="Times New Roman" w:hAnsi="Times New Roman"/>
      <w:sz w:val="21"/>
      <w:szCs w:val="21"/>
      <w:lang w:val="it-IT" w:eastAsia="it-IT"/>
    </w:rPr>
  </w:style>
  <w:style w:type="paragraph" w:customStyle="1" w:styleId="Style12">
    <w:name w:val="Style 12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08" w:line="348" w:lineRule="exact"/>
      <w:ind w:left="648" w:right="216" w:firstLine="648"/>
      <w:jc w:val="both"/>
      <w:textAlignment w:val="auto"/>
    </w:pPr>
    <w:rPr>
      <w:rFonts w:ascii="Times New Roman" w:hAnsi="Times New Roman"/>
      <w:sz w:val="20"/>
      <w:lang w:val="it-IT" w:eastAsia="it-IT"/>
    </w:rPr>
  </w:style>
  <w:style w:type="paragraph" w:customStyle="1" w:styleId="Style19">
    <w:name w:val="Style 19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ascii="Times New Roman" w:hAnsi="Times New Roman"/>
      <w:sz w:val="21"/>
      <w:szCs w:val="21"/>
      <w:lang w:val="it-IT" w:eastAsia="it-IT"/>
    </w:rPr>
  </w:style>
  <w:style w:type="paragraph" w:customStyle="1" w:styleId="Style16">
    <w:name w:val="Style 16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ascii="Times New Roman" w:hAnsi="Times New Roman"/>
      <w:sz w:val="20"/>
      <w:lang w:val="it-IT" w:eastAsia="it-IT"/>
    </w:rPr>
  </w:style>
  <w:style w:type="paragraph" w:customStyle="1" w:styleId="Style20">
    <w:name w:val="Style 20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 w:line="156" w:lineRule="exact"/>
      <w:jc w:val="center"/>
      <w:textAlignment w:val="auto"/>
    </w:pPr>
    <w:rPr>
      <w:rFonts w:ascii="Times New Roman" w:hAnsi="Times New Roman"/>
      <w:sz w:val="16"/>
      <w:szCs w:val="16"/>
      <w:lang w:val="it-IT" w:eastAsia="it-IT"/>
    </w:rPr>
  </w:style>
  <w:style w:type="paragraph" w:customStyle="1" w:styleId="Style10">
    <w:name w:val="Style 10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08" w:line="360" w:lineRule="auto"/>
      <w:ind w:left="504" w:right="288" w:firstLine="720"/>
      <w:jc w:val="both"/>
      <w:textAlignment w:val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tyle13">
    <w:name w:val="Style 13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08" w:line="348" w:lineRule="exact"/>
      <w:ind w:left="504" w:right="288" w:firstLine="720"/>
      <w:jc w:val="both"/>
      <w:textAlignment w:val="auto"/>
    </w:pPr>
    <w:rPr>
      <w:rFonts w:ascii="Times New Roman" w:hAnsi="Times New Roman"/>
      <w:i/>
      <w:iCs/>
      <w:sz w:val="23"/>
      <w:szCs w:val="23"/>
      <w:lang w:val="it-IT" w:eastAsia="it-IT"/>
    </w:rPr>
  </w:style>
  <w:style w:type="character" w:customStyle="1" w:styleId="CharacterStyle13">
    <w:name w:val="Character Style 13"/>
    <w:uiPriority w:val="99"/>
    <w:rsid w:val="00AA0135"/>
    <w:rPr>
      <w:sz w:val="25"/>
    </w:rPr>
  </w:style>
  <w:style w:type="character" w:customStyle="1" w:styleId="CharacterStyle1">
    <w:name w:val="Character Style 1"/>
    <w:uiPriority w:val="99"/>
    <w:rsid w:val="00AA0135"/>
    <w:rPr>
      <w:sz w:val="23"/>
    </w:rPr>
  </w:style>
  <w:style w:type="character" w:customStyle="1" w:styleId="CharacterStyle10">
    <w:name w:val="Character Style 10"/>
    <w:uiPriority w:val="99"/>
    <w:rsid w:val="00AA0135"/>
    <w:rPr>
      <w:sz w:val="21"/>
    </w:rPr>
  </w:style>
  <w:style w:type="character" w:customStyle="1" w:styleId="CharacterStyle11">
    <w:name w:val="Character Style 11"/>
    <w:uiPriority w:val="99"/>
    <w:rsid w:val="00AA0135"/>
    <w:rPr>
      <w:b/>
      <w:sz w:val="23"/>
    </w:rPr>
  </w:style>
  <w:style w:type="character" w:customStyle="1" w:styleId="CharacterStyle12">
    <w:name w:val="Character Style 12"/>
    <w:uiPriority w:val="99"/>
    <w:rsid w:val="00AA0135"/>
    <w:rPr>
      <w:i/>
      <w:sz w:val="23"/>
    </w:rPr>
  </w:style>
  <w:style w:type="character" w:customStyle="1" w:styleId="CharacterStyle14">
    <w:name w:val="Character Style 14"/>
    <w:uiPriority w:val="99"/>
    <w:rsid w:val="00AA0135"/>
    <w:rPr>
      <w:sz w:val="20"/>
    </w:rPr>
  </w:style>
  <w:style w:type="character" w:customStyle="1" w:styleId="CharacterStyle15">
    <w:name w:val="Character Style 15"/>
    <w:uiPriority w:val="99"/>
    <w:rsid w:val="00AA0135"/>
    <w:rPr>
      <w:sz w:val="16"/>
    </w:rPr>
  </w:style>
  <w:style w:type="character" w:customStyle="1" w:styleId="CharacterStyle16">
    <w:name w:val="Character Style 16"/>
    <w:uiPriority w:val="99"/>
    <w:rsid w:val="00AA0135"/>
    <w:rPr>
      <w:sz w:val="19"/>
    </w:rPr>
  </w:style>
  <w:style w:type="character" w:customStyle="1" w:styleId="CharacterStyle17">
    <w:name w:val="Character Style 17"/>
    <w:uiPriority w:val="99"/>
    <w:rsid w:val="00AA0135"/>
    <w:rPr>
      <w:sz w:val="20"/>
    </w:rPr>
  </w:style>
  <w:style w:type="paragraph" w:styleId="CommentText">
    <w:name w:val="annotation text"/>
    <w:basedOn w:val="Normal"/>
    <w:link w:val="CommentTextChar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  <w:lang w:val="it-IT"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135"/>
    <w:rPr>
      <w:rFonts w:ascii="Times New Roman" w:hAnsi="Times New Roman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A0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A0135"/>
    <w:rPr>
      <w:rFonts w:ascii="Times New Roman" w:hAnsi="Times New Roman"/>
      <w:b/>
      <w:bCs/>
      <w:lang w:val="it-IT" w:eastAsia="it-IT"/>
    </w:rPr>
  </w:style>
  <w:style w:type="paragraph" w:styleId="Title">
    <w:name w:val="Title"/>
    <w:basedOn w:val="Normal"/>
    <w:link w:val="TitleChar"/>
    <w:uiPriority w:val="99"/>
    <w:qFormat/>
    <w:rsid w:val="00AA01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360" w:lineRule="atLeast"/>
      <w:jc w:val="center"/>
      <w:textAlignment w:val="auto"/>
    </w:pPr>
    <w:rPr>
      <w:rFonts w:ascii="Palatino" w:hAnsi="Times New Roman"/>
      <w:caps/>
      <w:sz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AA0135"/>
    <w:rPr>
      <w:rFonts w:ascii="Palatino" w:hAnsi="Times New Roman"/>
      <w:caps/>
      <w:sz w:val="28"/>
      <w:lang w:eastAsia="en-US"/>
    </w:rPr>
  </w:style>
  <w:style w:type="paragraph" w:customStyle="1" w:styleId="CERN">
    <w:name w:val="CERN"/>
    <w:basedOn w:val="Normal"/>
    <w:uiPriority w:val="99"/>
    <w:rsid w:val="00AA01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Geneva" w:hAnsi="Geneva"/>
      <w:b/>
      <w:caps/>
      <w:sz w:val="24"/>
      <w:lang w:val="en-US"/>
    </w:rPr>
  </w:style>
  <w:style w:type="character" w:styleId="CommentReference">
    <w:name w:val="annotation reference"/>
    <w:basedOn w:val="DefaultParagraphFont"/>
    <w:uiPriority w:val="99"/>
    <w:rsid w:val="00AA0135"/>
    <w:rPr>
      <w:rFonts w:cs="Times New Roman"/>
      <w:sz w:val="16"/>
    </w:rPr>
  </w:style>
  <w:style w:type="paragraph" w:styleId="ListBullet">
    <w:name w:val="List Bullet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  <w:tab w:val="num" w:pos="504"/>
      </w:tabs>
      <w:kinsoku w:val="0"/>
      <w:overflowPunct/>
      <w:autoSpaceDE/>
      <w:autoSpaceDN/>
      <w:adjustRightInd/>
      <w:spacing w:before="0"/>
      <w:ind w:left="360" w:hanging="360"/>
      <w:textAlignment w:val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Default">
    <w:name w:val="Default"/>
    <w:uiPriority w:val="99"/>
    <w:rsid w:val="00AA01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t-IT" w:eastAsia="it-IT"/>
    </w:rPr>
  </w:style>
  <w:style w:type="character" w:customStyle="1" w:styleId="CharacterStyle5">
    <w:name w:val="Character Style 5"/>
    <w:uiPriority w:val="99"/>
    <w:rsid w:val="00AA0135"/>
    <w:rPr>
      <w:sz w:val="20"/>
    </w:rPr>
  </w:style>
  <w:style w:type="paragraph" w:customStyle="1" w:styleId="Sujet">
    <w:name w:val="Sujet"/>
    <w:basedOn w:val="Normal"/>
    <w:uiPriority w:val="99"/>
    <w:rsid w:val="00AA0135"/>
    <w:pPr>
      <w:framePr w:w="8616" w:h="4258" w:hRule="exact" w:hSpace="181" w:wrap="around" w:vAnchor="page" w:hAnchor="page" w:x="1883" w:y="894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 w:cs="Arial"/>
      <w:kern w:val="40"/>
      <w:sz w:val="52"/>
      <w:szCs w:val="52"/>
      <w:lang w:val="fr-CH"/>
    </w:rPr>
  </w:style>
  <w:style w:type="paragraph" w:styleId="NormalWeb">
    <w:name w:val="Normal (Web)"/>
    <w:basedOn w:val="Normal"/>
    <w:uiPriority w:val="99"/>
    <w:unhideWhenUsed/>
    <w:rsid w:val="00AA01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eastAsia="en-GB"/>
    </w:rPr>
  </w:style>
  <w:style w:type="paragraph" w:customStyle="1" w:styleId="Table">
    <w:name w:val="Table_#"/>
    <w:basedOn w:val="Normal"/>
    <w:next w:val="Normal"/>
    <w:rsid w:val="00AA0135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character" w:styleId="SubtleEmphasis">
    <w:name w:val="Subtle Emphasis"/>
    <w:basedOn w:val="DefaultParagraphFont"/>
    <w:uiPriority w:val="19"/>
    <w:qFormat/>
    <w:rsid w:val="00AA0135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135"/>
    <w:pPr>
      <w:widowControl w:val="0"/>
      <w:numPr>
        <w:ilvl w:val="1"/>
      </w:numPr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character" w:customStyle="1" w:styleId="SubtitleChar">
    <w:name w:val="Subtitle Char"/>
    <w:basedOn w:val="DefaultParagraphFont"/>
    <w:link w:val="Subtitle"/>
    <w:uiPriority w:val="11"/>
    <w:rsid w:val="00AA0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NoSpacing">
    <w:name w:val="No Spacing"/>
    <w:uiPriority w:val="1"/>
    <w:qFormat/>
    <w:rsid w:val="00AA0135"/>
    <w:pPr>
      <w:widowControl w:val="0"/>
      <w:kinsoku w:val="0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Predefinito">
    <w:name w:val="Predefinito"/>
    <w:rsid w:val="00AA0135"/>
    <w:pPr>
      <w:autoSpaceDE w:val="0"/>
      <w:autoSpaceDN w:val="0"/>
      <w:adjustRightInd w:val="0"/>
      <w:spacing w:after="200"/>
    </w:pPr>
    <w:rPr>
      <w:rFonts w:ascii="Calibri" w:eastAsia="0" w:hAnsi="Droid Sans Fallback" w:cs="Calibri"/>
      <w:kern w:val="2"/>
      <w:sz w:val="22"/>
      <w:szCs w:val="22"/>
      <w:lang w:val="it-IT"/>
    </w:rPr>
  </w:style>
  <w:style w:type="character" w:styleId="Strong">
    <w:name w:val="Strong"/>
    <w:basedOn w:val="DefaultParagraphFont"/>
    <w:uiPriority w:val="22"/>
    <w:qFormat/>
    <w:rsid w:val="00AA0135"/>
    <w:rPr>
      <w:b/>
      <w:bCs/>
    </w:rPr>
  </w:style>
  <w:style w:type="table" w:customStyle="1" w:styleId="TABELLAVERDANA">
    <w:name w:val="TABELLA VERDANA"/>
    <w:uiPriority w:val="99"/>
    <w:rsid w:val="00CA5377"/>
    <w:rPr>
      <w:rFonts w:ascii="Verdana" w:hAnsi="Verdana"/>
      <w:sz w:val="16"/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A5377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rsid w:val="00571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23976"/>
    <w:rPr>
      <w:rFonts w:ascii="Arial" w:eastAsia="SimSun" w:hAnsi="Arial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0135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A0135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A0135"/>
    <w:rPr>
      <w:rFonts w:ascii="Times New Roman Bold" w:hAnsi="Times New Roman Bold"/>
      <w:b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A0135"/>
    <w:rPr>
      <w:rFonts w:ascii="Times New Roman Bold" w:hAnsi="Times New Roman Bold"/>
      <w:i/>
      <w:sz w:val="22"/>
      <w:lang w:val="en-GB" w:eastAsia="en-US"/>
    </w:rPr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</w:style>
  <w:style w:type="paragraph" w:styleId="TOC3">
    <w:name w:val="toc 3"/>
    <w:basedOn w:val="TOC2"/>
    <w:uiPriority w:val="39"/>
    <w:qFormat/>
    <w:rsid w:val="008E41F3"/>
    <w:pPr>
      <w:ind w:left="1134"/>
    </w:pPr>
  </w:style>
  <w:style w:type="paragraph" w:styleId="TOC2">
    <w:name w:val="toc 2"/>
    <w:basedOn w:val="TOC1"/>
    <w:autoRedefine/>
    <w:uiPriority w:val="39"/>
    <w:qFormat/>
    <w:rsid w:val="006416BF"/>
    <w:pPr>
      <w:spacing w:before="80"/>
      <w:ind w:left="567"/>
    </w:pPr>
  </w:style>
  <w:style w:type="paragraph" w:styleId="TOC1">
    <w:name w:val="toc 1"/>
    <w:basedOn w:val="Normal"/>
    <w:autoRedefine/>
    <w:uiPriority w:val="39"/>
    <w:qFormat/>
    <w:rsid w:val="006416BF"/>
    <w:pPr>
      <w:keepLines/>
      <w:tabs>
        <w:tab w:val="clear" w:pos="794"/>
        <w:tab w:val="clear" w:pos="1191"/>
        <w:tab w:val="clear" w:pos="1588"/>
        <w:tab w:val="clear" w:pos="1985"/>
        <w:tab w:val="left" w:leader="dot" w:pos="567"/>
        <w:tab w:val="left" w:leader="dot" w:pos="8789"/>
        <w:tab w:val="right" w:pos="9639"/>
      </w:tabs>
      <w:ind w:right="851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locked/>
    <w:rsid w:val="00AA0135"/>
    <w:rPr>
      <w:rFonts w:ascii="Calibri" w:hAnsi="Calibri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locked/>
    <w:rsid w:val="00AA0135"/>
    <w:rPr>
      <w:rFonts w:ascii="Calibri" w:hAnsi="Calibri"/>
      <w:sz w:val="18"/>
      <w:lang w:val="fr-FR" w:eastAsia="en-US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0135"/>
    <w:rPr>
      <w:rFonts w:ascii="Calibri" w:hAnsi="Calibri"/>
      <w:lang w:val="en-GB" w:eastAsia="en-US"/>
    </w:rPr>
  </w:style>
  <w:style w:type="paragraph" w:styleId="NormalIndent">
    <w:name w:val="Normal Indent"/>
    <w:aliases w:val="Retrait std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57160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Theme="minorHAnsi" w:hAnsiTheme="minorHAnsi"/>
      <w:i w:val="0"/>
    </w:rPr>
  </w:style>
  <w:style w:type="character" w:styleId="FollowedHyperlink">
    <w:name w:val="FollowedHyperlink"/>
    <w:basedOn w:val="DefaultParagraphFont"/>
    <w:uiPriority w:val="99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9102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1029E"/>
    <w:pPr>
      <w:spacing w:before="160"/>
    </w:pPr>
    <w:rPr>
      <w:rFonts w:asciiTheme="minorHAnsi" w:hAnsiTheme="minorHAnsi"/>
      <w:b w:val="0"/>
      <w:lang w:val="ru-RU"/>
    </w:rPr>
  </w:style>
  <w:style w:type="character" w:styleId="PageNumber">
    <w:name w:val="page number"/>
    <w:basedOn w:val="DefaultParagraphFont"/>
    <w:uiPriority w:val="99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uiPriority w:val="99"/>
    <w:rsid w:val="00227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0135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9A0563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A0135"/>
    <w:pPr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Oggetto">
    <w:name w:val="Oggetto"/>
    <w:basedOn w:val="BodyTextIndent"/>
    <w:uiPriority w:val="99"/>
    <w:rsid w:val="00AA0135"/>
    <w:pPr>
      <w:tabs>
        <w:tab w:val="left" w:pos="1134"/>
      </w:tabs>
      <w:spacing w:before="1200" w:after="0"/>
      <w:ind w:left="1304" w:hanging="1304"/>
      <w:jc w:val="both"/>
    </w:pPr>
  </w:style>
  <w:style w:type="paragraph" w:styleId="BodyTextIndent">
    <w:name w:val="Body Text Indent"/>
    <w:basedOn w:val="Normal"/>
    <w:link w:val="BodyTextIndentChar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 w:after="120"/>
      <w:ind w:left="283"/>
      <w:textAlignment w:val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A0135"/>
    <w:rPr>
      <w:rFonts w:ascii="Times New Roman" w:hAnsi="Times New Roman"/>
      <w:sz w:val="24"/>
      <w:szCs w:val="24"/>
      <w:lang w:val="it-IT" w:eastAsia="it-IT"/>
    </w:rPr>
  </w:style>
  <w:style w:type="paragraph" w:customStyle="1" w:styleId="Indirizzo1">
    <w:name w:val="Indirizzo1"/>
    <w:basedOn w:val="BodyTextIndent"/>
    <w:uiPriority w:val="99"/>
    <w:rsid w:val="00AA0135"/>
    <w:pPr>
      <w:tabs>
        <w:tab w:val="left" w:pos="5670"/>
      </w:tabs>
      <w:spacing w:before="720" w:after="840"/>
      <w:ind w:left="5670"/>
      <w:jc w:val="both"/>
    </w:pPr>
    <w:rPr>
      <w:lang w:val="de-DE" w:bidi="he-IL"/>
    </w:rPr>
  </w:style>
  <w:style w:type="paragraph" w:customStyle="1" w:styleId="Notaapidipagina">
    <w:name w:val="Nota a piè di pagina"/>
    <w:basedOn w:val="FootnoteText"/>
    <w:autoRedefine/>
    <w:uiPriority w:val="99"/>
    <w:rsid w:val="00AA0135"/>
    <w:pPr>
      <w:keepLines w:val="0"/>
      <w:widowControl w:val="0"/>
      <w:tabs>
        <w:tab w:val="clear" w:pos="255"/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/>
      <w:ind w:left="567" w:right="567" w:firstLine="0"/>
      <w:jc w:val="both"/>
      <w:textAlignment w:val="auto"/>
    </w:pPr>
    <w:rPr>
      <w:rFonts w:ascii="Verdana" w:hAnsi="Verdana"/>
      <w:sz w:val="16"/>
      <w:lang w:val="it-IT" w:eastAsia="it-IT"/>
    </w:rPr>
  </w:style>
  <w:style w:type="paragraph" w:customStyle="1" w:styleId="rimandoanotapiedipagina">
    <w:name w:val="rimando a nota pie' di pagina"/>
    <w:basedOn w:val="Footer"/>
    <w:autoRedefine/>
    <w:uiPriority w:val="99"/>
    <w:rsid w:val="00AA0135"/>
    <w:pPr>
      <w:widowControl w:val="0"/>
      <w:tabs>
        <w:tab w:val="clear" w:pos="5954"/>
        <w:tab w:val="clear" w:pos="9639"/>
        <w:tab w:val="center" w:pos="4819"/>
        <w:tab w:val="right" w:pos="9638"/>
      </w:tabs>
      <w:kinsoku w:val="0"/>
      <w:overflowPunct/>
      <w:autoSpaceDE/>
      <w:autoSpaceDN/>
      <w:adjustRightInd/>
      <w:ind w:left="567" w:right="567"/>
      <w:jc w:val="both"/>
      <w:textAlignment w:val="auto"/>
    </w:pPr>
    <w:rPr>
      <w:rFonts w:ascii="Verdana" w:hAnsi="Verdana"/>
      <w:caps w:val="0"/>
      <w:noProof w:val="0"/>
      <w:szCs w:val="24"/>
      <w:lang w:val="it-IT" w:eastAsia="it-IT"/>
    </w:rPr>
  </w:style>
  <w:style w:type="paragraph" w:customStyle="1" w:styleId="Style1">
    <w:name w:val="Style 1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ind w:left="6552" w:right="864"/>
      <w:textAlignment w:val="auto"/>
    </w:pPr>
    <w:rPr>
      <w:rFonts w:ascii="Times New Roman" w:hAnsi="Times New Roman"/>
      <w:sz w:val="23"/>
      <w:szCs w:val="23"/>
      <w:lang w:val="it-IT" w:eastAsia="it-IT"/>
    </w:rPr>
  </w:style>
  <w:style w:type="paragraph" w:customStyle="1" w:styleId="Style6">
    <w:name w:val="Style 6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tyle7">
    <w:name w:val="Style 7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80" w:line="204" w:lineRule="auto"/>
      <w:ind w:left="72"/>
      <w:textAlignment w:val="auto"/>
    </w:pPr>
    <w:rPr>
      <w:rFonts w:ascii="Times New Roman" w:hAnsi="Times New Roman"/>
      <w:sz w:val="25"/>
      <w:szCs w:val="25"/>
      <w:lang w:val="it-IT" w:eastAsia="it-IT"/>
    </w:rPr>
  </w:style>
  <w:style w:type="paragraph" w:customStyle="1" w:styleId="Style8">
    <w:name w:val="Style 8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52" w:line="156" w:lineRule="exact"/>
      <w:ind w:left="360"/>
      <w:textAlignment w:val="auto"/>
    </w:pPr>
    <w:rPr>
      <w:rFonts w:ascii="Times New Roman" w:hAnsi="Times New Roman"/>
      <w:sz w:val="25"/>
      <w:szCs w:val="25"/>
      <w:lang w:val="it-IT" w:eastAsia="it-IT"/>
    </w:rPr>
  </w:style>
  <w:style w:type="paragraph" w:customStyle="1" w:styleId="Style3">
    <w:name w:val="Style 3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72" w:line="360" w:lineRule="auto"/>
      <w:ind w:left="216" w:right="360" w:firstLine="720"/>
      <w:jc w:val="both"/>
      <w:textAlignment w:val="auto"/>
    </w:pPr>
    <w:rPr>
      <w:rFonts w:ascii="Times New Roman" w:hAnsi="Times New Roman"/>
      <w:sz w:val="20"/>
      <w:lang w:val="it-IT" w:eastAsia="it-IT"/>
    </w:rPr>
  </w:style>
  <w:style w:type="paragraph" w:customStyle="1" w:styleId="Style4">
    <w:name w:val="Style 4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08" w:line="228" w:lineRule="exact"/>
      <w:ind w:left="504"/>
      <w:textAlignment w:val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tyle14">
    <w:name w:val="Style 14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 w:line="213" w:lineRule="auto"/>
      <w:textAlignment w:val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tyle5">
    <w:name w:val="Style 5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jc w:val="center"/>
      <w:textAlignment w:val="auto"/>
    </w:pPr>
    <w:rPr>
      <w:rFonts w:ascii="Times New Roman" w:hAnsi="Times New Roman"/>
      <w:b/>
      <w:bCs/>
      <w:sz w:val="23"/>
      <w:szCs w:val="23"/>
      <w:lang w:val="it-IT" w:eastAsia="it-IT"/>
    </w:rPr>
  </w:style>
  <w:style w:type="paragraph" w:customStyle="1" w:styleId="Style17">
    <w:name w:val="Style 17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 w:after="180" w:line="204" w:lineRule="auto"/>
      <w:ind w:right="36"/>
      <w:jc w:val="right"/>
      <w:textAlignment w:val="auto"/>
    </w:pPr>
    <w:rPr>
      <w:rFonts w:ascii="Times New Roman" w:hAnsi="Times New Roman"/>
      <w:sz w:val="19"/>
      <w:szCs w:val="19"/>
      <w:lang w:val="it-IT" w:eastAsia="it-IT"/>
    </w:rPr>
  </w:style>
  <w:style w:type="paragraph" w:customStyle="1" w:styleId="Style11">
    <w:name w:val="Style 11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72" w:line="372" w:lineRule="exact"/>
      <w:ind w:left="504" w:right="288" w:firstLine="720"/>
      <w:jc w:val="both"/>
      <w:textAlignment w:val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tyle9">
    <w:name w:val="Style 9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ind w:left="648"/>
      <w:textAlignment w:val="auto"/>
    </w:pPr>
    <w:rPr>
      <w:rFonts w:ascii="Times New Roman" w:hAnsi="Times New Roman"/>
      <w:sz w:val="21"/>
      <w:szCs w:val="21"/>
      <w:lang w:val="it-IT" w:eastAsia="it-IT"/>
    </w:rPr>
  </w:style>
  <w:style w:type="paragraph" w:customStyle="1" w:styleId="Style12">
    <w:name w:val="Style 12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08" w:line="348" w:lineRule="exact"/>
      <w:ind w:left="648" w:right="216" w:firstLine="648"/>
      <w:jc w:val="both"/>
      <w:textAlignment w:val="auto"/>
    </w:pPr>
    <w:rPr>
      <w:rFonts w:ascii="Times New Roman" w:hAnsi="Times New Roman"/>
      <w:sz w:val="20"/>
      <w:lang w:val="it-IT" w:eastAsia="it-IT"/>
    </w:rPr>
  </w:style>
  <w:style w:type="paragraph" w:customStyle="1" w:styleId="Style19">
    <w:name w:val="Style 19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ascii="Times New Roman" w:hAnsi="Times New Roman"/>
      <w:sz w:val="21"/>
      <w:szCs w:val="21"/>
      <w:lang w:val="it-IT" w:eastAsia="it-IT"/>
    </w:rPr>
  </w:style>
  <w:style w:type="paragraph" w:customStyle="1" w:styleId="Style16">
    <w:name w:val="Style 16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ascii="Times New Roman" w:hAnsi="Times New Roman"/>
      <w:sz w:val="20"/>
      <w:lang w:val="it-IT" w:eastAsia="it-IT"/>
    </w:rPr>
  </w:style>
  <w:style w:type="paragraph" w:customStyle="1" w:styleId="Style20">
    <w:name w:val="Style 20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 w:line="156" w:lineRule="exact"/>
      <w:jc w:val="center"/>
      <w:textAlignment w:val="auto"/>
    </w:pPr>
    <w:rPr>
      <w:rFonts w:ascii="Times New Roman" w:hAnsi="Times New Roman"/>
      <w:sz w:val="16"/>
      <w:szCs w:val="16"/>
      <w:lang w:val="it-IT" w:eastAsia="it-IT"/>
    </w:rPr>
  </w:style>
  <w:style w:type="paragraph" w:customStyle="1" w:styleId="Style10">
    <w:name w:val="Style 10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08" w:line="360" w:lineRule="auto"/>
      <w:ind w:left="504" w:right="288" w:firstLine="720"/>
      <w:jc w:val="both"/>
      <w:textAlignment w:val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tyle13">
    <w:name w:val="Style 13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08" w:line="348" w:lineRule="exact"/>
      <w:ind w:left="504" w:right="288" w:firstLine="720"/>
      <w:jc w:val="both"/>
      <w:textAlignment w:val="auto"/>
    </w:pPr>
    <w:rPr>
      <w:rFonts w:ascii="Times New Roman" w:hAnsi="Times New Roman"/>
      <w:i/>
      <w:iCs/>
      <w:sz w:val="23"/>
      <w:szCs w:val="23"/>
      <w:lang w:val="it-IT" w:eastAsia="it-IT"/>
    </w:rPr>
  </w:style>
  <w:style w:type="character" w:customStyle="1" w:styleId="CharacterStyle13">
    <w:name w:val="Character Style 13"/>
    <w:uiPriority w:val="99"/>
    <w:rsid w:val="00AA0135"/>
    <w:rPr>
      <w:sz w:val="25"/>
    </w:rPr>
  </w:style>
  <w:style w:type="character" w:customStyle="1" w:styleId="CharacterStyle1">
    <w:name w:val="Character Style 1"/>
    <w:uiPriority w:val="99"/>
    <w:rsid w:val="00AA0135"/>
    <w:rPr>
      <w:sz w:val="23"/>
    </w:rPr>
  </w:style>
  <w:style w:type="character" w:customStyle="1" w:styleId="CharacterStyle10">
    <w:name w:val="Character Style 10"/>
    <w:uiPriority w:val="99"/>
    <w:rsid w:val="00AA0135"/>
    <w:rPr>
      <w:sz w:val="21"/>
    </w:rPr>
  </w:style>
  <w:style w:type="character" w:customStyle="1" w:styleId="CharacterStyle11">
    <w:name w:val="Character Style 11"/>
    <w:uiPriority w:val="99"/>
    <w:rsid w:val="00AA0135"/>
    <w:rPr>
      <w:b/>
      <w:sz w:val="23"/>
    </w:rPr>
  </w:style>
  <w:style w:type="character" w:customStyle="1" w:styleId="CharacterStyle12">
    <w:name w:val="Character Style 12"/>
    <w:uiPriority w:val="99"/>
    <w:rsid w:val="00AA0135"/>
    <w:rPr>
      <w:i/>
      <w:sz w:val="23"/>
    </w:rPr>
  </w:style>
  <w:style w:type="character" w:customStyle="1" w:styleId="CharacterStyle14">
    <w:name w:val="Character Style 14"/>
    <w:uiPriority w:val="99"/>
    <w:rsid w:val="00AA0135"/>
    <w:rPr>
      <w:sz w:val="20"/>
    </w:rPr>
  </w:style>
  <w:style w:type="character" w:customStyle="1" w:styleId="CharacterStyle15">
    <w:name w:val="Character Style 15"/>
    <w:uiPriority w:val="99"/>
    <w:rsid w:val="00AA0135"/>
    <w:rPr>
      <w:sz w:val="16"/>
    </w:rPr>
  </w:style>
  <w:style w:type="character" w:customStyle="1" w:styleId="CharacterStyle16">
    <w:name w:val="Character Style 16"/>
    <w:uiPriority w:val="99"/>
    <w:rsid w:val="00AA0135"/>
    <w:rPr>
      <w:sz w:val="19"/>
    </w:rPr>
  </w:style>
  <w:style w:type="character" w:customStyle="1" w:styleId="CharacterStyle17">
    <w:name w:val="Character Style 17"/>
    <w:uiPriority w:val="99"/>
    <w:rsid w:val="00AA0135"/>
    <w:rPr>
      <w:sz w:val="20"/>
    </w:rPr>
  </w:style>
  <w:style w:type="paragraph" w:styleId="CommentText">
    <w:name w:val="annotation text"/>
    <w:basedOn w:val="Normal"/>
    <w:link w:val="CommentTextChar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  <w:lang w:val="it-IT"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135"/>
    <w:rPr>
      <w:rFonts w:ascii="Times New Roman" w:hAnsi="Times New Roman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A0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A0135"/>
    <w:rPr>
      <w:rFonts w:ascii="Times New Roman" w:hAnsi="Times New Roman"/>
      <w:b/>
      <w:bCs/>
      <w:lang w:val="it-IT" w:eastAsia="it-IT"/>
    </w:rPr>
  </w:style>
  <w:style w:type="paragraph" w:styleId="Title">
    <w:name w:val="Title"/>
    <w:basedOn w:val="Normal"/>
    <w:link w:val="TitleChar"/>
    <w:uiPriority w:val="99"/>
    <w:qFormat/>
    <w:rsid w:val="00AA01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360" w:lineRule="atLeast"/>
      <w:jc w:val="center"/>
      <w:textAlignment w:val="auto"/>
    </w:pPr>
    <w:rPr>
      <w:rFonts w:ascii="Palatino" w:hAnsi="Times New Roman"/>
      <w:caps/>
      <w:sz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AA0135"/>
    <w:rPr>
      <w:rFonts w:ascii="Palatino" w:hAnsi="Times New Roman"/>
      <w:caps/>
      <w:sz w:val="28"/>
      <w:lang w:eastAsia="en-US"/>
    </w:rPr>
  </w:style>
  <w:style w:type="paragraph" w:customStyle="1" w:styleId="CERN">
    <w:name w:val="CERN"/>
    <w:basedOn w:val="Normal"/>
    <w:uiPriority w:val="99"/>
    <w:rsid w:val="00AA01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Geneva" w:hAnsi="Geneva"/>
      <w:b/>
      <w:caps/>
      <w:sz w:val="24"/>
      <w:lang w:val="en-US"/>
    </w:rPr>
  </w:style>
  <w:style w:type="character" w:styleId="CommentReference">
    <w:name w:val="annotation reference"/>
    <w:basedOn w:val="DefaultParagraphFont"/>
    <w:uiPriority w:val="99"/>
    <w:rsid w:val="00AA0135"/>
    <w:rPr>
      <w:rFonts w:cs="Times New Roman"/>
      <w:sz w:val="16"/>
    </w:rPr>
  </w:style>
  <w:style w:type="paragraph" w:styleId="ListBullet">
    <w:name w:val="List Bullet"/>
    <w:basedOn w:val="Normal"/>
    <w:uiPriority w:val="99"/>
    <w:rsid w:val="00AA0135"/>
    <w:pPr>
      <w:widowControl w:val="0"/>
      <w:tabs>
        <w:tab w:val="clear" w:pos="794"/>
        <w:tab w:val="clear" w:pos="1191"/>
        <w:tab w:val="clear" w:pos="1588"/>
        <w:tab w:val="clear" w:pos="1985"/>
        <w:tab w:val="num" w:pos="504"/>
      </w:tabs>
      <w:kinsoku w:val="0"/>
      <w:overflowPunct/>
      <w:autoSpaceDE/>
      <w:autoSpaceDN/>
      <w:adjustRightInd/>
      <w:spacing w:before="0"/>
      <w:ind w:left="360" w:hanging="360"/>
      <w:textAlignment w:val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Default">
    <w:name w:val="Default"/>
    <w:uiPriority w:val="99"/>
    <w:rsid w:val="00AA01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t-IT" w:eastAsia="it-IT"/>
    </w:rPr>
  </w:style>
  <w:style w:type="character" w:customStyle="1" w:styleId="CharacterStyle5">
    <w:name w:val="Character Style 5"/>
    <w:uiPriority w:val="99"/>
    <w:rsid w:val="00AA0135"/>
    <w:rPr>
      <w:sz w:val="20"/>
    </w:rPr>
  </w:style>
  <w:style w:type="paragraph" w:customStyle="1" w:styleId="Sujet">
    <w:name w:val="Sujet"/>
    <w:basedOn w:val="Normal"/>
    <w:uiPriority w:val="99"/>
    <w:rsid w:val="00AA0135"/>
    <w:pPr>
      <w:framePr w:w="8616" w:h="4258" w:hRule="exact" w:hSpace="181" w:wrap="around" w:vAnchor="page" w:hAnchor="page" w:x="1883" w:y="894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 w:cs="Arial"/>
      <w:kern w:val="40"/>
      <w:sz w:val="52"/>
      <w:szCs w:val="52"/>
      <w:lang w:val="fr-CH"/>
    </w:rPr>
  </w:style>
  <w:style w:type="paragraph" w:styleId="NormalWeb">
    <w:name w:val="Normal (Web)"/>
    <w:basedOn w:val="Normal"/>
    <w:uiPriority w:val="99"/>
    <w:unhideWhenUsed/>
    <w:rsid w:val="00AA01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eastAsia="en-GB"/>
    </w:rPr>
  </w:style>
  <w:style w:type="paragraph" w:customStyle="1" w:styleId="Table">
    <w:name w:val="Table_#"/>
    <w:basedOn w:val="Normal"/>
    <w:next w:val="Normal"/>
    <w:rsid w:val="00AA0135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character" w:styleId="SubtleEmphasis">
    <w:name w:val="Subtle Emphasis"/>
    <w:basedOn w:val="DefaultParagraphFont"/>
    <w:uiPriority w:val="19"/>
    <w:qFormat/>
    <w:rsid w:val="00AA0135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135"/>
    <w:pPr>
      <w:widowControl w:val="0"/>
      <w:numPr>
        <w:ilvl w:val="1"/>
      </w:numPr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character" w:customStyle="1" w:styleId="SubtitleChar">
    <w:name w:val="Subtitle Char"/>
    <w:basedOn w:val="DefaultParagraphFont"/>
    <w:link w:val="Subtitle"/>
    <w:uiPriority w:val="11"/>
    <w:rsid w:val="00AA0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NoSpacing">
    <w:name w:val="No Spacing"/>
    <w:uiPriority w:val="1"/>
    <w:qFormat/>
    <w:rsid w:val="00AA0135"/>
    <w:pPr>
      <w:widowControl w:val="0"/>
      <w:kinsoku w:val="0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Predefinito">
    <w:name w:val="Predefinito"/>
    <w:rsid w:val="00AA0135"/>
    <w:pPr>
      <w:autoSpaceDE w:val="0"/>
      <w:autoSpaceDN w:val="0"/>
      <w:adjustRightInd w:val="0"/>
      <w:spacing w:after="200"/>
    </w:pPr>
    <w:rPr>
      <w:rFonts w:ascii="Calibri" w:eastAsia="0" w:hAnsi="Droid Sans Fallback" w:cs="Calibri"/>
      <w:kern w:val="2"/>
      <w:sz w:val="22"/>
      <w:szCs w:val="22"/>
      <w:lang w:val="it-IT"/>
    </w:rPr>
  </w:style>
  <w:style w:type="character" w:styleId="Strong">
    <w:name w:val="Strong"/>
    <w:basedOn w:val="DefaultParagraphFont"/>
    <w:uiPriority w:val="22"/>
    <w:qFormat/>
    <w:rsid w:val="00AA0135"/>
    <w:rPr>
      <w:b/>
      <w:bCs/>
    </w:rPr>
  </w:style>
  <w:style w:type="table" w:customStyle="1" w:styleId="TABELLAVERDANA">
    <w:name w:val="TABELLA VERDANA"/>
    <w:uiPriority w:val="99"/>
    <w:rsid w:val="00CA5377"/>
    <w:rPr>
      <w:rFonts w:ascii="Verdana" w:hAnsi="Verdana"/>
      <w:sz w:val="16"/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A5377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rsid w:val="00571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23976"/>
    <w:rPr>
      <w:rFonts w:ascii="Arial" w:eastAsia="SimSun" w:hAnsi="Arial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hyperlink" Target="http://www.itu.int/council/finregs/Regl_Fin_10r.pdf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6CDB-394C-4AC8-B070-B453EEC2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PR_C14.dotm</Template>
  <TotalTime>4</TotalTime>
  <Pages>48</Pages>
  <Words>15130</Words>
  <Characters>99589</Characters>
  <Application>Microsoft Office Word</Application>
  <DocSecurity>4</DocSecurity>
  <Lines>829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114491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Brouard, Ricarda</cp:lastModifiedBy>
  <cp:revision>2</cp:revision>
  <cp:lastPrinted>2014-09-10T13:49:00Z</cp:lastPrinted>
  <dcterms:created xsi:type="dcterms:W3CDTF">2014-09-19T07:42:00Z</dcterms:created>
  <dcterms:modified xsi:type="dcterms:W3CDTF">2014-09-19T07:42:00Z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