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217DEA" w:rsidRPr="000B0D00">
        <w:trPr>
          <w:cantSplit/>
        </w:trPr>
        <w:tc>
          <w:tcPr>
            <w:tcW w:w="6912" w:type="dxa"/>
          </w:tcPr>
          <w:p w:rsidR="00217DEA" w:rsidRPr="000B0D00" w:rsidRDefault="00217DEA" w:rsidP="00217DEA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217DEA">
              <w:rPr>
                <w:b/>
                <w:bCs/>
                <w:sz w:val="30"/>
                <w:szCs w:val="30"/>
              </w:rPr>
              <w:t>Consejo 2014</w:t>
            </w:r>
            <w:r w:rsidRPr="00217DEA">
              <w:rPr>
                <w:b/>
                <w:bCs/>
                <w:sz w:val="26"/>
                <w:szCs w:val="26"/>
              </w:rPr>
              <w:br/>
            </w:r>
            <w:r w:rsidRPr="00217DEA">
              <w:rPr>
                <w:b/>
                <w:bCs/>
                <w:szCs w:val="24"/>
              </w:rPr>
              <w:t>Ginebra, 6-15 de mayo de 2014</w:t>
            </w:r>
          </w:p>
        </w:tc>
        <w:tc>
          <w:tcPr>
            <w:tcW w:w="3261" w:type="dxa"/>
          </w:tcPr>
          <w:p w:rsidR="00217DEA" w:rsidRPr="000B0D00" w:rsidRDefault="00217DEA" w:rsidP="00217DE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217DEA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235FBDD" wp14:editId="6C0BF24C">
                  <wp:extent cx="1775460" cy="693420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DEA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217DEA" w:rsidRPr="000B0D00" w:rsidRDefault="00217DE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217DEA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217DEA" w:rsidRPr="000B0D00" w:rsidRDefault="00217DEA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217DEA" w:rsidRPr="000B0D00" w:rsidRDefault="00217DE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720015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720015" w:rsidRPr="000B0D00" w:rsidRDefault="00720015" w:rsidP="0072001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  <w:bookmarkStart w:id="3" w:name="dnum" w:colFirst="1" w:colLast="1"/>
            <w:bookmarkStart w:id="4" w:name="dmeeting" w:colFirst="0" w:colLast="0"/>
            <w:bookmarkEnd w:id="1"/>
            <w:r w:rsidRPr="00512582">
              <w:rPr>
                <w:rFonts w:cs="Calibri"/>
                <w:b/>
                <w:szCs w:val="24"/>
              </w:rPr>
              <w:t>Punto del orden del día:</w:t>
            </w:r>
            <w:r>
              <w:rPr>
                <w:b/>
                <w:smallCaps/>
                <w:szCs w:val="24"/>
              </w:rPr>
              <w:t xml:space="preserve"> ADM 15</w:t>
            </w:r>
          </w:p>
        </w:tc>
        <w:tc>
          <w:tcPr>
            <w:tcW w:w="3261" w:type="dxa"/>
          </w:tcPr>
          <w:p w:rsidR="00720015" w:rsidRPr="00217DEA" w:rsidRDefault="00720015" w:rsidP="00720015">
            <w:pPr>
              <w:spacing w:before="0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Documento C14/47-S</w:t>
            </w:r>
          </w:p>
        </w:tc>
      </w:tr>
      <w:tr w:rsidR="00720015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720015" w:rsidRPr="000B0D00" w:rsidRDefault="00720015" w:rsidP="0072001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720015" w:rsidRPr="00217DEA" w:rsidRDefault="00720015" w:rsidP="00720015">
            <w:pPr>
              <w:spacing w:before="0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18 de marzo de 2014</w:t>
            </w:r>
          </w:p>
        </w:tc>
      </w:tr>
      <w:tr w:rsidR="00720015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720015" w:rsidRPr="000B0D00" w:rsidRDefault="00720015" w:rsidP="0072001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720015" w:rsidRPr="00217DEA" w:rsidRDefault="00720015" w:rsidP="00720015">
            <w:pPr>
              <w:spacing w:before="0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Original: inglés</w:t>
            </w:r>
          </w:p>
        </w:tc>
      </w:tr>
      <w:tr w:rsidR="00720015" w:rsidRPr="000B0D00">
        <w:trPr>
          <w:cantSplit/>
        </w:trPr>
        <w:tc>
          <w:tcPr>
            <w:tcW w:w="10173" w:type="dxa"/>
            <w:gridSpan w:val="2"/>
          </w:tcPr>
          <w:p w:rsidR="00720015" w:rsidRPr="000B0D00" w:rsidRDefault="00720015" w:rsidP="00F42A20">
            <w:pPr>
              <w:pStyle w:val="Source"/>
              <w:spacing w:before="480"/>
            </w:pPr>
            <w:bookmarkStart w:id="7" w:name="dsource" w:colFirst="0" w:colLast="0"/>
            <w:bookmarkEnd w:id="6"/>
          </w:p>
        </w:tc>
      </w:tr>
      <w:tr w:rsidR="00720015" w:rsidRPr="000B0D00">
        <w:trPr>
          <w:cantSplit/>
        </w:trPr>
        <w:tc>
          <w:tcPr>
            <w:tcW w:w="10173" w:type="dxa"/>
            <w:gridSpan w:val="2"/>
          </w:tcPr>
          <w:p w:rsidR="00720015" w:rsidRDefault="00720015" w:rsidP="00720015">
            <w:pPr>
              <w:pStyle w:val="Source"/>
              <w:spacing w:before="120"/>
            </w:pPr>
            <w:bookmarkStart w:id="8" w:name="dtitle1" w:colFirst="0" w:colLast="0"/>
            <w:bookmarkEnd w:id="7"/>
            <w:r>
              <w:t>Nota del Secretario General</w:t>
            </w:r>
          </w:p>
          <w:p w:rsidR="00720015" w:rsidRPr="000B0D00" w:rsidRDefault="00720015" w:rsidP="00720015">
            <w:pPr>
              <w:pStyle w:val="Title1"/>
            </w:pPr>
            <w:r>
              <w:t>INFORME DEL AUDITOR INTERNO SOBRE ACTIVIDADES DE AUDITORÍA</w:t>
            </w:r>
            <w:r w:rsidR="00A50DB8">
              <w:t xml:space="preserve"> interna</w:t>
            </w:r>
          </w:p>
        </w:tc>
      </w:tr>
      <w:bookmarkEnd w:id="8"/>
    </w:tbl>
    <w:p w:rsidR="00217DEA" w:rsidRPr="000B0D00" w:rsidRDefault="00217DEA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17DEA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DEA" w:rsidRPr="000B0D00" w:rsidRDefault="00217DEA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217DEA" w:rsidRPr="000B0D00" w:rsidRDefault="006909AD" w:rsidP="00695C67">
            <w:pPr>
              <w:rPr>
                <w:lang w:val="es-ES"/>
              </w:rPr>
            </w:pPr>
            <w:r>
              <w:t>El presente I</w:t>
            </w:r>
            <w:r w:rsidR="00695C67">
              <w:t>nforme se refiere a las actividades de auditoría interna en el periodo comprendido entre abril de 2013 y febrero de 2014.</w:t>
            </w:r>
          </w:p>
          <w:p w:rsidR="00217DEA" w:rsidRPr="000B0D00" w:rsidRDefault="00217DEA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217DEA" w:rsidRPr="000B0D00" w:rsidRDefault="00695C67" w:rsidP="006909AD">
            <w:pPr>
              <w:rPr>
                <w:lang w:val="es-ES"/>
              </w:rPr>
            </w:pPr>
            <w:r>
              <w:t xml:space="preserve">Se transmite este </w:t>
            </w:r>
            <w:r w:rsidR="006909AD">
              <w:t>I</w:t>
            </w:r>
            <w:r>
              <w:t>nform</w:t>
            </w:r>
            <w:r w:rsidR="006909AD">
              <w:t>e</w:t>
            </w:r>
            <w:r>
              <w:t xml:space="preserve"> al Consejo para </w:t>
            </w:r>
            <w:r w:rsidRPr="00695C67">
              <w:rPr>
                <w:b/>
                <w:bCs/>
              </w:rPr>
              <w:t>discusión</w:t>
            </w:r>
            <w:r>
              <w:t>.</w:t>
            </w:r>
          </w:p>
          <w:p w:rsidR="00217DEA" w:rsidRPr="000B0D00" w:rsidRDefault="00217DEA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217DEA" w:rsidRPr="000B0D00" w:rsidRDefault="00217DEA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</w:p>
          <w:p w:rsidR="00217DEA" w:rsidRPr="000B0D00" w:rsidRDefault="00695C67" w:rsidP="006909AD">
            <w:pPr>
              <w:spacing w:after="120"/>
              <w:rPr>
                <w:i/>
                <w:iCs/>
                <w:lang w:val="es-ES"/>
              </w:rPr>
            </w:pPr>
            <w:r w:rsidRPr="00695C67">
              <w:rPr>
                <w:i/>
                <w:iCs/>
              </w:rPr>
              <w:t>Reglamento Financiero y Reglas Financieras de la UIT (2010), Artículo 29.</w:t>
            </w:r>
          </w:p>
        </w:tc>
      </w:tr>
    </w:tbl>
    <w:p w:rsidR="00695C67" w:rsidRPr="00FA17ED" w:rsidRDefault="008F78FA" w:rsidP="00402412">
      <w:pPr>
        <w:pStyle w:val="Headingb"/>
        <w:spacing w:before="480" w:after="120"/>
        <w:rPr>
          <w:sz w:val="28"/>
          <w:szCs w:val="28"/>
        </w:rPr>
      </w:pPr>
      <w:r w:rsidRPr="00FA17ED">
        <w:rPr>
          <w:sz w:val="28"/>
          <w:szCs w:val="28"/>
        </w:rPr>
        <w:t>Introducció</w:t>
      </w:r>
      <w:r w:rsidR="00695C67" w:rsidRPr="00FA17ED">
        <w:rPr>
          <w:sz w:val="28"/>
          <w:szCs w:val="28"/>
        </w:rPr>
        <w:t>n</w:t>
      </w:r>
    </w:p>
    <w:p w:rsidR="00695C67" w:rsidRDefault="00E56318" w:rsidP="00512582">
      <w:r>
        <w:t>1</w:t>
      </w:r>
      <w:r>
        <w:tab/>
      </w:r>
      <w:r w:rsidR="00695C67">
        <w:t xml:space="preserve">Este </w:t>
      </w:r>
      <w:r w:rsidR="00512582">
        <w:t xml:space="preserve">Informe </w:t>
      </w:r>
      <w:r w:rsidR="008F78FA">
        <w:t xml:space="preserve">se transmite al </w:t>
      </w:r>
      <w:r w:rsidR="006909AD">
        <w:t>C</w:t>
      </w:r>
      <w:r w:rsidR="008F78FA">
        <w:t>onsejo y responde al Artículo 29 del Reglamento F</w:t>
      </w:r>
      <w:r w:rsidR="00695C67">
        <w:t xml:space="preserve">inanciero de la UIT (2010). De conformidad con la </w:t>
      </w:r>
      <w:r w:rsidR="008F78FA">
        <w:t>Carta de Auditorí</w:t>
      </w:r>
      <w:r w:rsidR="00695C67">
        <w:t>a Interna</w:t>
      </w:r>
      <w:r w:rsidR="004B0C7D">
        <w:rPr>
          <w:rStyle w:val="FootnoteReference"/>
        </w:rPr>
        <w:footnoteReference w:id="1"/>
      </w:r>
      <w:r w:rsidR="00695C67">
        <w:t xml:space="preserve"> de </w:t>
      </w:r>
      <w:r w:rsidR="008F78FA">
        <w:t xml:space="preserve">la UIT, este </w:t>
      </w:r>
      <w:r w:rsidR="00512582">
        <w:t xml:space="preserve">Informe </w:t>
      </w:r>
      <w:r w:rsidR="008F78FA">
        <w:t>se presentó al Secretario General y al C</w:t>
      </w:r>
      <w:r w:rsidR="00695C67">
        <w:t>omité As</w:t>
      </w:r>
      <w:r w:rsidR="008F78FA">
        <w:t>e</w:t>
      </w:r>
      <w:r w:rsidR="00695C67">
        <w:t>sor</w:t>
      </w:r>
      <w:r w:rsidR="008F78FA">
        <w:t xml:space="preserve"> Independiente sobre la Gestió</w:t>
      </w:r>
      <w:r w:rsidR="00695C67">
        <w:t xml:space="preserve">n </w:t>
      </w:r>
      <w:r w:rsidR="008F78FA">
        <w:t>(</w:t>
      </w:r>
      <w:r w:rsidR="00695C67">
        <w:t>C</w:t>
      </w:r>
      <w:r w:rsidR="008F78FA">
        <w:t>AIG</w:t>
      </w:r>
      <w:r w:rsidR="00695C67">
        <w:t>) antes</w:t>
      </w:r>
      <w:r w:rsidR="008F78FA">
        <w:t xml:space="preserve"> de someterlo y presentarlo al C</w:t>
      </w:r>
      <w:r w:rsidR="00695C67">
        <w:t xml:space="preserve">onsejo para su discusión. El actual </w:t>
      </w:r>
      <w:r w:rsidR="00512582">
        <w:t xml:space="preserve">Informe </w:t>
      </w:r>
      <w:r w:rsidR="00695C67">
        <w:t>se refiere a actividades reali</w:t>
      </w:r>
      <w:r w:rsidR="008F78FA">
        <w:t>za</w:t>
      </w:r>
      <w:r w:rsidR="00695C67">
        <w:t>das durant</w:t>
      </w:r>
      <w:r w:rsidR="008F78FA">
        <w:t>e</w:t>
      </w:r>
      <w:r w:rsidR="00695C67">
        <w:t xml:space="preserve"> el periodo comprendido entre abril de 2013 y febrero de 2014.</w:t>
      </w:r>
    </w:p>
    <w:p w:rsidR="00695C67" w:rsidRDefault="00E56318" w:rsidP="00E56318">
      <w:r>
        <w:t>2</w:t>
      </w:r>
      <w:r>
        <w:tab/>
        <w:t>La Unidad de Auditoría Interna está</w:t>
      </w:r>
      <w:r w:rsidR="00695C67">
        <w:t xml:space="preserve"> compuesta por do</w:t>
      </w:r>
      <w:r>
        <w:t>s funcionarios de categoría</w:t>
      </w:r>
      <w:r w:rsidR="00695C67">
        <w:t xml:space="preserve"> profesional, un P</w:t>
      </w:r>
      <w:r w:rsidR="006909AD">
        <w:t>.</w:t>
      </w:r>
      <w:r w:rsidR="00695C67">
        <w:t>5 (Jefe</w:t>
      </w:r>
      <w:r>
        <w:t xml:space="preserve"> de le Unidad) y un P</w:t>
      </w:r>
      <w:r w:rsidR="00512582">
        <w:t>.</w:t>
      </w:r>
      <w:r>
        <w:t>3 (Audior I</w:t>
      </w:r>
      <w:r w:rsidR="00695C67">
        <w:t>nterno),</w:t>
      </w:r>
      <w:r>
        <w:t xml:space="preserve"> así</w:t>
      </w:r>
      <w:r w:rsidR="00695C67">
        <w:t xml:space="preserve"> como por un funcionario de ser</w:t>
      </w:r>
      <w:r w:rsidR="006909AD">
        <w:t>vicios generales (a</w:t>
      </w:r>
      <w:r>
        <w:t>sistente de A</w:t>
      </w:r>
      <w:r w:rsidR="00695C67">
        <w:t>uditor).</w:t>
      </w:r>
    </w:p>
    <w:p w:rsidR="00695C67" w:rsidRPr="000919CD" w:rsidRDefault="00E56318" w:rsidP="00476DD2">
      <w:pPr>
        <w:pStyle w:val="Headingb"/>
        <w:spacing w:after="120"/>
        <w:rPr>
          <w:sz w:val="28"/>
          <w:szCs w:val="28"/>
        </w:rPr>
      </w:pPr>
      <w:r w:rsidRPr="000919CD">
        <w:rPr>
          <w:sz w:val="28"/>
          <w:szCs w:val="28"/>
        </w:rPr>
        <w:t>Orientació</w:t>
      </w:r>
      <w:r w:rsidR="00695C67" w:rsidRPr="000919CD">
        <w:rPr>
          <w:sz w:val="28"/>
          <w:szCs w:val="28"/>
        </w:rPr>
        <w:t>n y á</w:t>
      </w:r>
      <w:r w:rsidRPr="000919CD">
        <w:rPr>
          <w:sz w:val="28"/>
          <w:szCs w:val="28"/>
        </w:rPr>
        <w:t>mbito de las actividades de auditorí</w:t>
      </w:r>
      <w:r w:rsidR="00695C67" w:rsidRPr="000919CD">
        <w:rPr>
          <w:sz w:val="28"/>
          <w:szCs w:val="28"/>
        </w:rPr>
        <w:t>a i</w:t>
      </w:r>
      <w:r w:rsidRPr="000919CD">
        <w:rPr>
          <w:sz w:val="28"/>
          <w:szCs w:val="28"/>
        </w:rPr>
        <w:t>n</w:t>
      </w:r>
      <w:r w:rsidR="00695C67" w:rsidRPr="000919CD">
        <w:rPr>
          <w:sz w:val="28"/>
          <w:szCs w:val="28"/>
        </w:rPr>
        <w:t>terna</w:t>
      </w:r>
    </w:p>
    <w:p w:rsidR="00695C67" w:rsidRDefault="00E56318" w:rsidP="00512582">
      <w:r>
        <w:t>3</w:t>
      </w:r>
      <w:r>
        <w:tab/>
      </w:r>
      <w:r w:rsidR="00695C67">
        <w:t>La orientació</w:t>
      </w:r>
      <w:r w:rsidR="006C6799">
        <w:t>n de las actividades de auditorí</w:t>
      </w:r>
      <w:r w:rsidR="00695C67">
        <w:t>a se dirige principalmente a</w:t>
      </w:r>
      <w:r w:rsidR="006C6799">
        <w:t xml:space="preserve"> las</w:t>
      </w:r>
      <w:r w:rsidR="00695C67">
        <w:t xml:space="preserve"> áreas de </w:t>
      </w:r>
      <w:r w:rsidR="006C6799">
        <w:t>misión de auditoría</w:t>
      </w:r>
      <w:r w:rsidR="00695C67">
        <w:t xml:space="preserve"> de seguro</w:t>
      </w:r>
      <w:r w:rsidR="006C6799">
        <w:t>s</w:t>
      </w:r>
      <w:r w:rsidR="00695C67">
        <w:t xml:space="preserve"> y/o aud</w:t>
      </w:r>
      <w:r w:rsidR="006C6799">
        <w:t>itorías de rendimiento. Tambié</w:t>
      </w:r>
      <w:r w:rsidR="00695C67">
        <w:t>n</w:t>
      </w:r>
      <w:r w:rsidR="006C6799">
        <w:t xml:space="preserve"> se ha llevado a cabo consultorí</w:t>
      </w:r>
      <w:r w:rsidR="00695C67">
        <w:t>a interna ad hoc. El ámbito engloba el exam</w:t>
      </w:r>
      <w:r w:rsidR="006C6799">
        <w:t>en de documentos y estructuras/cartas</w:t>
      </w:r>
      <w:r w:rsidR="00695C67">
        <w:t>, el análisis de las actividades realizadas, una evaluaci</w:t>
      </w:r>
      <w:r w:rsidR="006C6799">
        <w:t>ón de los procesos y procedimien</w:t>
      </w:r>
      <w:r w:rsidR="00695C67">
        <w:t>t</w:t>
      </w:r>
      <w:r w:rsidR="006C6799">
        <w:t>o</w:t>
      </w:r>
      <w:r w:rsidR="00695C67">
        <w:t>s conexos y una e</w:t>
      </w:r>
      <w:r w:rsidR="006C6799">
        <w:t>valuació</w:t>
      </w:r>
      <w:r w:rsidR="00695C67">
        <w:t xml:space="preserve">n </w:t>
      </w:r>
      <w:r w:rsidR="00695C67">
        <w:lastRenderedPageBreak/>
        <w:t>del cumplimiento. To</w:t>
      </w:r>
      <w:r w:rsidR="006C6799">
        <w:t>d</w:t>
      </w:r>
      <w:r w:rsidR="00695C67">
        <w:t>a</w:t>
      </w:r>
      <w:r w:rsidR="006C6799">
        <w:t>s las auditorí</w:t>
      </w:r>
      <w:r w:rsidR="00695C67">
        <w:t>as planificadas y emprendidas se concluyeron a tiempo, con la publicación de inform</w:t>
      </w:r>
      <w:r w:rsidR="006C6799">
        <w:t>es finales que incluyen comentarios de los gest</w:t>
      </w:r>
      <w:r w:rsidR="00695C67">
        <w:t>ores correspondientes.</w:t>
      </w:r>
    </w:p>
    <w:p w:rsidR="00695C67" w:rsidRDefault="005558CA" w:rsidP="00512582">
      <w:r>
        <w:t>4</w:t>
      </w:r>
      <w:r>
        <w:tab/>
        <w:t>La Auditorí</w:t>
      </w:r>
      <w:r w:rsidR="00695C67">
        <w:t xml:space="preserve">a Interna confirma que </w:t>
      </w:r>
      <w:r>
        <w:t>lleva a cab</w:t>
      </w:r>
      <w:r w:rsidR="00695C67">
        <w:t>o sus au</w:t>
      </w:r>
      <w:r>
        <w:t>ditorías de conformidad con las Normas Internacionales para la Práctica Profesi</w:t>
      </w:r>
      <w:r w:rsidR="00695C67">
        <w:t xml:space="preserve">onal de </w:t>
      </w:r>
      <w:r>
        <w:t>Auditoría Interna y el Código Ético es</w:t>
      </w:r>
      <w:r w:rsidR="00695C67">
        <w:t>tabl</w:t>
      </w:r>
      <w:r>
        <w:t>e</w:t>
      </w:r>
      <w:r w:rsidR="00695C67">
        <w:t>cidos por e</w:t>
      </w:r>
      <w:r>
        <w:t>l Instituto de Auditores Intern</w:t>
      </w:r>
      <w:r w:rsidR="00695C67">
        <w:t>os</w:t>
      </w:r>
      <w:r w:rsidR="006F24A7">
        <w:rPr>
          <w:rStyle w:val="FootnoteReference"/>
        </w:rPr>
        <w:footnoteReference w:id="2"/>
      </w:r>
      <w:r w:rsidR="00D0643B">
        <w:t>, así</w:t>
      </w:r>
      <w:r w:rsidR="00695C67">
        <w:t xml:space="preserve"> como la</w:t>
      </w:r>
      <w:r w:rsidR="00E53029">
        <w:t>s disposiciones de la C</w:t>
      </w:r>
      <w:r w:rsidR="00D0643B">
        <w:t>arta de Auditorí</w:t>
      </w:r>
      <w:r w:rsidR="00695C67">
        <w:t>a Interna</w:t>
      </w:r>
      <w:r w:rsidR="00E53029">
        <w:rPr>
          <w:rStyle w:val="FootnoteReference"/>
        </w:rPr>
        <w:footnoteReference w:id="3"/>
      </w:r>
      <w:r w:rsidR="00695C67">
        <w:t xml:space="preserve"> de la UIT. Además, l</w:t>
      </w:r>
      <w:r w:rsidR="00D0643B">
        <w:t>a Auditorí</w:t>
      </w:r>
      <w:r w:rsidR="00695C67">
        <w:t xml:space="preserve">a Interna confirma que </w:t>
      </w:r>
      <w:r w:rsidR="00D0643B">
        <w:t>durante</w:t>
      </w:r>
      <w:r w:rsidR="00695C67">
        <w:t xml:space="preserve"> el periodo auditado su personal no t</w:t>
      </w:r>
      <w:r w:rsidR="00D0643B">
        <w:t>uvo</w:t>
      </w:r>
      <w:r w:rsidR="00695C67">
        <w:t xml:space="preserve"> autoridad de gestión ni responsabilidad sobre ninguna de las actividades auditada</w:t>
      </w:r>
      <w:r w:rsidR="00D0643B">
        <w:t>s</w:t>
      </w:r>
      <w:r w:rsidR="00695C67">
        <w:t xml:space="preserve"> y </w:t>
      </w:r>
      <w:r w:rsidR="00D0643B">
        <w:t>n</w:t>
      </w:r>
      <w:r w:rsidR="00695C67">
        <w:t xml:space="preserve">o </w:t>
      </w:r>
      <w:r w:rsidR="00D0643B">
        <w:t>realizó</w:t>
      </w:r>
      <w:r w:rsidR="00695C67">
        <w:t xml:space="preserve"> funciones de co</w:t>
      </w:r>
      <w:r w:rsidR="000B1471">
        <w:t>ntabilidad u operacionales en la</w:t>
      </w:r>
      <w:r w:rsidR="00695C67">
        <w:t xml:space="preserve"> UIT.</w:t>
      </w:r>
    </w:p>
    <w:p w:rsidR="00695C67" w:rsidRPr="00FA42E4" w:rsidRDefault="00E53029" w:rsidP="00476DD2">
      <w:pPr>
        <w:pStyle w:val="Headingb"/>
        <w:spacing w:after="120"/>
        <w:rPr>
          <w:b w:val="0"/>
          <w:bCs/>
          <w:sz w:val="28"/>
          <w:szCs w:val="28"/>
        </w:rPr>
      </w:pPr>
      <w:r w:rsidRPr="00476DD2">
        <w:rPr>
          <w:sz w:val="28"/>
          <w:szCs w:val="28"/>
        </w:rPr>
        <w:t>Misiones de auditoría de seguros</w:t>
      </w:r>
    </w:p>
    <w:p w:rsidR="00695C67" w:rsidRDefault="00E53029" w:rsidP="00512582">
      <w:r>
        <w:t>5</w:t>
      </w:r>
      <w:r>
        <w:tab/>
      </w:r>
      <w:r w:rsidR="00695C67">
        <w:t xml:space="preserve">Los </w:t>
      </w:r>
      <w:r>
        <w:t>objetivos de la misión de auditorí</w:t>
      </w:r>
      <w:r w:rsidR="00695C67">
        <w:t>a de seguro</w:t>
      </w:r>
      <w:r>
        <w:t>s</w:t>
      </w:r>
      <w:r w:rsidR="00695C67">
        <w:t xml:space="preserve"> eran evaluar los con</w:t>
      </w:r>
      <w:r>
        <w:t>troles internos implantados, exa</w:t>
      </w:r>
      <w:r w:rsidR="00695C67">
        <w:t>minar la pertinencia de los regl</w:t>
      </w:r>
      <w:r>
        <w:t>a</w:t>
      </w:r>
      <w:r w:rsidR="00695C67">
        <w:t>mentos y reglas aplicados, verificar el cumplimiento de las transacciones seleccionadas con</w:t>
      </w:r>
      <w:r>
        <w:t xml:space="preserve"> las</w:t>
      </w:r>
      <w:r w:rsidR="00695C67">
        <w:t xml:space="preserve"> políticas y procedimie</w:t>
      </w:r>
      <w:r>
        <w:t>n</w:t>
      </w:r>
      <w:r w:rsidR="00695C67">
        <w:t>t</w:t>
      </w:r>
      <w:r>
        <w:t>o</w:t>
      </w:r>
      <w:r w:rsidR="00695C67">
        <w:t xml:space="preserve">s aplicables y determinar si las actividades examinadas concordaban </w:t>
      </w:r>
      <w:r>
        <w:t>con los principios de utilizació</w:t>
      </w:r>
      <w:r w:rsidR="00695C67">
        <w:t>n eficiente, efectiva y econ</w:t>
      </w:r>
      <w:r>
        <w:t>ómica de los recursos de la Unió</w:t>
      </w:r>
      <w:r w:rsidR="00695C67">
        <w:t>n. La pri</w:t>
      </w:r>
      <w:r>
        <w:t>or</w:t>
      </w:r>
      <w:r w:rsidR="00D828B9">
        <w:t>idad de las R</w:t>
      </w:r>
      <w:r w:rsidR="00695C67">
        <w:t>ecomendaciones resulta</w:t>
      </w:r>
      <w:r>
        <w:t>ntes de los trabajos de auditorí</w:t>
      </w:r>
      <w:r w:rsidR="00695C67">
        <w:t>a se clasifica de acuer</w:t>
      </w:r>
      <w:r>
        <w:t>d</w:t>
      </w:r>
      <w:r w:rsidR="00695C67">
        <w:t>o con la repercusión y la pro</w:t>
      </w:r>
      <w:r w:rsidR="00A950A8">
        <w:t>babilidad de la deficiencia (crí</w:t>
      </w:r>
      <w:r w:rsidR="00695C67">
        <w:t>tica, alta, media, baja).</w:t>
      </w:r>
    </w:p>
    <w:p w:rsidR="00695C67" w:rsidRDefault="0019256B" w:rsidP="00512582">
      <w:r>
        <w:t>6</w:t>
      </w:r>
      <w:r>
        <w:tab/>
        <w:t>La Auditorí</w:t>
      </w:r>
      <w:r w:rsidR="00695C67">
        <w:t>a Interna comparte sistemáticamente copias de</w:t>
      </w:r>
      <w:r>
        <w:t xml:space="preserve"> los informes de auditoría interna con el Auditor Externo de la UIT y el Comité Asesor I</w:t>
      </w:r>
      <w:r w:rsidR="00695C67">
        <w:t>ndependiente sobre</w:t>
      </w:r>
      <w:r>
        <w:t xml:space="preserve"> la Gestió</w:t>
      </w:r>
      <w:r w:rsidR="003C5D82">
        <w:t>n (CAIG</w:t>
      </w:r>
      <w:r w:rsidR="00695C67">
        <w:t>). De</w:t>
      </w:r>
      <w:r w:rsidR="003C5D82">
        <w:t xml:space="preserve"> conformidad con el Reglamento F</w:t>
      </w:r>
      <w:r w:rsidR="00695C67">
        <w:t>inanciero de la UIT (Art. 29</w:t>
      </w:r>
      <w:r w:rsidR="003C5D82">
        <w:t>,</w:t>
      </w:r>
      <w:r w:rsidR="005F59F4">
        <w:t xml:space="preserve"> </w:t>
      </w:r>
      <w:r w:rsidR="00695C67">
        <w:t xml:space="preserve">punto 5) previa solicitud por escrito </w:t>
      </w:r>
      <w:r w:rsidR="003C5D82">
        <w:t>al Se</w:t>
      </w:r>
      <w:r w:rsidR="006909AD">
        <w:t>cretario General, los Informes F</w:t>
      </w:r>
      <w:r w:rsidR="003C5D82">
        <w:t>inales de auditorí</w:t>
      </w:r>
      <w:r w:rsidR="00695C67">
        <w:t>a interna pueden ponerse a disposición de los Estados Miembros o de sus representantes designados. Durante el periodo de que se trata no se recibió ninguna solicitud al respecto.</w:t>
      </w:r>
    </w:p>
    <w:p w:rsidR="00695C67" w:rsidRDefault="003C5D82" w:rsidP="00512582">
      <w:r>
        <w:t>7</w:t>
      </w:r>
      <w:r>
        <w:tab/>
        <w:t>L</w:t>
      </w:r>
      <w:r w:rsidR="00695C67">
        <w:t>os result</w:t>
      </w:r>
      <w:r>
        <w:t>ados de los trabajos de auditorí</w:t>
      </w:r>
      <w:r w:rsidR="00695C67">
        <w:t>a en el periodo del informe indicaron que los controles, las políticas y los procedimientos internos se estableci</w:t>
      </w:r>
      <w:r>
        <w:t>eron y funcionaron adecuadamente de</w:t>
      </w:r>
      <w:r w:rsidR="00695C67">
        <w:t xml:space="preserve"> manera general</w:t>
      </w:r>
      <w:r>
        <w:t>,</w:t>
      </w:r>
      <w:r w:rsidR="00695C67">
        <w:t xml:space="preserve"> pero necesitaron una mejora en ciertas áreas. Se van a aplicar las Recomendaciones hechas a la gestión con el apoyo del Sec</w:t>
      </w:r>
      <w:r>
        <w:t>retario General y ello reforzará</w:t>
      </w:r>
      <w:r w:rsidR="006909AD">
        <w:t xml:space="preserve"> a la </w:t>
      </w:r>
      <w:r w:rsidR="00695C67">
        <w:t>UIT para el cumpli</w:t>
      </w:r>
      <w:r>
        <w:t>m</w:t>
      </w:r>
      <w:r w:rsidR="00695C67">
        <w:t xml:space="preserve">iento </w:t>
      </w:r>
      <w:r>
        <w:t>d</w:t>
      </w:r>
      <w:r w:rsidR="00695C67">
        <w:t>e su mandato.</w:t>
      </w:r>
    </w:p>
    <w:p w:rsidR="00695C67" w:rsidRDefault="00695C67" w:rsidP="0052353A">
      <w:pPr>
        <w:spacing w:before="0" w:after="120"/>
      </w:pPr>
      <w:r>
        <w:t>Se han llevado a cabo las siguientes misione</w:t>
      </w:r>
      <w:r w:rsidR="00247702">
        <w:t>s de auditoría de seguros:</w:t>
      </w:r>
    </w:p>
    <w:p w:rsidR="00695C67" w:rsidRPr="009051F1" w:rsidRDefault="000F763B" w:rsidP="00512582">
      <w:pPr>
        <w:pStyle w:val="Heading1"/>
        <w:spacing w:before="240"/>
        <w:rPr>
          <w:sz w:val="24"/>
          <w:szCs w:val="24"/>
        </w:rPr>
      </w:pPr>
      <w:r w:rsidRPr="009051F1">
        <w:rPr>
          <w:sz w:val="24"/>
          <w:szCs w:val="24"/>
        </w:rPr>
        <w:t>A</w:t>
      </w:r>
      <w:r w:rsidRPr="009051F1">
        <w:rPr>
          <w:sz w:val="24"/>
          <w:szCs w:val="24"/>
        </w:rPr>
        <w:tab/>
      </w:r>
      <w:r w:rsidR="00247702" w:rsidRPr="009051F1">
        <w:rPr>
          <w:sz w:val="24"/>
          <w:szCs w:val="24"/>
        </w:rPr>
        <w:t>Auditoría de las Oficinas R</w:t>
      </w:r>
      <w:r w:rsidR="00695C67" w:rsidRPr="009051F1">
        <w:rPr>
          <w:sz w:val="24"/>
          <w:szCs w:val="24"/>
        </w:rPr>
        <w:t xml:space="preserve">egionales (ASP RO/BKK) y de </w:t>
      </w:r>
      <w:r w:rsidR="00247702" w:rsidRPr="009051F1">
        <w:rPr>
          <w:sz w:val="24"/>
          <w:szCs w:val="24"/>
        </w:rPr>
        <w:t>Zona</w:t>
      </w:r>
      <w:r w:rsidR="00695C67" w:rsidRPr="009051F1">
        <w:rPr>
          <w:sz w:val="24"/>
          <w:szCs w:val="24"/>
        </w:rPr>
        <w:t xml:space="preserve"> (ASP AO/JKT)</w:t>
      </w:r>
      <w:r w:rsidR="006909AD" w:rsidRPr="009051F1">
        <w:rPr>
          <w:sz w:val="24"/>
          <w:szCs w:val="24"/>
        </w:rPr>
        <w:t xml:space="preserve"> de la R</w:t>
      </w:r>
      <w:r w:rsidR="00247702" w:rsidRPr="009051F1">
        <w:rPr>
          <w:sz w:val="24"/>
          <w:szCs w:val="24"/>
        </w:rPr>
        <w:t>egión Asia-Pacífico</w:t>
      </w:r>
    </w:p>
    <w:p w:rsidR="00695C67" w:rsidRDefault="00247702" w:rsidP="00512582">
      <w:r>
        <w:t>8</w:t>
      </w:r>
      <w:r>
        <w:tab/>
        <w:t>E</w:t>
      </w:r>
      <w:r w:rsidR="00695C67">
        <w:t xml:space="preserve">l </w:t>
      </w:r>
      <w:r w:rsidR="00695C67" w:rsidRPr="00247702">
        <w:rPr>
          <w:u w:val="single"/>
        </w:rPr>
        <w:t>ám</w:t>
      </w:r>
      <w:bookmarkStart w:id="9" w:name="_GoBack"/>
      <w:bookmarkEnd w:id="9"/>
      <w:r w:rsidR="00695C67" w:rsidRPr="00247702">
        <w:rPr>
          <w:u w:val="single"/>
        </w:rPr>
        <w:t>bito</w:t>
      </w:r>
      <w:r>
        <w:t xml:space="preserve"> de la auditorí</w:t>
      </w:r>
      <w:r w:rsidR="00695C67">
        <w:t xml:space="preserve">a engloba </w:t>
      </w:r>
      <w:r>
        <w:t>el examen de los acuerdos con el</w:t>
      </w:r>
      <w:r w:rsidR="00695C67">
        <w:t xml:space="preserve"> país anfitrión y de la </w:t>
      </w:r>
      <w:r>
        <w:t>estructura organizativa de las O</w:t>
      </w:r>
      <w:r w:rsidR="006909AD">
        <w:t>ficinas de la R</w:t>
      </w:r>
      <w:r w:rsidR="00695C67">
        <w:t>egión ASP, el análisis de las act</w:t>
      </w:r>
      <w:r w:rsidR="008C1C48">
        <w:t>ividades llevadas a cabo por dichas O</w:t>
      </w:r>
      <w:r w:rsidR="00695C67">
        <w:t xml:space="preserve">ficinas, una evaluación de los procesos y procedimientos conexos para optimizarlos y simplificarlos y la evaluación del cumplimiento de las </w:t>
      </w:r>
      <w:r w:rsidR="008C1C48">
        <w:t>prácticas de las O</w:t>
      </w:r>
      <w:r w:rsidR="00695C67">
        <w:t>ficinas de ASP con las regulaciones de seguridad del pers</w:t>
      </w:r>
      <w:r w:rsidR="008C1C48">
        <w:t>onal. El periodo de tiempo cubi</w:t>
      </w:r>
      <w:r w:rsidR="00695C67">
        <w:t>erto fue de 2009 a parte de 2012. Aunque la may</w:t>
      </w:r>
      <w:r w:rsidR="008C1C48">
        <w:t>oría de los trabajos de auditorí</w:t>
      </w:r>
      <w:r w:rsidR="00695C67">
        <w:t xml:space="preserve">a se </w:t>
      </w:r>
      <w:r w:rsidR="008C1C48">
        <w:t xml:space="preserve">realizaron en y desde </w:t>
      </w:r>
      <w:r w:rsidR="00695C67">
        <w:t>la</w:t>
      </w:r>
      <w:r w:rsidR="008C1C48">
        <w:t xml:space="preserve"> S</w:t>
      </w:r>
      <w:r w:rsidR="00695C67">
        <w:t xml:space="preserve">ede de la UIT, </w:t>
      </w:r>
      <w:r w:rsidR="008C1C48">
        <w:t>donde se encuentran</w:t>
      </w:r>
      <w:r w:rsidR="00695C67">
        <w:t xml:space="preserve"> la mayoría de l</w:t>
      </w:r>
      <w:r w:rsidR="008C1C48">
        <w:t>os documentos administrativos, la A</w:t>
      </w:r>
      <w:r w:rsidR="00695C67">
        <w:t>udito</w:t>
      </w:r>
      <w:r w:rsidR="008C1C48">
        <w:t>ría Interna cursó una visita a la Oficina de Z</w:t>
      </w:r>
      <w:r w:rsidR="00695C67">
        <w:t xml:space="preserve">ona ASP/AO/JKT en Yakarta, del 12 al </w:t>
      </w:r>
      <w:r w:rsidR="008C1C48">
        <w:t>14 de diciembre de 2012 y a la Oficina R</w:t>
      </w:r>
      <w:r w:rsidR="00695C67">
        <w:t>egional ASP/RO/BKK de Bangkok del 17 al</w:t>
      </w:r>
      <w:r w:rsidR="008C1552">
        <w:t xml:space="preserve"> 20 de diciembre de 2012. En 2013 finalizaron l</w:t>
      </w:r>
      <w:r w:rsidR="00695C67">
        <w:t>o</w:t>
      </w:r>
      <w:r w:rsidR="008C1552">
        <w:t>s trabajos de auditorí</w:t>
      </w:r>
      <w:r w:rsidR="00695C67">
        <w:t>a.</w:t>
      </w:r>
    </w:p>
    <w:p w:rsidR="00695C67" w:rsidRDefault="008E7E76" w:rsidP="00FA42E4">
      <w:pPr>
        <w:spacing w:before="0" w:after="120"/>
      </w:pPr>
      <w:r>
        <w:lastRenderedPageBreak/>
        <w:t>9</w:t>
      </w:r>
      <w:r>
        <w:tab/>
        <w:t>Los temas má</w:t>
      </w:r>
      <w:r w:rsidR="00695C67">
        <w:t>s</w:t>
      </w:r>
      <w:r>
        <w:t xml:space="preserve"> importantes directamente re</w:t>
      </w:r>
      <w:r w:rsidR="00695C67">
        <w:t>l</w:t>
      </w:r>
      <w:r>
        <w:t>a</w:t>
      </w:r>
      <w:r w:rsidR="00B927AE">
        <w:t>ciona</w:t>
      </w:r>
      <w:r w:rsidR="00695C67">
        <w:t>dos con la regi</w:t>
      </w:r>
      <w:r>
        <w:t>ón ASP abordados por la Auditorí</w:t>
      </w:r>
      <w:r w:rsidR="00695C67">
        <w:t>a Interna son:</w:t>
      </w:r>
    </w:p>
    <w:p w:rsidR="00695C67" w:rsidRPr="00512582" w:rsidRDefault="00512582" w:rsidP="00512582">
      <w:pPr>
        <w:pStyle w:val="enumlev1"/>
        <w:rPr>
          <w:u w:val="single"/>
        </w:rPr>
      </w:pPr>
      <w:r>
        <w:t>•</w:t>
      </w:r>
      <w:r>
        <w:tab/>
      </w:r>
      <w:r w:rsidR="00695C67" w:rsidRPr="00512582">
        <w:rPr>
          <w:u w:val="single"/>
        </w:rPr>
        <w:t>Seguros</w:t>
      </w:r>
    </w:p>
    <w:p w:rsidR="00695C67" w:rsidRDefault="00512582" w:rsidP="00512582">
      <w:pPr>
        <w:pStyle w:val="enumlev1"/>
      </w:pPr>
      <w:r>
        <w:tab/>
      </w:r>
      <w:r w:rsidR="008E7E76">
        <w:t>La Auditorí</w:t>
      </w:r>
      <w:r w:rsidR="00695C67">
        <w:t>a Interna recomendó proporcionar la adecuada cobertura de seguro para el personal y las instal</w:t>
      </w:r>
      <w:r w:rsidR="00826D6F">
        <w:t>a</w:t>
      </w:r>
      <w:r w:rsidR="00695C67">
        <w:t xml:space="preserve">ciones de ASP, incluida la responsabilidad civil </w:t>
      </w:r>
      <w:r w:rsidR="008E7E76">
        <w:t>a terceros</w:t>
      </w:r>
      <w:r w:rsidR="00695C67">
        <w:t xml:space="preserve"> y el incendio/robo/daños de las oficinas y activos (</w:t>
      </w:r>
      <w:r w:rsidR="008E7E76">
        <w:t>en caso de que no estén cubierto</w:t>
      </w:r>
      <w:r w:rsidR="00695C67">
        <w:t xml:space="preserve">s por los seguros de la organización anfitriona); </w:t>
      </w:r>
    </w:p>
    <w:p w:rsidR="00695C67" w:rsidRPr="008E7E76" w:rsidRDefault="00512582" w:rsidP="00512582">
      <w:pPr>
        <w:pStyle w:val="enumlev1"/>
      </w:pPr>
      <w:r>
        <w:t>•</w:t>
      </w:r>
      <w:r>
        <w:tab/>
      </w:r>
      <w:r w:rsidR="00695C67" w:rsidRPr="00512582">
        <w:rPr>
          <w:u w:val="single"/>
        </w:rPr>
        <w:t>Acuerdos bancarios</w:t>
      </w:r>
    </w:p>
    <w:p w:rsidR="00695C67" w:rsidRDefault="00512582" w:rsidP="00512582">
      <w:pPr>
        <w:pStyle w:val="enumlev1"/>
      </w:pPr>
      <w:r>
        <w:tab/>
      </w:r>
      <w:r w:rsidR="008E7E76">
        <w:t>La Auditorí</w:t>
      </w:r>
      <w:r w:rsidR="00695C67">
        <w:t>a Interna recomendó que el personal de categoría profesional de</w:t>
      </w:r>
      <w:r w:rsidR="008E7E76">
        <w:t xml:space="preserve"> ASP RO/BKK y</w:t>
      </w:r>
      <w:r w:rsidR="00695C67">
        <w:t>/o de ASP AO/JKT se incluya e</w:t>
      </w:r>
      <w:r w:rsidR="008E7E76">
        <w:t>n las listas de signatarios designados por</w:t>
      </w:r>
      <w:r w:rsidR="00AC03FF">
        <w:t xml:space="preserve"> el</w:t>
      </w:r>
      <w:r w:rsidR="008E7E76">
        <w:t xml:space="preserve"> ban</w:t>
      </w:r>
      <w:r w:rsidR="00695C67">
        <w:t>co para cualquier instrucción de pago en efectivo por una cantidad superior a 5 000 CHF (a fin de</w:t>
      </w:r>
      <w:r w:rsidR="008E7E76">
        <w:t xml:space="preserve"> cumplir lo dispuesto en el Artículo 16.1.2) de</w:t>
      </w:r>
      <w:r w:rsidR="00AC03FF">
        <w:t>l</w:t>
      </w:r>
      <w:r w:rsidR="008E7E76">
        <w:t xml:space="preserve"> Reglamento F</w:t>
      </w:r>
      <w:r w:rsidR="00695C67">
        <w:t xml:space="preserve">inanciero y las </w:t>
      </w:r>
      <w:r w:rsidR="008E7E76">
        <w:t>Reglas F</w:t>
      </w:r>
      <w:r w:rsidR="00695C67">
        <w:t>inancieras de la UIT);</w:t>
      </w:r>
    </w:p>
    <w:p w:rsidR="00E85B20" w:rsidRDefault="00695C67" w:rsidP="00512582">
      <w:r>
        <w:t>La BDT y el De</w:t>
      </w:r>
      <w:r w:rsidR="00AB2C2F">
        <w:t>partamento de Gestión de Recursos F</w:t>
      </w:r>
      <w:r>
        <w:t>inancieros abordaron</w:t>
      </w:r>
      <w:r w:rsidR="00AB2C2F">
        <w:t xml:space="preserve"> estos temas suscribiendo las pó</w:t>
      </w:r>
      <w:r>
        <w:t>li</w:t>
      </w:r>
      <w:r w:rsidR="00AB2C2F">
        <w:t>z</w:t>
      </w:r>
      <w:r>
        <w:t>as de seguro necesarias y revisando los acuerd</w:t>
      </w:r>
      <w:r w:rsidR="00AB2C2F">
        <w:t>os con el banco para todas las Oficinas Regionales y de Z</w:t>
      </w:r>
      <w:r>
        <w:t>ona.</w:t>
      </w:r>
    </w:p>
    <w:p w:rsidR="00695C67" w:rsidRPr="009051F1" w:rsidRDefault="00E85B20" w:rsidP="00512582">
      <w:pPr>
        <w:pStyle w:val="Heading1"/>
        <w:spacing w:before="240"/>
        <w:rPr>
          <w:bCs/>
          <w:sz w:val="24"/>
          <w:szCs w:val="24"/>
        </w:rPr>
      </w:pPr>
      <w:r w:rsidRPr="009051F1">
        <w:rPr>
          <w:sz w:val="24"/>
          <w:szCs w:val="24"/>
        </w:rPr>
        <w:t>B</w:t>
      </w:r>
      <w:r w:rsidRPr="009051F1">
        <w:rPr>
          <w:sz w:val="24"/>
          <w:szCs w:val="24"/>
        </w:rPr>
        <w:tab/>
      </w:r>
      <w:r w:rsidR="00695C67" w:rsidRPr="009051F1">
        <w:rPr>
          <w:sz w:val="24"/>
          <w:szCs w:val="24"/>
        </w:rPr>
        <w:t>Audit</w:t>
      </w:r>
      <w:r w:rsidR="00454FF0" w:rsidRPr="009051F1">
        <w:rPr>
          <w:sz w:val="24"/>
          <w:szCs w:val="24"/>
        </w:rPr>
        <w:t>orí</w:t>
      </w:r>
      <w:r w:rsidRPr="009051F1">
        <w:rPr>
          <w:sz w:val="24"/>
          <w:szCs w:val="24"/>
        </w:rPr>
        <w:t>a de la Oficina de Zona de la C</w:t>
      </w:r>
      <w:r w:rsidR="00695C67" w:rsidRPr="009051F1">
        <w:rPr>
          <w:sz w:val="24"/>
          <w:szCs w:val="24"/>
        </w:rPr>
        <w:t>omu</w:t>
      </w:r>
      <w:r w:rsidR="006909AD" w:rsidRPr="009051F1">
        <w:rPr>
          <w:sz w:val="24"/>
          <w:szCs w:val="24"/>
        </w:rPr>
        <w:t>nidad de Estados I</w:t>
      </w:r>
      <w:r w:rsidRPr="009051F1">
        <w:rPr>
          <w:sz w:val="24"/>
          <w:szCs w:val="24"/>
        </w:rPr>
        <w:t>ndependientes (CEI/AO)</w:t>
      </w:r>
    </w:p>
    <w:p w:rsidR="00695C67" w:rsidRDefault="00E85B20" w:rsidP="006D238F">
      <w:pPr>
        <w:spacing w:after="120"/>
      </w:pPr>
      <w:r>
        <w:t>10</w:t>
      </w:r>
      <w:r>
        <w:tab/>
        <w:t>E</w:t>
      </w:r>
      <w:r w:rsidR="00695C67">
        <w:t xml:space="preserve">l </w:t>
      </w:r>
      <w:r w:rsidR="00695C67" w:rsidRPr="00E85B20">
        <w:rPr>
          <w:u w:val="single"/>
        </w:rPr>
        <w:t>ámbito</w:t>
      </w:r>
      <w:r w:rsidR="00CC46D4">
        <w:t xml:space="preserve"> de la auditoría englobó las mismas áreas que las definidas para la auditoría de la O</w:t>
      </w:r>
      <w:r w:rsidR="00695C67">
        <w:t>fic</w:t>
      </w:r>
      <w:r w:rsidR="00CC46D4">
        <w:t>ina R</w:t>
      </w:r>
      <w:r w:rsidR="00695C67">
        <w:t>egi</w:t>
      </w:r>
      <w:r w:rsidR="00CC46D4">
        <w:t>onal y de Z</w:t>
      </w:r>
      <w:r w:rsidR="00695C67">
        <w:t xml:space="preserve">ona ASP. La </w:t>
      </w:r>
      <w:r w:rsidR="00CC46D4">
        <w:t>Auditoría Interna cursó una visita a la O</w:t>
      </w:r>
      <w:r w:rsidR="00695C67">
        <w:t>fic</w:t>
      </w:r>
      <w:r w:rsidR="00CC46D4">
        <w:t>ina de Zona en Moscú</w:t>
      </w:r>
      <w:r w:rsidR="00695C67">
        <w:t xml:space="preserve"> del 27 al 29 de mayo de 2013.</w:t>
      </w:r>
    </w:p>
    <w:p w:rsidR="00695C67" w:rsidRDefault="00E85B20" w:rsidP="002F28C5">
      <w:r>
        <w:t>11</w:t>
      </w:r>
      <w:r>
        <w:tab/>
      </w:r>
      <w:r w:rsidR="006850A9">
        <w:t>La Auditoría Interna detectó</w:t>
      </w:r>
      <w:r w:rsidR="00695C67">
        <w:t xml:space="preserve"> que la presencia de CEI/AO </w:t>
      </w:r>
      <w:r w:rsidR="006850A9">
        <w:t xml:space="preserve">está </w:t>
      </w:r>
      <w:r w:rsidR="00695C67">
        <w:t xml:space="preserve">bien soportada </w:t>
      </w:r>
      <w:r w:rsidR="006850A9">
        <w:t>por un acuerdo só</w:t>
      </w:r>
      <w:r w:rsidR="00695C67">
        <w:t>lido con el país anfitrión y que mucho</w:t>
      </w:r>
      <w:r w:rsidR="00256AA9">
        <w:t>s</w:t>
      </w:r>
      <w:r w:rsidR="00695C67">
        <w:t xml:space="preserve"> procesos funcionan adecuadamente. Sin embargo, la </w:t>
      </w:r>
      <w:r w:rsidR="00D57E69">
        <w:t>a</w:t>
      </w:r>
      <w:r w:rsidR="006850A9">
        <w:t>uditorí</w:t>
      </w:r>
      <w:r w:rsidR="00695C67">
        <w:t>a puso en evidencia temas relativos a l</w:t>
      </w:r>
      <w:r w:rsidR="006850A9">
        <w:t>os seguros y los acuerdos bancarios</w:t>
      </w:r>
      <w:r w:rsidR="00695C67">
        <w:t xml:space="preserve"> y de pagos en efectivo. Con respecto a la gestión de proyectos, la recomendación de invitar a los participantes de</w:t>
      </w:r>
      <w:r w:rsidR="006850A9">
        <w:t xml:space="preserve"> eventos/actividades organizados por la Oficina de Zona a completar Encuestas de S</w:t>
      </w:r>
      <w:r w:rsidR="00695C67">
        <w:t>atisfac</w:t>
      </w:r>
      <w:r w:rsidR="006850A9">
        <w:t>ción del Clien</w:t>
      </w:r>
      <w:r w:rsidR="00695C67">
        <w:t>t</w:t>
      </w:r>
      <w:r w:rsidR="006850A9">
        <w:t>e fue bien recibida por el gest</w:t>
      </w:r>
      <w:r w:rsidR="00695C67">
        <w:t>o</w:t>
      </w:r>
      <w:r w:rsidR="0037029A">
        <w:t>r</w:t>
      </w:r>
      <w:r w:rsidR="00695C67">
        <w:t xml:space="preserve"> correspondiente.</w:t>
      </w:r>
    </w:p>
    <w:p w:rsidR="004E4DCC" w:rsidRDefault="00695C67" w:rsidP="002F28C5">
      <w:pPr>
        <w:spacing w:after="120"/>
      </w:pPr>
      <w:r>
        <w:t>La BDT y e</w:t>
      </w:r>
      <w:r w:rsidR="006850A9">
        <w:t>l Departamento de Gestión de Recursos Financieros aborda</w:t>
      </w:r>
      <w:r>
        <w:t>ron estos temas suscribiendo la</w:t>
      </w:r>
      <w:r w:rsidR="006850A9">
        <w:t>s pó</w:t>
      </w:r>
      <w:r>
        <w:t xml:space="preserve">lizas </w:t>
      </w:r>
      <w:r w:rsidR="006850A9">
        <w:t>de seguro necesarias y revisando</w:t>
      </w:r>
      <w:r>
        <w:t xml:space="preserve"> los acuerdos bancarios y de pagos en efectivo para</w:t>
      </w:r>
      <w:r w:rsidR="004E4DCC">
        <w:t xml:space="preserve"> todas las Oficinas Regionales y de Z</w:t>
      </w:r>
      <w:r>
        <w:t>ona.</w:t>
      </w:r>
    </w:p>
    <w:p w:rsidR="00695C67" w:rsidRPr="009051F1" w:rsidRDefault="000F763B" w:rsidP="00512582">
      <w:pPr>
        <w:pStyle w:val="Heading1"/>
        <w:spacing w:before="240"/>
        <w:rPr>
          <w:sz w:val="24"/>
          <w:szCs w:val="24"/>
        </w:rPr>
      </w:pPr>
      <w:r w:rsidRPr="009051F1">
        <w:rPr>
          <w:sz w:val="24"/>
          <w:szCs w:val="24"/>
        </w:rPr>
        <w:t>C</w:t>
      </w:r>
      <w:r w:rsidR="004E4DCC" w:rsidRPr="009051F1">
        <w:rPr>
          <w:sz w:val="24"/>
          <w:szCs w:val="24"/>
        </w:rPr>
        <w:tab/>
        <w:t>Auditoría de las O</w:t>
      </w:r>
      <w:r w:rsidR="00695C67" w:rsidRPr="009051F1">
        <w:rPr>
          <w:sz w:val="24"/>
          <w:szCs w:val="24"/>
        </w:rPr>
        <w:t>ficinas Regiona</w:t>
      </w:r>
      <w:r w:rsidR="006909AD" w:rsidRPr="009051F1">
        <w:rPr>
          <w:sz w:val="24"/>
          <w:szCs w:val="24"/>
        </w:rPr>
        <w:t>les y de Zona de la R</w:t>
      </w:r>
      <w:r w:rsidR="004E4DCC" w:rsidRPr="009051F1">
        <w:rPr>
          <w:sz w:val="24"/>
          <w:szCs w:val="24"/>
        </w:rPr>
        <w:t>egión de las Amé</w:t>
      </w:r>
      <w:r w:rsidR="00695C67" w:rsidRPr="009051F1">
        <w:rPr>
          <w:sz w:val="24"/>
          <w:szCs w:val="24"/>
        </w:rPr>
        <w:t>ricas</w:t>
      </w:r>
    </w:p>
    <w:p w:rsidR="00695C67" w:rsidRDefault="004E4DCC" w:rsidP="006D238F">
      <w:pPr>
        <w:spacing w:before="240" w:after="120"/>
      </w:pPr>
      <w:r>
        <w:t>12</w:t>
      </w:r>
      <w:r>
        <w:tab/>
        <w:t>E</w:t>
      </w:r>
      <w:r w:rsidR="00695C67">
        <w:t xml:space="preserve">l </w:t>
      </w:r>
      <w:r w:rsidR="00695C67" w:rsidRPr="004E4DCC">
        <w:rPr>
          <w:u w:val="single"/>
        </w:rPr>
        <w:t>ámbito</w:t>
      </w:r>
      <w:r>
        <w:t xml:space="preserve"> de la auditoría englobó</w:t>
      </w:r>
      <w:r w:rsidR="00695C67">
        <w:t xml:space="preserve"> las mimas área</w:t>
      </w:r>
      <w:r>
        <w:t>s que las definidas para la auditorí</w:t>
      </w:r>
      <w:r w:rsidR="00695C67">
        <w:t xml:space="preserve">a de </w:t>
      </w:r>
      <w:r>
        <w:t>las Oficinas de ASP. La Auditoría Interna cursó</w:t>
      </w:r>
      <w:r w:rsidR="00695C67">
        <w:t xml:space="preserve"> las siguientes visitas a las Oficinas de AMS:</w:t>
      </w:r>
    </w:p>
    <w:p w:rsidR="00695C67" w:rsidRDefault="006909AD" w:rsidP="00512582">
      <w:pPr>
        <w:pStyle w:val="enumlev1"/>
      </w:pPr>
      <w:r>
        <w:t>–</w:t>
      </w:r>
      <w:r w:rsidR="00512582">
        <w:tab/>
      </w:r>
      <w:r w:rsidR="00695C67">
        <w:t>AMS/RO/BSB (Brasilia, Brasil), del 3 al 6 de septiembre de 2013;</w:t>
      </w:r>
    </w:p>
    <w:p w:rsidR="00695C67" w:rsidRDefault="006909AD" w:rsidP="00512582">
      <w:pPr>
        <w:pStyle w:val="enumlev1"/>
      </w:pPr>
      <w:r>
        <w:t>–</w:t>
      </w:r>
      <w:r w:rsidR="00512582">
        <w:tab/>
      </w:r>
      <w:r w:rsidR="00695C67">
        <w:t>AMS/AO/STL (Santigo de Chile, Chile), del 9 al 11 de septiembre de 2013;</w:t>
      </w:r>
    </w:p>
    <w:p w:rsidR="00695C67" w:rsidRDefault="006909AD" w:rsidP="00512582">
      <w:pPr>
        <w:pStyle w:val="enumlev1"/>
      </w:pPr>
      <w:r>
        <w:t>–</w:t>
      </w:r>
      <w:r w:rsidR="00512582">
        <w:tab/>
      </w:r>
      <w:r w:rsidR="00A5087D">
        <w:t>AMS/AO/TGU (Tegucigalpa, Hondur</w:t>
      </w:r>
      <w:r w:rsidR="0062128E">
        <w:t xml:space="preserve">as), del 2 al 4 de </w:t>
      </w:r>
      <w:r w:rsidR="00695C67">
        <w:t>o</w:t>
      </w:r>
      <w:r w:rsidR="0062128E">
        <w:t>ct</w:t>
      </w:r>
      <w:r w:rsidR="00695C67">
        <w:t>ubre de 2013;</w:t>
      </w:r>
    </w:p>
    <w:p w:rsidR="00695C67" w:rsidRDefault="006909AD" w:rsidP="00512582">
      <w:pPr>
        <w:pStyle w:val="enumlev1"/>
      </w:pPr>
      <w:r>
        <w:t>–</w:t>
      </w:r>
      <w:r w:rsidR="00512582">
        <w:tab/>
      </w:r>
      <w:r w:rsidR="00695C67">
        <w:t>AM</w:t>
      </w:r>
      <w:r w:rsidR="00A5087D">
        <w:t>S/AO/BG</w:t>
      </w:r>
      <w:r>
        <w:t>I</w:t>
      </w:r>
      <w:r w:rsidR="00695C67">
        <w:t xml:space="preserve"> (Bridgetown, Barbados) del 7 al 9 de octubre de 2013.</w:t>
      </w:r>
    </w:p>
    <w:p w:rsidR="00695C67" w:rsidRDefault="00A5087D" w:rsidP="003C331F">
      <w:r>
        <w:t>13</w:t>
      </w:r>
      <w:r>
        <w:tab/>
        <w:t>La Auditorí</w:t>
      </w:r>
      <w:r w:rsidR="003C331F">
        <w:t>a Interna observó</w:t>
      </w:r>
      <w:r w:rsidR="00695C67">
        <w:t xml:space="preserve"> una seguridad sig</w:t>
      </w:r>
      <w:r w:rsidR="003C331F">
        <w:t>nificativa en relación con la implementació</w:t>
      </w:r>
      <w:r w:rsidR="00695C67">
        <w:t>n general de las medidas y proyectos en la región, inventario</w:t>
      </w:r>
      <w:r w:rsidR="003C331F">
        <w:t>s y activos. Dependiendo de la O</w:t>
      </w:r>
      <w:r w:rsidR="00695C67">
        <w:t>ficina de que se trata hubo</w:t>
      </w:r>
      <w:r w:rsidR="006909AD">
        <w:t>,</w:t>
      </w:r>
      <w:r w:rsidR="00695C67">
        <w:t xml:space="preserve"> sin embargo</w:t>
      </w:r>
      <w:r w:rsidR="00512582">
        <w:t>,</w:t>
      </w:r>
      <w:r w:rsidR="00695C67">
        <w:t xml:space="preserve"> margen de mejora, principalmente en las esferas de la seguridad, la gestión bancaria y de pagos en ef</w:t>
      </w:r>
      <w:r w:rsidR="003C331F">
        <w:t>ectivo (para lo</w:t>
      </w:r>
      <w:r w:rsidR="00695C67">
        <w:t xml:space="preserve"> cual la sede de la UIT, en coordinación con la</w:t>
      </w:r>
      <w:r w:rsidR="003C331F">
        <w:t>s</w:t>
      </w:r>
      <w:r w:rsidR="00695C67">
        <w:t xml:space="preserve"> RO/AO, ya ha aborda</w:t>
      </w:r>
      <w:r w:rsidR="003C331F">
        <w:t>d</w:t>
      </w:r>
      <w:r w:rsidR="00695C67">
        <w:t>o el tema) y la comunicación interna y externa.</w:t>
      </w:r>
    </w:p>
    <w:p w:rsidR="00695C67" w:rsidRDefault="00695C67" w:rsidP="006909AD">
      <w:r>
        <w:lastRenderedPageBreak/>
        <w:t>La</w:t>
      </w:r>
      <w:r w:rsidR="003C331F">
        <w:t xml:space="preserve"> BDT y el Departamento de Gestió</w:t>
      </w:r>
      <w:r>
        <w:t>n d</w:t>
      </w:r>
      <w:r w:rsidR="003C331F">
        <w:t>e Recursos Financieros ya han ab</w:t>
      </w:r>
      <w:r>
        <w:t>ordado</w:t>
      </w:r>
      <w:r w:rsidR="003C331F">
        <w:t xml:space="preserve"> estos temas suscribiendo las pó</w:t>
      </w:r>
      <w:r>
        <w:t>lizas de seguro necesarias y revisando los acu</w:t>
      </w:r>
      <w:r w:rsidR="003C331F">
        <w:t>erdos bancarios para todas las Oficinas Reginales y de Zona. El Jefe de la D</w:t>
      </w:r>
      <w:r>
        <w:t>ivisión de Protocolo y Segurida</w:t>
      </w:r>
      <w:r w:rsidR="003C331F">
        <w:t xml:space="preserve">d de la UIT en la </w:t>
      </w:r>
      <w:r w:rsidR="006909AD">
        <w:t>S</w:t>
      </w:r>
      <w:r w:rsidR="003C331F">
        <w:t>ede de la Un</w:t>
      </w:r>
      <w:r>
        <w:t>i</w:t>
      </w:r>
      <w:r w:rsidR="003C331F">
        <w:t>ón tambié</w:t>
      </w:r>
      <w:r>
        <w:t>n fue informado de las medidas correspondientes.</w:t>
      </w:r>
    </w:p>
    <w:p w:rsidR="00695C67" w:rsidRPr="00512582" w:rsidRDefault="00695C67" w:rsidP="00512582">
      <w:pPr>
        <w:pStyle w:val="Headingb"/>
        <w:spacing w:after="120"/>
        <w:rPr>
          <w:sz w:val="28"/>
          <w:szCs w:val="28"/>
        </w:rPr>
      </w:pPr>
      <w:r w:rsidRPr="00512582">
        <w:rPr>
          <w:sz w:val="28"/>
          <w:szCs w:val="28"/>
        </w:rPr>
        <w:t>Seguimiento</w:t>
      </w:r>
      <w:r w:rsidR="005B5989" w:rsidRPr="00512582">
        <w:rPr>
          <w:sz w:val="28"/>
          <w:szCs w:val="28"/>
        </w:rPr>
        <w:t xml:space="preserve"> de las rec</w:t>
      </w:r>
      <w:r w:rsidR="009D0084" w:rsidRPr="00512582">
        <w:rPr>
          <w:sz w:val="28"/>
          <w:szCs w:val="28"/>
        </w:rPr>
        <w:t>omendaciones de la A</w:t>
      </w:r>
      <w:r w:rsidR="005B5989" w:rsidRPr="00512582">
        <w:rPr>
          <w:sz w:val="28"/>
          <w:szCs w:val="28"/>
        </w:rPr>
        <w:t>uditorí</w:t>
      </w:r>
      <w:r w:rsidR="009D0084" w:rsidRPr="00512582">
        <w:rPr>
          <w:sz w:val="28"/>
          <w:szCs w:val="28"/>
        </w:rPr>
        <w:t>a I</w:t>
      </w:r>
      <w:r w:rsidRPr="00512582">
        <w:rPr>
          <w:sz w:val="28"/>
          <w:szCs w:val="28"/>
        </w:rPr>
        <w:t>nterna</w:t>
      </w:r>
    </w:p>
    <w:p w:rsidR="00FA17ED" w:rsidRDefault="003C331F" w:rsidP="00927AB3">
      <w:pPr>
        <w:spacing w:after="240"/>
      </w:pPr>
      <w:r>
        <w:t>14</w:t>
      </w:r>
      <w:r>
        <w:tab/>
      </w:r>
      <w:r w:rsidR="00695C67">
        <w:t>A lo largo del periodo de</w:t>
      </w:r>
      <w:r w:rsidR="004A088B">
        <w:t>l</w:t>
      </w:r>
      <w:r w:rsidR="00695C67">
        <w:t xml:space="preserve"> informe y en cumpl</w:t>
      </w:r>
      <w:r w:rsidR="006909AD">
        <w:t>imiento de la Norma 2 500 del II</w:t>
      </w:r>
      <w:r w:rsidR="00695C67">
        <w:t>A</w:t>
      </w:r>
      <w:r w:rsidR="009A3D0F">
        <w:rPr>
          <w:rStyle w:val="FootnoteReference"/>
        </w:rPr>
        <w:footnoteReference w:id="4"/>
      </w:r>
      <w:r w:rsidR="00695C67">
        <w:t xml:space="preserve">, la </w:t>
      </w:r>
      <w:r w:rsidR="009A3D0F">
        <w:t>Auditorí</w:t>
      </w:r>
      <w:r w:rsidR="00695C67">
        <w:t xml:space="preserve">a Interna </w:t>
      </w:r>
      <w:r w:rsidR="009A3D0F">
        <w:t>siguió</w:t>
      </w:r>
      <w:r w:rsidR="00695C67">
        <w:t xml:space="preserve"> las recomendaciones reali</w:t>
      </w:r>
      <w:r w:rsidR="009A3D0F">
        <w:t>zadas por auditorías previas. Se observó</w:t>
      </w:r>
      <w:r w:rsidR="00695C67">
        <w:t xml:space="preserve"> un progreso sustancial en los últimos 12 meses y las estadísticas sobre la </w:t>
      </w:r>
      <w:r w:rsidR="000F66B4">
        <w:t>implementación</w:t>
      </w:r>
      <w:r w:rsidR="00695C67">
        <w:t xml:space="preserve"> son las siguientes:</w:t>
      </w:r>
    </w:p>
    <w:tbl>
      <w:tblPr>
        <w:tblW w:w="9734" w:type="dxa"/>
        <w:tblInd w:w="93" w:type="dxa"/>
        <w:tblLook w:val="04A0" w:firstRow="1" w:lastRow="0" w:firstColumn="1" w:lastColumn="0" w:noHBand="0" w:noVBand="1"/>
      </w:tblPr>
      <w:tblGrid>
        <w:gridCol w:w="2850"/>
        <w:gridCol w:w="759"/>
        <w:gridCol w:w="875"/>
        <w:gridCol w:w="875"/>
        <w:gridCol w:w="875"/>
        <w:gridCol w:w="875"/>
        <w:gridCol w:w="875"/>
        <w:gridCol w:w="875"/>
        <w:gridCol w:w="875"/>
      </w:tblGrid>
      <w:tr w:rsidR="00FA17ED" w:rsidRPr="00905D54" w:rsidTr="00B44386">
        <w:trPr>
          <w:trHeight w:val="23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17ED" w:rsidRPr="007D0BBA" w:rsidRDefault="007D0BBA" w:rsidP="00B4438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color w:val="FFFFFF"/>
                <w:sz w:val="20"/>
                <w:lang w:val="es-ES" w:eastAsia="zh-CN"/>
              </w:rPr>
            </w:pPr>
            <w:r w:rsidRPr="00CA16EB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s-ES" w:eastAsia="zh-CN"/>
              </w:rPr>
              <w:t>A</w:t>
            </w:r>
            <w:r w:rsidR="00CA16EB" w:rsidRPr="00CA16EB">
              <w:rPr>
                <w:rFonts w:asciiTheme="minorHAnsi" w:hAnsiTheme="minorHAnsi" w:cs="Arial" w:hint="eastAsia"/>
                <w:b/>
                <w:bCs/>
                <w:sz w:val="20"/>
                <w:lang w:val="es-ES" w:eastAsia="zh-CN"/>
              </w:rPr>
              <w:t>ñ</w:t>
            </w:r>
            <w:r w:rsidRPr="00CA16EB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lang w:val="es-ES" w:eastAsia="zh-CN"/>
              </w:rPr>
              <w:t>o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17ED" w:rsidRPr="00905D54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FFFFFF"/>
                <w:sz w:val="20"/>
                <w:lang w:val="en-US" w:eastAsia="zh-CN"/>
              </w:rPr>
            </w:pPr>
            <w:r w:rsidRPr="00905D54">
              <w:rPr>
                <w:rFonts w:asciiTheme="minorHAnsi" w:hAnsiTheme="minorHAnsi" w:cs="Arial"/>
                <w:b/>
                <w:bCs/>
                <w:color w:val="FFFFFF"/>
                <w:sz w:val="20"/>
                <w:lang w:val="en-US" w:eastAsia="zh-CN"/>
              </w:rPr>
              <w:t>2008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17ED" w:rsidRPr="00905D54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FFFFFF"/>
                <w:sz w:val="20"/>
                <w:lang w:val="en-US" w:eastAsia="zh-CN"/>
              </w:rPr>
            </w:pPr>
            <w:r w:rsidRPr="00905D54">
              <w:rPr>
                <w:rFonts w:asciiTheme="minorHAnsi" w:hAnsiTheme="minorHAnsi" w:cs="Arial"/>
                <w:b/>
                <w:bCs/>
                <w:color w:val="FFFFFF"/>
                <w:sz w:val="20"/>
                <w:lang w:val="en-US" w:eastAsia="zh-CN"/>
              </w:rPr>
              <w:t>2009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17ED" w:rsidRPr="00905D54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FFFFFF"/>
                <w:sz w:val="20"/>
                <w:lang w:val="en-US" w:eastAsia="zh-CN"/>
              </w:rPr>
            </w:pPr>
            <w:r w:rsidRPr="00905D54">
              <w:rPr>
                <w:rFonts w:asciiTheme="minorHAnsi" w:hAnsiTheme="minorHAnsi" w:cs="Arial"/>
                <w:b/>
                <w:bCs/>
                <w:color w:val="FFFFFF"/>
                <w:sz w:val="20"/>
                <w:lang w:val="en-US" w:eastAsia="zh-CN"/>
              </w:rPr>
              <w:t>2010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17ED" w:rsidRPr="00905D54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FFFFFF"/>
                <w:sz w:val="20"/>
                <w:lang w:val="en-US" w:eastAsia="zh-CN"/>
              </w:rPr>
            </w:pPr>
            <w:r w:rsidRPr="00905D54">
              <w:rPr>
                <w:rFonts w:asciiTheme="minorHAnsi" w:hAnsiTheme="minorHAnsi" w:cs="Arial"/>
                <w:b/>
                <w:bCs/>
                <w:color w:val="FFFFFF"/>
                <w:sz w:val="20"/>
                <w:lang w:val="en-US" w:eastAsia="zh-CN"/>
              </w:rPr>
              <w:t>2011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17ED" w:rsidRPr="00905D54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FFFFFF"/>
                <w:sz w:val="20"/>
                <w:lang w:val="en-US" w:eastAsia="zh-CN"/>
              </w:rPr>
            </w:pPr>
            <w:r w:rsidRPr="00905D54">
              <w:rPr>
                <w:rFonts w:asciiTheme="minorHAnsi" w:hAnsiTheme="minorHAnsi" w:cs="Arial"/>
                <w:b/>
                <w:bCs/>
                <w:color w:val="FFFFFF"/>
                <w:sz w:val="20"/>
                <w:lang w:val="en-US" w:eastAsia="zh-CN"/>
              </w:rPr>
              <w:t>2012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17ED" w:rsidRPr="00905D54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FFFFFF"/>
                <w:sz w:val="20"/>
                <w:lang w:val="en-US" w:eastAsia="zh-CN"/>
              </w:rPr>
            </w:pPr>
            <w:r w:rsidRPr="00905D54">
              <w:rPr>
                <w:rFonts w:asciiTheme="minorHAnsi" w:hAnsiTheme="minorHAnsi" w:cs="Arial"/>
                <w:b/>
                <w:bCs/>
                <w:color w:val="FFFFFF"/>
                <w:sz w:val="20"/>
                <w:lang w:val="en-US" w:eastAsia="zh-CN"/>
              </w:rPr>
              <w:t>2013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17ED" w:rsidRPr="00905D54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FFFFFF"/>
                <w:sz w:val="20"/>
                <w:lang w:val="en-US" w:eastAsia="zh-CN"/>
              </w:rPr>
            </w:pPr>
            <w:r w:rsidRPr="00905D54">
              <w:rPr>
                <w:rFonts w:asciiTheme="minorHAnsi" w:hAnsiTheme="minorHAnsi" w:cs="Arial"/>
                <w:b/>
                <w:bCs/>
                <w:color w:val="FFFFFF"/>
                <w:sz w:val="20"/>
                <w:lang w:val="en-US" w:eastAsia="zh-CN"/>
              </w:rPr>
              <w:t>2014 (*)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FA17ED" w:rsidRPr="00905D54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FFFFFF"/>
                <w:sz w:val="20"/>
                <w:lang w:val="en-US" w:eastAsia="zh-CN"/>
              </w:rPr>
            </w:pPr>
            <w:r w:rsidRPr="00905D54">
              <w:rPr>
                <w:rFonts w:asciiTheme="minorHAnsi" w:hAnsiTheme="minorHAnsi" w:cs="Arial"/>
                <w:b/>
                <w:bCs/>
                <w:color w:val="FFFFFF"/>
                <w:sz w:val="20"/>
                <w:lang w:val="en-US" w:eastAsia="zh-CN"/>
              </w:rPr>
              <w:t xml:space="preserve">Total </w:t>
            </w:r>
          </w:p>
        </w:tc>
      </w:tr>
      <w:tr w:rsidR="00FA17ED" w:rsidRPr="00905D54" w:rsidTr="00B44386">
        <w:trPr>
          <w:trHeight w:val="217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7D0BBA" w:rsidP="00B4438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eastAsia="zh-CN"/>
              </w:rPr>
              <w:t>Número de informes de auditoría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1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3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4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b/>
                <w:bCs/>
                <w:sz w:val="20"/>
                <w:lang w:val="en-US" w:eastAsia="zh-CN"/>
              </w:rPr>
              <w:t>12</w:t>
            </w:r>
          </w:p>
        </w:tc>
      </w:tr>
      <w:tr w:rsidR="00FA17ED" w:rsidRPr="00905D54" w:rsidTr="00B44386">
        <w:trPr>
          <w:trHeight w:val="217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7D0BB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proofErr w:type="spellStart"/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Reco</w:t>
            </w:r>
            <w:r w:rsidR="007D0BBA"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mendaciones</w:t>
            </w:r>
            <w:proofErr w:type="spellEnd"/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 xml:space="preserve"> - Total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113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b/>
                <w:bCs/>
                <w:sz w:val="20"/>
                <w:lang w:val="en-US" w:eastAsia="zh-CN"/>
              </w:rPr>
              <w:t>174</w:t>
            </w:r>
          </w:p>
        </w:tc>
      </w:tr>
      <w:tr w:rsidR="00FA17ED" w:rsidRPr="00905D54" w:rsidTr="00B44386">
        <w:trPr>
          <w:trHeight w:val="217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8A6B95" w:rsidP="007D0BBA">
            <w:pPr>
              <w:pStyle w:val="Tabletext"/>
              <w:tabs>
                <w:tab w:val="left" w:pos="47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91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eastAsia="zh-CN"/>
              </w:rPr>
              <w:t>E</w:t>
            </w:r>
            <w:r w:rsidR="00FA17ED" w:rsidRPr="00C61C72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n </w:t>
            </w:r>
            <w:r w:rsidR="007D0BBA" w:rsidRPr="00C61C72">
              <w:rPr>
                <w:rFonts w:asciiTheme="minorHAnsi" w:hAnsiTheme="minorHAnsi" w:cstheme="minorHAnsi"/>
                <w:sz w:val="20"/>
                <w:lang w:val="ru-RU" w:eastAsia="zh-CN"/>
              </w:rPr>
              <w:t>preparación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b/>
                <w:bCs/>
                <w:sz w:val="20"/>
                <w:lang w:val="en-US" w:eastAsia="zh-CN"/>
              </w:rPr>
              <w:t>47</w:t>
            </w:r>
          </w:p>
        </w:tc>
      </w:tr>
      <w:tr w:rsidR="00FA17ED" w:rsidRPr="00905D54" w:rsidTr="00B44386">
        <w:trPr>
          <w:trHeight w:val="217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7D0BBA" w:rsidP="007D0BBA">
            <w:pPr>
              <w:overflowPunct/>
              <w:autoSpaceDE/>
              <w:autoSpaceDN/>
              <w:adjustRightInd/>
              <w:spacing w:before="0"/>
              <w:ind w:left="191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proofErr w:type="spellStart"/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Retrasadas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b/>
                <w:bCs/>
                <w:sz w:val="20"/>
                <w:lang w:val="en-US" w:eastAsia="zh-CN"/>
              </w:rPr>
              <w:t>26</w:t>
            </w:r>
          </w:p>
        </w:tc>
      </w:tr>
      <w:tr w:rsidR="00FA17ED" w:rsidRPr="00905D54" w:rsidTr="00B44386">
        <w:trPr>
          <w:trHeight w:val="2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7D0BBA" w:rsidP="007D0BBA">
            <w:pPr>
              <w:overflowPunct/>
              <w:autoSpaceDE/>
              <w:autoSpaceDN/>
              <w:adjustRightInd/>
              <w:spacing w:before="0"/>
              <w:ind w:left="191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proofErr w:type="spellStart"/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Cerradas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b/>
                <w:bCs/>
                <w:sz w:val="20"/>
                <w:lang w:val="en-US" w:eastAsia="zh-CN"/>
              </w:rPr>
              <w:t>101</w:t>
            </w:r>
          </w:p>
        </w:tc>
      </w:tr>
      <w:tr w:rsidR="00FA17ED" w:rsidRPr="00905D54" w:rsidTr="00B44386">
        <w:trPr>
          <w:trHeight w:val="12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b/>
                <w:bCs/>
                <w:sz w:val="20"/>
                <w:lang w:val="en-US" w:eastAsia="zh-CN"/>
              </w:rPr>
              <w:t> </w:t>
            </w:r>
          </w:p>
        </w:tc>
      </w:tr>
      <w:tr w:rsidR="00FA17ED" w:rsidRPr="00905D54" w:rsidTr="00B44386">
        <w:trPr>
          <w:trHeight w:val="23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7D0BB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 xml:space="preserve">% </w:t>
            </w:r>
            <w:r w:rsidR="007D0BBA"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 xml:space="preserve">de </w:t>
            </w:r>
            <w:proofErr w:type="spellStart"/>
            <w:r w:rsidR="007D0BBA"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recomendaciones</w:t>
            </w:r>
            <w:proofErr w:type="spellEnd"/>
            <w:r w:rsidR="007D0BBA"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 xml:space="preserve"> </w:t>
            </w:r>
            <w:proofErr w:type="spellStart"/>
            <w:r w:rsidR="007D0BBA"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retrasadas</w:t>
            </w:r>
            <w:proofErr w:type="spellEnd"/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0%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0%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5%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59%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-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13%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0%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b/>
                <w:bCs/>
                <w:sz w:val="20"/>
                <w:lang w:val="en-US" w:eastAsia="zh-CN"/>
              </w:rPr>
              <w:t>58%</w:t>
            </w:r>
          </w:p>
        </w:tc>
      </w:tr>
      <w:tr w:rsidR="00FA17ED" w:rsidRPr="00905D54" w:rsidTr="00B44386">
        <w:trPr>
          <w:trHeight w:val="2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7D0BB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 xml:space="preserve">% </w:t>
            </w:r>
            <w:r w:rsidR="007D0BBA"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 xml:space="preserve">de </w:t>
            </w:r>
            <w:proofErr w:type="spellStart"/>
            <w:r w:rsidR="007D0BBA"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recomendaciones</w:t>
            </w:r>
            <w:proofErr w:type="spellEnd"/>
            <w:r w:rsidR="007D0BBA"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 xml:space="preserve"> </w:t>
            </w:r>
            <w:proofErr w:type="spellStart"/>
            <w:r w:rsidR="007D0BBA"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cerradas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100%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85%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95%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41%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47%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sz w:val="20"/>
                <w:lang w:val="en-US" w:eastAsia="zh-CN"/>
              </w:rPr>
              <w:t>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FA17ED" w:rsidRPr="00C61C72" w:rsidRDefault="00FA17ED" w:rsidP="00B4438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en-US" w:eastAsia="zh-CN"/>
              </w:rPr>
            </w:pPr>
            <w:r w:rsidRPr="00C61C72">
              <w:rPr>
                <w:rFonts w:asciiTheme="minorHAnsi" w:hAnsiTheme="minorHAnsi" w:cstheme="minorHAnsi"/>
                <w:b/>
                <w:bCs/>
                <w:sz w:val="20"/>
                <w:lang w:val="en-US" w:eastAsia="zh-CN"/>
              </w:rPr>
              <w:t>15%</w:t>
            </w:r>
          </w:p>
        </w:tc>
      </w:tr>
    </w:tbl>
    <w:p w:rsidR="009A3D0F" w:rsidRPr="000C3F9E" w:rsidRDefault="000C3F9E" w:rsidP="00927AB3">
      <w:pPr>
        <w:spacing w:after="240"/>
        <w:rPr>
          <w:szCs w:val="24"/>
        </w:rPr>
      </w:pPr>
      <w:r>
        <w:rPr>
          <w:szCs w:val="24"/>
        </w:rPr>
        <w:t>(*) s</w:t>
      </w:r>
      <w:r w:rsidR="00A22CA9" w:rsidRPr="000C3F9E">
        <w:rPr>
          <w:szCs w:val="24"/>
        </w:rPr>
        <w:t>ituaci</w:t>
      </w:r>
      <w:r>
        <w:rPr>
          <w:szCs w:val="24"/>
        </w:rPr>
        <w:t>ón a 11 de febrero de 2014</w:t>
      </w:r>
    </w:p>
    <w:p w:rsidR="00695C67" w:rsidRDefault="009051F1" w:rsidP="00927AB3">
      <w:pPr>
        <w:spacing w:after="240"/>
      </w:pPr>
      <w:r>
        <w:t>15</w:t>
      </w:r>
      <w:r w:rsidR="009A3D0F">
        <w:tab/>
        <w:t>El princip</w:t>
      </w:r>
      <w:r w:rsidR="00695C67">
        <w:t>al retraso en la aplicación de las recom</w:t>
      </w:r>
      <w:r w:rsidR="009A3D0F">
        <w:t>endaciones radica en la auditorí</w:t>
      </w:r>
      <w:r w:rsidR="00695C67">
        <w:t xml:space="preserve">a de costes de las publicaciones de la UIT (llevada a cabo en 2011) debido a análisis adicionales </w:t>
      </w:r>
      <w:r w:rsidR="009A3D0F">
        <w:t>realizados</w:t>
      </w:r>
      <w:r w:rsidR="00695C67">
        <w:t xml:space="preserve"> </w:t>
      </w:r>
      <w:r w:rsidR="006909AD">
        <w:t>a varios niveles en la S</w:t>
      </w:r>
      <w:r w:rsidR="009A3D0F">
        <w:t>ecretaría. En 2014, la Auditoría Interna continú</w:t>
      </w:r>
      <w:r w:rsidR="00695C67">
        <w:t>a supervisando la implementación de las diversas recomendaciones conten</w:t>
      </w:r>
      <w:r w:rsidR="009A3D0F">
        <w:t>idas en los informes de auditoría previos y se informará de los res</w:t>
      </w:r>
      <w:r w:rsidR="00695C67">
        <w:t>u</w:t>
      </w:r>
      <w:r w:rsidR="009A3D0F">
        <w:t>ltados al S</w:t>
      </w:r>
      <w:r w:rsidR="00695C67">
        <w:t>ecretario General.</w:t>
      </w:r>
    </w:p>
    <w:p w:rsidR="00695C67" w:rsidRPr="00512582" w:rsidRDefault="00695C67" w:rsidP="00512582">
      <w:pPr>
        <w:pStyle w:val="Headingb"/>
        <w:spacing w:after="120"/>
        <w:rPr>
          <w:sz w:val="28"/>
          <w:szCs w:val="28"/>
        </w:rPr>
      </w:pPr>
      <w:r w:rsidRPr="00512582">
        <w:rPr>
          <w:sz w:val="28"/>
          <w:szCs w:val="28"/>
        </w:rPr>
        <w:t>Aspecto</w:t>
      </w:r>
      <w:r w:rsidR="00710113" w:rsidRPr="00512582">
        <w:rPr>
          <w:sz w:val="28"/>
          <w:szCs w:val="28"/>
        </w:rPr>
        <w:t>s</w:t>
      </w:r>
      <w:r w:rsidRPr="00512582">
        <w:rPr>
          <w:sz w:val="28"/>
          <w:szCs w:val="28"/>
        </w:rPr>
        <w:t xml:space="preserve"> relacionados c</w:t>
      </w:r>
      <w:r w:rsidR="00710113" w:rsidRPr="00512582">
        <w:rPr>
          <w:sz w:val="28"/>
          <w:szCs w:val="28"/>
        </w:rPr>
        <w:t>on la metodología de la auditorí</w:t>
      </w:r>
      <w:r w:rsidRPr="00512582">
        <w:rPr>
          <w:sz w:val="28"/>
          <w:szCs w:val="28"/>
        </w:rPr>
        <w:t>a</w:t>
      </w:r>
    </w:p>
    <w:p w:rsidR="004D2245" w:rsidRDefault="00710113" w:rsidP="000F763B">
      <w:r>
        <w:t>16</w:t>
      </w:r>
      <w:r>
        <w:tab/>
        <w:t>En 2013, la Auditoría Interna se inició</w:t>
      </w:r>
      <w:r w:rsidR="00695C67">
        <w:t xml:space="preserve"> utilizando los </w:t>
      </w:r>
      <w:r w:rsidR="00695C67" w:rsidRPr="00710113">
        <w:rPr>
          <w:i/>
          <w:iCs/>
        </w:rPr>
        <w:t>Cuestion</w:t>
      </w:r>
      <w:r>
        <w:rPr>
          <w:i/>
          <w:iCs/>
        </w:rPr>
        <w:t>arios de Eficacia de la Auditorí</w:t>
      </w:r>
      <w:r w:rsidR="00695C67" w:rsidRPr="00710113">
        <w:rPr>
          <w:i/>
          <w:iCs/>
        </w:rPr>
        <w:t>a</w:t>
      </w:r>
      <w:r w:rsidR="00695C67">
        <w:t xml:space="preserve"> que se remitieron a los gestores de los procesos y entidades auditados a fin de evaluar la efe</w:t>
      </w:r>
      <w:r w:rsidR="001441A1">
        <w:t>ctividad del trabajo de auditorí</w:t>
      </w:r>
      <w:r w:rsidR="00695C67">
        <w:t>a e identificar po</w:t>
      </w:r>
      <w:r w:rsidR="001441A1">
        <w:t>s</w:t>
      </w:r>
      <w:r w:rsidR="00695C67">
        <w:t>ibles márgenes de mejora. En general</w:t>
      </w:r>
      <w:r w:rsidR="001441A1">
        <w:t>, la informació</w:t>
      </w:r>
      <w:r w:rsidR="00695C67">
        <w:t>n obtenid</w:t>
      </w:r>
      <w:r w:rsidR="001441A1">
        <w:t>a fue</w:t>
      </w:r>
      <w:r w:rsidR="00695C67">
        <w:t xml:space="preserve"> positiva (una nota media de 4 en una escala de 1 a 5); se hicieron algunas observaciones sobre aspectos de </w:t>
      </w:r>
      <w:r w:rsidR="001441A1">
        <w:t>plazos/planificación de los compromisos de auditoría que serán tenidas en cue</w:t>
      </w:r>
      <w:r w:rsidR="00695C67">
        <w:t>nta en futuras asignaciones. Al establecer el plan de a</w:t>
      </w:r>
      <w:r w:rsidR="001441A1">
        <w:t>uditoría para 2014, la Auditoría Interna consultó con</w:t>
      </w:r>
      <w:r w:rsidR="00695C67">
        <w:t xml:space="preserve"> los ge</w:t>
      </w:r>
      <w:r w:rsidR="001441A1">
        <w:t>s</w:t>
      </w:r>
      <w:r w:rsidR="00695C67">
        <w:t>tores correspondientes para optimi</w:t>
      </w:r>
      <w:r w:rsidR="001441A1">
        <w:t>z</w:t>
      </w:r>
      <w:r w:rsidR="00695C67">
        <w:t>ar los plazos.</w:t>
      </w:r>
    </w:p>
    <w:p w:rsidR="009051F1" w:rsidRDefault="009051F1" w:rsidP="000F763B"/>
    <w:p w:rsidR="00FC331E" w:rsidRPr="00B826C2" w:rsidRDefault="00FC331E" w:rsidP="00FC331E">
      <w:pPr>
        <w:jc w:val="center"/>
      </w:pPr>
      <w:r>
        <w:t>_____________</w:t>
      </w:r>
    </w:p>
    <w:sectPr w:rsidR="00FC331E" w:rsidRPr="00B826C2" w:rsidSect="006710F6">
      <w:head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EA" w:rsidRDefault="00217DEA">
      <w:r>
        <w:separator/>
      </w:r>
    </w:p>
  </w:endnote>
  <w:endnote w:type="continuationSeparator" w:id="0">
    <w:p w:rsidR="00217DEA" w:rsidRDefault="0021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EA" w:rsidRDefault="00217DEA">
      <w:r>
        <w:t>____________________</w:t>
      </w:r>
    </w:p>
  </w:footnote>
  <w:footnote w:type="continuationSeparator" w:id="0">
    <w:p w:rsidR="00217DEA" w:rsidRDefault="00217DEA">
      <w:r>
        <w:continuationSeparator/>
      </w:r>
    </w:p>
  </w:footnote>
  <w:footnote w:id="1">
    <w:p w:rsidR="004B0C7D" w:rsidRPr="009B2495" w:rsidRDefault="004B0C7D" w:rsidP="00E10702">
      <w:pPr>
        <w:pStyle w:val="FootnoteText"/>
        <w:rPr>
          <w:sz w:val="22"/>
          <w:szCs w:val="22"/>
        </w:rPr>
      </w:pPr>
      <w:r w:rsidRPr="004C3510">
        <w:rPr>
          <w:rStyle w:val="FootnoteReference"/>
          <w:szCs w:val="16"/>
        </w:rPr>
        <w:footnoteRef/>
      </w:r>
      <w:r w:rsidRPr="004C3510">
        <w:rPr>
          <w:sz w:val="16"/>
          <w:szCs w:val="16"/>
        </w:rPr>
        <w:t xml:space="preserve"> </w:t>
      </w:r>
      <w:r>
        <w:tab/>
      </w:r>
      <w:r w:rsidRPr="009B2495">
        <w:rPr>
          <w:sz w:val="22"/>
          <w:szCs w:val="22"/>
        </w:rPr>
        <w:t>Orden de servicio</w:t>
      </w:r>
      <w:r>
        <w:rPr>
          <w:sz w:val="22"/>
          <w:szCs w:val="22"/>
        </w:rPr>
        <w:t xml:space="preserve"> 13/09 adoptada por </w:t>
      </w:r>
      <w:r w:rsidR="00E10702">
        <w:rPr>
          <w:sz w:val="22"/>
          <w:szCs w:val="22"/>
        </w:rPr>
        <w:t>el Secretario</w:t>
      </w:r>
      <w:r w:rsidRPr="009B2495">
        <w:rPr>
          <w:sz w:val="22"/>
          <w:szCs w:val="22"/>
        </w:rPr>
        <w:t xml:space="preserve"> General el 27 de junio de 2013.</w:t>
      </w:r>
    </w:p>
  </w:footnote>
  <w:footnote w:id="2">
    <w:p w:rsidR="006F24A7" w:rsidRPr="00E53029" w:rsidRDefault="006F24A7" w:rsidP="00E53029">
      <w:pPr>
        <w:pStyle w:val="FootnoteText"/>
        <w:spacing w:before="0"/>
        <w:ind w:left="255" w:hanging="255"/>
        <w:rPr>
          <w:sz w:val="22"/>
          <w:szCs w:val="22"/>
        </w:rPr>
      </w:pPr>
      <w:r w:rsidRPr="004C3510">
        <w:rPr>
          <w:rStyle w:val="FootnoteReference"/>
          <w:szCs w:val="16"/>
        </w:rPr>
        <w:footnoteRef/>
      </w:r>
      <w:r w:rsidR="00E53029" w:rsidRPr="004C3510">
        <w:rPr>
          <w:sz w:val="16"/>
          <w:szCs w:val="16"/>
        </w:rPr>
        <w:t xml:space="preserve"> </w:t>
      </w:r>
      <w:r w:rsidRPr="00E53029">
        <w:rPr>
          <w:sz w:val="22"/>
          <w:szCs w:val="22"/>
        </w:rPr>
        <w:tab/>
      </w:r>
      <w:r w:rsidRPr="00E53029">
        <w:rPr>
          <w:sz w:val="22"/>
          <w:szCs w:val="22"/>
        </w:rPr>
        <w:t xml:space="preserve">Instituto </w:t>
      </w:r>
      <w:r w:rsidRPr="00E53029">
        <w:rPr>
          <w:sz w:val="22"/>
          <w:szCs w:val="22"/>
        </w:rPr>
        <w:t xml:space="preserve">de Auditores Internos, </w:t>
      </w:r>
      <w:hyperlink r:id="rId1" w:history="1">
        <w:r w:rsidRPr="00E53029">
          <w:rPr>
            <w:rStyle w:val="Hyperlink"/>
            <w:sz w:val="22"/>
            <w:szCs w:val="22"/>
          </w:rPr>
          <w:t>www.theiia.org</w:t>
        </w:r>
      </w:hyperlink>
      <w:r w:rsidRPr="00E53029">
        <w:rPr>
          <w:sz w:val="22"/>
          <w:szCs w:val="22"/>
        </w:rPr>
        <w:t>.</w:t>
      </w:r>
    </w:p>
  </w:footnote>
  <w:footnote w:id="3">
    <w:p w:rsidR="00E53029" w:rsidRPr="00E53029" w:rsidRDefault="00E53029" w:rsidP="00E53029">
      <w:pPr>
        <w:pStyle w:val="FootnoteText"/>
        <w:spacing w:before="0"/>
        <w:ind w:left="255" w:hanging="255"/>
        <w:rPr>
          <w:sz w:val="22"/>
          <w:szCs w:val="22"/>
        </w:rPr>
      </w:pPr>
      <w:r w:rsidRPr="004C3510">
        <w:rPr>
          <w:rStyle w:val="FootnoteReference"/>
          <w:szCs w:val="16"/>
        </w:rPr>
        <w:footnoteRef/>
      </w:r>
      <w:r w:rsidRPr="004C3510">
        <w:rPr>
          <w:sz w:val="16"/>
          <w:szCs w:val="16"/>
        </w:rPr>
        <w:t xml:space="preserve"> </w:t>
      </w:r>
      <w:r w:rsidRPr="00E53029">
        <w:rPr>
          <w:sz w:val="22"/>
          <w:szCs w:val="22"/>
        </w:rPr>
        <w:tab/>
      </w:r>
      <w:r w:rsidRPr="00E53029">
        <w:rPr>
          <w:sz w:val="22"/>
          <w:szCs w:val="22"/>
        </w:rPr>
        <w:t>Orden de servicio 13/09, adoptada por el Secretario General el 27 de junio de 2013.</w:t>
      </w:r>
    </w:p>
  </w:footnote>
  <w:footnote w:id="4">
    <w:p w:rsidR="009A3D0F" w:rsidRPr="009A3D0F" w:rsidRDefault="009A3D0F" w:rsidP="004C3510">
      <w:pPr>
        <w:pStyle w:val="FootnoteText"/>
        <w:rPr>
          <w:sz w:val="22"/>
          <w:szCs w:val="22"/>
        </w:rPr>
      </w:pPr>
      <w:r w:rsidRPr="004C3510">
        <w:rPr>
          <w:rStyle w:val="FootnoteReference"/>
          <w:szCs w:val="16"/>
        </w:rPr>
        <w:footnoteRef/>
      </w:r>
      <w:r w:rsidRPr="009A3D0F">
        <w:rPr>
          <w:sz w:val="22"/>
          <w:szCs w:val="22"/>
        </w:rPr>
        <w:tab/>
      </w:r>
      <w:r w:rsidRPr="009A3D0F">
        <w:rPr>
          <w:sz w:val="22"/>
          <w:szCs w:val="22"/>
        </w:rPr>
        <w:t xml:space="preserve">Instituto </w:t>
      </w:r>
      <w:r w:rsidRPr="009A3D0F">
        <w:rPr>
          <w:sz w:val="22"/>
          <w:szCs w:val="22"/>
        </w:rPr>
        <w:t xml:space="preserve">de Auditores Internos, </w:t>
      </w:r>
      <w:hyperlink r:id="rId2" w:history="1">
        <w:r w:rsidRPr="009A3D0F">
          <w:rPr>
            <w:rStyle w:val="Hyperlink"/>
            <w:sz w:val="22"/>
            <w:szCs w:val="22"/>
          </w:rPr>
          <w:t>www.theiia.org</w:t>
        </w:r>
      </w:hyperlink>
      <w:r w:rsidRPr="009A3D0F"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E92525">
      <w:rPr>
        <w:noProof/>
      </w:rPr>
      <w:t>2</w:t>
    </w:r>
    <w:r>
      <w:rPr>
        <w:noProof/>
      </w:rPr>
      <w:fldChar w:fldCharType="end"/>
    </w:r>
    <w:r w:rsidR="00E92525">
      <w:rPr>
        <w:noProof/>
      </w:rPr>
      <w:t>/</w:t>
    </w:r>
    <w:r w:rsidR="00E92525">
      <w:rPr>
        <w:noProof/>
      </w:rPr>
      <w:fldChar w:fldCharType="begin"/>
    </w:r>
    <w:r w:rsidR="00E92525">
      <w:rPr>
        <w:noProof/>
      </w:rPr>
      <w:instrText xml:space="preserve"> NUMPAGES   \* MERGEFORMAT </w:instrText>
    </w:r>
    <w:r w:rsidR="00E92525">
      <w:rPr>
        <w:noProof/>
      </w:rPr>
      <w:fldChar w:fldCharType="separate"/>
    </w:r>
    <w:r w:rsidR="00E92525">
      <w:rPr>
        <w:noProof/>
      </w:rPr>
      <w:t>4</w:t>
    </w:r>
    <w:r w:rsidR="00E92525">
      <w:rPr>
        <w:noProof/>
      </w:rPr>
      <w:fldChar w:fldCharType="end"/>
    </w:r>
  </w:p>
  <w:p w:rsidR="00760F1C" w:rsidRDefault="00760F1C" w:rsidP="007F350B">
    <w:pPr>
      <w:pStyle w:val="Header"/>
    </w:pPr>
    <w:r>
      <w:t>C</w:t>
    </w:r>
    <w:r w:rsidR="0088738D">
      <w:t>14/47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F19"/>
    <w:multiLevelType w:val="hybridMultilevel"/>
    <w:tmpl w:val="38B27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1B1A"/>
    <w:multiLevelType w:val="hybridMultilevel"/>
    <w:tmpl w:val="3946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D04EE"/>
    <w:multiLevelType w:val="hybridMultilevel"/>
    <w:tmpl w:val="6EFC3B9A"/>
    <w:lvl w:ilvl="0" w:tplc="8FEA6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EA"/>
    <w:rsid w:val="00024981"/>
    <w:rsid w:val="000561C9"/>
    <w:rsid w:val="000919CD"/>
    <w:rsid w:val="000B0D00"/>
    <w:rsid w:val="000B1471"/>
    <w:rsid w:val="000B7C15"/>
    <w:rsid w:val="000C3F9E"/>
    <w:rsid w:val="000D1D0F"/>
    <w:rsid w:val="000F66B4"/>
    <w:rsid w:val="000F763B"/>
    <w:rsid w:val="0010165C"/>
    <w:rsid w:val="001441A1"/>
    <w:rsid w:val="0019256B"/>
    <w:rsid w:val="001F14A2"/>
    <w:rsid w:val="00217DEA"/>
    <w:rsid w:val="00247702"/>
    <w:rsid w:val="00256AA9"/>
    <w:rsid w:val="002801AA"/>
    <w:rsid w:val="002F28C5"/>
    <w:rsid w:val="0037029A"/>
    <w:rsid w:val="003C331F"/>
    <w:rsid w:val="003C5D82"/>
    <w:rsid w:val="003D72C0"/>
    <w:rsid w:val="003F25B2"/>
    <w:rsid w:val="00402412"/>
    <w:rsid w:val="004107CF"/>
    <w:rsid w:val="00454FF0"/>
    <w:rsid w:val="00476DD2"/>
    <w:rsid w:val="0049623D"/>
    <w:rsid w:val="004A088B"/>
    <w:rsid w:val="004B0C7D"/>
    <w:rsid w:val="004C3510"/>
    <w:rsid w:val="004D2245"/>
    <w:rsid w:val="004E4DCC"/>
    <w:rsid w:val="00512582"/>
    <w:rsid w:val="005149F9"/>
    <w:rsid w:val="005167A0"/>
    <w:rsid w:val="0052353A"/>
    <w:rsid w:val="005558CA"/>
    <w:rsid w:val="00560125"/>
    <w:rsid w:val="00585553"/>
    <w:rsid w:val="005B34D9"/>
    <w:rsid w:val="005B5989"/>
    <w:rsid w:val="005D0CCF"/>
    <w:rsid w:val="005F410F"/>
    <w:rsid w:val="005F59F4"/>
    <w:rsid w:val="00601924"/>
    <w:rsid w:val="00610B09"/>
    <w:rsid w:val="0062128E"/>
    <w:rsid w:val="0064731F"/>
    <w:rsid w:val="006710F6"/>
    <w:rsid w:val="006850A9"/>
    <w:rsid w:val="006909AD"/>
    <w:rsid w:val="00694540"/>
    <w:rsid w:val="00695C67"/>
    <w:rsid w:val="006C1B56"/>
    <w:rsid w:val="006C6799"/>
    <w:rsid w:val="006D238F"/>
    <w:rsid w:val="006D4761"/>
    <w:rsid w:val="006F24A7"/>
    <w:rsid w:val="00710113"/>
    <w:rsid w:val="00720015"/>
    <w:rsid w:val="00752362"/>
    <w:rsid w:val="00760F1C"/>
    <w:rsid w:val="007657F0"/>
    <w:rsid w:val="007D0BBA"/>
    <w:rsid w:val="007D6066"/>
    <w:rsid w:val="007E5DD3"/>
    <w:rsid w:val="007F350B"/>
    <w:rsid w:val="00820BE4"/>
    <w:rsid w:val="00826D6F"/>
    <w:rsid w:val="008451E8"/>
    <w:rsid w:val="0088738D"/>
    <w:rsid w:val="008A6B95"/>
    <w:rsid w:val="008C1552"/>
    <w:rsid w:val="008C1C48"/>
    <w:rsid w:val="008C78E1"/>
    <w:rsid w:val="008E7E76"/>
    <w:rsid w:val="008F78FA"/>
    <w:rsid w:val="009051F1"/>
    <w:rsid w:val="00913B9C"/>
    <w:rsid w:val="00927AB3"/>
    <w:rsid w:val="00941DCA"/>
    <w:rsid w:val="00956E77"/>
    <w:rsid w:val="009A3D0F"/>
    <w:rsid w:val="009B2495"/>
    <w:rsid w:val="009D0084"/>
    <w:rsid w:val="00A22CA9"/>
    <w:rsid w:val="00A5087D"/>
    <w:rsid w:val="00A50DB8"/>
    <w:rsid w:val="00A51898"/>
    <w:rsid w:val="00A565E1"/>
    <w:rsid w:val="00A950A8"/>
    <w:rsid w:val="00AA390C"/>
    <w:rsid w:val="00AB2C2F"/>
    <w:rsid w:val="00AC03FF"/>
    <w:rsid w:val="00AE35E6"/>
    <w:rsid w:val="00B23D9F"/>
    <w:rsid w:val="00B574DB"/>
    <w:rsid w:val="00B826C2"/>
    <w:rsid w:val="00B927AE"/>
    <w:rsid w:val="00BD0723"/>
    <w:rsid w:val="00C20C59"/>
    <w:rsid w:val="00C55B1F"/>
    <w:rsid w:val="00C56B3C"/>
    <w:rsid w:val="00C61C72"/>
    <w:rsid w:val="00CA16EB"/>
    <w:rsid w:val="00CC46D4"/>
    <w:rsid w:val="00CF1A67"/>
    <w:rsid w:val="00D0643B"/>
    <w:rsid w:val="00D57E69"/>
    <w:rsid w:val="00D62446"/>
    <w:rsid w:val="00D641B5"/>
    <w:rsid w:val="00D828B9"/>
    <w:rsid w:val="00DA4EA2"/>
    <w:rsid w:val="00DE2C90"/>
    <w:rsid w:val="00E10702"/>
    <w:rsid w:val="00E26539"/>
    <w:rsid w:val="00E3592D"/>
    <w:rsid w:val="00E53029"/>
    <w:rsid w:val="00E56318"/>
    <w:rsid w:val="00E85B20"/>
    <w:rsid w:val="00E92525"/>
    <w:rsid w:val="00EA187C"/>
    <w:rsid w:val="00ED65AB"/>
    <w:rsid w:val="00F12850"/>
    <w:rsid w:val="00F33BF4"/>
    <w:rsid w:val="00F42A20"/>
    <w:rsid w:val="00F7105E"/>
    <w:rsid w:val="00FA17ED"/>
    <w:rsid w:val="00FA42E4"/>
    <w:rsid w:val="00FC331E"/>
    <w:rsid w:val="00FD1745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8E7E76"/>
    <w:pPr>
      <w:ind w:left="720"/>
      <w:contextualSpacing/>
    </w:pPr>
  </w:style>
  <w:style w:type="character" w:customStyle="1" w:styleId="b1">
    <w:name w:val="b1"/>
    <w:basedOn w:val="DefaultParagraphFont"/>
    <w:rsid w:val="00CA16E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8E7E76"/>
    <w:pPr>
      <w:ind w:left="720"/>
      <w:contextualSpacing/>
    </w:pPr>
  </w:style>
  <w:style w:type="character" w:customStyle="1" w:styleId="b1">
    <w:name w:val="b1"/>
    <w:basedOn w:val="DefaultParagraphFont"/>
    <w:rsid w:val="00CA16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iia.org" TargetMode="External"/><Relationship Id="rId1" Type="http://schemas.openxmlformats.org/officeDocument/2006/relationships/hyperlink" Target="http://www.theii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ba\Application%20Data\Microsoft\Templates\POOL%20S%20-%20ITU\PS_C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97DC-638C-45AC-9259-1094506D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PS_C14.dotm</Template>
  <TotalTime>0</TotalTime>
  <Pages>4</Pages>
  <Words>1705</Words>
  <Characters>8761</Characters>
  <Application>Microsoft Office Word</Application>
  <DocSecurity>4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Nota del Secretario General INFORME DEL AUDITOR INTERNO SOBRE ACTIVIDADES DE AUDITORÍA INTERNA</vt:lpstr>
    </vt:vector>
  </TitlesOfParts>
  <Manager>Secretaría General - Pool</Manager>
  <Company>Unión Internacional de Telecomunicaciones (UIT)</Company>
  <LinksUpToDate>false</LinksUpToDate>
  <CharactersWithSpaces>10446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del Secretario General INFORME DEL AUDITOR INTERNO SOBRE ACTIVIDADES DE AUDITORÍA INTERNA</dc:title>
  <dc:subject>Consejo 2010</dc:subject>
  <dc:creator>Brouard, Ricarda</dc:creator>
  <cp:keywords>C2010, C10</cp:keywords>
  <dc:description>Documento C14/47-S  Para: Punto del orden del día: ADM 15_x000d_Fecha del documento: 18 de marzo de 2014_x000d_Registrado por ITU51007829 a 10:43:14 PM el 4/2/2014</dc:description>
  <cp:lastModifiedBy>Brouard, Ricarda</cp:lastModifiedBy>
  <cp:revision>2</cp:revision>
  <cp:lastPrinted>2014-04-02T20:40:00Z</cp:lastPrinted>
  <dcterms:created xsi:type="dcterms:W3CDTF">2014-04-04T11:25:00Z</dcterms:created>
  <dcterms:modified xsi:type="dcterms:W3CDTF">2014-04-04T11:25:00Z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C14/47-S</vt:lpwstr>
  </property>
  <property fmtid="{D5CDD505-2E9C-101B-9397-08002B2CF9AE}" pid="3" name="Docdate">
    <vt:lpwstr>18 de marzo de 2014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2014 Ginebra, 6-15 de mayo de 2014</vt:lpwstr>
  </property>
  <property fmtid="{D5CDD505-2E9C-101B-9397-08002B2CF9AE}" pid="6" name="Docdest">
    <vt:lpwstr>Punto del orden del día: ADM 15</vt:lpwstr>
  </property>
  <property fmtid="{D5CDD505-2E9C-101B-9397-08002B2CF9AE}" pid="7" name="Docauthor">
    <vt:lpwstr/>
  </property>
</Properties>
</file>