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E1BDA" w:rsidRPr="00351A14" w:rsidTr="00B27013">
        <w:trPr>
          <w:cantSplit/>
        </w:trPr>
        <w:tc>
          <w:tcPr>
            <w:tcW w:w="6911" w:type="dxa"/>
          </w:tcPr>
          <w:p w:rsidR="006E1BDA" w:rsidRPr="00351A14" w:rsidRDefault="006E1BDA" w:rsidP="00B27013">
            <w:pPr>
              <w:spacing w:before="360" w:after="48" w:line="240" w:lineRule="atLeast"/>
              <w:rPr>
                <w:rFonts w:asciiTheme="minorHAnsi" w:hAnsiTheme="minorHAnsi" w:cs="Calibri"/>
                <w:position w:val="6"/>
              </w:rPr>
            </w:pPr>
            <w:bookmarkStart w:id="0" w:name="dc06"/>
            <w:bookmarkEnd w:id="0"/>
            <w:r w:rsidRPr="00351A14">
              <w:rPr>
                <w:rFonts w:asciiTheme="minorHAnsi" w:hAnsiTheme="minorHAnsi" w:cs="Calibri"/>
                <w:b/>
                <w:position w:val="6"/>
                <w:lang w:val="en-US"/>
              </w:rPr>
              <w:t>Council 2014</w:t>
            </w:r>
            <w:r w:rsidRPr="00351A14">
              <w:rPr>
                <w:rFonts w:asciiTheme="minorHAnsi" w:hAnsiTheme="minorHAnsi" w:cs="Calibri"/>
                <w:b/>
                <w:position w:val="6"/>
                <w:lang w:val="en-US"/>
              </w:rPr>
              <w:br/>
            </w:r>
            <w:r w:rsidR="000E53B8">
              <w:rPr>
                <w:rFonts w:asciiTheme="minorHAnsi" w:hAnsiTheme="minorHAnsi" w:cs="Calibri"/>
                <w:b/>
                <w:bCs/>
                <w:position w:val="6"/>
                <w:lang w:val="en-US"/>
              </w:rPr>
              <w:t>Final meeting</w:t>
            </w:r>
            <w:r w:rsidR="00A95234">
              <w:rPr>
                <w:rFonts w:asciiTheme="minorHAnsi" w:hAnsiTheme="minorHAnsi" w:cs="Calibri"/>
                <w:b/>
                <w:bCs/>
                <w:position w:val="6"/>
                <w:lang w:val="en-US"/>
              </w:rPr>
              <w:t>, 18 October</w:t>
            </w:r>
            <w:r w:rsidRPr="00351A14">
              <w:rPr>
                <w:rFonts w:asciiTheme="minorHAnsi" w:hAnsiTheme="minorHAnsi" w:cs="Calibri"/>
                <w:b/>
                <w:bCs/>
                <w:position w:val="6"/>
                <w:lang w:val="en-US"/>
              </w:rPr>
              <w:t xml:space="preserve"> 2014</w:t>
            </w:r>
          </w:p>
        </w:tc>
        <w:tc>
          <w:tcPr>
            <w:tcW w:w="3120" w:type="dxa"/>
          </w:tcPr>
          <w:p w:rsidR="006E1BDA" w:rsidRPr="00351A14" w:rsidRDefault="004538CF" w:rsidP="00B27013">
            <w:pPr>
              <w:spacing w:before="0" w:line="240" w:lineRule="atLeast"/>
              <w:rPr>
                <w:rFonts w:asciiTheme="minorHAnsi" w:hAnsiTheme="minorHAnsi" w:cs="Calibri"/>
              </w:rPr>
            </w:pPr>
            <w:bookmarkStart w:id="1" w:name="ditulogo"/>
            <w:bookmarkEnd w:id="1"/>
            <w:r>
              <w:rPr>
                <w:rFonts w:asciiTheme="minorHAnsi" w:hAnsiTheme="minorHAnsi" w:cs="Calibri"/>
                <w:noProof/>
                <w:lang w:val="en-US" w:eastAsia="zh-CN" w:bidi="ar-SA"/>
              </w:rPr>
              <w:drawing>
                <wp:inline distT="0" distB="0" distL="0" distR="0" wp14:anchorId="5C6CB1A3" wp14:editId="50E79A6C">
                  <wp:extent cx="1760855" cy="74358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0855" cy="743585"/>
                          </a:xfrm>
                          <a:prstGeom prst="rect">
                            <a:avLst/>
                          </a:prstGeom>
                          <a:noFill/>
                          <a:ln>
                            <a:noFill/>
                          </a:ln>
                        </pic:spPr>
                      </pic:pic>
                    </a:graphicData>
                  </a:graphic>
                </wp:inline>
              </w:drawing>
            </w:r>
          </w:p>
        </w:tc>
      </w:tr>
      <w:tr w:rsidR="006E1BDA" w:rsidRPr="00351A14" w:rsidTr="00B27013">
        <w:trPr>
          <w:cantSplit/>
        </w:trPr>
        <w:tc>
          <w:tcPr>
            <w:tcW w:w="6911" w:type="dxa"/>
            <w:tcBorders>
              <w:bottom w:val="single" w:sz="12" w:space="0" w:color="auto"/>
            </w:tcBorders>
          </w:tcPr>
          <w:p w:rsidR="006E1BDA" w:rsidRPr="00351A14" w:rsidRDefault="006E1BDA" w:rsidP="00B27013">
            <w:pPr>
              <w:spacing w:before="0" w:after="48" w:line="240" w:lineRule="atLeast"/>
              <w:rPr>
                <w:rFonts w:asciiTheme="minorHAnsi" w:hAnsiTheme="minorHAnsi" w:cs="Calibri"/>
                <w:b/>
                <w:smallCaps/>
              </w:rPr>
            </w:pPr>
          </w:p>
        </w:tc>
        <w:tc>
          <w:tcPr>
            <w:tcW w:w="3120" w:type="dxa"/>
            <w:tcBorders>
              <w:bottom w:val="single" w:sz="12" w:space="0" w:color="auto"/>
            </w:tcBorders>
          </w:tcPr>
          <w:p w:rsidR="006E1BDA" w:rsidRPr="00351A14" w:rsidRDefault="006E1BDA" w:rsidP="00B27013">
            <w:pPr>
              <w:spacing w:before="0" w:line="240" w:lineRule="atLeast"/>
              <w:rPr>
                <w:rFonts w:asciiTheme="minorHAnsi" w:hAnsiTheme="minorHAnsi" w:cs="Calibri"/>
              </w:rPr>
            </w:pPr>
          </w:p>
        </w:tc>
      </w:tr>
      <w:tr w:rsidR="006E1BDA" w:rsidRPr="00351A14" w:rsidTr="00B27013">
        <w:trPr>
          <w:cantSplit/>
        </w:trPr>
        <w:tc>
          <w:tcPr>
            <w:tcW w:w="6911" w:type="dxa"/>
            <w:tcBorders>
              <w:top w:val="single" w:sz="12" w:space="0" w:color="auto"/>
            </w:tcBorders>
          </w:tcPr>
          <w:p w:rsidR="006E1BDA" w:rsidRPr="00351A14" w:rsidRDefault="006E1BDA" w:rsidP="00B27013">
            <w:pPr>
              <w:spacing w:before="0" w:after="48" w:line="240" w:lineRule="atLeast"/>
              <w:rPr>
                <w:rFonts w:asciiTheme="minorHAnsi" w:hAnsiTheme="minorHAnsi" w:cs="Calibri"/>
                <w:b/>
                <w:smallCaps/>
              </w:rPr>
            </w:pPr>
          </w:p>
        </w:tc>
        <w:tc>
          <w:tcPr>
            <w:tcW w:w="3120" w:type="dxa"/>
            <w:tcBorders>
              <w:top w:val="single" w:sz="12" w:space="0" w:color="auto"/>
            </w:tcBorders>
          </w:tcPr>
          <w:p w:rsidR="006E1BDA" w:rsidRPr="00351A14" w:rsidRDefault="006E1BDA" w:rsidP="00B27013">
            <w:pPr>
              <w:spacing w:before="0" w:line="240" w:lineRule="atLeast"/>
              <w:rPr>
                <w:rFonts w:asciiTheme="minorHAnsi" w:hAnsiTheme="minorHAnsi" w:cs="Calibri"/>
              </w:rPr>
            </w:pPr>
          </w:p>
        </w:tc>
      </w:tr>
      <w:tr w:rsidR="006E1BDA" w:rsidRPr="00351A14" w:rsidTr="00B27013">
        <w:trPr>
          <w:cantSplit/>
          <w:trHeight w:val="23"/>
        </w:trPr>
        <w:tc>
          <w:tcPr>
            <w:tcW w:w="6911" w:type="dxa"/>
            <w:vMerge w:val="restart"/>
          </w:tcPr>
          <w:p w:rsidR="006E1BDA" w:rsidRPr="00351A14" w:rsidRDefault="006E1BDA" w:rsidP="00B27013">
            <w:pPr>
              <w:tabs>
                <w:tab w:val="left" w:pos="851"/>
              </w:tabs>
              <w:spacing w:before="0" w:line="240" w:lineRule="atLeast"/>
              <w:rPr>
                <w:rFonts w:asciiTheme="minorHAnsi" w:hAnsiTheme="minorHAnsi" w:cs="Calibri"/>
                <w:b/>
              </w:rPr>
            </w:pPr>
            <w:bookmarkStart w:id="2" w:name="dmeeting" w:colFirst="0" w:colLast="0"/>
            <w:bookmarkStart w:id="3" w:name="dnum" w:colFirst="1" w:colLast="1"/>
            <w:r w:rsidRPr="00351A14">
              <w:rPr>
                <w:rFonts w:asciiTheme="minorHAnsi" w:hAnsiTheme="minorHAnsi" w:cs="Calibri"/>
                <w:b/>
              </w:rPr>
              <w:t xml:space="preserve"> </w:t>
            </w:r>
          </w:p>
        </w:tc>
        <w:tc>
          <w:tcPr>
            <w:tcW w:w="3120" w:type="dxa"/>
          </w:tcPr>
          <w:p w:rsidR="006E1BDA" w:rsidRPr="00351A14" w:rsidRDefault="00BD25A3" w:rsidP="00BD25A3">
            <w:pPr>
              <w:tabs>
                <w:tab w:val="left" w:pos="851"/>
              </w:tabs>
              <w:spacing w:before="0" w:line="240" w:lineRule="atLeast"/>
              <w:rPr>
                <w:rFonts w:asciiTheme="minorHAnsi" w:hAnsiTheme="minorHAnsi" w:cs="Calibri"/>
                <w:b/>
              </w:rPr>
            </w:pPr>
            <w:r>
              <w:rPr>
                <w:rFonts w:asciiTheme="minorHAnsi" w:hAnsiTheme="minorHAnsi" w:cs="Calibri"/>
                <w:b/>
              </w:rPr>
              <w:t>Addendum 1 to</w:t>
            </w:r>
            <w:r>
              <w:rPr>
                <w:rFonts w:asciiTheme="minorHAnsi" w:hAnsiTheme="minorHAnsi" w:cs="Calibri"/>
                <w:b/>
              </w:rPr>
              <w:br/>
            </w:r>
            <w:r w:rsidR="00A95234">
              <w:rPr>
                <w:rFonts w:asciiTheme="minorHAnsi" w:hAnsiTheme="minorHAnsi" w:cs="Calibri"/>
                <w:b/>
              </w:rPr>
              <w:t>Document C14/</w:t>
            </w:r>
            <w:r>
              <w:rPr>
                <w:rFonts w:asciiTheme="minorHAnsi" w:hAnsiTheme="minorHAnsi" w:cs="Calibri"/>
                <w:b/>
              </w:rPr>
              <w:t>22</w:t>
            </w:r>
            <w:r w:rsidR="006E1BDA" w:rsidRPr="00351A14">
              <w:rPr>
                <w:rFonts w:asciiTheme="minorHAnsi" w:hAnsiTheme="minorHAnsi" w:cs="Calibri"/>
                <w:b/>
              </w:rPr>
              <w:t>-E</w:t>
            </w:r>
          </w:p>
        </w:tc>
      </w:tr>
      <w:tr w:rsidR="006E1BDA" w:rsidRPr="00351A14" w:rsidTr="00B27013">
        <w:trPr>
          <w:cantSplit/>
          <w:trHeight w:val="23"/>
        </w:trPr>
        <w:tc>
          <w:tcPr>
            <w:tcW w:w="6911" w:type="dxa"/>
            <w:vMerge/>
          </w:tcPr>
          <w:p w:rsidR="006E1BDA" w:rsidRPr="00351A14" w:rsidRDefault="006E1BDA" w:rsidP="00B27013">
            <w:pPr>
              <w:tabs>
                <w:tab w:val="left" w:pos="851"/>
              </w:tabs>
              <w:spacing w:line="240" w:lineRule="atLeast"/>
              <w:rPr>
                <w:rFonts w:asciiTheme="minorHAnsi" w:hAnsiTheme="minorHAnsi" w:cs="Calibri"/>
                <w:b/>
              </w:rPr>
            </w:pPr>
            <w:bookmarkStart w:id="4" w:name="ddate" w:colFirst="1" w:colLast="1"/>
            <w:bookmarkEnd w:id="2"/>
            <w:bookmarkEnd w:id="3"/>
          </w:p>
        </w:tc>
        <w:tc>
          <w:tcPr>
            <w:tcW w:w="3120" w:type="dxa"/>
          </w:tcPr>
          <w:p w:rsidR="006E1BDA" w:rsidRPr="00351A14" w:rsidRDefault="00C02B62" w:rsidP="00B27013">
            <w:pPr>
              <w:tabs>
                <w:tab w:val="left" w:pos="993"/>
              </w:tabs>
              <w:spacing w:before="0"/>
              <w:rPr>
                <w:rFonts w:asciiTheme="minorHAnsi" w:hAnsiTheme="minorHAnsi" w:cs="Calibri"/>
                <w:b/>
              </w:rPr>
            </w:pPr>
            <w:r>
              <w:rPr>
                <w:rFonts w:asciiTheme="minorHAnsi" w:hAnsiTheme="minorHAnsi" w:cs="Calibri"/>
                <w:b/>
              </w:rPr>
              <w:t>29</w:t>
            </w:r>
            <w:r w:rsidR="00A95234">
              <w:rPr>
                <w:rFonts w:asciiTheme="minorHAnsi" w:hAnsiTheme="minorHAnsi" w:cs="Calibri"/>
                <w:b/>
              </w:rPr>
              <w:t xml:space="preserve"> August</w:t>
            </w:r>
            <w:r w:rsidR="006E1BDA" w:rsidRPr="00351A14">
              <w:rPr>
                <w:rFonts w:asciiTheme="minorHAnsi" w:hAnsiTheme="minorHAnsi" w:cs="Calibri"/>
                <w:b/>
              </w:rPr>
              <w:t xml:space="preserve"> 2014</w:t>
            </w:r>
          </w:p>
        </w:tc>
      </w:tr>
      <w:tr w:rsidR="006E1BDA" w:rsidRPr="00351A14" w:rsidTr="00B27013">
        <w:trPr>
          <w:cantSplit/>
          <w:trHeight w:val="23"/>
        </w:trPr>
        <w:tc>
          <w:tcPr>
            <w:tcW w:w="6911" w:type="dxa"/>
            <w:vMerge/>
          </w:tcPr>
          <w:p w:rsidR="006E1BDA" w:rsidRPr="00351A14" w:rsidRDefault="006E1BDA" w:rsidP="00B27013">
            <w:pPr>
              <w:tabs>
                <w:tab w:val="left" w:pos="851"/>
              </w:tabs>
              <w:spacing w:line="240" w:lineRule="atLeast"/>
              <w:rPr>
                <w:rFonts w:asciiTheme="minorHAnsi" w:hAnsiTheme="minorHAnsi" w:cs="Calibri"/>
                <w:b/>
              </w:rPr>
            </w:pPr>
            <w:bookmarkStart w:id="5" w:name="dorlang" w:colFirst="1" w:colLast="1"/>
            <w:bookmarkEnd w:id="4"/>
          </w:p>
        </w:tc>
        <w:tc>
          <w:tcPr>
            <w:tcW w:w="3120" w:type="dxa"/>
          </w:tcPr>
          <w:p w:rsidR="006E1BDA" w:rsidRPr="00351A14" w:rsidRDefault="006E1BDA" w:rsidP="00B27013">
            <w:pPr>
              <w:tabs>
                <w:tab w:val="left" w:pos="993"/>
              </w:tabs>
              <w:spacing w:before="0"/>
              <w:rPr>
                <w:rFonts w:asciiTheme="minorHAnsi" w:hAnsiTheme="minorHAnsi" w:cs="Calibri"/>
                <w:b/>
              </w:rPr>
            </w:pPr>
            <w:r w:rsidRPr="00351A14">
              <w:rPr>
                <w:rFonts w:asciiTheme="minorHAnsi" w:hAnsiTheme="minorHAnsi" w:cs="Calibri"/>
                <w:b/>
              </w:rPr>
              <w:t>Original: English</w:t>
            </w:r>
          </w:p>
        </w:tc>
      </w:tr>
      <w:tr w:rsidR="006E1BDA" w:rsidRPr="00351A14" w:rsidTr="00B27013">
        <w:trPr>
          <w:cantSplit/>
        </w:trPr>
        <w:tc>
          <w:tcPr>
            <w:tcW w:w="10031" w:type="dxa"/>
            <w:gridSpan w:val="2"/>
          </w:tcPr>
          <w:p w:rsidR="00A2160A" w:rsidRDefault="00A2160A" w:rsidP="00B27013">
            <w:pPr>
              <w:pStyle w:val="Source"/>
              <w:rPr>
                <w:rFonts w:asciiTheme="minorHAnsi" w:hAnsiTheme="minorHAnsi" w:cs="Calibri"/>
                <w:sz w:val="24"/>
                <w:szCs w:val="24"/>
              </w:rPr>
            </w:pPr>
            <w:bookmarkStart w:id="6" w:name="dsource" w:colFirst="0" w:colLast="0"/>
            <w:bookmarkEnd w:id="5"/>
          </w:p>
          <w:p w:rsidR="006E1BDA" w:rsidRPr="00596643" w:rsidRDefault="006E1BDA" w:rsidP="00B27013">
            <w:pPr>
              <w:pStyle w:val="Source"/>
              <w:rPr>
                <w:rFonts w:asciiTheme="minorHAnsi" w:hAnsiTheme="minorHAnsi" w:cs="Calibri"/>
              </w:rPr>
            </w:pPr>
            <w:r w:rsidRPr="00596643">
              <w:rPr>
                <w:rFonts w:asciiTheme="minorHAnsi" w:hAnsiTheme="minorHAnsi" w:cs="Calibri"/>
              </w:rPr>
              <w:t>Note by the Secretary-General</w:t>
            </w:r>
          </w:p>
        </w:tc>
      </w:tr>
      <w:bookmarkEnd w:id="6"/>
      <w:tr w:rsidR="006E1BDA" w:rsidRPr="00351A14" w:rsidTr="00B27013">
        <w:trPr>
          <w:cantSplit/>
        </w:trPr>
        <w:tc>
          <w:tcPr>
            <w:tcW w:w="10031" w:type="dxa"/>
            <w:gridSpan w:val="2"/>
          </w:tcPr>
          <w:p w:rsidR="00E07DA5" w:rsidRDefault="00E07DA5" w:rsidP="00A95234">
            <w:pPr>
              <w:jc w:val="center"/>
            </w:pPr>
          </w:p>
          <w:p w:rsidR="00A95234" w:rsidRPr="00596643" w:rsidRDefault="00CE74B7" w:rsidP="00A95234">
            <w:pPr>
              <w:jc w:val="center"/>
              <w:rPr>
                <w:sz w:val="28"/>
                <w:szCs w:val="28"/>
              </w:rPr>
            </w:pPr>
            <w:r w:rsidRPr="00596643">
              <w:rPr>
                <w:sz w:val="28"/>
                <w:szCs w:val="28"/>
              </w:rPr>
              <w:t>SUPPLEMENTARY</w:t>
            </w:r>
            <w:r w:rsidR="00BD25A3" w:rsidRPr="00596643">
              <w:rPr>
                <w:sz w:val="28"/>
                <w:szCs w:val="28"/>
              </w:rPr>
              <w:t xml:space="preserve"> REPORT OF THE</w:t>
            </w:r>
            <w:r w:rsidR="00A95234" w:rsidRPr="00596643">
              <w:rPr>
                <w:sz w:val="28"/>
                <w:szCs w:val="28"/>
              </w:rPr>
              <w:br/>
              <w:t>INDEPENDENT MANAGEMENT ADVISORY COMMITTEE (IMAC)</w:t>
            </w:r>
          </w:p>
          <w:p w:rsidR="00A95234" w:rsidRPr="00A95234" w:rsidRDefault="00A95234" w:rsidP="00A95234"/>
        </w:tc>
      </w:tr>
    </w:tbl>
    <w:p w:rsidR="00F22459" w:rsidRPr="00822C63" w:rsidRDefault="00F22459" w:rsidP="004C2773">
      <w:pPr>
        <w:tabs>
          <w:tab w:val="clear" w:pos="567"/>
          <w:tab w:val="clear" w:pos="1134"/>
          <w:tab w:val="clear" w:pos="1701"/>
          <w:tab w:val="clear" w:pos="2268"/>
          <w:tab w:val="clear" w:pos="2835"/>
          <w:tab w:val="left" w:pos="1065"/>
        </w:tabs>
        <w:spacing w:before="0"/>
        <w:rPr>
          <w:rFonts w:asciiTheme="minorHAnsi" w:hAnsiTheme="minorHAnsi"/>
          <w:vanish/>
        </w:rPr>
      </w:pPr>
    </w:p>
    <w:p w:rsidR="00F22459" w:rsidRPr="00822C63" w:rsidRDefault="00BD7DF8" w:rsidP="006E1BDA">
      <w:pPr>
        <w:tabs>
          <w:tab w:val="clear" w:pos="567"/>
          <w:tab w:val="clear" w:pos="1134"/>
          <w:tab w:val="clear" w:pos="1701"/>
          <w:tab w:val="clear" w:pos="2268"/>
          <w:tab w:val="clear" w:pos="2835"/>
        </w:tabs>
        <w:spacing w:before="1680" w:after="200" w:line="276" w:lineRule="auto"/>
        <w:rPr>
          <w:rFonts w:asciiTheme="minorHAnsi" w:hAnsiTheme="minorHAnsi"/>
          <w:b/>
          <w:lang w:val="en-US" w:eastAsia="zh-CN"/>
        </w:rPr>
      </w:pPr>
      <w:r w:rsidRPr="00822C63">
        <w:rPr>
          <w:rFonts w:asciiTheme="minorHAnsi" w:hAnsiTheme="minorHAnsi"/>
          <w:lang w:val="en-US" w:eastAsia="zh-CN"/>
        </w:rPr>
        <w:t xml:space="preserve">I have the </w:t>
      </w:r>
      <w:r w:rsidRPr="00822C63">
        <w:rPr>
          <w:rFonts w:asciiTheme="minorHAnsi" w:hAnsiTheme="minorHAnsi"/>
          <w:lang w:eastAsia="zh-CN"/>
        </w:rPr>
        <w:t>honour</w:t>
      </w:r>
      <w:r w:rsidRPr="00822C63">
        <w:rPr>
          <w:rFonts w:asciiTheme="minorHAnsi" w:hAnsiTheme="minorHAnsi"/>
          <w:lang w:val="en-US" w:eastAsia="zh-CN"/>
        </w:rPr>
        <w:t xml:space="preserve"> to transmit to the Member States of the Council a report from the Chairman of the Independent Management Advisory Committee (IMAC).</w:t>
      </w:r>
    </w:p>
    <w:p w:rsidR="00F22459" w:rsidRPr="00822C63" w:rsidRDefault="00BD7DF8" w:rsidP="006E1BDA">
      <w:pPr>
        <w:tabs>
          <w:tab w:val="clear" w:pos="567"/>
          <w:tab w:val="clear" w:pos="1134"/>
          <w:tab w:val="clear" w:pos="1701"/>
          <w:tab w:val="clear" w:pos="2268"/>
          <w:tab w:val="clear" w:pos="2835"/>
          <w:tab w:val="center" w:pos="7088"/>
        </w:tabs>
        <w:spacing w:before="840" w:line="276" w:lineRule="auto"/>
        <w:rPr>
          <w:rFonts w:asciiTheme="minorHAnsi" w:hAnsiTheme="minorHAnsi"/>
          <w:lang w:val="es-ES" w:eastAsia="zh-CN"/>
        </w:rPr>
      </w:pPr>
      <w:r w:rsidRPr="00822C63">
        <w:rPr>
          <w:rFonts w:asciiTheme="minorHAnsi" w:hAnsiTheme="minorHAnsi"/>
          <w:lang w:val="en-US" w:eastAsia="zh-CN"/>
        </w:rPr>
        <w:tab/>
      </w:r>
      <w:r w:rsidRPr="00822C63">
        <w:rPr>
          <w:rFonts w:asciiTheme="minorHAnsi" w:hAnsiTheme="minorHAnsi"/>
          <w:lang w:val="es-ES" w:eastAsia="zh-CN"/>
        </w:rPr>
        <w:t>Dr Hamadoun I. TOURÉ</w:t>
      </w:r>
      <w:r w:rsidRPr="00822C63">
        <w:rPr>
          <w:rFonts w:asciiTheme="minorHAnsi" w:hAnsiTheme="minorHAnsi"/>
          <w:lang w:val="es-ES" w:eastAsia="zh-CN"/>
        </w:rPr>
        <w:br/>
      </w:r>
      <w:r w:rsidRPr="00822C63">
        <w:rPr>
          <w:rFonts w:asciiTheme="minorHAnsi" w:hAnsiTheme="minorHAnsi"/>
          <w:lang w:val="es-ES" w:eastAsia="zh-CN"/>
        </w:rPr>
        <w:tab/>
        <w:t>Secretary-General</w:t>
      </w:r>
    </w:p>
    <w:p w:rsidR="00F22459" w:rsidRPr="00351A14" w:rsidRDefault="00BD7DF8" w:rsidP="001D1AE3">
      <w:pPr>
        <w:jc w:val="center"/>
        <w:rPr>
          <w:rFonts w:asciiTheme="minorHAnsi" w:hAnsiTheme="minorHAnsi"/>
          <w:sz w:val="28"/>
          <w:lang w:val="en-US"/>
        </w:rPr>
      </w:pPr>
      <w:r w:rsidRPr="00822C63">
        <w:rPr>
          <w:rFonts w:asciiTheme="minorHAnsi" w:hAnsiTheme="minorHAnsi"/>
          <w:lang w:val="es-ES"/>
        </w:rPr>
        <w:br w:type="page"/>
      </w:r>
      <w:r w:rsidR="001D1AE3">
        <w:rPr>
          <w:rFonts w:asciiTheme="minorHAnsi" w:hAnsiTheme="minorHAnsi"/>
          <w:sz w:val="28"/>
          <w:lang w:val="en-US"/>
        </w:rPr>
        <w:lastRenderedPageBreak/>
        <w:t xml:space="preserve">SUPPLEMENTARY REPORT </w:t>
      </w:r>
      <w:r w:rsidR="00BD25A3">
        <w:rPr>
          <w:rFonts w:asciiTheme="minorHAnsi" w:hAnsiTheme="minorHAnsi"/>
          <w:sz w:val="28"/>
          <w:lang w:val="en-US"/>
        </w:rPr>
        <w:t>OF THE</w:t>
      </w:r>
      <w:r w:rsidRPr="00351A14">
        <w:rPr>
          <w:rFonts w:asciiTheme="minorHAnsi" w:hAnsiTheme="minorHAnsi"/>
          <w:sz w:val="28"/>
          <w:lang w:val="en-US"/>
        </w:rPr>
        <w:br/>
        <w:t>INDEPENDENT MANAGEMENT ADVISORY COMMITTEE (IMAC)</w:t>
      </w:r>
    </w:p>
    <w:p w:rsidR="00F22459" w:rsidRPr="00351A14" w:rsidRDefault="00F22459" w:rsidP="00822C63">
      <w:pPr>
        <w:spacing w:before="240"/>
        <w:rPr>
          <w:rFonts w:asciiTheme="minorHAnsi" w:hAnsiTheme="minorHAnsi"/>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1"/>
      </w:tblGrid>
      <w:tr w:rsidR="00F22459" w:rsidRPr="00351A14">
        <w:trPr>
          <w:trHeight w:val="3372"/>
          <w:jc w:val="center"/>
        </w:trPr>
        <w:tc>
          <w:tcPr>
            <w:tcW w:w="8541" w:type="dxa"/>
            <w:tcBorders>
              <w:top w:val="single" w:sz="12" w:space="0" w:color="auto"/>
              <w:left w:val="single" w:sz="12" w:space="0" w:color="auto"/>
              <w:bottom w:val="single" w:sz="12" w:space="0" w:color="auto"/>
              <w:right w:val="single" w:sz="12" w:space="0" w:color="auto"/>
            </w:tcBorders>
          </w:tcPr>
          <w:p w:rsidR="00E07DA5" w:rsidRPr="00E07DA5" w:rsidRDefault="00BD7DF8" w:rsidP="00E07DA5">
            <w:pPr>
              <w:pStyle w:val="Headingb"/>
              <w:tabs>
                <w:tab w:val="left" w:pos="567"/>
                <w:tab w:val="left" w:pos="1134"/>
                <w:tab w:val="left" w:pos="1701"/>
                <w:tab w:val="left" w:pos="2268"/>
                <w:tab w:val="left" w:pos="2835"/>
              </w:tabs>
              <w:spacing w:before="120" w:after="120"/>
            </w:pPr>
            <w:r w:rsidRPr="00351A14">
              <w:rPr>
                <w:rFonts w:asciiTheme="minorHAnsi" w:hAnsiTheme="minorHAnsi"/>
                <w:sz w:val="22"/>
              </w:rPr>
              <w:t>Summary</w:t>
            </w:r>
          </w:p>
          <w:p w:rsidR="00185532" w:rsidRPr="00185532" w:rsidRDefault="000608BA" w:rsidP="001D1AE3">
            <w:pPr>
              <w:spacing w:after="120"/>
              <w:jc w:val="both"/>
              <w:rPr>
                <w:rFonts w:asciiTheme="minorHAnsi" w:hAnsiTheme="minorHAnsi"/>
                <w:sz w:val="22"/>
              </w:rPr>
            </w:pPr>
            <w:r>
              <w:rPr>
                <w:rFonts w:asciiTheme="minorHAnsi" w:hAnsiTheme="minorHAnsi"/>
                <w:sz w:val="22"/>
              </w:rPr>
              <w:t>This document presents a supplement</w:t>
            </w:r>
            <w:r w:rsidR="001D1AE3">
              <w:rPr>
                <w:rFonts w:asciiTheme="minorHAnsi" w:hAnsiTheme="minorHAnsi"/>
                <w:sz w:val="22"/>
              </w:rPr>
              <w:t xml:space="preserve"> </w:t>
            </w:r>
            <w:r w:rsidR="00E07DA5">
              <w:rPr>
                <w:rFonts w:asciiTheme="minorHAnsi" w:hAnsiTheme="minorHAnsi"/>
                <w:sz w:val="22"/>
              </w:rPr>
              <w:t xml:space="preserve">to </w:t>
            </w:r>
            <w:r w:rsidR="001D1AE3">
              <w:rPr>
                <w:rFonts w:asciiTheme="minorHAnsi" w:hAnsiTheme="minorHAnsi"/>
                <w:sz w:val="22"/>
              </w:rPr>
              <w:t xml:space="preserve">the </w:t>
            </w:r>
            <w:r w:rsidR="00E07DA5">
              <w:rPr>
                <w:rFonts w:asciiTheme="minorHAnsi" w:hAnsiTheme="minorHAnsi"/>
                <w:sz w:val="22"/>
              </w:rPr>
              <w:t>IMAC’s</w:t>
            </w:r>
            <w:r>
              <w:rPr>
                <w:rFonts w:asciiTheme="minorHAnsi" w:hAnsiTheme="minorHAnsi"/>
                <w:sz w:val="22"/>
              </w:rPr>
              <w:t xml:space="preserve"> </w:t>
            </w:r>
            <w:r w:rsidR="00E07DA5">
              <w:rPr>
                <w:rFonts w:asciiTheme="minorHAnsi" w:hAnsiTheme="minorHAnsi"/>
                <w:sz w:val="22"/>
              </w:rPr>
              <w:t>Third Annual Report</w:t>
            </w:r>
            <w:r w:rsidR="00891125">
              <w:rPr>
                <w:rFonts w:asciiTheme="minorHAnsi" w:hAnsiTheme="minorHAnsi"/>
                <w:sz w:val="22"/>
              </w:rPr>
              <w:t>.</w:t>
            </w:r>
            <w:r w:rsidR="00E07DA5">
              <w:rPr>
                <w:rFonts w:asciiTheme="minorHAnsi" w:hAnsiTheme="minorHAnsi"/>
                <w:sz w:val="22"/>
              </w:rPr>
              <w:t xml:space="preserve"> </w:t>
            </w:r>
            <w:r w:rsidR="00185532">
              <w:rPr>
                <w:rFonts w:asciiTheme="minorHAnsi" w:hAnsiTheme="minorHAnsi"/>
                <w:sz w:val="22"/>
              </w:rPr>
              <w:t xml:space="preserve">It </w:t>
            </w:r>
            <w:r w:rsidR="00E07DA5">
              <w:rPr>
                <w:rFonts w:asciiTheme="minorHAnsi" w:hAnsiTheme="minorHAnsi"/>
                <w:sz w:val="22"/>
              </w:rPr>
              <w:t xml:space="preserve">is </w:t>
            </w:r>
            <w:r w:rsidR="00185532" w:rsidRPr="00185532">
              <w:rPr>
                <w:rFonts w:asciiTheme="minorHAnsi" w:hAnsiTheme="minorHAnsi"/>
                <w:sz w:val="22"/>
              </w:rPr>
              <w:t>submitted to the ITU Council for its final meeting in October 2014, to fulfil the Committee’s specific responsibility to advise the Council on issues arising from the audited financial statements of ITU and reports produced by the external auditor; and to support and inform the Council’s consideration of the financial statements and external audit report for 2013.</w:t>
            </w:r>
          </w:p>
          <w:p w:rsidR="00F22459" w:rsidRPr="00351A14" w:rsidRDefault="00185532" w:rsidP="00E07DA5">
            <w:pPr>
              <w:spacing w:after="120"/>
              <w:jc w:val="both"/>
              <w:rPr>
                <w:rFonts w:asciiTheme="minorHAnsi" w:hAnsiTheme="minorHAnsi"/>
                <w:sz w:val="22"/>
              </w:rPr>
            </w:pPr>
            <w:r w:rsidRPr="00185532">
              <w:rPr>
                <w:rFonts w:asciiTheme="minorHAnsi" w:hAnsiTheme="minorHAnsi"/>
                <w:sz w:val="22"/>
              </w:rPr>
              <w:t xml:space="preserve">This supplementary report also provides comment and advice to </w:t>
            </w:r>
            <w:r w:rsidR="00BD25A3">
              <w:rPr>
                <w:rFonts w:asciiTheme="minorHAnsi" w:hAnsiTheme="minorHAnsi"/>
                <w:sz w:val="22"/>
              </w:rPr>
              <w:t xml:space="preserve">the </w:t>
            </w:r>
            <w:r w:rsidRPr="00185532">
              <w:rPr>
                <w:rFonts w:asciiTheme="minorHAnsi" w:hAnsiTheme="minorHAnsi"/>
                <w:sz w:val="22"/>
              </w:rPr>
              <w:t>Council on an additional matter concerning the procedure for the Council’s formal consideration of IMAC reports and recommendations.</w:t>
            </w:r>
            <w:r w:rsidR="00BD7DF8" w:rsidRPr="00351A14">
              <w:rPr>
                <w:rFonts w:asciiTheme="minorHAnsi" w:hAnsiTheme="minorHAnsi"/>
                <w:sz w:val="22"/>
              </w:rPr>
              <w:t xml:space="preserve"> </w:t>
            </w:r>
          </w:p>
          <w:p w:rsidR="00F22459" w:rsidRPr="00351A14" w:rsidRDefault="00BD7DF8" w:rsidP="00891125">
            <w:pPr>
              <w:pStyle w:val="Headingb"/>
              <w:tabs>
                <w:tab w:val="left" w:pos="567"/>
                <w:tab w:val="left" w:pos="1134"/>
                <w:tab w:val="left" w:pos="1701"/>
                <w:tab w:val="left" w:pos="2268"/>
                <w:tab w:val="left" w:pos="2835"/>
              </w:tabs>
              <w:spacing w:before="120" w:after="120"/>
              <w:ind w:left="0" w:firstLine="0"/>
              <w:jc w:val="both"/>
              <w:rPr>
                <w:rFonts w:asciiTheme="minorHAnsi" w:hAnsiTheme="minorHAnsi"/>
                <w:sz w:val="22"/>
              </w:rPr>
            </w:pPr>
            <w:r w:rsidRPr="00351A14">
              <w:rPr>
                <w:rFonts w:asciiTheme="minorHAnsi" w:hAnsiTheme="minorHAnsi"/>
                <w:sz w:val="22"/>
              </w:rPr>
              <w:t>Action required</w:t>
            </w:r>
          </w:p>
          <w:p w:rsidR="00F22459" w:rsidRPr="00351A14" w:rsidRDefault="00BD7DF8" w:rsidP="0091218E">
            <w:pPr>
              <w:spacing w:after="120"/>
              <w:jc w:val="both"/>
              <w:rPr>
                <w:rFonts w:asciiTheme="minorHAnsi" w:hAnsiTheme="minorHAnsi"/>
                <w:sz w:val="22"/>
              </w:rPr>
            </w:pPr>
            <w:r w:rsidRPr="00351A14">
              <w:rPr>
                <w:rFonts w:asciiTheme="minorHAnsi" w:hAnsiTheme="minorHAnsi"/>
                <w:sz w:val="22"/>
              </w:rPr>
              <w:t xml:space="preserve">The Council is invited </w:t>
            </w:r>
            <w:r w:rsidRPr="0091218E">
              <w:rPr>
                <w:rFonts w:asciiTheme="minorHAnsi" w:hAnsiTheme="minorHAnsi"/>
                <w:b/>
                <w:sz w:val="22"/>
              </w:rPr>
              <w:t xml:space="preserve">to </w:t>
            </w:r>
            <w:r w:rsidR="0091218E" w:rsidRPr="0091218E">
              <w:rPr>
                <w:rFonts w:asciiTheme="minorHAnsi" w:hAnsiTheme="minorHAnsi"/>
                <w:b/>
                <w:sz w:val="22"/>
              </w:rPr>
              <w:t>endorse</w:t>
            </w:r>
            <w:r w:rsidR="00E07DA5" w:rsidRPr="00E07DA5">
              <w:rPr>
                <w:rFonts w:asciiTheme="minorHAnsi" w:hAnsiTheme="minorHAnsi"/>
                <w:b/>
                <w:i/>
                <w:iCs/>
                <w:sz w:val="22"/>
              </w:rPr>
              <w:t xml:space="preserve"> </w:t>
            </w:r>
            <w:r w:rsidR="00E07DA5">
              <w:rPr>
                <w:rFonts w:asciiTheme="minorHAnsi" w:hAnsiTheme="minorHAnsi"/>
                <w:sz w:val="22"/>
              </w:rPr>
              <w:t>the supplementary IMAC report</w:t>
            </w:r>
            <w:r w:rsidRPr="00351A14">
              <w:rPr>
                <w:rFonts w:asciiTheme="minorHAnsi" w:hAnsiTheme="minorHAnsi"/>
                <w:sz w:val="22"/>
              </w:rPr>
              <w:t>.</w:t>
            </w:r>
          </w:p>
          <w:p w:rsidR="00F22459" w:rsidRPr="00351A14" w:rsidRDefault="00BD7DF8" w:rsidP="006E1BDA">
            <w:pPr>
              <w:spacing w:after="120"/>
              <w:jc w:val="center"/>
              <w:rPr>
                <w:rFonts w:asciiTheme="minorHAnsi" w:hAnsiTheme="minorHAnsi"/>
                <w:caps/>
                <w:sz w:val="22"/>
              </w:rPr>
            </w:pPr>
            <w:r w:rsidRPr="00351A14">
              <w:rPr>
                <w:rFonts w:asciiTheme="minorHAnsi" w:hAnsiTheme="minorHAnsi"/>
                <w:caps/>
                <w:sz w:val="22"/>
              </w:rPr>
              <w:t>____________</w:t>
            </w:r>
          </w:p>
          <w:p w:rsidR="00F22459" w:rsidRPr="00351A14" w:rsidRDefault="00BD7DF8" w:rsidP="006E1BDA">
            <w:pPr>
              <w:pStyle w:val="Headingb"/>
              <w:tabs>
                <w:tab w:val="left" w:pos="567"/>
                <w:tab w:val="left" w:pos="1134"/>
                <w:tab w:val="left" w:pos="1701"/>
                <w:tab w:val="left" w:pos="2268"/>
                <w:tab w:val="left" w:pos="2835"/>
              </w:tabs>
              <w:spacing w:before="120" w:after="120"/>
              <w:rPr>
                <w:rFonts w:asciiTheme="minorHAnsi" w:hAnsiTheme="minorHAnsi"/>
                <w:sz w:val="22"/>
              </w:rPr>
            </w:pPr>
            <w:r w:rsidRPr="00351A14">
              <w:rPr>
                <w:rFonts w:asciiTheme="minorHAnsi" w:hAnsiTheme="minorHAnsi"/>
                <w:sz w:val="22"/>
              </w:rPr>
              <w:t>References</w:t>
            </w:r>
          </w:p>
          <w:p w:rsidR="00F22459" w:rsidRPr="00351A14" w:rsidRDefault="00511CC7" w:rsidP="00822C63">
            <w:pPr>
              <w:spacing w:after="120"/>
              <w:jc w:val="both"/>
              <w:rPr>
                <w:rFonts w:asciiTheme="minorHAnsi" w:hAnsiTheme="minorHAnsi"/>
                <w:i/>
                <w:sz w:val="22"/>
              </w:rPr>
            </w:pPr>
            <w:hyperlink r:id="rId9" w:anchor="res162" w:history="1">
              <w:r w:rsidR="00BD7DF8" w:rsidRPr="00351A14">
                <w:rPr>
                  <w:rStyle w:val="Hyperlink"/>
                  <w:rFonts w:asciiTheme="minorHAnsi" w:hAnsiTheme="minorHAnsi"/>
                  <w:sz w:val="22"/>
                </w:rPr>
                <w:t>Resolution 162</w:t>
              </w:r>
            </w:hyperlink>
            <w:r w:rsidR="00BD7DF8" w:rsidRPr="00351A14">
              <w:rPr>
                <w:rFonts w:asciiTheme="minorHAnsi" w:hAnsiTheme="minorHAnsi"/>
                <w:sz w:val="22"/>
              </w:rPr>
              <w:t xml:space="preserve"> (Guadalajara, 2010); Council</w:t>
            </w:r>
            <w:r w:rsidR="004538CF">
              <w:rPr>
                <w:rFonts w:asciiTheme="minorHAnsi" w:hAnsiTheme="minorHAnsi"/>
                <w:sz w:val="22"/>
              </w:rPr>
              <w:t xml:space="preserve"> </w:t>
            </w:r>
            <w:hyperlink r:id="rId10" w:history="1">
              <w:r w:rsidR="00BD7DF8" w:rsidRPr="004538CF">
                <w:rPr>
                  <w:rStyle w:val="Hyperlink"/>
                  <w:rFonts w:asciiTheme="minorHAnsi" w:hAnsiTheme="minorHAnsi"/>
                  <w:sz w:val="22"/>
                </w:rPr>
                <w:t>Decision 565</w:t>
              </w:r>
            </w:hyperlink>
            <w:r w:rsidR="00BD7DF8" w:rsidRPr="00351A14">
              <w:rPr>
                <w:rFonts w:asciiTheme="minorHAnsi" w:hAnsiTheme="minorHAnsi"/>
                <w:sz w:val="22"/>
              </w:rPr>
              <w:t xml:space="preserve">; Document </w:t>
            </w:r>
            <w:hyperlink r:id="rId11" w:history="1">
              <w:r w:rsidR="00185532" w:rsidRPr="00BD25A3">
                <w:rPr>
                  <w:rStyle w:val="Hyperlink"/>
                  <w:rFonts w:asciiTheme="minorHAnsi" w:hAnsiTheme="minorHAnsi"/>
                  <w:sz w:val="22"/>
                </w:rPr>
                <w:t>C14/22</w:t>
              </w:r>
            </w:hyperlink>
            <w:r w:rsidR="00185532">
              <w:rPr>
                <w:rFonts w:asciiTheme="minorHAnsi" w:hAnsiTheme="minorHAnsi"/>
                <w:sz w:val="22"/>
              </w:rPr>
              <w:t xml:space="preserve"> Third</w:t>
            </w:r>
            <w:r w:rsidR="00BD7DF8" w:rsidRPr="00351A14">
              <w:rPr>
                <w:rFonts w:asciiTheme="minorHAnsi" w:hAnsiTheme="minorHAnsi"/>
                <w:sz w:val="22"/>
              </w:rPr>
              <w:t xml:space="preserve"> annual report of IMAC to the Council</w:t>
            </w:r>
            <w:r w:rsidR="00185532">
              <w:rPr>
                <w:rFonts w:asciiTheme="minorHAnsi" w:hAnsiTheme="minorHAnsi"/>
                <w:sz w:val="22"/>
              </w:rPr>
              <w:t>.</w:t>
            </w:r>
          </w:p>
        </w:tc>
      </w:tr>
    </w:tbl>
    <w:p w:rsidR="00F22459" w:rsidRPr="00351A14" w:rsidRDefault="00596643" w:rsidP="00596643">
      <w:pPr>
        <w:tabs>
          <w:tab w:val="clear" w:pos="567"/>
          <w:tab w:val="clear" w:pos="1134"/>
          <w:tab w:val="clear" w:pos="1701"/>
          <w:tab w:val="clear" w:pos="2268"/>
          <w:tab w:val="clear" w:pos="2835"/>
        </w:tabs>
        <w:spacing w:before="600"/>
        <w:rPr>
          <w:rFonts w:asciiTheme="minorHAnsi" w:hAnsiTheme="minorHAnsi"/>
          <w:b/>
          <w:sz w:val="22"/>
          <w:szCs w:val="22"/>
        </w:rPr>
      </w:pPr>
      <w:bookmarkStart w:id="7" w:name="dstart"/>
      <w:bookmarkStart w:id="8" w:name="dbreak"/>
      <w:bookmarkEnd w:id="7"/>
      <w:bookmarkEnd w:id="8"/>
      <w:r>
        <w:rPr>
          <w:rFonts w:asciiTheme="minorHAnsi" w:hAnsiTheme="minorHAnsi"/>
          <w:b/>
          <w:sz w:val="22"/>
          <w:szCs w:val="22"/>
        </w:rPr>
        <w:t>1.</w:t>
      </w:r>
      <w:r>
        <w:rPr>
          <w:rFonts w:asciiTheme="minorHAnsi" w:hAnsiTheme="minorHAnsi"/>
          <w:b/>
          <w:sz w:val="22"/>
          <w:szCs w:val="22"/>
        </w:rPr>
        <w:tab/>
      </w:r>
      <w:r w:rsidR="00C80204">
        <w:rPr>
          <w:rFonts w:asciiTheme="minorHAnsi" w:hAnsiTheme="minorHAnsi"/>
          <w:b/>
          <w:sz w:val="22"/>
          <w:szCs w:val="22"/>
        </w:rPr>
        <w:t>Purpose of this IMAC report</w:t>
      </w:r>
    </w:p>
    <w:p w:rsidR="00F22459" w:rsidRPr="00351A14" w:rsidRDefault="00891125" w:rsidP="00822C63">
      <w:pPr>
        <w:tabs>
          <w:tab w:val="clear" w:pos="567"/>
          <w:tab w:val="clear" w:pos="1134"/>
          <w:tab w:val="clear" w:pos="1701"/>
          <w:tab w:val="clear" w:pos="2268"/>
          <w:tab w:val="clear" w:pos="2835"/>
        </w:tabs>
        <w:spacing w:after="120"/>
        <w:jc w:val="both"/>
        <w:rPr>
          <w:rFonts w:asciiTheme="minorHAnsi" w:hAnsiTheme="minorHAnsi"/>
          <w:sz w:val="22"/>
          <w:szCs w:val="22"/>
        </w:rPr>
      </w:pPr>
      <w:r>
        <w:rPr>
          <w:rFonts w:asciiTheme="minorHAnsi" w:hAnsiTheme="minorHAnsi"/>
          <w:sz w:val="22"/>
          <w:szCs w:val="22"/>
        </w:rPr>
        <w:t>1.1</w:t>
      </w:r>
      <w:r>
        <w:rPr>
          <w:rFonts w:asciiTheme="minorHAnsi" w:hAnsiTheme="minorHAnsi"/>
          <w:sz w:val="22"/>
          <w:szCs w:val="22"/>
        </w:rPr>
        <w:tab/>
      </w:r>
      <w:r w:rsidR="00C80204" w:rsidRPr="00C80204">
        <w:rPr>
          <w:rFonts w:asciiTheme="minorHAnsi" w:hAnsiTheme="minorHAnsi"/>
          <w:sz w:val="22"/>
          <w:szCs w:val="22"/>
        </w:rPr>
        <w:t xml:space="preserve">In its Third Annual Report, presented to the Council on 7 May 2014, IMAC referred to its regular meetings with the External Auditor, and the Committee’s intention to discuss the External Auditor’s 2013 Report with the auditors at IMAC’s meeting on 3 and 4 July 2014.  Although delays subsequently meant that the External Auditor’s Report was not available to IMAC until later in July, IMAC had full and helpful face-to-face discussions with the Corte </w:t>
      </w:r>
      <w:proofErr w:type="spellStart"/>
      <w:r w:rsidR="00C80204" w:rsidRPr="00C80204">
        <w:rPr>
          <w:rFonts w:asciiTheme="minorHAnsi" w:hAnsiTheme="minorHAnsi"/>
          <w:sz w:val="22"/>
          <w:szCs w:val="22"/>
        </w:rPr>
        <w:t>dei</w:t>
      </w:r>
      <w:proofErr w:type="spellEnd"/>
      <w:r w:rsidR="00C80204" w:rsidRPr="00C80204">
        <w:rPr>
          <w:rFonts w:asciiTheme="minorHAnsi" w:hAnsiTheme="minorHAnsi"/>
          <w:sz w:val="22"/>
          <w:szCs w:val="22"/>
        </w:rPr>
        <w:t xml:space="preserve"> </w:t>
      </w:r>
      <w:r w:rsidR="00822C63">
        <w:rPr>
          <w:rFonts w:asciiTheme="minorHAnsi" w:hAnsiTheme="minorHAnsi"/>
          <w:sz w:val="22"/>
          <w:szCs w:val="22"/>
        </w:rPr>
        <w:t>C</w:t>
      </w:r>
      <w:r w:rsidR="00C80204" w:rsidRPr="00C80204">
        <w:rPr>
          <w:rFonts w:asciiTheme="minorHAnsi" w:hAnsiTheme="minorHAnsi"/>
          <w:sz w:val="22"/>
          <w:szCs w:val="22"/>
        </w:rPr>
        <w:t>onti’s auditors on their audit findings for 2013</w:t>
      </w:r>
      <w:r w:rsidR="00EB47CE">
        <w:rPr>
          <w:rFonts w:asciiTheme="minorHAnsi" w:hAnsiTheme="minorHAnsi"/>
          <w:sz w:val="22"/>
          <w:szCs w:val="22"/>
        </w:rPr>
        <w:t>.</w:t>
      </w:r>
    </w:p>
    <w:p w:rsidR="00F22459" w:rsidRPr="00351A14" w:rsidRDefault="00BD7DF8" w:rsidP="00596643">
      <w:pPr>
        <w:tabs>
          <w:tab w:val="clear" w:pos="567"/>
          <w:tab w:val="clear" w:pos="1134"/>
          <w:tab w:val="clear" w:pos="1701"/>
          <w:tab w:val="clear" w:pos="2268"/>
          <w:tab w:val="clear" w:pos="2835"/>
        </w:tabs>
        <w:spacing w:after="120"/>
        <w:jc w:val="both"/>
        <w:rPr>
          <w:rFonts w:asciiTheme="minorHAnsi" w:hAnsiTheme="minorHAnsi"/>
          <w:sz w:val="22"/>
          <w:szCs w:val="22"/>
        </w:rPr>
      </w:pPr>
      <w:r w:rsidRPr="00351A14">
        <w:rPr>
          <w:rFonts w:asciiTheme="minorHAnsi" w:hAnsiTheme="minorHAnsi"/>
          <w:sz w:val="22"/>
          <w:szCs w:val="22"/>
        </w:rPr>
        <w:t>1.2</w:t>
      </w:r>
      <w:r w:rsidR="00891125">
        <w:rPr>
          <w:rFonts w:asciiTheme="minorHAnsi" w:hAnsiTheme="minorHAnsi"/>
          <w:sz w:val="22"/>
          <w:szCs w:val="22"/>
        </w:rPr>
        <w:tab/>
      </w:r>
      <w:r w:rsidR="00195A68" w:rsidRPr="00195A68">
        <w:rPr>
          <w:rFonts w:asciiTheme="minorHAnsi" w:hAnsiTheme="minorHAnsi"/>
          <w:sz w:val="22"/>
          <w:szCs w:val="22"/>
        </w:rPr>
        <w:t xml:space="preserve">This supplement to IMAC’s Third Annual Report is submitted to the ITU Council for its </w:t>
      </w:r>
      <w:r w:rsidR="00185532">
        <w:rPr>
          <w:rFonts w:asciiTheme="minorHAnsi" w:hAnsiTheme="minorHAnsi"/>
          <w:sz w:val="22"/>
          <w:szCs w:val="22"/>
        </w:rPr>
        <w:t>final</w:t>
      </w:r>
      <w:r w:rsidR="00195A68" w:rsidRPr="00195A68">
        <w:rPr>
          <w:rFonts w:asciiTheme="minorHAnsi" w:hAnsiTheme="minorHAnsi"/>
          <w:sz w:val="22"/>
          <w:szCs w:val="22"/>
        </w:rPr>
        <w:t xml:space="preserve"> meeting in October 2014, to fulfil the Committee’s specific responsibility under the Terms of Reference approved by Resolution 162 (Guadalajara, 2010) for IMAC to advise the Council on issues arising from the audited financial statements of ITU and reports produced by the external auditor; and to support and inform the Council’s consideration of the financial statements and external audit report for 2013.</w:t>
      </w:r>
    </w:p>
    <w:p w:rsidR="00195A68" w:rsidRPr="00195A68" w:rsidRDefault="00891125" w:rsidP="00596643">
      <w:pPr>
        <w:tabs>
          <w:tab w:val="clear" w:pos="567"/>
          <w:tab w:val="clear" w:pos="1134"/>
          <w:tab w:val="clear" w:pos="1701"/>
          <w:tab w:val="clear" w:pos="2268"/>
          <w:tab w:val="clear" w:pos="2835"/>
        </w:tabs>
        <w:spacing w:after="120"/>
        <w:jc w:val="both"/>
        <w:rPr>
          <w:rFonts w:asciiTheme="minorHAnsi" w:hAnsiTheme="minorHAnsi"/>
          <w:sz w:val="22"/>
          <w:szCs w:val="22"/>
        </w:rPr>
      </w:pPr>
      <w:r>
        <w:rPr>
          <w:rFonts w:asciiTheme="minorHAnsi" w:hAnsiTheme="minorHAnsi"/>
          <w:sz w:val="22"/>
          <w:szCs w:val="22"/>
        </w:rPr>
        <w:t>1.3</w:t>
      </w:r>
      <w:r>
        <w:rPr>
          <w:rFonts w:asciiTheme="minorHAnsi" w:hAnsiTheme="minorHAnsi"/>
          <w:sz w:val="22"/>
          <w:szCs w:val="22"/>
        </w:rPr>
        <w:tab/>
      </w:r>
      <w:r w:rsidR="00195A68" w:rsidRPr="00195A68">
        <w:rPr>
          <w:rFonts w:asciiTheme="minorHAnsi" w:hAnsiTheme="minorHAnsi"/>
          <w:sz w:val="22"/>
          <w:szCs w:val="22"/>
        </w:rPr>
        <w:t>This supplementary report also provides comment and advice to Council on an additional matter concerning the procedure for the Council’s formal consideration of IMAC reports and recommendations.</w:t>
      </w:r>
    </w:p>
    <w:p w:rsidR="00F22459" w:rsidRPr="00351A14" w:rsidRDefault="00BD7DF8" w:rsidP="00596643">
      <w:pPr>
        <w:tabs>
          <w:tab w:val="clear" w:pos="567"/>
          <w:tab w:val="clear" w:pos="1134"/>
          <w:tab w:val="clear" w:pos="1701"/>
          <w:tab w:val="clear" w:pos="2268"/>
          <w:tab w:val="clear" w:pos="2835"/>
        </w:tabs>
        <w:spacing w:before="360"/>
        <w:jc w:val="both"/>
        <w:rPr>
          <w:rFonts w:asciiTheme="minorHAnsi" w:hAnsiTheme="minorHAnsi"/>
          <w:sz w:val="22"/>
          <w:szCs w:val="22"/>
        </w:rPr>
      </w:pPr>
      <w:r w:rsidRPr="00351A14">
        <w:rPr>
          <w:rFonts w:asciiTheme="minorHAnsi" w:hAnsiTheme="minorHAnsi"/>
          <w:b/>
          <w:sz w:val="22"/>
          <w:szCs w:val="22"/>
        </w:rPr>
        <w:t>2.</w:t>
      </w:r>
      <w:r w:rsidR="00891125">
        <w:rPr>
          <w:rFonts w:asciiTheme="minorHAnsi" w:hAnsiTheme="minorHAnsi"/>
          <w:b/>
          <w:sz w:val="22"/>
          <w:szCs w:val="22"/>
        </w:rPr>
        <w:tab/>
      </w:r>
      <w:r w:rsidR="00195A68" w:rsidRPr="00195A68">
        <w:rPr>
          <w:rFonts w:asciiTheme="minorHAnsi" w:hAnsiTheme="minorHAnsi"/>
          <w:b/>
          <w:sz w:val="22"/>
          <w:szCs w:val="22"/>
        </w:rPr>
        <w:t>The External Auditor’s Report for 2013</w:t>
      </w:r>
    </w:p>
    <w:p w:rsidR="00195A68" w:rsidRDefault="00BD7DF8" w:rsidP="00596643">
      <w:pPr>
        <w:tabs>
          <w:tab w:val="clear" w:pos="567"/>
          <w:tab w:val="clear" w:pos="1134"/>
          <w:tab w:val="clear" w:pos="1701"/>
          <w:tab w:val="clear" w:pos="2268"/>
          <w:tab w:val="clear" w:pos="2835"/>
        </w:tabs>
        <w:spacing w:after="120"/>
        <w:jc w:val="both"/>
        <w:rPr>
          <w:rFonts w:asciiTheme="minorHAnsi" w:hAnsiTheme="minorHAnsi"/>
          <w:sz w:val="22"/>
          <w:szCs w:val="22"/>
        </w:rPr>
      </w:pPr>
      <w:r w:rsidRPr="00351A14">
        <w:rPr>
          <w:rFonts w:asciiTheme="minorHAnsi" w:hAnsiTheme="minorHAnsi"/>
          <w:sz w:val="22"/>
          <w:szCs w:val="22"/>
        </w:rPr>
        <w:t>2.1</w:t>
      </w:r>
      <w:r w:rsidR="00891125">
        <w:rPr>
          <w:rFonts w:asciiTheme="minorHAnsi" w:hAnsiTheme="minorHAnsi"/>
          <w:sz w:val="22"/>
          <w:szCs w:val="22"/>
        </w:rPr>
        <w:tab/>
      </w:r>
      <w:r w:rsidR="00195A68" w:rsidRPr="00195A68">
        <w:rPr>
          <w:rFonts w:asciiTheme="minorHAnsi" w:hAnsiTheme="minorHAnsi"/>
          <w:sz w:val="22"/>
          <w:szCs w:val="22"/>
        </w:rPr>
        <w:t>For the ITU’s financial statements for 2013, the External Auditors have provided an unqualified, “fairly presents”, audit opinion, again with an emphasis of m</w:t>
      </w:r>
      <w:r w:rsidR="00BD25A3">
        <w:rPr>
          <w:rFonts w:asciiTheme="minorHAnsi" w:hAnsiTheme="minorHAnsi"/>
          <w:sz w:val="22"/>
          <w:szCs w:val="22"/>
        </w:rPr>
        <w:t xml:space="preserve">atter as in the previous year. </w:t>
      </w:r>
      <w:r w:rsidR="00195A68" w:rsidRPr="00195A68">
        <w:rPr>
          <w:rFonts w:asciiTheme="minorHAnsi" w:hAnsiTheme="minorHAnsi"/>
          <w:sz w:val="22"/>
          <w:szCs w:val="22"/>
        </w:rPr>
        <w:t>An emphasis of matter reports circumstances which the auditors consider should be brought to the attention of those using the financial statements, as being fundamental to the users’ understanding of the financial statements but without modifying the auditor’s opinion i</w:t>
      </w:r>
      <w:r w:rsidR="00822C63">
        <w:rPr>
          <w:rFonts w:asciiTheme="minorHAnsi" w:hAnsiTheme="minorHAnsi"/>
          <w:sz w:val="22"/>
          <w:szCs w:val="22"/>
        </w:rPr>
        <w:t>n respect of the matter emphasiz</w:t>
      </w:r>
      <w:r w:rsidR="00195A68" w:rsidRPr="00195A68">
        <w:rPr>
          <w:rFonts w:asciiTheme="minorHAnsi" w:hAnsiTheme="minorHAnsi"/>
          <w:sz w:val="22"/>
          <w:szCs w:val="22"/>
        </w:rPr>
        <w:t>ed.</w:t>
      </w:r>
    </w:p>
    <w:p w:rsidR="00195A68" w:rsidRPr="00822C63" w:rsidRDefault="00195A68" w:rsidP="00822C63">
      <w:pPr>
        <w:tabs>
          <w:tab w:val="clear" w:pos="567"/>
          <w:tab w:val="clear" w:pos="1134"/>
          <w:tab w:val="clear" w:pos="1701"/>
          <w:tab w:val="clear" w:pos="2268"/>
          <w:tab w:val="clear" w:pos="2835"/>
        </w:tabs>
        <w:spacing w:after="120"/>
        <w:jc w:val="both"/>
        <w:rPr>
          <w:rFonts w:asciiTheme="minorHAnsi" w:hAnsiTheme="minorHAnsi"/>
          <w:sz w:val="22"/>
          <w:szCs w:val="22"/>
        </w:rPr>
      </w:pPr>
      <w:r w:rsidRPr="00822C63">
        <w:rPr>
          <w:rFonts w:asciiTheme="minorHAnsi" w:hAnsiTheme="minorHAnsi"/>
          <w:sz w:val="22"/>
          <w:szCs w:val="22"/>
        </w:rPr>
        <w:t>2.2</w:t>
      </w:r>
      <w:r w:rsidRPr="00822C63">
        <w:rPr>
          <w:rFonts w:asciiTheme="minorHAnsi" w:hAnsiTheme="minorHAnsi"/>
          <w:sz w:val="22"/>
          <w:szCs w:val="22"/>
        </w:rPr>
        <w:tab/>
        <w:t>In this case, the External Auditors have drawn attention to the disclosure in the Statement of Financial Position of a negative net asset at 31 December 2013 amounting to -196.2 million CHF (compared with -227.7 million CHF at 31 December 2012), arising from actuarial liabilities in relation to A</w:t>
      </w:r>
      <w:r w:rsidR="00BD25A3" w:rsidRPr="00822C63">
        <w:rPr>
          <w:rFonts w:asciiTheme="minorHAnsi" w:hAnsiTheme="minorHAnsi"/>
          <w:sz w:val="22"/>
          <w:szCs w:val="22"/>
        </w:rPr>
        <w:t xml:space="preserve">fter Service Health Insurance. </w:t>
      </w:r>
      <w:r w:rsidR="00BB7B78" w:rsidRPr="00822C63">
        <w:rPr>
          <w:rFonts w:asciiTheme="minorHAnsi" w:hAnsiTheme="minorHAnsi"/>
          <w:sz w:val="22"/>
          <w:szCs w:val="22"/>
        </w:rPr>
        <w:t>The emphasis of matter refers to the impact of the recognition of long</w:t>
      </w:r>
      <w:r w:rsidR="00822C63" w:rsidRPr="00822C63">
        <w:rPr>
          <w:rFonts w:asciiTheme="minorHAnsi" w:hAnsiTheme="minorHAnsi"/>
          <w:sz w:val="22"/>
          <w:szCs w:val="22"/>
        </w:rPr>
        <w:t>-</w:t>
      </w:r>
      <w:r w:rsidR="00BB7B78" w:rsidRPr="00822C63">
        <w:rPr>
          <w:rFonts w:asciiTheme="minorHAnsi" w:hAnsiTheme="minorHAnsi"/>
          <w:sz w:val="22"/>
          <w:szCs w:val="22"/>
        </w:rPr>
        <w:t>term liabilities, as affected by changes in actuarial estimates and valuations</w:t>
      </w:r>
      <w:r w:rsidRPr="00822C63">
        <w:rPr>
          <w:rFonts w:asciiTheme="minorHAnsi" w:hAnsiTheme="minorHAnsi"/>
          <w:sz w:val="22"/>
          <w:szCs w:val="22"/>
        </w:rPr>
        <w:t xml:space="preserve">, the details of which are set out in Note 17.2 to the financial statements.  </w:t>
      </w:r>
    </w:p>
    <w:p w:rsidR="00F22459" w:rsidRPr="00822C63" w:rsidRDefault="00BD7DF8" w:rsidP="00596643">
      <w:pPr>
        <w:tabs>
          <w:tab w:val="clear" w:pos="567"/>
          <w:tab w:val="clear" w:pos="1134"/>
          <w:tab w:val="clear" w:pos="1701"/>
          <w:tab w:val="clear" w:pos="2268"/>
          <w:tab w:val="clear" w:pos="2835"/>
        </w:tabs>
        <w:spacing w:after="120"/>
        <w:jc w:val="both"/>
        <w:rPr>
          <w:rFonts w:asciiTheme="minorHAnsi" w:hAnsiTheme="minorHAnsi"/>
          <w:sz w:val="22"/>
          <w:szCs w:val="22"/>
        </w:rPr>
      </w:pPr>
      <w:r w:rsidRPr="00822C63">
        <w:rPr>
          <w:rFonts w:asciiTheme="minorHAnsi" w:hAnsiTheme="minorHAnsi"/>
          <w:sz w:val="22"/>
          <w:szCs w:val="22"/>
        </w:rPr>
        <w:t>2.</w:t>
      </w:r>
      <w:r w:rsidR="00195A68" w:rsidRPr="00822C63">
        <w:rPr>
          <w:rFonts w:asciiTheme="minorHAnsi" w:hAnsiTheme="minorHAnsi"/>
          <w:sz w:val="22"/>
          <w:szCs w:val="22"/>
        </w:rPr>
        <w:t>3</w:t>
      </w:r>
      <w:r w:rsidR="00891125" w:rsidRPr="00822C63">
        <w:rPr>
          <w:rFonts w:asciiTheme="minorHAnsi" w:hAnsiTheme="minorHAnsi"/>
          <w:sz w:val="22"/>
          <w:szCs w:val="22"/>
        </w:rPr>
        <w:tab/>
      </w:r>
      <w:r w:rsidR="00195A68" w:rsidRPr="00822C63">
        <w:rPr>
          <w:rFonts w:asciiTheme="minorHAnsi" w:hAnsiTheme="minorHAnsi"/>
          <w:sz w:val="22"/>
          <w:szCs w:val="22"/>
        </w:rPr>
        <w:t>The long-form report of the External Auditor on the audit of the ITU financial statements for 2013 presents five specific recommendations (four recommendations for action by management and one directed to the Internal Audit Unit);  and nine “suggestions” (four for management and five for Internal Audit).</w:t>
      </w:r>
    </w:p>
    <w:p w:rsidR="00F22459" w:rsidRPr="00822C63" w:rsidRDefault="00891125" w:rsidP="00596643">
      <w:pPr>
        <w:tabs>
          <w:tab w:val="clear" w:pos="567"/>
          <w:tab w:val="clear" w:pos="1134"/>
          <w:tab w:val="clear" w:pos="1701"/>
          <w:tab w:val="clear" w:pos="2268"/>
          <w:tab w:val="clear" w:pos="2835"/>
        </w:tabs>
        <w:spacing w:before="360"/>
        <w:jc w:val="both"/>
        <w:rPr>
          <w:rFonts w:asciiTheme="minorHAnsi" w:hAnsiTheme="minorHAnsi"/>
          <w:b/>
          <w:sz w:val="22"/>
          <w:szCs w:val="22"/>
        </w:rPr>
      </w:pPr>
      <w:r w:rsidRPr="00822C63">
        <w:rPr>
          <w:rFonts w:asciiTheme="minorHAnsi" w:hAnsiTheme="minorHAnsi"/>
          <w:b/>
          <w:sz w:val="22"/>
          <w:szCs w:val="22"/>
        </w:rPr>
        <w:t>3.</w:t>
      </w:r>
      <w:r w:rsidRPr="00822C63">
        <w:rPr>
          <w:rFonts w:asciiTheme="minorHAnsi" w:hAnsiTheme="minorHAnsi"/>
          <w:b/>
          <w:sz w:val="22"/>
          <w:szCs w:val="22"/>
        </w:rPr>
        <w:tab/>
      </w:r>
      <w:r w:rsidR="00195A68" w:rsidRPr="00822C63">
        <w:rPr>
          <w:rFonts w:asciiTheme="minorHAnsi" w:hAnsiTheme="minorHAnsi"/>
          <w:b/>
          <w:sz w:val="22"/>
          <w:szCs w:val="22"/>
        </w:rPr>
        <w:t>The External Auditor’s recommendations</w:t>
      </w:r>
    </w:p>
    <w:p w:rsidR="00195A68" w:rsidRPr="00822C63" w:rsidRDefault="00891125" w:rsidP="00596643">
      <w:pPr>
        <w:tabs>
          <w:tab w:val="clear" w:pos="567"/>
          <w:tab w:val="clear" w:pos="1134"/>
          <w:tab w:val="clear" w:pos="1701"/>
          <w:tab w:val="clear" w:pos="2268"/>
          <w:tab w:val="clear" w:pos="2835"/>
        </w:tabs>
        <w:jc w:val="both"/>
        <w:rPr>
          <w:rFonts w:asciiTheme="minorHAnsi" w:hAnsiTheme="minorHAnsi"/>
          <w:sz w:val="22"/>
          <w:szCs w:val="22"/>
        </w:rPr>
      </w:pPr>
      <w:r w:rsidRPr="00822C63">
        <w:rPr>
          <w:rFonts w:asciiTheme="minorHAnsi" w:hAnsiTheme="minorHAnsi"/>
          <w:sz w:val="22"/>
          <w:szCs w:val="22"/>
        </w:rPr>
        <w:t>3.1</w:t>
      </w:r>
      <w:r w:rsidRPr="00822C63">
        <w:rPr>
          <w:rFonts w:asciiTheme="minorHAnsi" w:hAnsiTheme="minorHAnsi"/>
          <w:sz w:val="22"/>
          <w:szCs w:val="22"/>
        </w:rPr>
        <w:tab/>
      </w:r>
      <w:r w:rsidR="00195A68" w:rsidRPr="00822C63">
        <w:rPr>
          <w:rFonts w:asciiTheme="minorHAnsi" w:hAnsiTheme="minorHAnsi"/>
          <w:sz w:val="22"/>
          <w:szCs w:val="22"/>
        </w:rPr>
        <w:t xml:space="preserve">The External Auditor’s recommendations to management concern: </w:t>
      </w:r>
    </w:p>
    <w:p w:rsidR="00195A68" w:rsidRPr="00822C63" w:rsidRDefault="00195A68" w:rsidP="00596643">
      <w:pPr>
        <w:numPr>
          <w:ilvl w:val="0"/>
          <w:numId w:val="2"/>
        </w:numPr>
        <w:tabs>
          <w:tab w:val="clear" w:pos="567"/>
          <w:tab w:val="clear" w:pos="1134"/>
          <w:tab w:val="clear" w:pos="1701"/>
          <w:tab w:val="clear" w:pos="2268"/>
          <w:tab w:val="clear" w:pos="2835"/>
        </w:tabs>
        <w:ind w:left="714" w:hanging="357"/>
        <w:jc w:val="both"/>
        <w:rPr>
          <w:rFonts w:asciiTheme="minorHAnsi" w:hAnsiTheme="minorHAnsi"/>
          <w:sz w:val="22"/>
          <w:szCs w:val="22"/>
        </w:rPr>
      </w:pPr>
      <w:r w:rsidRPr="00822C63">
        <w:rPr>
          <w:rFonts w:asciiTheme="minorHAnsi" w:hAnsiTheme="minorHAnsi"/>
          <w:sz w:val="22"/>
          <w:szCs w:val="22"/>
        </w:rPr>
        <w:t>the need for better review and monitoring by ITU Headquarters, and stricter procedures in relation to bank arrangements in field offices (reinforcing findings separately reporte</w:t>
      </w:r>
      <w:r w:rsidR="00BD25A3" w:rsidRPr="00822C63">
        <w:rPr>
          <w:rFonts w:asciiTheme="minorHAnsi" w:hAnsiTheme="minorHAnsi"/>
          <w:sz w:val="22"/>
          <w:szCs w:val="22"/>
        </w:rPr>
        <w:t>d by the Internal Audit Unit);</w:t>
      </w:r>
    </w:p>
    <w:p w:rsidR="00195A68" w:rsidRPr="00822C63" w:rsidRDefault="00195A68" w:rsidP="00596643">
      <w:pPr>
        <w:numPr>
          <w:ilvl w:val="0"/>
          <w:numId w:val="2"/>
        </w:numPr>
        <w:tabs>
          <w:tab w:val="clear" w:pos="567"/>
          <w:tab w:val="clear" w:pos="1134"/>
          <w:tab w:val="clear" w:pos="1701"/>
          <w:tab w:val="clear" w:pos="2268"/>
          <w:tab w:val="clear" w:pos="2835"/>
        </w:tabs>
        <w:spacing w:before="0"/>
        <w:ind w:left="714" w:hanging="357"/>
        <w:jc w:val="both"/>
        <w:rPr>
          <w:rFonts w:asciiTheme="minorHAnsi" w:hAnsiTheme="minorHAnsi"/>
          <w:sz w:val="22"/>
          <w:szCs w:val="22"/>
        </w:rPr>
      </w:pPr>
      <w:r w:rsidRPr="00822C63">
        <w:rPr>
          <w:rFonts w:asciiTheme="minorHAnsi" w:hAnsiTheme="minorHAnsi"/>
          <w:sz w:val="22"/>
          <w:szCs w:val="22"/>
        </w:rPr>
        <w:t>the continuing need for a full actuarial review study - now planned for 2016 - to support the balance sheet valuation of liabilities, particularly in relation to After Service Health Insurance, and to ensure the health of ITU’s financ</w:t>
      </w:r>
      <w:r w:rsidR="00BD25A3" w:rsidRPr="00822C63">
        <w:rPr>
          <w:rFonts w:asciiTheme="minorHAnsi" w:hAnsiTheme="minorHAnsi"/>
          <w:sz w:val="22"/>
          <w:szCs w:val="22"/>
        </w:rPr>
        <w:t xml:space="preserve">ial position in the long term; </w:t>
      </w:r>
      <w:r w:rsidRPr="00822C63">
        <w:rPr>
          <w:rFonts w:asciiTheme="minorHAnsi" w:hAnsiTheme="minorHAnsi"/>
          <w:sz w:val="22"/>
          <w:szCs w:val="22"/>
        </w:rPr>
        <w:t>and</w:t>
      </w:r>
    </w:p>
    <w:p w:rsidR="00F22459" w:rsidRPr="00822C63" w:rsidRDefault="00195A68" w:rsidP="00596643">
      <w:pPr>
        <w:numPr>
          <w:ilvl w:val="0"/>
          <w:numId w:val="2"/>
        </w:numPr>
        <w:tabs>
          <w:tab w:val="clear" w:pos="567"/>
          <w:tab w:val="clear" w:pos="1134"/>
          <w:tab w:val="clear" w:pos="1701"/>
          <w:tab w:val="clear" w:pos="2268"/>
          <w:tab w:val="clear" w:pos="2835"/>
        </w:tabs>
        <w:spacing w:before="0" w:after="120"/>
        <w:ind w:left="714" w:hanging="357"/>
        <w:jc w:val="both"/>
        <w:rPr>
          <w:rFonts w:asciiTheme="minorHAnsi" w:hAnsiTheme="minorHAnsi"/>
          <w:sz w:val="22"/>
          <w:szCs w:val="22"/>
        </w:rPr>
      </w:pPr>
      <w:proofErr w:type="gramStart"/>
      <w:r w:rsidRPr="00822C63">
        <w:rPr>
          <w:rFonts w:asciiTheme="minorHAnsi" w:hAnsiTheme="minorHAnsi"/>
          <w:sz w:val="22"/>
          <w:szCs w:val="22"/>
        </w:rPr>
        <w:t>the</w:t>
      </w:r>
      <w:proofErr w:type="gramEnd"/>
      <w:r w:rsidRPr="00822C63">
        <w:rPr>
          <w:rFonts w:asciiTheme="minorHAnsi" w:hAnsiTheme="minorHAnsi"/>
          <w:sz w:val="22"/>
          <w:szCs w:val="22"/>
        </w:rPr>
        <w:t xml:space="preserve"> need for defined guidelines on the accounting, reconciliation and reporting </w:t>
      </w:r>
      <w:r w:rsidR="00BD25A3" w:rsidRPr="00822C63">
        <w:rPr>
          <w:rFonts w:asciiTheme="minorHAnsi" w:hAnsiTheme="minorHAnsi"/>
          <w:sz w:val="22"/>
          <w:szCs w:val="22"/>
        </w:rPr>
        <w:t>of extra budgetary funds.</w:t>
      </w:r>
    </w:p>
    <w:p w:rsidR="00F22459" w:rsidRPr="00822C63" w:rsidRDefault="00BD7DF8" w:rsidP="00596643">
      <w:pPr>
        <w:tabs>
          <w:tab w:val="clear" w:pos="567"/>
          <w:tab w:val="clear" w:pos="1134"/>
          <w:tab w:val="clear" w:pos="1701"/>
          <w:tab w:val="clear" w:pos="2268"/>
          <w:tab w:val="clear" w:pos="2835"/>
        </w:tabs>
        <w:spacing w:after="120"/>
        <w:jc w:val="both"/>
        <w:rPr>
          <w:rFonts w:asciiTheme="minorHAnsi" w:hAnsiTheme="minorHAnsi"/>
          <w:sz w:val="22"/>
          <w:szCs w:val="22"/>
        </w:rPr>
      </w:pPr>
      <w:r w:rsidRPr="00822C63">
        <w:rPr>
          <w:rFonts w:asciiTheme="minorHAnsi" w:hAnsiTheme="minorHAnsi"/>
          <w:sz w:val="22"/>
          <w:szCs w:val="22"/>
        </w:rPr>
        <w:t>3.2</w:t>
      </w:r>
      <w:r w:rsidR="00891125" w:rsidRPr="00822C63">
        <w:rPr>
          <w:rFonts w:asciiTheme="minorHAnsi" w:hAnsiTheme="minorHAnsi"/>
          <w:sz w:val="22"/>
          <w:szCs w:val="22"/>
        </w:rPr>
        <w:tab/>
      </w:r>
      <w:r w:rsidR="000445F9" w:rsidRPr="00822C63">
        <w:rPr>
          <w:rFonts w:asciiTheme="minorHAnsi" w:hAnsiTheme="minorHAnsi"/>
          <w:sz w:val="22"/>
          <w:szCs w:val="22"/>
        </w:rPr>
        <w:t>In addition, the External Auditor has made a fifth recommendation that the Internal Audit Unit should improve its annual risk analysis and the process for ensuring risk-based audit planning. This recommendation is consistent with good practice and professional standards and IMAC consider</w:t>
      </w:r>
      <w:r w:rsidR="00822C63" w:rsidRPr="00822C63">
        <w:rPr>
          <w:rFonts w:asciiTheme="minorHAnsi" w:hAnsiTheme="minorHAnsi"/>
          <w:sz w:val="22"/>
          <w:szCs w:val="22"/>
        </w:rPr>
        <w:t>s</w:t>
      </w:r>
      <w:r w:rsidR="000445F9" w:rsidRPr="00822C63">
        <w:rPr>
          <w:rFonts w:asciiTheme="minorHAnsi" w:hAnsiTheme="minorHAnsi"/>
          <w:sz w:val="22"/>
          <w:szCs w:val="22"/>
        </w:rPr>
        <w:t xml:space="preserve"> it especially important in order to ensure best use of limited resource while the level of resources available for internal audit remains problematic, as the Committee has reported in previous years (also see further below).</w:t>
      </w:r>
    </w:p>
    <w:p w:rsidR="00C87889" w:rsidRPr="00822C63" w:rsidRDefault="00A20A76" w:rsidP="00596643">
      <w:pPr>
        <w:tabs>
          <w:tab w:val="clear" w:pos="567"/>
          <w:tab w:val="clear" w:pos="1134"/>
          <w:tab w:val="clear" w:pos="1701"/>
          <w:tab w:val="clear" w:pos="2268"/>
          <w:tab w:val="clear" w:pos="2835"/>
        </w:tabs>
        <w:spacing w:after="120"/>
        <w:jc w:val="both"/>
        <w:rPr>
          <w:rFonts w:asciiTheme="minorHAnsi" w:hAnsiTheme="minorHAnsi"/>
          <w:sz w:val="22"/>
          <w:szCs w:val="22"/>
        </w:rPr>
      </w:pPr>
      <w:r w:rsidRPr="00822C63">
        <w:rPr>
          <w:rFonts w:asciiTheme="minorHAnsi" w:hAnsiTheme="minorHAnsi"/>
          <w:sz w:val="22"/>
          <w:szCs w:val="22"/>
        </w:rPr>
        <w:t>3.3</w:t>
      </w:r>
      <w:r w:rsidRPr="00822C63">
        <w:rPr>
          <w:rFonts w:asciiTheme="minorHAnsi" w:hAnsiTheme="minorHAnsi"/>
          <w:sz w:val="22"/>
          <w:szCs w:val="22"/>
        </w:rPr>
        <w:tab/>
      </w:r>
      <w:r w:rsidR="000445F9" w:rsidRPr="00822C63">
        <w:rPr>
          <w:rFonts w:asciiTheme="minorHAnsi" w:hAnsiTheme="minorHAnsi"/>
          <w:b/>
          <w:sz w:val="22"/>
          <w:szCs w:val="22"/>
        </w:rPr>
        <w:t>IMAC considers that these formal recommendations, when implemented, will contribute to improved financial management and control in ITU; and the Committee therefore supports the External Auditor’s recommendations.</w:t>
      </w:r>
    </w:p>
    <w:p w:rsidR="00F22459" w:rsidRPr="00822C63" w:rsidRDefault="00BD7DF8" w:rsidP="00596643">
      <w:pPr>
        <w:tabs>
          <w:tab w:val="clear" w:pos="567"/>
          <w:tab w:val="clear" w:pos="1134"/>
          <w:tab w:val="clear" w:pos="1701"/>
          <w:tab w:val="clear" w:pos="2268"/>
          <w:tab w:val="clear" w:pos="2835"/>
        </w:tabs>
        <w:spacing w:before="360"/>
        <w:jc w:val="both"/>
        <w:rPr>
          <w:rFonts w:asciiTheme="minorHAnsi" w:hAnsiTheme="minorHAnsi"/>
          <w:sz w:val="22"/>
          <w:szCs w:val="22"/>
        </w:rPr>
      </w:pPr>
      <w:r w:rsidRPr="00822C63">
        <w:rPr>
          <w:rFonts w:asciiTheme="minorHAnsi" w:hAnsiTheme="minorHAnsi"/>
          <w:b/>
          <w:sz w:val="22"/>
          <w:szCs w:val="22"/>
        </w:rPr>
        <w:t>4.</w:t>
      </w:r>
      <w:r w:rsidR="00E44DD7" w:rsidRPr="00822C63">
        <w:rPr>
          <w:rFonts w:asciiTheme="minorHAnsi" w:hAnsiTheme="minorHAnsi"/>
          <w:b/>
          <w:sz w:val="22"/>
          <w:szCs w:val="22"/>
        </w:rPr>
        <w:tab/>
      </w:r>
      <w:r w:rsidR="00DD12AC" w:rsidRPr="00822C63">
        <w:rPr>
          <w:rFonts w:asciiTheme="minorHAnsi" w:hAnsiTheme="minorHAnsi"/>
          <w:b/>
          <w:sz w:val="22"/>
          <w:szCs w:val="22"/>
        </w:rPr>
        <w:t>The External Auditor’s formal suggestions</w:t>
      </w:r>
    </w:p>
    <w:p w:rsidR="00DD12AC" w:rsidRPr="00822C63" w:rsidRDefault="00BD7DF8" w:rsidP="00596643">
      <w:pPr>
        <w:tabs>
          <w:tab w:val="clear" w:pos="567"/>
          <w:tab w:val="clear" w:pos="1134"/>
          <w:tab w:val="clear" w:pos="1701"/>
          <w:tab w:val="clear" w:pos="2268"/>
          <w:tab w:val="clear" w:pos="2835"/>
        </w:tabs>
        <w:spacing w:after="120"/>
        <w:jc w:val="both"/>
        <w:rPr>
          <w:rFonts w:asciiTheme="minorHAnsi" w:hAnsiTheme="minorHAnsi"/>
          <w:sz w:val="22"/>
          <w:szCs w:val="22"/>
        </w:rPr>
      </w:pPr>
      <w:r w:rsidRPr="00822C63">
        <w:rPr>
          <w:rFonts w:asciiTheme="minorHAnsi" w:hAnsiTheme="minorHAnsi"/>
          <w:sz w:val="22"/>
          <w:szCs w:val="22"/>
        </w:rPr>
        <w:t>4.1</w:t>
      </w:r>
      <w:r w:rsidR="00E44DD7" w:rsidRPr="00822C63">
        <w:rPr>
          <w:rFonts w:asciiTheme="minorHAnsi" w:hAnsiTheme="minorHAnsi"/>
          <w:sz w:val="22"/>
          <w:szCs w:val="22"/>
        </w:rPr>
        <w:tab/>
      </w:r>
      <w:r w:rsidR="00DD12AC" w:rsidRPr="00822C63">
        <w:rPr>
          <w:rFonts w:asciiTheme="minorHAnsi" w:hAnsiTheme="minorHAnsi"/>
          <w:sz w:val="22"/>
          <w:szCs w:val="22"/>
        </w:rPr>
        <w:t>The External Auditor’s Report presents four suggestions for action by management, concerning:</w:t>
      </w:r>
    </w:p>
    <w:p w:rsidR="00DD12AC" w:rsidRPr="00822C63" w:rsidRDefault="00DD12AC" w:rsidP="00596643">
      <w:pPr>
        <w:numPr>
          <w:ilvl w:val="0"/>
          <w:numId w:val="3"/>
        </w:numPr>
        <w:tabs>
          <w:tab w:val="clear" w:pos="567"/>
          <w:tab w:val="clear" w:pos="1134"/>
          <w:tab w:val="clear" w:pos="1701"/>
          <w:tab w:val="clear" w:pos="2268"/>
          <w:tab w:val="clear" w:pos="2835"/>
        </w:tabs>
        <w:spacing w:before="0"/>
        <w:ind w:left="777" w:hanging="357"/>
        <w:jc w:val="both"/>
        <w:rPr>
          <w:rFonts w:asciiTheme="minorHAnsi" w:hAnsiTheme="minorHAnsi"/>
          <w:sz w:val="22"/>
          <w:szCs w:val="22"/>
        </w:rPr>
      </w:pPr>
      <w:r w:rsidRPr="00822C63">
        <w:rPr>
          <w:rFonts w:asciiTheme="minorHAnsi" w:hAnsiTheme="minorHAnsi"/>
          <w:sz w:val="22"/>
          <w:szCs w:val="22"/>
        </w:rPr>
        <w:t>the need to write off missing assets;</w:t>
      </w:r>
    </w:p>
    <w:p w:rsidR="00DD12AC" w:rsidRPr="00822C63" w:rsidRDefault="00DD12AC" w:rsidP="00596643">
      <w:pPr>
        <w:numPr>
          <w:ilvl w:val="0"/>
          <w:numId w:val="3"/>
        </w:numPr>
        <w:tabs>
          <w:tab w:val="clear" w:pos="567"/>
          <w:tab w:val="clear" w:pos="1134"/>
          <w:tab w:val="clear" w:pos="1701"/>
          <w:tab w:val="clear" w:pos="2268"/>
          <w:tab w:val="clear" w:pos="2835"/>
        </w:tabs>
        <w:spacing w:before="0"/>
        <w:ind w:left="777" w:hanging="357"/>
        <w:jc w:val="both"/>
        <w:rPr>
          <w:rFonts w:asciiTheme="minorHAnsi" w:hAnsiTheme="minorHAnsi"/>
          <w:sz w:val="22"/>
          <w:szCs w:val="22"/>
        </w:rPr>
      </w:pPr>
      <w:r w:rsidRPr="00822C63">
        <w:rPr>
          <w:rFonts w:asciiTheme="minorHAnsi" w:hAnsiTheme="minorHAnsi"/>
          <w:sz w:val="22"/>
          <w:szCs w:val="22"/>
        </w:rPr>
        <w:t>the need for a review and evaluation of health services reimbursed as health care, and the sustainability of the costs of the arrangements;</w:t>
      </w:r>
    </w:p>
    <w:p w:rsidR="00DD12AC" w:rsidRPr="00822C63" w:rsidRDefault="00DD12AC" w:rsidP="00596643">
      <w:pPr>
        <w:numPr>
          <w:ilvl w:val="0"/>
          <w:numId w:val="3"/>
        </w:numPr>
        <w:tabs>
          <w:tab w:val="clear" w:pos="567"/>
          <w:tab w:val="clear" w:pos="1134"/>
          <w:tab w:val="clear" w:pos="1701"/>
          <w:tab w:val="clear" w:pos="2268"/>
          <w:tab w:val="clear" w:pos="2835"/>
        </w:tabs>
        <w:spacing w:before="0"/>
        <w:ind w:left="777" w:hanging="357"/>
        <w:jc w:val="both"/>
        <w:rPr>
          <w:rFonts w:asciiTheme="minorHAnsi" w:hAnsiTheme="minorHAnsi"/>
          <w:sz w:val="22"/>
          <w:szCs w:val="22"/>
        </w:rPr>
      </w:pPr>
      <w:r w:rsidRPr="00822C63">
        <w:rPr>
          <w:rFonts w:asciiTheme="minorHAnsi" w:hAnsiTheme="minorHAnsi"/>
          <w:sz w:val="22"/>
          <w:szCs w:val="22"/>
        </w:rPr>
        <w:t xml:space="preserve">the scope for improvement in procedures relating to accounting for trust funds; and </w:t>
      </w:r>
    </w:p>
    <w:p w:rsidR="00DD12AC" w:rsidRPr="00822C63" w:rsidRDefault="00DD12AC" w:rsidP="00596643">
      <w:pPr>
        <w:numPr>
          <w:ilvl w:val="0"/>
          <w:numId w:val="3"/>
        </w:numPr>
        <w:tabs>
          <w:tab w:val="clear" w:pos="567"/>
          <w:tab w:val="clear" w:pos="1134"/>
          <w:tab w:val="clear" w:pos="1701"/>
          <w:tab w:val="clear" w:pos="2268"/>
          <w:tab w:val="clear" w:pos="2835"/>
        </w:tabs>
        <w:spacing w:before="0"/>
        <w:ind w:left="777" w:hanging="357"/>
        <w:jc w:val="both"/>
        <w:rPr>
          <w:rFonts w:asciiTheme="minorHAnsi" w:hAnsiTheme="minorHAnsi"/>
          <w:sz w:val="22"/>
          <w:szCs w:val="22"/>
        </w:rPr>
      </w:pPr>
      <w:proofErr w:type="gramStart"/>
      <w:r w:rsidRPr="00822C63">
        <w:rPr>
          <w:rFonts w:asciiTheme="minorHAnsi" w:hAnsiTheme="minorHAnsi"/>
          <w:sz w:val="22"/>
          <w:szCs w:val="22"/>
        </w:rPr>
        <w:t>the</w:t>
      </w:r>
      <w:proofErr w:type="gramEnd"/>
      <w:r w:rsidRPr="00822C63">
        <w:rPr>
          <w:rFonts w:asciiTheme="minorHAnsi" w:hAnsiTheme="minorHAnsi"/>
          <w:sz w:val="22"/>
          <w:szCs w:val="22"/>
        </w:rPr>
        <w:t xml:space="preserve"> need for defined guidelines covering the accounting and reporting for extra-budgetary funds.</w:t>
      </w:r>
    </w:p>
    <w:p w:rsidR="00DD12AC" w:rsidRPr="00822C63" w:rsidRDefault="00DD12AC" w:rsidP="00596643">
      <w:pPr>
        <w:tabs>
          <w:tab w:val="clear" w:pos="567"/>
          <w:tab w:val="clear" w:pos="1134"/>
          <w:tab w:val="clear" w:pos="1701"/>
          <w:tab w:val="clear" w:pos="2268"/>
          <w:tab w:val="clear" w:pos="2835"/>
        </w:tabs>
        <w:spacing w:before="240" w:after="120"/>
        <w:jc w:val="both"/>
        <w:rPr>
          <w:rFonts w:asciiTheme="minorHAnsi" w:hAnsiTheme="minorHAnsi"/>
          <w:sz w:val="22"/>
          <w:szCs w:val="22"/>
        </w:rPr>
      </w:pPr>
      <w:r w:rsidRPr="00822C63">
        <w:rPr>
          <w:rFonts w:asciiTheme="minorHAnsi" w:hAnsiTheme="minorHAnsi"/>
          <w:sz w:val="22"/>
          <w:szCs w:val="22"/>
        </w:rPr>
        <w:t>4.2</w:t>
      </w:r>
      <w:r w:rsidRPr="00822C63">
        <w:rPr>
          <w:rFonts w:asciiTheme="minorHAnsi" w:hAnsiTheme="minorHAnsi"/>
          <w:sz w:val="22"/>
          <w:szCs w:val="22"/>
        </w:rPr>
        <w:tab/>
        <w:t>In addition, the External Auditor’s Report presents a total of five suggestions arising from its assessment of ITU’s Internal Audit Unit, the evaluation of which IMAC had recommended in its seco</w:t>
      </w:r>
      <w:r w:rsidR="00BD25A3" w:rsidRPr="00822C63">
        <w:rPr>
          <w:rFonts w:asciiTheme="minorHAnsi" w:hAnsiTheme="minorHAnsi"/>
          <w:sz w:val="22"/>
          <w:szCs w:val="22"/>
        </w:rPr>
        <w:t xml:space="preserve">nd annual report in June 2013. </w:t>
      </w:r>
      <w:r w:rsidRPr="00822C63">
        <w:rPr>
          <w:rFonts w:asciiTheme="minorHAnsi" w:hAnsiTheme="minorHAnsi"/>
          <w:sz w:val="22"/>
          <w:szCs w:val="22"/>
        </w:rPr>
        <w:t>The external audit review of IAU provides a comprehensive and positive commentary on the IAU arrangements and professional standards; and also sets out a number of actions that address issues previously raised by IMAC about limited IAU resources and the need to ensure sufficient audit coverage to meet ITU’s needs.</w:t>
      </w:r>
    </w:p>
    <w:p w:rsidR="00DD12AC" w:rsidRPr="00822C63" w:rsidRDefault="00DD12AC" w:rsidP="00596643">
      <w:pPr>
        <w:tabs>
          <w:tab w:val="clear" w:pos="567"/>
          <w:tab w:val="clear" w:pos="1134"/>
          <w:tab w:val="clear" w:pos="1701"/>
          <w:tab w:val="clear" w:pos="2268"/>
          <w:tab w:val="clear" w:pos="2835"/>
        </w:tabs>
        <w:spacing w:after="120"/>
        <w:jc w:val="both"/>
        <w:rPr>
          <w:rFonts w:asciiTheme="minorHAnsi" w:hAnsiTheme="minorHAnsi"/>
          <w:sz w:val="22"/>
          <w:szCs w:val="22"/>
        </w:rPr>
      </w:pPr>
      <w:r w:rsidRPr="00822C63">
        <w:rPr>
          <w:rFonts w:asciiTheme="minorHAnsi" w:hAnsiTheme="minorHAnsi"/>
          <w:sz w:val="22"/>
          <w:szCs w:val="22"/>
        </w:rPr>
        <w:t>4.3</w:t>
      </w:r>
      <w:r w:rsidRPr="00822C63">
        <w:rPr>
          <w:rFonts w:asciiTheme="minorHAnsi" w:hAnsiTheme="minorHAnsi"/>
          <w:sz w:val="22"/>
          <w:szCs w:val="22"/>
        </w:rPr>
        <w:tab/>
        <w:t>The External Auditor has suggested that:</w:t>
      </w:r>
    </w:p>
    <w:p w:rsidR="00DD12AC" w:rsidRPr="00822C63" w:rsidRDefault="00DD12AC" w:rsidP="00596643">
      <w:pPr>
        <w:numPr>
          <w:ilvl w:val="0"/>
          <w:numId w:val="4"/>
        </w:numPr>
        <w:tabs>
          <w:tab w:val="clear" w:pos="567"/>
          <w:tab w:val="clear" w:pos="1134"/>
          <w:tab w:val="clear" w:pos="1701"/>
          <w:tab w:val="clear" w:pos="2268"/>
          <w:tab w:val="clear" w:pos="2835"/>
        </w:tabs>
        <w:spacing w:before="80"/>
        <w:ind w:left="709" w:hanging="283"/>
        <w:jc w:val="both"/>
        <w:rPr>
          <w:rFonts w:asciiTheme="minorHAnsi" w:hAnsiTheme="minorHAnsi"/>
          <w:sz w:val="22"/>
          <w:szCs w:val="22"/>
        </w:rPr>
      </w:pPr>
      <w:r w:rsidRPr="00822C63">
        <w:rPr>
          <w:rFonts w:asciiTheme="minorHAnsi" w:hAnsiTheme="minorHAnsi"/>
          <w:sz w:val="22"/>
          <w:szCs w:val="22"/>
        </w:rPr>
        <w:t>the Internal Audit Unit should improve its present annual planning by the adoption of an over-arching multi-year audit planning process, based on an enhanced and more explicitly-grounded risk analysis which can support the coverage of major identified risk areas on a cyclical basis (su</w:t>
      </w:r>
      <w:r w:rsidR="00596643" w:rsidRPr="00822C63">
        <w:rPr>
          <w:rFonts w:asciiTheme="minorHAnsi" w:hAnsiTheme="minorHAnsi"/>
          <w:sz w:val="22"/>
          <w:szCs w:val="22"/>
        </w:rPr>
        <w:t>ggestions numbered 5, 6 and 7);</w:t>
      </w:r>
    </w:p>
    <w:p w:rsidR="00DD12AC" w:rsidRPr="00822C63" w:rsidRDefault="00DD12AC" w:rsidP="00596643">
      <w:pPr>
        <w:numPr>
          <w:ilvl w:val="0"/>
          <w:numId w:val="4"/>
        </w:numPr>
        <w:tabs>
          <w:tab w:val="clear" w:pos="567"/>
          <w:tab w:val="clear" w:pos="1134"/>
          <w:tab w:val="clear" w:pos="1701"/>
          <w:tab w:val="clear" w:pos="2268"/>
          <w:tab w:val="clear" w:pos="2835"/>
        </w:tabs>
        <w:spacing w:before="0"/>
        <w:ind w:left="709" w:hanging="283"/>
        <w:jc w:val="both"/>
        <w:rPr>
          <w:rFonts w:asciiTheme="minorHAnsi" w:hAnsiTheme="minorHAnsi"/>
          <w:sz w:val="22"/>
          <w:szCs w:val="22"/>
        </w:rPr>
      </w:pPr>
      <w:r w:rsidRPr="00822C63">
        <w:rPr>
          <w:rFonts w:asciiTheme="minorHAnsi" w:hAnsiTheme="minorHAnsi"/>
          <w:sz w:val="22"/>
          <w:szCs w:val="22"/>
        </w:rPr>
        <w:t xml:space="preserve">the improved information from these enhanced processes be used to link with the audit tasks proposed in the IAU’s annual </w:t>
      </w:r>
      <w:proofErr w:type="spellStart"/>
      <w:r w:rsidRPr="00822C63">
        <w:rPr>
          <w:rFonts w:asciiTheme="minorHAnsi" w:hAnsiTheme="minorHAnsi"/>
          <w:sz w:val="22"/>
          <w:szCs w:val="22"/>
        </w:rPr>
        <w:t>workplan</w:t>
      </w:r>
      <w:proofErr w:type="spellEnd"/>
      <w:r w:rsidRPr="00822C63">
        <w:rPr>
          <w:rFonts w:asciiTheme="minorHAnsi" w:hAnsiTheme="minorHAnsi"/>
          <w:sz w:val="22"/>
          <w:szCs w:val="22"/>
        </w:rPr>
        <w:t xml:space="preserve"> and thus to better inform the Secretary-General for deciding on the adequacy of resources in IAU (suggestion number 8); and </w:t>
      </w:r>
    </w:p>
    <w:p w:rsidR="00DD12AC" w:rsidRPr="00822C63" w:rsidRDefault="00DD12AC" w:rsidP="00596643">
      <w:pPr>
        <w:numPr>
          <w:ilvl w:val="0"/>
          <w:numId w:val="4"/>
        </w:numPr>
        <w:tabs>
          <w:tab w:val="clear" w:pos="567"/>
          <w:tab w:val="clear" w:pos="1134"/>
          <w:tab w:val="clear" w:pos="1701"/>
          <w:tab w:val="clear" w:pos="2268"/>
          <w:tab w:val="clear" w:pos="2835"/>
        </w:tabs>
        <w:spacing w:before="0"/>
        <w:ind w:left="709" w:hanging="283"/>
        <w:jc w:val="both"/>
        <w:rPr>
          <w:rFonts w:asciiTheme="minorHAnsi" w:hAnsiTheme="minorHAnsi"/>
          <w:sz w:val="22"/>
          <w:szCs w:val="22"/>
        </w:rPr>
      </w:pPr>
      <w:proofErr w:type="gramStart"/>
      <w:r w:rsidRPr="00822C63">
        <w:rPr>
          <w:rFonts w:asciiTheme="minorHAnsi" w:hAnsiTheme="minorHAnsi"/>
          <w:sz w:val="22"/>
          <w:szCs w:val="22"/>
        </w:rPr>
        <w:t>as</w:t>
      </w:r>
      <w:proofErr w:type="gramEnd"/>
      <w:r w:rsidRPr="00822C63">
        <w:rPr>
          <w:rFonts w:asciiTheme="minorHAnsi" w:hAnsiTheme="minorHAnsi"/>
          <w:sz w:val="22"/>
          <w:szCs w:val="22"/>
        </w:rPr>
        <w:t xml:space="preserve"> part of the annual planning approval process, the Head of IAU should indicate the extent of need for hiring additional specific professional expertise as contractual services, for consideration by the Secretary-General in the context of budgetary approvals (suggestion number 9).</w:t>
      </w:r>
    </w:p>
    <w:p w:rsidR="00DD12AC" w:rsidRPr="00822C63" w:rsidRDefault="00DD12AC" w:rsidP="00822C63">
      <w:pPr>
        <w:tabs>
          <w:tab w:val="clear" w:pos="567"/>
          <w:tab w:val="clear" w:pos="1134"/>
          <w:tab w:val="clear" w:pos="1701"/>
          <w:tab w:val="clear" w:pos="2268"/>
          <w:tab w:val="clear" w:pos="2835"/>
        </w:tabs>
        <w:spacing w:after="120"/>
        <w:jc w:val="both"/>
        <w:rPr>
          <w:rFonts w:asciiTheme="minorHAnsi" w:hAnsiTheme="minorHAnsi"/>
          <w:sz w:val="22"/>
          <w:szCs w:val="22"/>
        </w:rPr>
      </w:pPr>
      <w:r w:rsidRPr="00822C63">
        <w:rPr>
          <w:rFonts w:asciiTheme="minorHAnsi" w:hAnsiTheme="minorHAnsi"/>
          <w:sz w:val="22"/>
          <w:szCs w:val="22"/>
        </w:rPr>
        <w:t>4.4</w:t>
      </w:r>
      <w:r w:rsidRPr="00822C63">
        <w:rPr>
          <w:rFonts w:asciiTheme="minorHAnsi" w:hAnsiTheme="minorHAnsi"/>
          <w:sz w:val="22"/>
          <w:szCs w:val="22"/>
        </w:rPr>
        <w:tab/>
        <w:t>While the Secretary-General’s formal comments on several of these suggestions commits only to the intention to endeavour or aim to address the suggested actions, IMAC believes the External Auditor’s advice is appropri</w:t>
      </w:r>
      <w:r w:rsidR="00BD25A3" w:rsidRPr="00822C63">
        <w:rPr>
          <w:rFonts w:asciiTheme="minorHAnsi" w:hAnsiTheme="minorHAnsi"/>
          <w:sz w:val="22"/>
          <w:szCs w:val="22"/>
        </w:rPr>
        <w:t xml:space="preserve">ate, practical and </w:t>
      </w:r>
      <w:r w:rsidR="00822C63" w:rsidRPr="00822C63">
        <w:rPr>
          <w:rFonts w:asciiTheme="minorHAnsi" w:hAnsiTheme="minorHAnsi"/>
          <w:sz w:val="22"/>
          <w:szCs w:val="22"/>
        </w:rPr>
        <w:t>feasible</w:t>
      </w:r>
      <w:r w:rsidR="00BD25A3" w:rsidRPr="00822C63">
        <w:rPr>
          <w:rFonts w:asciiTheme="minorHAnsi" w:hAnsiTheme="minorHAnsi"/>
          <w:sz w:val="22"/>
          <w:szCs w:val="22"/>
        </w:rPr>
        <w:t>.</w:t>
      </w:r>
    </w:p>
    <w:p w:rsidR="00F22459" w:rsidRPr="00822C63" w:rsidRDefault="00DD12AC" w:rsidP="00596643">
      <w:pPr>
        <w:tabs>
          <w:tab w:val="clear" w:pos="567"/>
          <w:tab w:val="clear" w:pos="1134"/>
          <w:tab w:val="clear" w:pos="1701"/>
          <w:tab w:val="clear" w:pos="2268"/>
          <w:tab w:val="clear" w:pos="2835"/>
        </w:tabs>
        <w:spacing w:after="120"/>
        <w:jc w:val="both"/>
        <w:rPr>
          <w:rFonts w:asciiTheme="minorHAnsi" w:hAnsiTheme="minorHAnsi"/>
          <w:sz w:val="22"/>
          <w:szCs w:val="22"/>
        </w:rPr>
      </w:pPr>
      <w:r w:rsidRPr="00822C63">
        <w:rPr>
          <w:rFonts w:asciiTheme="minorHAnsi" w:hAnsiTheme="minorHAnsi"/>
          <w:sz w:val="22"/>
          <w:szCs w:val="22"/>
        </w:rPr>
        <w:t>4.</w:t>
      </w:r>
      <w:r w:rsidR="00BD25A3" w:rsidRPr="00822C63">
        <w:rPr>
          <w:rFonts w:asciiTheme="minorHAnsi" w:hAnsiTheme="minorHAnsi"/>
          <w:sz w:val="22"/>
          <w:szCs w:val="22"/>
        </w:rPr>
        <w:t>5</w:t>
      </w:r>
      <w:r w:rsidRPr="00822C63">
        <w:rPr>
          <w:rFonts w:asciiTheme="minorHAnsi" w:hAnsiTheme="minorHAnsi"/>
          <w:sz w:val="22"/>
          <w:szCs w:val="22"/>
        </w:rPr>
        <w:tab/>
        <w:t>Given the concerns IMAC has previously expressed on the adequacy of the coverage achieved by IAU and the limited resources available to it (IMAC’s First, Second and Third Annual Reports referred), the Committee fully endorses the suggestions made by the External Auditor.</w:t>
      </w:r>
    </w:p>
    <w:p w:rsidR="00F22459" w:rsidRPr="00822C63" w:rsidRDefault="00BD7DF8" w:rsidP="00596643">
      <w:pPr>
        <w:tabs>
          <w:tab w:val="clear" w:pos="567"/>
          <w:tab w:val="clear" w:pos="1134"/>
          <w:tab w:val="clear" w:pos="1701"/>
          <w:tab w:val="clear" w:pos="2268"/>
          <w:tab w:val="clear" w:pos="2835"/>
        </w:tabs>
        <w:spacing w:before="360"/>
        <w:jc w:val="both"/>
        <w:rPr>
          <w:rFonts w:asciiTheme="minorHAnsi" w:hAnsiTheme="minorHAnsi"/>
          <w:b/>
          <w:sz w:val="22"/>
          <w:szCs w:val="22"/>
        </w:rPr>
      </w:pPr>
      <w:r w:rsidRPr="00822C63">
        <w:rPr>
          <w:rFonts w:asciiTheme="minorHAnsi" w:hAnsiTheme="minorHAnsi"/>
          <w:b/>
          <w:sz w:val="22"/>
          <w:szCs w:val="22"/>
        </w:rPr>
        <w:t>5.</w:t>
      </w:r>
      <w:r w:rsidR="00E44DD7" w:rsidRPr="00822C63">
        <w:rPr>
          <w:rFonts w:asciiTheme="minorHAnsi" w:hAnsiTheme="minorHAnsi"/>
          <w:b/>
          <w:sz w:val="22"/>
          <w:szCs w:val="22"/>
        </w:rPr>
        <w:tab/>
      </w:r>
      <w:r w:rsidR="00DD12AC" w:rsidRPr="00822C63">
        <w:rPr>
          <w:rFonts w:asciiTheme="minorHAnsi" w:hAnsiTheme="minorHAnsi"/>
          <w:b/>
          <w:sz w:val="22"/>
          <w:szCs w:val="22"/>
        </w:rPr>
        <w:t>Matter concerning the procedure for the Council’s consideration of IMAC’s reports and recommendations</w:t>
      </w:r>
    </w:p>
    <w:p w:rsidR="00DD12AC" w:rsidRPr="00822C63" w:rsidRDefault="00E44DD7" w:rsidP="00596643">
      <w:pPr>
        <w:tabs>
          <w:tab w:val="clear" w:pos="567"/>
          <w:tab w:val="clear" w:pos="1134"/>
          <w:tab w:val="clear" w:pos="1701"/>
          <w:tab w:val="clear" w:pos="2268"/>
          <w:tab w:val="clear" w:pos="2835"/>
        </w:tabs>
        <w:spacing w:after="120"/>
        <w:jc w:val="both"/>
        <w:rPr>
          <w:rFonts w:asciiTheme="minorHAnsi" w:hAnsiTheme="minorHAnsi"/>
          <w:sz w:val="22"/>
          <w:szCs w:val="22"/>
        </w:rPr>
      </w:pPr>
      <w:r w:rsidRPr="00822C63">
        <w:rPr>
          <w:rFonts w:asciiTheme="minorHAnsi" w:hAnsiTheme="minorHAnsi"/>
          <w:sz w:val="22"/>
          <w:szCs w:val="22"/>
        </w:rPr>
        <w:t>5.1</w:t>
      </w:r>
      <w:r w:rsidRPr="00822C63">
        <w:rPr>
          <w:rFonts w:asciiTheme="minorHAnsi" w:hAnsiTheme="minorHAnsi"/>
          <w:sz w:val="22"/>
          <w:szCs w:val="22"/>
        </w:rPr>
        <w:tab/>
      </w:r>
      <w:r w:rsidR="00DD12AC" w:rsidRPr="00822C63">
        <w:rPr>
          <w:rFonts w:asciiTheme="minorHAnsi" w:hAnsiTheme="minorHAnsi"/>
          <w:sz w:val="22"/>
          <w:szCs w:val="22"/>
        </w:rPr>
        <w:t>In considering IMAC’s Second Annual Report in June 2013, the Council approved the report and in particular its recommendations. This procedure provided a transparent and appropriate process which supports effective accountability to the ITU’s governing body and contributes to a beneficial outcome, in that the Council’s expectations over the implementation of Committee recommendations are clear and can be followed up.</w:t>
      </w:r>
    </w:p>
    <w:p w:rsidR="00DD12AC" w:rsidRPr="00822C63" w:rsidRDefault="00DD12AC" w:rsidP="00596643">
      <w:pPr>
        <w:tabs>
          <w:tab w:val="clear" w:pos="567"/>
          <w:tab w:val="clear" w:pos="1134"/>
          <w:tab w:val="clear" w:pos="1701"/>
          <w:tab w:val="clear" w:pos="2268"/>
          <w:tab w:val="clear" w:pos="2835"/>
        </w:tabs>
        <w:spacing w:after="120"/>
        <w:jc w:val="both"/>
        <w:rPr>
          <w:rFonts w:asciiTheme="minorHAnsi" w:hAnsiTheme="minorHAnsi"/>
          <w:sz w:val="22"/>
          <w:szCs w:val="22"/>
        </w:rPr>
      </w:pPr>
      <w:r w:rsidRPr="00822C63">
        <w:rPr>
          <w:rFonts w:asciiTheme="minorHAnsi" w:hAnsiTheme="minorHAnsi"/>
          <w:sz w:val="22"/>
          <w:szCs w:val="22"/>
        </w:rPr>
        <w:t>5.2</w:t>
      </w:r>
      <w:r w:rsidRPr="00822C63">
        <w:rPr>
          <w:rFonts w:asciiTheme="minorHAnsi" w:hAnsiTheme="minorHAnsi"/>
          <w:sz w:val="22"/>
          <w:szCs w:val="22"/>
        </w:rPr>
        <w:tab/>
        <w:t>In 2014 the IMAC report was submitted as previously, inviting the Council to approve the recommendations in the report, so as to enco</w:t>
      </w:r>
      <w:bookmarkStart w:id="9" w:name="_GoBack"/>
      <w:bookmarkEnd w:id="9"/>
      <w:r w:rsidRPr="00822C63">
        <w:rPr>
          <w:rFonts w:asciiTheme="minorHAnsi" w:hAnsiTheme="minorHAnsi"/>
          <w:sz w:val="22"/>
          <w:szCs w:val="22"/>
        </w:rPr>
        <w:t>urage effective response and timely action in the interests of good accountability. Concluding the discussion, as reflected in the video record of proceedings, the Chairman of the Standing Committee on Administration and Management invited the Council members to approve the IMAC recommendations and this conclusion was confirmed by</w:t>
      </w:r>
      <w:r w:rsidR="00BD25A3" w:rsidRPr="00822C63">
        <w:rPr>
          <w:rFonts w:asciiTheme="minorHAnsi" w:hAnsiTheme="minorHAnsi"/>
          <w:sz w:val="22"/>
          <w:szCs w:val="22"/>
        </w:rPr>
        <w:t xml:space="preserve"> the meeting without objection.</w:t>
      </w:r>
    </w:p>
    <w:p w:rsidR="00DD12AC" w:rsidRPr="00822C63" w:rsidRDefault="00DD12AC" w:rsidP="00596643">
      <w:pPr>
        <w:tabs>
          <w:tab w:val="clear" w:pos="567"/>
          <w:tab w:val="clear" w:pos="1134"/>
          <w:tab w:val="clear" w:pos="1701"/>
          <w:tab w:val="clear" w:pos="2268"/>
          <w:tab w:val="clear" w:pos="2835"/>
        </w:tabs>
        <w:spacing w:after="120"/>
        <w:jc w:val="both"/>
        <w:rPr>
          <w:rFonts w:asciiTheme="minorHAnsi" w:hAnsiTheme="minorHAnsi"/>
          <w:sz w:val="22"/>
          <w:szCs w:val="22"/>
        </w:rPr>
      </w:pPr>
      <w:r w:rsidRPr="00822C63">
        <w:rPr>
          <w:rFonts w:asciiTheme="minorHAnsi" w:hAnsiTheme="minorHAnsi"/>
          <w:sz w:val="22"/>
          <w:szCs w:val="22"/>
        </w:rPr>
        <w:t>5.3</w:t>
      </w:r>
      <w:r w:rsidRPr="00822C63">
        <w:rPr>
          <w:rFonts w:asciiTheme="minorHAnsi" w:hAnsiTheme="minorHAnsi"/>
          <w:sz w:val="22"/>
          <w:szCs w:val="22"/>
        </w:rPr>
        <w:tab/>
        <w:t xml:space="preserve">However, the subsequently issued report by the Chairman of the Standing Committee on Administration and Management (Document C14/92-E dated 14 May 2014, Original: English) recorded merely that the Council should take note of the IMAC </w:t>
      </w:r>
      <w:r w:rsidR="00BD25A3" w:rsidRPr="00822C63">
        <w:rPr>
          <w:rFonts w:asciiTheme="minorHAnsi" w:hAnsiTheme="minorHAnsi"/>
          <w:sz w:val="22"/>
          <w:szCs w:val="22"/>
        </w:rPr>
        <w:t>report and its recommendations.</w:t>
      </w:r>
    </w:p>
    <w:p w:rsidR="00BD25A3" w:rsidRPr="00822C63" w:rsidRDefault="00DD12AC" w:rsidP="00596643">
      <w:pPr>
        <w:tabs>
          <w:tab w:val="clear" w:pos="567"/>
          <w:tab w:val="clear" w:pos="1134"/>
          <w:tab w:val="clear" w:pos="1701"/>
          <w:tab w:val="clear" w:pos="2268"/>
          <w:tab w:val="clear" w:pos="2835"/>
        </w:tabs>
        <w:spacing w:after="120"/>
        <w:jc w:val="both"/>
        <w:rPr>
          <w:sz w:val="22"/>
          <w:szCs w:val="22"/>
        </w:rPr>
      </w:pPr>
      <w:r w:rsidRPr="00822C63">
        <w:rPr>
          <w:rFonts w:asciiTheme="minorHAnsi" w:hAnsiTheme="minorHAnsi"/>
          <w:sz w:val="22"/>
          <w:szCs w:val="22"/>
        </w:rPr>
        <w:t>5.4</w:t>
      </w:r>
      <w:r w:rsidRPr="00822C63">
        <w:rPr>
          <w:rFonts w:asciiTheme="minorHAnsi" w:hAnsiTheme="minorHAnsi"/>
          <w:sz w:val="22"/>
          <w:szCs w:val="22"/>
        </w:rPr>
        <w:tab/>
        <w:t xml:space="preserve">While it is, of course, entirely a matter for the Council’s discretion and authority how to proceed, this outcome did not seem to reflect the clear and specific decision of the session in which the IMAC report was debated; and further, an outcome in which a governing body does no more than take note may not </w:t>
      </w:r>
      <w:r w:rsidR="00AF6519" w:rsidRPr="00822C63">
        <w:rPr>
          <w:rFonts w:asciiTheme="minorHAnsi" w:hAnsiTheme="minorHAnsi"/>
          <w:sz w:val="22"/>
          <w:szCs w:val="22"/>
        </w:rPr>
        <w:t>facilitate the follow up of the</w:t>
      </w:r>
      <w:r w:rsidRPr="00822C63">
        <w:rPr>
          <w:rFonts w:asciiTheme="minorHAnsi" w:hAnsiTheme="minorHAnsi"/>
          <w:sz w:val="22"/>
          <w:szCs w:val="22"/>
        </w:rPr>
        <w:t xml:space="preserve"> implementation by those concerned and clear accountability to the governing body’s expectations. </w:t>
      </w:r>
      <w:r w:rsidR="00B6462E" w:rsidRPr="00822C63">
        <w:rPr>
          <w:sz w:val="22"/>
          <w:szCs w:val="22"/>
        </w:rPr>
        <w:t>In order for management's implementation of recommendations to be monitored effectively against the Council's expectations, IMAC would be grateful if the Coun</w:t>
      </w:r>
      <w:r w:rsidR="00511CC7">
        <w:rPr>
          <w:sz w:val="22"/>
          <w:szCs w:val="22"/>
        </w:rPr>
        <w:t>cil would clarify its position.</w:t>
      </w:r>
    </w:p>
    <w:p w:rsidR="00DD12AC" w:rsidRPr="00822C63" w:rsidRDefault="000E53B8" w:rsidP="00596643">
      <w:pPr>
        <w:tabs>
          <w:tab w:val="clear" w:pos="567"/>
          <w:tab w:val="clear" w:pos="1134"/>
          <w:tab w:val="clear" w:pos="1701"/>
          <w:tab w:val="clear" w:pos="2268"/>
          <w:tab w:val="clear" w:pos="2835"/>
        </w:tabs>
        <w:spacing w:before="360" w:after="120"/>
        <w:jc w:val="both"/>
        <w:rPr>
          <w:rFonts w:asciiTheme="minorHAnsi" w:hAnsiTheme="minorHAnsi"/>
          <w:b/>
          <w:bCs/>
          <w:sz w:val="22"/>
          <w:szCs w:val="22"/>
        </w:rPr>
      </w:pPr>
      <w:r w:rsidRPr="00822C63">
        <w:rPr>
          <w:rFonts w:asciiTheme="minorHAnsi" w:hAnsiTheme="minorHAnsi"/>
          <w:b/>
          <w:sz w:val="22"/>
          <w:szCs w:val="22"/>
        </w:rPr>
        <w:t>6</w:t>
      </w:r>
      <w:r w:rsidR="00DD12AC" w:rsidRPr="00822C63">
        <w:rPr>
          <w:rFonts w:asciiTheme="minorHAnsi" w:hAnsiTheme="minorHAnsi"/>
          <w:b/>
          <w:sz w:val="22"/>
          <w:szCs w:val="22"/>
        </w:rPr>
        <w:t>.</w:t>
      </w:r>
      <w:r w:rsidR="00DD12AC" w:rsidRPr="00822C63">
        <w:rPr>
          <w:rFonts w:asciiTheme="minorHAnsi" w:hAnsiTheme="minorHAnsi"/>
          <w:b/>
          <w:sz w:val="22"/>
          <w:szCs w:val="22"/>
        </w:rPr>
        <w:tab/>
      </w:r>
      <w:r w:rsidR="00DD12AC" w:rsidRPr="00822C63">
        <w:rPr>
          <w:rFonts w:asciiTheme="minorHAnsi" w:hAnsiTheme="minorHAnsi"/>
          <w:b/>
          <w:bCs/>
          <w:sz w:val="22"/>
          <w:szCs w:val="22"/>
        </w:rPr>
        <w:t xml:space="preserve">Timing of Council’s Consideration of External Auditors Report for 2014  </w:t>
      </w:r>
    </w:p>
    <w:p w:rsidR="00F22459" w:rsidRPr="00822C63" w:rsidRDefault="000E53B8" w:rsidP="00596643">
      <w:pPr>
        <w:tabs>
          <w:tab w:val="clear" w:pos="567"/>
          <w:tab w:val="clear" w:pos="1134"/>
          <w:tab w:val="clear" w:pos="1701"/>
          <w:tab w:val="clear" w:pos="2268"/>
          <w:tab w:val="clear" w:pos="2835"/>
        </w:tabs>
        <w:spacing w:after="120"/>
        <w:jc w:val="both"/>
        <w:rPr>
          <w:rFonts w:asciiTheme="minorHAnsi" w:hAnsiTheme="minorHAnsi"/>
          <w:sz w:val="22"/>
          <w:szCs w:val="22"/>
        </w:rPr>
      </w:pPr>
      <w:r w:rsidRPr="00822C63">
        <w:rPr>
          <w:rFonts w:asciiTheme="minorHAnsi" w:hAnsiTheme="minorHAnsi"/>
          <w:sz w:val="22"/>
          <w:szCs w:val="22"/>
        </w:rPr>
        <w:t>6</w:t>
      </w:r>
      <w:r w:rsidR="00DD12AC" w:rsidRPr="00822C63">
        <w:rPr>
          <w:rFonts w:asciiTheme="minorHAnsi" w:hAnsiTheme="minorHAnsi"/>
          <w:sz w:val="22"/>
          <w:szCs w:val="22"/>
        </w:rPr>
        <w:t>.</w:t>
      </w:r>
      <w:r w:rsidRPr="00822C63">
        <w:rPr>
          <w:rFonts w:asciiTheme="minorHAnsi" w:hAnsiTheme="minorHAnsi"/>
          <w:sz w:val="22"/>
          <w:szCs w:val="22"/>
        </w:rPr>
        <w:t>1</w:t>
      </w:r>
      <w:r w:rsidR="00DD12AC" w:rsidRPr="00822C63">
        <w:rPr>
          <w:rFonts w:asciiTheme="minorHAnsi" w:hAnsiTheme="minorHAnsi"/>
          <w:sz w:val="22"/>
          <w:szCs w:val="22"/>
        </w:rPr>
        <w:tab/>
        <w:t xml:space="preserve">Lastly, IMAC would like to bring to the attention of </w:t>
      </w:r>
      <w:r w:rsidR="00511CC7">
        <w:rPr>
          <w:rFonts w:asciiTheme="minorHAnsi" w:hAnsiTheme="minorHAnsi"/>
          <w:sz w:val="22"/>
          <w:szCs w:val="22"/>
        </w:rPr>
        <w:t xml:space="preserve">the </w:t>
      </w:r>
      <w:r w:rsidR="00DD12AC" w:rsidRPr="00822C63">
        <w:rPr>
          <w:rFonts w:asciiTheme="minorHAnsi" w:hAnsiTheme="minorHAnsi"/>
          <w:sz w:val="22"/>
          <w:szCs w:val="22"/>
        </w:rPr>
        <w:t>Council a governance issue concerning its consideration of the external auditors report for 2014. IMAC has noted that in this year and in previous years, the Council has considered the external auditor</w:t>
      </w:r>
      <w:r w:rsidR="00511CC7">
        <w:rPr>
          <w:rFonts w:asciiTheme="minorHAnsi" w:hAnsiTheme="minorHAnsi"/>
          <w:sz w:val="22"/>
          <w:szCs w:val="22"/>
        </w:rPr>
        <w:t>’</w:t>
      </w:r>
      <w:r w:rsidR="00DD12AC" w:rsidRPr="00822C63">
        <w:rPr>
          <w:rFonts w:asciiTheme="minorHAnsi" w:hAnsiTheme="minorHAnsi"/>
          <w:sz w:val="22"/>
          <w:szCs w:val="22"/>
        </w:rPr>
        <w:t>s report in the year following the fiscal year that was audited. This is a generally recognized good practice, as it has allowed ITU’s governing body to review the state of the accounts and take actions if necessary before the closing of the next fiscal year. However, in 2015 it appears that the external auditor</w:t>
      </w:r>
      <w:r w:rsidR="00511CC7">
        <w:rPr>
          <w:rFonts w:asciiTheme="minorHAnsi" w:hAnsiTheme="minorHAnsi"/>
          <w:sz w:val="22"/>
          <w:szCs w:val="22"/>
        </w:rPr>
        <w:t>’</w:t>
      </w:r>
      <w:r w:rsidR="00DD12AC" w:rsidRPr="00822C63">
        <w:rPr>
          <w:rFonts w:asciiTheme="minorHAnsi" w:hAnsiTheme="minorHAnsi"/>
          <w:sz w:val="22"/>
          <w:szCs w:val="22"/>
        </w:rPr>
        <w:t xml:space="preserve">s report will not be completed in time for consideration at the scheduled May session of </w:t>
      </w:r>
      <w:r w:rsidR="00511CC7">
        <w:rPr>
          <w:rFonts w:asciiTheme="minorHAnsi" w:hAnsiTheme="minorHAnsi"/>
          <w:sz w:val="22"/>
          <w:szCs w:val="22"/>
        </w:rPr>
        <w:t xml:space="preserve">the </w:t>
      </w:r>
      <w:r w:rsidR="00DD12AC" w:rsidRPr="00822C63">
        <w:rPr>
          <w:rFonts w:asciiTheme="minorHAnsi" w:hAnsiTheme="minorHAnsi"/>
          <w:sz w:val="22"/>
          <w:szCs w:val="22"/>
        </w:rPr>
        <w:t xml:space="preserve">Council. Consequently, the Council will not have an opportunity to review the 2014 audit report until 2016, a full year and a half after </w:t>
      </w:r>
      <w:r w:rsidR="001320F1" w:rsidRPr="00822C63">
        <w:rPr>
          <w:rFonts w:asciiTheme="minorHAnsi" w:hAnsiTheme="minorHAnsi"/>
          <w:sz w:val="22"/>
          <w:szCs w:val="22"/>
        </w:rPr>
        <w:t xml:space="preserve">the end of ITU’s fiscal year. </w:t>
      </w:r>
      <w:r w:rsidR="00DD12AC" w:rsidRPr="00822C63">
        <w:rPr>
          <w:rFonts w:asciiTheme="minorHAnsi" w:hAnsiTheme="minorHAnsi"/>
          <w:sz w:val="22"/>
          <w:szCs w:val="22"/>
        </w:rPr>
        <w:t>The Council may therefore want to discuss with the external auditors options to ensure timely consideration of the auditors</w:t>
      </w:r>
      <w:r w:rsidR="00BD25A3" w:rsidRPr="00822C63">
        <w:rPr>
          <w:rFonts w:asciiTheme="minorHAnsi" w:hAnsiTheme="minorHAnsi"/>
          <w:sz w:val="22"/>
          <w:szCs w:val="22"/>
        </w:rPr>
        <w:t>’</w:t>
      </w:r>
      <w:r w:rsidR="00DD12AC" w:rsidRPr="00822C63">
        <w:rPr>
          <w:rFonts w:asciiTheme="minorHAnsi" w:hAnsiTheme="minorHAnsi"/>
          <w:sz w:val="22"/>
          <w:szCs w:val="22"/>
        </w:rPr>
        <w:t xml:space="preserve"> report for 2014.</w:t>
      </w:r>
    </w:p>
    <w:p w:rsidR="00596643" w:rsidRPr="00822C63" w:rsidRDefault="00596643" w:rsidP="00822C63">
      <w:pPr>
        <w:tabs>
          <w:tab w:val="clear" w:pos="567"/>
          <w:tab w:val="clear" w:pos="1134"/>
          <w:tab w:val="clear" w:pos="1701"/>
          <w:tab w:val="clear" w:pos="2268"/>
          <w:tab w:val="clear" w:pos="2835"/>
        </w:tabs>
        <w:spacing w:before="480"/>
        <w:jc w:val="center"/>
        <w:rPr>
          <w:rFonts w:asciiTheme="minorHAnsi" w:hAnsiTheme="minorHAnsi"/>
          <w:sz w:val="22"/>
          <w:szCs w:val="22"/>
        </w:rPr>
      </w:pPr>
      <w:r w:rsidRPr="00822C63">
        <w:rPr>
          <w:rFonts w:asciiTheme="minorHAnsi" w:hAnsiTheme="minorHAnsi"/>
          <w:sz w:val="22"/>
          <w:szCs w:val="22"/>
        </w:rPr>
        <w:t>___________________</w:t>
      </w:r>
    </w:p>
    <w:sectPr w:rsidR="00596643" w:rsidRPr="00822C63" w:rsidSect="00A2160A">
      <w:headerReference w:type="default" r:id="rId12"/>
      <w:footerReference w:type="first" r:id="rId13"/>
      <w:pgSz w:w="11907" w:h="16834" w:code="9"/>
      <w:pgMar w:top="1418" w:right="1021"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615" w:rsidRDefault="00D77615">
      <w:pPr>
        <w:spacing w:before="0"/>
      </w:pPr>
      <w:r>
        <w:separator/>
      </w:r>
    </w:p>
  </w:endnote>
  <w:endnote w:type="continuationSeparator" w:id="0">
    <w:p w:rsidR="00D77615" w:rsidRDefault="00D7761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BDA" w:rsidRPr="006E1BDA" w:rsidRDefault="00BD25A3" w:rsidP="00BD25A3">
    <w:pPr>
      <w:spacing w:after="120"/>
      <w:jc w:val="center"/>
    </w:pPr>
    <w:r w:rsidRPr="006E1BDA">
      <w:t xml:space="preserve">• </w:t>
    </w:r>
    <w:hyperlink r:id="rId1" w:history="1">
      <w:r w:rsidRPr="00BD25A3">
        <w:rPr>
          <w:rStyle w:val="Hyperlink"/>
          <w:sz w:val="22"/>
          <w:szCs w:val="22"/>
        </w:rPr>
        <w:t>http://www.itu.int/council</w:t>
      </w:r>
    </w:hyperlink>
    <w:r w:rsidRPr="006E1BDA">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615" w:rsidRDefault="00D77615">
      <w:pPr>
        <w:spacing w:before="0"/>
      </w:pPr>
      <w:r>
        <w:separator/>
      </w:r>
    </w:p>
  </w:footnote>
  <w:footnote w:type="continuationSeparator" w:id="0">
    <w:p w:rsidR="00D77615" w:rsidRDefault="00D7761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5A3" w:rsidRPr="006E1BDA" w:rsidRDefault="00BD25A3" w:rsidP="00BD25A3">
    <w:pPr>
      <w:pStyle w:val="Header"/>
    </w:pPr>
    <w:r w:rsidRPr="006E1BDA">
      <w:t xml:space="preserve">- </w:t>
    </w:r>
    <w:r w:rsidRPr="006E1BDA">
      <w:fldChar w:fldCharType="begin"/>
    </w:r>
    <w:r w:rsidRPr="006E1BDA">
      <w:instrText>PAGE</w:instrText>
    </w:r>
    <w:r w:rsidRPr="006E1BDA">
      <w:fldChar w:fldCharType="separate"/>
    </w:r>
    <w:r w:rsidR="00511CC7">
      <w:rPr>
        <w:noProof/>
      </w:rPr>
      <w:t>3</w:t>
    </w:r>
    <w:r w:rsidRPr="006E1BDA">
      <w:fldChar w:fldCharType="end"/>
    </w:r>
    <w:r w:rsidRPr="006E1BDA">
      <w:t>/</w:t>
    </w:r>
    <w:r w:rsidRPr="006E1BDA">
      <w:fldChar w:fldCharType="begin"/>
    </w:r>
    <w:r>
      <w:instrText xml:space="preserve"> NUMPAGES   \* MERGEFORMAT </w:instrText>
    </w:r>
    <w:r w:rsidRPr="006E1BDA">
      <w:fldChar w:fldCharType="separate"/>
    </w:r>
    <w:r w:rsidR="00511CC7">
      <w:rPr>
        <w:noProof/>
      </w:rPr>
      <w:t>4</w:t>
    </w:r>
    <w:r w:rsidRPr="006E1BDA">
      <w:rPr>
        <w:noProof/>
      </w:rPr>
      <w:fldChar w:fldCharType="end"/>
    </w:r>
    <w:r w:rsidRPr="006E1BDA">
      <w:t xml:space="preserve"> -</w:t>
    </w:r>
  </w:p>
  <w:p w:rsidR="00BD25A3" w:rsidRPr="006E1BDA" w:rsidRDefault="00BD25A3" w:rsidP="00BD25A3">
    <w:pPr>
      <w:pStyle w:val="Header"/>
    </w:pPr>
    <w:r w:rsidRPr="006E1BDA">
      <w:t>C14/</w:t>
    </w:r>
    <w:r>
      <w:t>22(Add.1)</w:t>
    </w:r>
    <w:r w:rsidRPr="006E1BDA">
      <w:t>-E</w:t>
    </w:r>
  </w:p>
  <w:p w:rsidR="00BD25A3" w:rsidRDefault="00BD25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95337"/>
    <w:multiLevelType w:val="hybridMultilevel"/>
    <w:tmpl w:val="5DD07356"/>
    <w:lvl w:ilvl="0" w:tplc="00010809">
      <w:start w:val="1"/>
      <w:numFmt w:val="bullet"/>
      <w:lvlText w:val=""/>
      <w:lvlJc w:val="left"/>
      <w:pPr>
        <w:ind w:left="780" w:hanging="360"/>
      </w:pPr>
      <w:rPr>
        <w:rFonts w:ascii="Symbol" w:hAnsi="Symbol" w:hint="default"/>
      </w:rPr>
    </w:lvl>
    <w:lvl w:ilvl="1" w:tplc="00030809" w:tentative="1">
      <w:start w:val="1"/>
      <w:numFmt w:val="bullet"/>
      <w:lvlText w:val="o"/>
      <w:lvlJc w:val="left"/>
      <w:pPr>
        <w:ind w:left="1500" w:hanging="360"/>
      </w:pPr>
      <w:rPr>
        <w:rFonts w:ascii="Courier New" w:hAnsi="Courier New" w:hint="default"/>
      </w:rPr>
    </w:lvl>
    <w:lvl w:ilvl="2" w:tplc="00050809" w:tentative="1">
      <w:start w:val="1"/>
      <w:numFmt w:val="bullet"/>
      <w:lvlText w:val=""/>
      <w:lvlJc w:val="left"/>
      <w:pPr>
        <w:ind w:left="2220" w:hanging="360"/>
      </w:pPr>
      <w:rPr>
        <w:rFonts w:ascii="Wingdings" w:hAnsi="Wingdings" w:hint="default"/>
      </w:rPr>
    </w:lvl>
    <w:lvl w:ilvl="3" w:tplc="00010809" w:tentative="1">
      <w:start w:val="1"/>
      <w:numFmt w:val="bullet"/>
      <w:lvlText w:val=""/>
      <w:lvlJc w:val="left"/>
      <w:pPr>
        <w:ind w:left="2940" w:hanging="360"/>
      </w:pPr>
      <w:rPr>
        <w:rFonts w:ascii="Symbol" w:hAnsi="Symbol" w:hint="default"/>
      </w:rPr>
    </w:lvl>
    <w:lvl w:ilvl="4" w:tplc="00030809" w:tentative="1">
      <w:start w:val="1"/>
      <w:numFmt w:val="bullet"/>
      <w:lvlText w:val="o"/>
      <w:lvlJc w:val="left"/>
      <w:pPr>
        <w:ind w:left="3660" w:hanging="360"/>
      </w:pPr>
      <w:rPr>
        <w:rFonts w:ascii="Courier New" w:hAnsi="Courier New" w:hint="default"/>
      </w:rPr>
    </w:lvl>
    <w:lvl w:ilvl="5" w:tplc="00050809" w:tentative="1">
      <w:start w:val="1"/>
      <w:numFmt w:val="bullet"/>
      <w:lvlText w:val=""/>
      <w:lvlJc w:val="left"/>
      <w:pPr>
        <w:ind w:left="4380" w:hanging="360"/>
      </w:pPr>
      <w:rPr>
        <w:rFonts w:ascii="Wingdings" w:hAnsi="Wingdings" w:hint="default"/>
      </w:rPr>
    </w:lvl>
    <w:lvl w:ilvl="6" w:tplc="00010809" w:tentative="1">
      <w:start w:val="1"/>
      <w:numFmt w:val="bullet"/>
      <w:lvlText w:val=""/>
      <w:lvlJc w:val="left"/>
      <w:pPr>
        <w:ind w:left="5100" w:hanging="360"/>
      </w:pPr>
      <w:rPr>
        <w:rFonts w:ascii="Symbol" w:hAnsi="Symbol" w:hint="default"/>
      </w:rPr>
    </w:lvl>
    <w:lvl w:ilvl="7" w:tplc="00030809" w:tentative="1">
      <w:start w:val="1"/>
      <w:numFmt w:val="bullet"/>
      <w:lvlText w:val="o"/>
      <w:lvlJc w:val="left"/>
      <w:pPr>
        <w:ind w:left="5820" w:hanging="360"/>
      </w:pPr>
      <w:rPr>
        <w:rFonts w:ascii="Courier New" w:hAnsi="Courier New" w:hint="default"/>
      </w:rPr>
    </w:lvl>
    <w:lvl w:ilvl="8" w:tplc="00050809" w:tentative="1">
      <w:start w:val="1"/>
      <w:numFmt w:val="bullet"/>
      <w:lvlText w:val=""/>
      <w:lvlJc w:val="left"/>
      <w:pPr>
        <w:ind w:left="6540" w:hanging="360"/>
      </w:pPr>
      <w:rPr>
        <w:rFonts w:ascii="Wingdings" w:hAnsi="Wingdings" w:hint="default"/>
      </w:rPr>
    </w:lvl>
  </w:abstractNum>
  <w:abstractNum w:abstractNumId="1">
    <w:nsid w:val="5F7A146A"/>
    <w:multiLevelType w:val="hybridMultilevel"/>
    <w:tmpl w:val="9F9EE318"/>
    <w:lvl w:ilvl="0" w:tplc="00010809">
      <w:start w:val="1"/>
      <w:numFmt w:val="bullet"/>
      <w:lvlText w:val=""/>
      <w:lvlJc w:val="left"/>
      <w:pPr>
        <w:ind w:left="852" w:hanging="360"/>
      </w:pPr>
      <w:rPr>
        <w:rFonts w:ascii="Symbol" w:hAnsi="Symbol" w:hint="default"/>
      </w:rPr>
    </w:lvl>
    <w:lvl w:ilvl="1" w:tplc="00030809" w:tentative="1">
      <w:start w:val="1"/>
      <w:numFmt w:val="bullet"/>
      <w:lvlText w:val="o"/>
      <w:lvlJc w:val="left"/>
      <w:pPr>
        <w:ind w:left="1572" w:hanging="360"/>
      </w:pPr>
      <w:rPr>
        <w:rFonts w:ascii="Courier New" w:hAnsi="Courier New" w:hint="default"/>
      </w:rPr>
    </w:lvl>
    <w:lvl w:ilvl="2" w:tplc="00050809" w:tentative="1">
      <w:start w:val="1"/>
      <w:numFmt w:val="bullet"/>
      <w:lvlText w:val=""/>
      <w:lvlJc w:val="left"/>
      <w:pPr>
        <w:ind w:left="2292" w:hanging="360"/>
      </w:pPr>
      <w:rPr>
        <w:rFonts w:ascii="Wingdings" w:hAnsi="Wingdings" w:hint="default"/>
      </w:rPr>
    </w:lvl>
    <w:lvl w:ilvl="3" w:tplc="00010809" w:tentative="1">
      <w:start w:val="1"/>
      <w:numFmt w:val="bullet"/>
      <w:lvlText w:val=""/>
      <w:lvlJc w:val="left"/>
      <w:pPr>
        <w:ind w:left="3012" w:hanging="360"/>
      </w:pPr>
      <w:rPr>
        <w:rFonts w:ascii="Symbol" w:hAnsi="Symbol" w:hint="default"/>
      </w:rPr>
    </w:lvl>
    <w:lvl w:ilvl="4" w:tplc="00030809" w:tentative="1">
      <w:start w:val="1"/>
      <w:numFmt w:val="bullet"/>
      <w:lvlText w:val="o"/>
      <w:lvlJc w:val="left"/>
      <w:pPr>
        <w:ind w:left="3732" w:hanging="360"/>
      </w:pPr>
      <w:rPr>
        <w:rFonts w:ascii="Courier New" w:hAnsi="Courier New" w:hint="default"/>
      </w:rPr>
    </w:lvl>
    <w:lvl w:ilvl="5" w:tplc="00050809" w:tentative="1">
      <w:start w:val="1"/>
      <w:numFmt w:val="bullet"/>
      <w:lvlText w:val=""/>
      <w:lvlJc w:val="left"/>
      <w:pPr>
        <w:ind w:left="4452" w:hanging="360"/>
      </w:pPr>
      <w:rPr>
        <w:rFonts w:ascii="Wingdings" w:hAnsi="Wingdings" w:hint="default"/>
      </w:rPr>
    </w:lvl>
    <w:lvl w:ilvl="6" w:tplc="00010809" w:tentative="1">
      <w:start w:val="1"/>
      <w:numFmt w:val="bullet"/>
      <w:lvlText w:val=""/>
      <w:lvlJc w:val="left"/>
      <w:pPr>
        <w:ind w:left="5172" w:hanging="360"/>
      </w:pPr>
      <w:rPr>
        <w:rFonts w:ascii="Symbol" w:hAnsi="Symbol" w:hint="default"/>
      </w:rPr>
    </w:lvl>
    <w:lvl w:ilvl="7" w:tplc="00030809" w:tentative="1">
      <w:start w:val="1"/>
      <w:numFmt w:val="bullet"/>
      <w:lvlText w:val="o"/>
      <w:lvlJc w:val="left"/>
      <w:pPr>
        <w:ind w:left="5892" w:hanging="360"/>
      </w:pPr>
      <w:rPr>
        <w:rFonts w:ascii="Courier New" w:hAnsi="Courier New" w:hint="default"/>
      </w:rPr>
    </w:lvl>
    <w:lvl w:ilvl="8" w:tplc="00050809" w:tentative="1">
      <w:start w:val="1"/>
      <w:numFmt w:val="bullet"/>
      <w:lvlText w:val=""/>
      <w:lvlJc w:val="left"/>
      <w:pPr>
        <w:ind w:left="6612" w:hanging="360"/>
      </w:pPr>
      <w:rPr>
        <w:rFonts w:ascii="Wingdings" w:hAnsi="Wingdings" w:hint="default"/>
      </w:rPr>
    </w:lvl>
  </w:abstractNum>
  <w:abstractNum w:abstractNumId="2">
    <w:nsid w:val="6D470B9F"/>
    <w:multiLevelType w:val="singleLevel"/>
    <w:tmpl w:val="6D470B9F"/>
    <w:lvl w:ilvl="0">
      <w:start w:val="1"/>
      <w:numFmt w:val="bullet"/>
      <w:lvlText w:val=""/>
      <w:lvlJc w:val="left"/>
      <w:pPr>
        <w:tabs>
          <w:tab w:val="num" w:pos="360"/>
        </w:tabs>
        <w:ind w:left="360" w:hanging="360"/>
      </w:pPr>
      <w:rPr>
        <w:rFonts w:ascii="Symbol" w:hAnsi="Symbol" w:hint="default"/>
      </w:rPr>
    </w:lvl>
  </w:abstractNum>
  <w:abstractNum w:abstractNumId="3">
    <w:nsid w:val="6DF22439"/>
    <w:multiLevelType w:val="hybridMultilevel"/>
    <w:tmpl w:val="A9D86BD2"/>
    <w:lvl w:ilvl="0" w:tplc="00010809">
      <w:start w:val="1"/>
      <w:numFmt w:val="bullet"/>
      <w:lvlText w:val=""/>
      <w:lvlJc w:val="left"/>
      <w:pPr>
        <w:ind w:left="720" w:hanging="360"/>
      </w:pPr>
      <w:rPr>
        <w:rFonts w:ascii="Symbol" w:hAnsi="Symbol" w:hint="default"/>
      </w:rPr>
    </w:lvl>
    <w:lvl w:ilvl="1" w:tplc="00030809" w:tentative="1">
      <w:start w:val="1"/>
      <w:numFmt w:val="bullet"/>
      <w:lvlText w:val="o"/>
      <w:lvlJc w:val="left"/>
      <w:pPr>
        <w:ind w:left="1440" w:hanging="360"/>
      </w:pPr>
      <w:rPr>
        <w:rFonts w:ascii="Courier New" w:hAnsi="Courier New" w:hint="default"/>
      </w:rPr>
    </w:lvl>
    <w:lvl w:ilvl="2" w:tplc="00050809" w:tentative="1">
      <w:start w:val="1"/>
      <w:numFmt w:val="bullet"/>
      <w:lvlText w:val=""/>
      <w:lvlJc w:val="left"/>
      <w:pPr>
        <w:ind w:left="2160" w:hanging="360"/>
      </w:pPr>
      <w:rPr>
        <w:rFonts w:ascii="Wingdings" w:hAnsi="Wingdings" w:hint="default"/>
      </w:rPr>
    </w:lvl>
    <w:lvl w:ilvl="3" w:tplc="00010809" w:tentative="1">
      <w:start w:val="1"/>
      <w:numFmt w:val="bullet"/>
      <w:lvlText w:val=""/>
      <w:lvlJc w:val="left"/>
      <w:pPr>
        <w:ind w:left="2880" w:hanging="360"/>
      </w:pPr>
      <w:rPr>
        <w:rFonts w:ascii="Symbol" w:hAnsi="Symbol" w:hint="default"/>
      </w:rPr>
    </w:lvl>
    <w:lvl w:ilvl="4" w:tplc="00030809" w:tentative="1">
      <w:start w:val="1"/>
      <w:numFmt w:val="bullet"/>
      <w:lvlText w:val="o"/>
      <w:lvlJc w:val="left"/>
      <w:pPr>
        <w:ind w:left="3600" w:hanging="360"/>
      </w:pPr>
      <w:rPr>
        <w:rFonts w:ascii="Courier New" w:hAnsi="Courier New" w:hint="default"/>
      </w:rPr>
    </w:lvl>
    <w:lvl w:ilvl="5" w:tplc="00050809" w:tentative="1">
      <w:start w:val="1"/>
      <w:numFmt w:val="bullet"/>
      <w:lvlText w:val=""/>
      <w:lvlJc w:val="left"/>
      <w:pPr>
        <w:ind w:left="4320" w:hanging="360"/>
      </w:pPr>
      <w:rPr>
        <w:rFonts w:ascii="Wingdings" w:hAnsi="Wingdings" w:hint="default"/>
      </w:rPr>
    </w:lvl>
    <w:lvl w:ilvl="6" w:tplc="00010809" w:tentative="1">
      <w:start w:val="1"/>
      <w:numFmt w:val="bullet"/>
      <w:lvlText w:val=""/>
      <w:lvlJc w:val="left"/>
      <w:pPr>
        <w:ind w:left="5040" w:hanging="360"/>
      </w:pPr>
      <w:rPr>
        <w:rFonts w:ascii="Symbol" w:hAnsi="Symbol" w:hint="default"/>
      </w:rPr>
    </w:lvl>
    <w:lvl w:ilvl="7" w:tplc="00030809" w:tentative="1">
      <w:start w:val="1"/>
      <w:numFmt w:val="bullet"/>
      <w:lvlText w:val="o"/>
      <w:lvlJc w:val="left"/>
      <w:pPr>
        <w:ind w:left="5760" w:hanging="360"/>
      </w:pPr>
      <w:rPr>
        <w:rFonts w:ascii="Courier New" w:hAnsi="Courier New" w:hint="default"/>
      </w:rPr>
    </w:lvl>
    <w:lvl w:ilvl="8" w:tplc="00050809"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doNotValidateAgainstSchema/>
  <w:doNotDemarcateInvalidXml/>
  <w:hdrShapeDefaults>
    <o:shapedefaults v:ext="edit" spidmax="614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45F9"/>
    <w:rsid w:val="000608BA"/>
    <w:rsid w:val="000E53B8"/>
    <w:rsid w:val="001320F1"/>
    <w:rsid w:val="001540B6"/>
    <w:rsid w:val="00172A27"/>
    <w:rsid w:val="00185532"/>
    <w:rsid w:val="00195A68"/>
    <w:rsid w:val="001C4968"/>
    <w:rsid w:val="001D1AE3"/>
    <w:rsid w:val="00321287"/>
    <w:rsid w:val="00351A14"/>
    <w:rsid w:val="003A70E0"/>
    <w:rsid w:val="00437903"/>
    <w:rsid w:val="00443581"/>
    <w:rsid w:val="00450F6D"/>
    <w:rsid w:val="004538CF"/>
    <w:rsid w:val="004C2773"/>
    <w:rsid w:val="00511CC7"/>
    <w:rsid w:val="00567986"/>
    <w:rsid w:val="00596643"/>
    <w:rsid w:val="005D233D"/>
    <w:rsid w:val="00655AB5"/>
    <w:rsid w:val="006A6F6E"/>
    <w:rsid w:val="006E1BDA"/>
    <w:rsid w:val="00822C63"/>
    <w:rsid w:val="0087230C"/>
    <w:rsid w:val="00891125"/>
    <w:rsid w:val="0091218E"/>
    <w:rsid w:val="00973221"/>
    <w:rsid w:val="00A20A76"/>
    <w:rsid w:val="00A2160A"/>
    <w:rsid w:val="00A95234"/>
    <w:rsid w:val="00AD1688"/>
    <w:rsid w:val="00AF6519"/>
    <w:rsid w:val="00B422BC"/>
    <w:rsid w:val="00B6462E"/>
    <w:rsid w:val="00BB7B78"/>
    <w:rsid w:val="00BC0B64"/>
    <w:rsid w:val="00BD0839"/>
    <w:rsid w:val="00BD25A3"/>
    <w:rsid w:val="00BD6B91"/>
    <w:rsid w:val="00BD7DF8"/>
    <w:rsid w:val="00C02B62"/>
    <w:rsid w:val="00C80204"/>
    <w:rsid w:val="00C87889"/>
    <w:rsid w:val="00CA1CE5"/>
    <w:rsid w:val="00CE74B7"/>
    <w:rsid w:val="00D156E0"/>
    <w:rsid w:val="00D61C17"/>
    <w:rsid w:val="00D77615"/>
    <w:rsid w:val="00DD12AC"/>
    <w:rsid w:val="00E07DA5"/>
    <w:rsid w:val="00E44DD7"/>
    <w:rsid w:val="00E50F16"/>
    <w:rsid w:val="00E94465"/>
    <w:rsid w:val="00EB47CE"/>
    <w:rsid w:val="00F22459"/>
    <w:rsid w:val="00FB1B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iPriority="0" w:unhideWhenUsed="0"/>
    <w:lsdException w:name="caption" w:uiPriority="35" w:qFormat="1"/>
    <w:lsdException w:name="Title" w:semiHidden="0" w:uiPriority="10" w:unhideWhenUsed="0" w:qFormat="1"/>
    <w:lsdException w:name="Default Paragraph Font" w:uiPriority="0" w:unhideWhenUsed="0"/>
    <w:lsdException w:name="Subtitle" w:semiHidden="0" w:uiPriority="11" w:unhideWhenUsed="0" w:qFormat="1"/>
    <w:lsdException w:name="Hyperlink" w:uiPriority="0" w:unhideWhenUsed="0"/>
    <w:lsdException w:name="Strong" w:semiHidden="0" w:uiPriority="22" w:unhideWhenUsed="0" w:qFormat="1"/>
    <w:lsdException w:name="Emphasis" w:semiHidden="0" w:uiPriority="20" w:unhideWhenUsed="0" w:qFormat="1"/>
    <w:lsdException w:name="Balloon Text" w:uiPriority="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567"/>
        <w:tab w:val="left" w:pos="1134"/>
        <w:tab w:val="left" w:pos="1701"/>
        <w:tab w:val="left" w:pos="2268"/>
        <w:tab w:val="left" w:pos="2835"/>
      </w:tabs>
      <w:autoSpaceDE w:val="0"/>
      <w:autoSpaceDN w:val="0"/>
      <w:spacing w:before="120"/>
    </w:pPr>
    <w:rPr>
      <w:rFonts w:cs="SimSun"/>
      <w:sz w:val="24"/>
      <w:szCs w:val="24"/>
      <w:lang w:val="en-GB" w:eastAsia="en-GB" w:bidi="en-US"/>
    </w:rPr>
  </w:style>
  <w:style w:type="paragraph" w:styleId="Heading1">
    <w:name w:val="heading 1"/>
    <w:basedOn w:val="Normal"/>
    <w:next w:val="Normal"/>
    <w:qFormat/>
    <w:pPr>
      <w:keepNext/>
      <w:keepLines/>
      <w:tabs>
        <w:tab w:val="clear" w:pos="567"/>
        <w:tab w:val="clear" w:pos="1134"/>
        <w:tab w:val="clear" w:pos="1701"/>
        <w:tab w:val="clear" w:pos="2268"/>
        <w:tab w:val="clear" w:pos="2835"/>
      </w:tabs>
      <w:spacing w:before="480" w:line="276" w:lineRule="auto"/>
      <w:outlineLvl w:val="0"/>
    </w:pPr>
    <w:rPr>
      <w:rFonts w:ascii="Cambria" w:hAnsi="Cambria" w:cs="Times New Roman"/>
      <w:b/>
      <w:bCs/>
      <w:color w:val="365F91"/>
      <w:sz w:val="28"/>
      <w:szCs w:val="28"/>
      <w:lang w:val="en-US" w:eastAsia="zh-CN"/>
    </w:rPr>
  </w:style>
  <w:style w:type="paragraph" w:styleId="Heading3">
    <w:name w:val="heading 3"/>
    <w:basedOn w:val="Normal"/>
    <w:next w:val="Normal"/>
    <w:qFormat/>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customStyle="1" w:styleId="Heading1Char">
    <w:name w:val="Heading 1 Char"/>
    <w:rPr>
      <w:rFonts w:ascii="Cambria" w:eastAsia="SimSun" w:hAnsi="Cambria" w:cs="Times New Roman"/>
      <w:b/>
      <w:bCs/>
      <w:color w:val="365F91"/>
      <w:sz w:val="28"/>
    </w:rPr>
  </w:style>
  <w:style w:type="character" w:customStyle="1" w:styleId="FooterChar">
    <w:name w:val="Footer Char"/>
    <w:semiHidden/>
    <w:rPr>
      <w:rFonts w:ascii="Calibri" w:hAnsi="Calibri" w:cs="SimSun"/>
      <w:caps/>
      <w:sz w:val="16"/>
      <w:lang w:eastAsia="en-GB"/>
    </w:rPr>
  </w:style>
  <w:style w:type="character" w:customStyle="1" w:styleId="HeaderChar">
    <w:name w:val="Header Char"/>
    <w:rPr>
      <w:rFonts w:ascii="Calibri" w:hAnsi="Calibri" w:cs="SimSun"/>
      <w:sz w:val="18"/>
      <w:lang w:val="en-GB" w:eastAsia="en-GB"/>
    </w:rPr>
  </w:style>
  <w:style w:type="character" w:customStyle="1" w:styleId="Heading3Char">
    <w:name w:val="Heading 3 Char"/>
    <w:semiHidden/>
    <w:rPr>
      <w:rFonts w:ascii="Cambria" w:eastAsia="SimSun" w:hAnsi="Cambria" w:cs="Times New Roman"/>
      <w:b/>
      <w:bCs/>
      <w:color w:val="4F81BD"/>
      <w:sz w:val="24"/>
      <w:lang w:val="en-GB" w:eastAsia="en-GB"/>
    </w:rPr>
  </w:style>
  <w:style w:type="character" w:customStyle="1" w:styleId="BalloonTextChar">
    <w:name w:val="Balloon Text Char"/>
    <w:semiHidden/>
    <w:rPr>
      <w:rFonts w:ascii="Tahoma" w:hAnsi="Tahoma" w:cs="Tahoma"/>
      <w:sz w:val="16"/>
      <w:lang w:val="en-GB" w:eastAsia="en-GB"/>
    </w:rPr>
  </w:style>
  <w:style w:type="paragraph" w:styleId="Footer">
    <w:name w:val="footer"/>
    <w:basedOn w:val="Normal"/>
    <w:semiHidden/>
    <w:pPr>
      <w:tabs>
        <w:tab w:val="clear" w:pos="567"/>
        <w:tab w:val="clear" w:pos="1134"/>
        <w:tab w:val="clear" w:pos="1701"/>
        <w:tab w:val="clear" w:pos="2268"/>
        <w:tab w:val="clear" w:pos="2835"/>
        <w:tab w:val="left" w:pos="5954"/>
        <w:tab w:val="right" w:pos="9639"/>
      </w:tabs>
      <w:spacing w:before="0"/>
    </w:pPr>
    <w:rPr>
      <w:caps/>
      <w:sz w:val="16"/>
      <w:szCs w:val="16"/>
      <w:lang w:val="en-US"/>
    </w:rPr>
  </w:style>
  <w:style w:type="paragraph" w:styleId="Header">
    <w:name w:val="header"/>
    <w:basedOn w:val="Normal"/>
    <w:pPr>
      <w:tabs>
        <w:tab w:val="clear" w:pos="567"/>
        <w:tab w:val="clear" w:pos="1134"/>
        <w:tab w:val="clear" w:pos="1701"/>
        <w:tab w:val="clear" w:pos="2268"/>
        <w:tab w:val="clear" w:pos="2835"/>
      </w:tabs>
      <w:spacing w:before="0"/>
      <w:jc w:val="center"/>
    </w:pPr>
    <w:rPr>
      <w:sz w:val="18"/>
      <w:szCs w:val="18"/>
    </w:rPr>
  </w:style>
  <w:style w:type="paragraph" w:styleId="BalloonText">
    <w:name w:val="Balloon Text"/>
    <w:basedOn w:val="Normal"/>
    <w:semiHidden/>
    <w:pPr>
      <w:spacing w:before="0"/>
    </w:pPr>
    <w:rPr>
      <w:rFonts w:ascii="Tahoma" w:hAnsi="Tahoma" w:cs="Tahoma"/>
      <w:sz w:val="16"/>
      <w:szCs w:val="16"/>
    </w:rPr>
  </w:style>
  <w:style w:type="paragraph" w:customStyle="1" w:styleId="Source">
    <w:name w:val="Source"/>
    <w:basedOn w:val="Normal"/>
    <w:next w:val="Title1"/>
    <w:pPr>
      <w:spacing w:before="840"/>
      <w:jc w:val="center"/>
    </w:pPr>
    <w:rPr>
      <w:b/>
      <w:bCs/>
      <w:sz w:val="28"/>
      <w:szCs w:val="28"/>
    </w:rPr>
  </w:style>
  <w:style w:type="paragraph" w:customStyle="1" w:styleId="Title1">
    <w:name w:val="Title 1"/>
    <w:basedOn w:val="Source"/>
    <w:next w:val="Normal"/>
    <w:pPr>
      <w:tabs>
        <w:tab w:val="clear" w:pos="567"/>
        <w:tab w:val="clear" w:pos="1134"/>
        <w:tab w:val="clear" w:pos="1701"/>
        <w:tab w:val="clear" w:pos="2268"/>
        <w:tab w:val="clear" w:pos="2835"/>
      </w:tabs>
      <w:spacing w:before="240"/>
    </w:pPr>
    <w:rPr>
      <w:b w:val="0"/>
      <w:bCs w:val="0"/>
      <w:caps/>
    </w:rPr>
  </w:style>
  <w:style w:type="paragraph" w:customStyle="1" w:styleId="Title4">
    <w:name w:val="Title 4"/>
    <w:basedOn w:val="Normal"/>
    <w:next w:val="Heading1"/>
    <w:pPr>
      <w:tabs>
        <w:tab w:val="clear" w:pos="567"/>
        <w:tab w:val="clear" w:pos="1134"/>
        <w:tab w:val="clear" w:pos="1701"/>
        <w:tab w:val="clear" w:pos="2268"/>
        <w:tab w:val="clear" w:pos="2835"/>
      </w:tabs>
      <w:spacing w:before="240"/>
      <w:jc w:val="center"/>
    </w:pPr>
    <w:rPr>
      <w:rFonts w:ascii="Times New Roman" w:hAnsi="Times New Roman" w:cs="Times New Roman"/>
      <w:b/>
      <w:sz w:val="28"/>
      <w:szCs w:val="20"/>
      <w:lang w:eastAsia="en-US"/>
    </w:rPr>
  </w:style>
  <w:style w:type="paragraph" w:customStyle="1" w:styleId="Headingb">
    <w:name w:val="Heading_b"/>
    <w:basedOn w:val="Heading3"/>
    <w:next w:val="Normal"/>
    <w:pPr>
      <w:tabs>
        <w:tab w:val="clear" w:pos="567"/>
        <w:tab w:val="clear" w:pos="1134"/>
        <w:tab w:val="clear" w:pos="1701"/>
        <w:tab w:val="clear" w:pos="2268"/>
        <w:tab w:val="clear" w:pos="2835"/>
      </w:tabs>
      <w:spacing w:before="160"/>
      <w:ind w:left="567" w:hanging="567"/>
      <w:outlineLvl w:val="0"/>
    </w:pPr>
    <w:rPr>
      <w:rFonts w:ascii="Calibri" w:hAnsi="Calibri" w:cs="SimSun"/>
      <w:color w:val="auto"/>
    </w:rPr>
  </w:style>
  <w:style w:type="paragraph" w:styleId="ListParagraph">
    <w:name w:val="List Paragraph"/>
    <w:basedOn w:val="Normal"/>
    <w:qFormat/>
    <w:pPr>
      <w:ind w:left="720"/>
    </w:pPr>
  </w:style>
  <w:style w:type="character" w:styleId="FollowedHyperlink">
    <w:name w:val="FollowedHyperlink"/>
    <w:basedOn w:val="DefaultParagraphFont"/>
    <w:uiPriority w:val="99"/>
    <w:semiHidden/>
    <w:unhideWhenUsed/>
    <w:rsid w:val="004538C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iPriority="0" w:unhideWhenUsed="0"/>
    <w:lsdException w:name="caption" w:uiPriority="35" w:qFormat="1"/>
    <w:lsdException w:name="Title" w:semiHidden="0" w:uiPriority="10" w:unhideWhenUsed="0" w:qFormat="1"/>
    <w:lsdException w:name="Default Paragraph Font" w:uiPriority="0" w:unhideWhenUsed="0"/>
    <w:lsdException w:name="Subtitle" w:semiHidden="0" w:uiPriority="11" w:unhideWhenUsed="0" w:qFormat="1"/>
    <w:lsdException w:name="Hyperlink" w:uiPriority="0" w:unhideWhenUsed="0"/>
    <w:lsdException w:name="Strong" w:semiHidden="0" w:uiPriority="22" w:unhideWhenUsed="0" w:qFormat="1"/>
    <w:lsdException w:name="Emphasis" w:semiHidden="0" w:uiPriority="20" w:unhideWhenUsed="0" w:qFormat="1"/>
    <w:lsdException w:name="Balloon Text" w:uiPriority="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567"/>
        <w:tab w:val="left" w:pos="1134"/>
        <w:tab w:val="left" w:pos="1701"/>
        <w:tab w:val="left" w:pos="2268"/>
        <w:tab w:val="left" w:pos="2835"/>
      </w:tabs>
      <w:autoSpaceDE w:val="0"/>
      <w:autoSpaceDN w:val="0"/>
      <w:spacing w:before="120"/>
    </w:pPr>
    <w:rPr>
      <w:rFonts w:cs="SimSun"/>
      <w:sz w:val="24"/>
      <w:szCs w:val="24"/>
      <w:lang w:val="en-GB" w:eastAsia="en-GB" w:bidi="en-US"/>
    </w:rPr>
  </w:style>
  <w:style w:type="paragraph" w:styleId="Heading1">
    <w:name w:val="heading 1"/>
    <w:basedOn w:val="Normal"/>
    <w:next w:val="Normal"/>
    <w:qFormat/>
    <w:pPr>
      <w:keepNext/>
      <w:keepLines/>
      <w:tabs>
        <w:tab w:val="clear" w:pos="567"/>
        <w:tab w:val="clear" w:pos="1134"/>
        <w:tab w:val="clear" w:pos="1701"/>
        <w:tab w:val="clear" w:pos="2268"/>
        <w:tab w:val="clear" w:pos="2835"/>
      </w:tabs>
      <w:spacing w:before="480" w:line="276" w:lineRule="auto"/>
      <w:outlineLvl w:val="0"/>
    </w:pPr>
    <w:rPr>
      <w:rFonts w:ascii="Cambria" w:hAnsi="Cambria" w:cs="Times New Roman"/>
      <w:b/>
      <w:bCs/>
      <w:color w:val="365F91"/>
      <w:sz w:val="28"/>
      <w:szCs w:val="28"/>
      <w:lang w:val="en-US" w:eastAsia="zh-CN"/>
    </w:rPr>
  </w:style>
  <w:style w:type="paragraph" w:styleId="Heading3">
    <w:name w:val="heading 3"/>
    <w:basedOn w:val="Normal"/>
    <w:next w:val="Normal"/>
    <w:qFormat/>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customStyle="1" w:styleId="Heading1Char">
    <w:name w:val="Heading 1 Char"/>
    <w:rPr>
      <w:rFonts w:ascii="Cambria" w:eastAsia="SimSun" w:hAnsi="Cambria" w:cs="Times New Roman"/>
      <w:b/>
      <w:bCs/>
      <w:color w:val="365F91"/>
      <w:sz w:val="28"/>
    </w:rPr>
  </w:style>
  <w:style w:type="character" w:customStyle="1" w:styleId="FooterChar">
    <w:name w:val="Footer Char"/>
    <w:semiHidden/>
    <w:rPr>
      <w:rFonts w:ascii="Calibri" w:hAnsi="Calibri" w:cs="SimSun"/>
      <w:caps/>
      <w:sz w:val="16"/>
      <w:lang w:eastAsia="en-GB"/>
    </w:rPr>
  </w:style>
  <w:style w:type="character" w:customStyle="1" w:styleId="HeaderChar">
    <w:name w:val="Header Char"/>
    <w:rPr>
      <w:rFonts w:ascii="Calibri" w:hAnsi="Calibri" w:cs="SimSun"/>
      <w:sz w:val="18"/>
      <w:lang w:val="en-GB" w:eastAsia="en-GB"/>
    </w:rPr>
  </w:style>
  <w:style w:type="character" w:customStyle="1" w:styleId="Heading3Char">
    <w:name w:val="Heading 3 Char"/>
    <w:semiHidden/>
    <w:rPr>
      <w:rFonts w:ascii="Cambria" w:eastAsia="SimSun" w:hAnsi="Cambria" w:cs="Times New Roman"/>
      <w:b/>
      <w:bCs/>
      <w:color w:val="4F81BD"/>
      <w:sz w:val="24"/>
      <w:lang w:val="en-GB" w:eastAsia="en-GB"/>
    </w:rPr>
  </w:style>
  <w:style w:type="character" w:customStyle="1" w:styleId="BalloonTextChar">
    <w:name w:val="Balloon Text Char"/>
    <w:semiHidden/>
    <w:rPr>
      <w:rFonts w:ascii="Tahoma" w:hAnsi="Tahoma" w:cs="Tahoma"/>
      <w:sz w:val="16"/>
      <w:lang w:val="en-GB" w:eastAsia="en-GB"/>
    </w:rPr>
  </w:style>
  <w:style w:type="paragraph" w:styleId="Footer">
    <w:name w:val="footer"/>
    <w:basedOn w:val="Normal"/>
    <w:semiHidden/>
    <w:pPr>
      <w:tabs>
        <w:tab w:val="clear" w:pos="567"/>
        <w:tab w:val="clear" w:pos="1134"/>
        <w:tab w:val="clear" w:pos="1701"/>
        <w:tab w:val="clear" w:pos="2268"/>
        <w:tab w:val="clear" w:pos="2835"/>
        <w:tab w:val="left" w:pos="5954"/>
        <w:tab w:val="right" w:pos="9639"/>
      </w:tabs>
      <w:spacing w:before="0"/>
    </w:pPr>
    <w:rPr>
      <w:caps/>
      <w:sz w:val="16"/>
      <w:szCs w:val="16"/>
      <w:lang w:val="en-US"/>
    </w:rPr>
  </w:style>
  <w:style w:type="paragraph" w:styleId="Header">
    <w:name w:val="header"/>
    <w:basedOn w:val="Normal"/>
    <w:pPr>
      <w:tabs>
        <w:tab w:val="clear" w:pos="567"/>
        <w:tab w:val="clear" w:pos="1134"/>
        <w:tab w:val="clear" w:pos="1701"/>
        <w:tab w:val="clear" w:pos="2268"/>
        <w:tab w:val="clear" w:pos="2835"/>
      </w:tabs>
      <w:spacing w:before="0"/>
      <w:jc w:val="center"/>
    </w:pPr>
    <w:rPr>
      <w:sz w:val="18"/>
      <w:szCs w:val="18"/>
    </w:rPr>
  </w:style>
  <w:style w:type="paragraph" w:styleId="BalloonText">
    <w:name w:val="Balloon Text"/>
    <w:basedOn w:val="Normal"/>
    <w:semiHidden/>
    <w:pPr>
      <w:spacing w:before="0"/>
    </w:pPr>
    <w:rPr>
      <w:rFonts w:ascii="Tahoma" w:hAnsi="Tahoma" w:cs="Tahoma"/>
      <w:sz w:val="16"/>
      <w:szCs w:val="16"/>
    </w:rPr>
  </w:style>
  <w:style w:type="paragraph" w:customStyle="1" w:styleId="Source">
    <w:name w:val="Source"/>
    <w:basedOn w:val="Normal"/>
    <w:next w:val="Title1"/>
    <w:pPr>
      <w:spacing w:before="840"/>
      <w:jc w:val="center"/>
    </w:pPr>
    <w:rPr>
      <w:b/>
      <w:bCs/>
      <w:sz w:val="28"/>
      <w:szCs w:val="28"/>
    </w:rPr>
  </w:style>
  <w:style w:type="paragraph" w:customStyle="1" w:styleId="Title1">
    <w:name w:val="Title 1"/>
    <w:basedOn w:val="Source"/>
    <w:next w:val="Normal"/>
    <w:pPr>
      <w:tabs>
        <w:tab w:val="clear" w:pos="567"/>
        <w:tab w:val="clear" w:pos="1134"/>
        <w:tab w:val="clear" w:pos="1701"/>
        <w:tab w:val="clear" w:pos="2268"/>
        <w:tab w:val="clear" w:pos="2835"/>
      </w:tabs>
      <w:spacing w:before="240"/>
    </w:pPr>
    <w:rPr>
      <w:b w:val="0"/>
      <w:bCs w:val="0"/>
      <w:caps/>
    </w:rPr>
  </w:style>
  <w:style w:type="paragraph" w:customStyle="1" w:styleId="Title4">
    <w:name w:val="Title 4"/>
    <w:basedOn w:val="Normal"/>
    <w:next w:val="Heading1"/>
    <w:pPr>
      <w:tabs>
        <w:tab w:val="clear" w:pos="567"/>
        <w:tab w:val="clear" w:pos="1134"/>
        <w:tab w:val="clear" w:pos="1701"/>
        <w:tab w:val="clear" w:pos="2268"/>
        <w:tab w:val="clear" w:pos="2835"/>
      </w:tabs>
      <w:spacing w:before="240"/>
      <w:jc w:val="center"/>
    </w:pPr>
    <w:rPr>
      <w:rFonts w:ascii="Times New Roman" w:hAnsi="Times New Roman" w:cs="Times New Roman"/>
      <w:b/>
      <w:sz w:val="28"/>
      <w:szCs w:val="20"/>
      <w:lang w:eastAsia="en-US"/>
    </w:rPr>
  </w:style>
  <w:style w:type="paragraph" w:customStyle="1" w:styleId="Headingb">
    <w:name w:val="Heading_b"/>
    <w:basedOn w:val="Heading3"/>
    <w:next w:val="Normal"/>
    <w:pPr>
      <w:tabs>
        <w:tab w:val="clear" w:pos="567"/>
        <w:tab w:val="clear" w:pos="1134"/>
        <w:tab w:val="clear" w:pos="1701"/>
        <w:tab w:val="clear" w:pos="2268"/>
        <w:tab w:val="clear" w:pos="2835"/>
      </w:tabs>
      <w:spacing w:before="160"/>
      <w:ind w:left="567" w:hanging="567"/>
      <w:outlineLvl w:val="0"/>
    </w:pPr>
    <w:rPr>
      <w:rFonts w:ascii="Calibri" w:hAnsi="Calibri" w:cs="SimSun"/>
      <w:color w:val="auto"/>
    </w:rPr>
  </w:style>
  <w:style w:type="paragraph" w:styleId="ListParagraph">
    <w:name w:val="List Paragraph"/>
    <w:basedOn w:val="Normal"/>
    <w:qFormat/>
    <w:pPr>
      <w:ind w:left="720"/>
    </w:pPr>
  </w:style>
  <w:style w:type="character" w:styleId="FollowedHyperlink">
    <w:name w:val="FollowedHyperlink"/>
    <w:basedOn w:val="DefaultParagraphFont"/>
    <w:uiPriority w:val="99"/>
    <w:semiHidden/>
    <w:unhideWhenUsed/>
    <w:rsid w:val="004538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md/S14-CL-C-0022/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md/S11-CL-C-0109/en" TargetMode="External"/><Relationship Id="rId4" Type="http://schemas.openxmlformats.org/officeDocument/2006/relationships/settings" Target="settings.xml"/><Relationship Id="rId9" Type="http://schemas.openxmlformats.org/officeDocument/2006/relationships/hyperlink" Target="http://www.itu.int/council/Basic-Texts/ResDecRec-PP10-e.doc"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1672</Words>
  <Characters>9478</Characters>
  <Application>Microsoft Office Word</Application>
  <DocSecurity>0</DocSecurity>
  <PresentationFormat/>
  <Lines>78</Lines>
  <Paragraphs>22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Council 2014</vt:lpstr>
    </vt:vector>
  </TitlesOfParts>
  <Company>ITU</Company>
  <LinksUpToDate>false</LinksUpToDate>
  <CharactersWithSpaces>11128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2014</dc:title>
  <dc:creator>Brouard, Ricarda</dc:creator>
  <cp:lastModifiedBy>Brouard, Ricarda</cp:lastModifiedBy>
  <cp:revision>6</cp:revision>
  <cp:lastPrinted>2014-08-29T12:08:00Z</cp:lastPrinted>
  <dcterms:created xsi:type="dcterms:W3CDTF">2014-08-29T12:07:00Z</dcterms:created>
  <dcterms:modified xsi:type="dcterms:W3CDTF">2014-09-08T16:52:00Z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1033-9.1.0.4514</vt:lpwstr>
  </property>
</Properties>
</file>