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3621E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CF7D3E">
              <w:rPr>
                <w:rFonts w:cs="Arial"/>
                <w:b/>
                <w:bCs/>
                <w:sz w:val="26"/>
                <w:szCs w:val="26"/>
                <w:lang w:val="en-US" w:eastAsia="zh-CN"/>
              </w:rPr>
              <w:t>4</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2C2D0A">
              <w:rPr>
                <w:rFonts w:asciiTheme="minorHAnsi" w:hAnsiTheme="minorHAnsi" w:hint="eastAsia"/>
                <w:b/>
                <w:bCs/>
                <w:smallCaps/>
                <w:szCs w:val="24"/>
                <w:lang w:val="en-US" w:eastAsia="zh-CN"/>
              </w:rPr>
              <w:t>最后会议，</w:t>
            </w:r>
            <w:r w:rsidR="002C2D0A" w:rsidRPr="00B84451">
              <w:rPr>
                <w:b/>
                <w:bCs/>
                <w:smallCaps/>
                <w:szCs w:val="24"/>
                <w:lang w:val="en-US" w:eastAsia="zh-CN"/>
              </w:rPr>
              <w:t>2014</w:t>
            </w:r>
            <w:r w:rsidR="002C2D0A">
              <w:rPr>
                <w:rFonts w:ascii="SimSun" w:hAnsi="SimSun" w:hint="eastAsia"/>
                <w:b/>
                <w:bCs/>
                <w:smallCaps/>
                <w:szCs w:val="24"/>
                <w:lang w:val="en-US" w:eastAsia="zh-CN"/>
              </w:rPr>
              <w:t>年</w:t>
            </w:r>
            <w:r w:rsidR="002C2D0A" w:rsidRPr="00B84451">
              <w:rPr>
                <w:rFonts w:cstheme="minorHAnsi"/>
                <w:b/>
                <w:bCs/>
                <w:smallCaps/>
                <w:szCs w:val="24"/>
                <w:lang w:val="en-US" w:eastAsia="zh-CN"/>
              </w:rPr>
              <w:t>10</w:t>
            </w:r>
            <w:r w:rsidR="002C2D0A">
              <w:rPr>
                <w:rFonts w:asciiTheme="minorHAnsi" w:hAnsiTheme="minorHAnsi" w:cstheme="minorHAnsi" w:hint="eastAsia"/>
                <w:b/>
                <w:bCs/>
                <w:smallCaps/>
                <w:szCs w:val="24"/>
                <w:lang w:val="en-US" w:eastAsia="zh-CN"/>
              </w:rPr>
              <w:t>月</w:t>
            </w:r>
            <w:r w:rsidR="002C2D0A" w:rsidRPr="00B84451">
              <w:rPr>
                <w:rFonts w:cstheme="minorHAnsi"/>
                <w:b/>
                <w:bCs/>
                <w:smallCaps/>
                <w:szCs w:val="24"/>
                <w:lang w:val="en-US" w:eastAsia="zh-CN"/>
              </w:rPr>
              <w:t>18</w:t>
            </w:r>
            <w:r w:rsidR="002C2D0A">
              <w:rPr>
                <w:rFonts w:ascii="SimSun" w:hAnsi="SimSun" w:hint="eastAsia"/>
                <w:b/>
                <w:bCs/>
                <w:smallCaps/>
                <w:szCs w:val="24"/>
                <w:lang w:val="en-US" w:eastAsia="zh-CN"/>
              </w:rPr>
              <w:t>日</w:t>
            </w:r>
          </w:p>
        </w:tc>
        <w:tc>
          <w:tcPr>
            <w:tcW w:w="3120" w:type="dxa"/>
          </w:tcPr>
          <w:p w:rsidR="00700D1F" w:rsidRDefault="00403EB7" w:rsidP="001F0BEF">
            <w:pPr>
              <w:spacing w:before="0"/>
            </w:pPr>
            <w:bookmarkStart w:id="0" w:name="ditulogo"/>
            <w:bookmarkEnd w:id="0"/>
            <w:r>
              <w:rPr>
                <w:rFonts w:ascii="Verdana" w:hAnsi="Verdana"/>
                <w:b/>
                <w:bCs/>
                <w:noProof/>
                <w:lang w:val="en-US" w:eastAsia="zh-CN"/>
              </w:rPr>
              <w:drawing>
                <wp:inline distT="0" distB="0" distL="0" distR="0" wp14:anchorId="73C43615" wp14:editId="495BB897">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1F0BEF">
            <w:pPr>
              <w:spacing w:before="0" w:after="48"/>
              <w:rPr>
                <w:b/>
                <w:smallCaps/>
                <w:szCs w:val="24"/>
              </w:rPr>
            </w:pPr>
          </w:p>
        </w:tc>
        <w:tc>
          <w:tcPr>
            <w:tcW w:w="3120" w:type="dxa"/>
            <w:tcBorders>
              <w:bottom w:val="single" w:sz="12" w:space="0" w:color="auto"/>
            </w:tcBorders>
          </w:tcPr>
          <w:p w:rsidR="00700D1F" w:rsidRPr="00617BE4" w:rsidRDefault="00700D1F" w:rsidP="001F0BEF">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1F0BEF">
            <w:pPr>
              <w:spacing w:before="0" w:after="48"/>
              <w:rPr>
                <w:b/>
                <w:smallCaps/>
                <w:szCs w:val="24"/>
              </w:rPr>
            </w:pPr>
          </w:p>
        </w:tc>
        <w:tc>
          <w:tcPr>
            <w:tcW w:w="3120" w:type="dxa"/>
            <w:tcBorders>
              <w:top w:val="single" w:sz="12" w:space="0" w:color="auto"/>
            </w:tcBorders>
          </w:tcPr>
          <w:p w:rsidR="00700D1F" w:rsidRPr="00617BE4" w:rsidRDefault="00700D1F" w:rsidP="001F0BEF">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1F0BEF">
            <w:pPr>
              <w:tabs>
                <w:tab w:val="left" w:pos="851"/>
              </w:tabs>
              <w:rPr>
                <w:b/>
                <w:szCs w:val="24"/>
              </w:rPr>
            </w:pPr>
            <w:bookmarkStart w:id="1" w:name="dmeeting" w:colFirst="0" w:colLast="0"/>
          </w:p>
        </w:tc>
        <w:tc>
          <w:tcPr>
            <w:tcW w:w="3120" w:type="dxa"/>
          </w:tcPr>
          <w:p w:rsidR="00700D1F" w:rsidRPr="00700D1F" w:rsidRDefault="00700D1F" w:rsidP="00AF490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CF7D3E">
              <w:rPr>
                <w:b/>
                <w:bCs/>
                <w:szCs w:val="24"/>
                <w:lang w:eastAsia="zh-CN"/>
              </w:rPr>
              <w:t>4</w:t>
            </w:r>
            <w:r w:rsidRPr="00FC5386">
              <w:rPr>
                <w:b/>
                <w:bCs/>
                <w:szCs w:val="24"/>
                <w:lang w:eastAsia="zh-CN"/>
              </w:rPr>
              <w:t>/</w:t>
            </w:r>
            <w:r w:rsidR="00285A7E">
              <w:rPr>
                <w:rFonts w:hint="eastAsia"/>
                <w:b/>
                <w:bCs/>
                <w:szCs w:val="24"/>
                <w:lang w:eastAsia="zh-CN"/>
              </w:rPr>
              <w:t>2</w:t>
            </w:r>
            <w:r w:rsidR="00AF4902">
              <w:rPr>
                <w:b/>
                <w:bCs/>
                <w:szCs w:val="24"/>
                <w:lang w:eastAsia="zh-CN"/>
              </w:rPr>
              <w:t>2</w:t>
            </w:r>
            <w:r w:rsidR="002C2D0A">
              <w:rPr>
                <w:rFonts w:hint="eastAsia"/>
                <w:b/>
                <w:bCs/>
                <w:szCs w:val="24"/>
                <w:lang w:eastAsia="zh-CN"/>
              </w:rPr>
              <w:t>(</w:t>
            </w:r>
            <w:r w:rsidR="00153079">
              <w:rPr>
                <w:b/>
                <w:bCs/>
                <w:szCs w:val="24"/>
                <w:lang w:eastAsia="zh-CN"/>
              </w:rPr>
              <w:t>Add.</w:t>
            </w:r>
            <w:r w:rsidR="003621EB">
              <w:rPr>
                <w:b/>
                <w:bCs/>
                <w:szCs w:val="24"/>
                <w:lang w:eastAsia="zh-CN"/>
              </w:rPr>
              <w:t>1</w:t>
            </w:r>
            <w:r w:rsidR="002C2D0A">
              <w:rPr>
                <w:rFonts w:hint="eastAsia"/>
                <w:b/>
                <w:bCs/>
                <w:szCs w:val="24"/>
                <w:lang w:eastAsia="zh-CN"/>
              </w:rPr>
              <w:t>)</w:t>
            </w:r>
            <w:r w:rsidRPr="00FC5386">
              <w:rPr>
                <w:b/>
                <w:bCs/>
                <w:szCs w:val="24"/>
                <w:lang w:eastAsia="zh-CN"/>
              </w:rPr>
              <w:t>-C</w:t>
            </w:r>
          </w:p>
        </w:tc>
      </w:tr>
      <w:bookmarkEnd w:id="1"/>
      <w:tr w:rsidR="00700D1F">
        <w:trPr>
          <w:cantSplit/>
          <w:trHeight w:val="23"/>
        </w:trPr>
        <w:tc>
          <w:tcPr>
            <w:tcW w:w="6911" w:type="dxa"/>
            <w:vMerge/>
          </w:tcPr>
          <w:p w:rsidR="00700D1F" w:rsidRDefault="00700D1F" w:rsidP="001F0BEF">
            <w:pPr>
              <w:tabs>
                <w:tab w:val="left" w:pos="851"/>
              </w:tabs>
              <w:rPr>
                <w:b/>
                <w:lang w:eastAsia="zh-CN"/>
              </w:rPr>
            </w:pPr>
          </w:p>
        </w:tc>
        <w:tc>
          <w:tcPr>
            <w:tcW w:w="3120" w:type="dxa"/>
          </w:tcPr>
          <w:p w:rsidR="00700D1F" w:rsidRPr="00FC5386" w:rsidRDefault="00700D1F" w:rsidP="003621E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CF7D3E">
              <w:rPr>
                <w:b/>
                <w:bCs/>
                <w:szCs w:val="24"/>
                <w:lang w:eastAsia="zh-CN"/>
              </w:rPr>
              <w:t>4</w:t>
            </w:r>
            <w:r w:rsidRPr="00FC5386">
              <w:rPr>
                <w:rFonts w:hint="eastAsia"/>
                <w:b/>
                <w:bCs/>
                <w:szCs w:val="24"/>
                <w:lang w:eastAsia="zh-CN"/>
              </w:rPr>
              <w:t>年</w:t>
            </w:r>
            <w:r w:rsidR="003621EB" w:rsidRPr="008B0A03">
              <w:rPr>
                <w:rFonts w:cstheme="minorHAnsi"/>
                <w:b/>
                <w:bCs/>
                <w:szCs w:val="24"/>
                <w:lang w:eastAsia="zh-CN"/>
              </w:rPr>
              <w:t>8</w:t>
            </w:r>
            <w:r w:rsidRPr="00FC5386">
              <w:rPr>
                <w:rFonts w:hint="eastAsia"/>
                <w:b/>
                <w:bCs/>
                <w:szCs w:val="24"/>
                <w:lang w:eastAsia="zh-CN"/>
              </w:rPr>
              <w:t>月</w:t>
            </w:r>
            <w:r w:rsidR="00783FF4" w:rsidRPr="008B0A03">
              <w:rPr>
                <w:rFonts w:cstheme="minorHAnsi"/>
                <w:b/>
                <w:bCs/>
                <w:szCs w:val="24"/>
                <w:lang w:eastAsia="zh-CN"/>
              </w:rPr>
              <w:t>29</w:t>
            </w:r>
            <w:r w:rsidRPr="00FC5386">
              <w:rPr>
                <w:rFonts w:hint="eastAsia"/>
                <w:b/>
                <w:bCs/>
                <w:szCs w:val="24"/>
                <w:lang w:eastAsia="zh-CN"/>
              </w:rPr>
              <w:t>日</w:t>
            </w:r>
          </w:p>
        </w:tc>
      </w:tr>
      <w:tr w:rsidR="00700D1F">
        <w:trPr>
          <w:cantSplit/>
          <w:trHeight w:val="23"/>
        </w:trPr>
        <w:tc>
          <w:tcPr>
            <w:tcW w:w="6911" w:type="dxa"/>
            <w:vMerge/>
          </w:tcPr>
          <w:p w:rsidR="00700D1F" w:rsidRDefault="00700D1F" w:rsidP="001F0BEF">
            <w:pPr>
              <w:tabs>
                <w:tab w:val="left" w:pos="851"/>
              </w:tabs>
              <w:rPr>
                <w:b/>
                <w:lang w:eastAsia="zh-CN"/>
              </w:rPr>
            </w:pPr>
          </w:p>
        </w:tc>
        <w:tc>
          <w:tcPr>
            <w:tcW w:w="3120" w:type="dxa"/>
          </w:tcPr>
          <w:p w:rsidR="00700D1F" w:rsidRPr="00FC5386" w:rsidRDefault="00700D1F" w:rsidP="001F0BEF">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rsidTr="00AC0CBB">
        <w:trPr>
          <w:cantSplit/>
        </w:trPr>
        <w:tc>
          <w:tcPr>
            <w:tcW w:w="6912" w:type="dxa"/>
          </w:tcPr>
          <w:p w:rsidR="0093362E" w:rsidRDefault="0093362E" w:rsidP="001F0BEF">
            <w:pPr>
              <w:rPr>
                <w:lang w:val="fr-CH" w:eastAsia="zh-CN"/>
              </w:rPr>
            </w:pPr>
          </w:p>
        </w:tc>
        <w:tc>
          <w:tcPr>
            <w:tcW w:w="3119" w:type="dxa"/>
          </w:tcPr>
          <w:p w:rsidR="0093362E" w:rsidRDefault="0093362E" w:rsidP="001F0BEF">
            <w:pPr>
              <w:rPr>
                <w:b/>
                <w:bCs/>
                <w:lang w:val="fr-CH" w:eastAsia="zh-CN"/>
              </w:rPr>
            </w:pPr>
          </w:p>
        </w:tc>
      </w:tr>
      <w:tr w:rsidR="00C660BB" w:rsidTr="00AC0CBB">
        <w:trPr>
          <w:cantSplit/>
        </w:trPr>
        <w:tc>
          <w:tcPr>
            <w:tcW w:w="10031" w:type="dxa"/>
            <w:gridSpan w:val="2"/>
          </w:tcPr>
          <w:p w:rsidR="00C660BB" w:rsidRDefault="00C660BB" w:rsidP="00832226">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说明</w:t>
            </w:r>
          </w:p>
        </w:tc>
      </w:tr>
      <w:tr w:rsidR="00C660BB" w:rsidTr="00AC0CBB">
        <w:trPr>
          <w:cantSplit/>
        </w:trPr>
        <w:tc>
          <w:tcPr>
            <w:tcW w:w="10031" w:type="dxa"/>
            <w:gridSpan w:val="2"/>
          </w:tcPr>
          <w:p w:rsidR="00C660BB" w:rsidRDefault="00C660BB" w:rsidP="00832226">
            <w:pPr>
              <w:pStyle w:val="Title1"/>
              <w:rPr>
                <w:bCs/>
                <w:lang w:eastAsia="zh-CN"/>
              </w:rPr>
            </w:pPr>
            <w:r w:rsidRPr="00A2033D">
              <w:rPr>
                <w:rFonts w:hint="eastAsia"/>
                <w:lang w:eastAsia="zh-CN"/>
              </w:rPr>
              <w:t>独立管理顾问委员会（</w:t>
            </w:r>
            <w:r w:rsidRPr="00A2033D">
              <w:rPr>
                <w:rFonts w:hint="eastAsia"/>
                <w:lang w:eastAsia="zh-CN"/>
              </w:rPr>
              <w:t>IMAC</w:t>
            </w:r>
            <w:r w:rsidRPr="00A2033D">
              <w:rPr>
                <w:rFonts w:hint="eastAsia"/>
                <w:lang w:eastAsia="zh-CN"/>
              </w:rPr>
              <w:t>）</w:t>
            </w:r>
            <w:r>
              <w:rPr>
                <w:rFonts w:hint="eastAsia"/>
                <w:lang w:eastAsia="zh-CN"/>
              </w:rPr>
              <w:t>的补充</w:t>
            </w:r>
            <w:r w:rsidRPr="00A2033D">
              <w:rPr>
                <w:rFonts w:hint="eastAsia"/>
                <w:lang w:eastAsia="zh-CN"/>
              </w:rPr>
              <w:t>报告</w:t>
            </w:r>
          </w:p>
        </w:tc>
      </w:tr>
    </w:tbl>
    <w:p w:rsidR="004A47DC" w:rsidRPr="004A47DC" w:rsidRDefault="004A47DC" w:rsidP="00AC0CBB">
      <w:pPr>
        <w:pStyle w:val="Normalaftertitle"/>
        <w:ind w:firstLineChars="200" w:firstLine="480"/>
        <w:rPr>
          <w:lang w:eastAsia="zh-CN"/>
        </w:rPr>
      </w:pPr>
      <w:r w:rsidRPr="004A47DC">
        <w:rPr>
          <w:rFonts w:hint="eastAsia"/>
          <w:lang w:eastAsia="zh-CN"/>
        </w:rPr>
        <w:t>我荣幸地向各理事国转呈独立管理顾问委员会（</w:t>
      </w:r>
      <w:r w:rsidRPr="004A47DC">
        <w:rPr>
          <w:rFonts w:hint="eastAsia"/>
          <w:lang w:eastAsia="zh-CN"/>
        </w:rPr>
        <w:t>IMAC</w:t>
      </w:r>
      <w:r w:rsidRPr="004A47DC">
        <w:rPr>
          <w:rFonts w:hint="eastAsia"/>
          <w:lang w:eastAsia="zh-CN"/>
        </w:rPr>
        <w:t>）主席的报告。</w:t>
      </w:r>
    </w:p>
    <w:p w:rsidR="004A47DC" w:rsidRPr="004A47DC" w:rsidRDefault="004A47DC" w:rsidP="004A47DC">
      <w:pPr>
        <w:rPr>
          <w:lang w:eastAsia="zh-CN"/>
        </w:rPr>
      </w:pPr>
    </w:p>
    <w:p w:rsidR="004A47DC" w:rsidRPr="004A47DC" w:rsidRDefault="004A47DC" w:rsidP="004A47DC">
      <w:pPr>
        <w:rPr>
          <w:lang w:eastAsia="zh-CN"/>
        </w:rPr>
      </w:pPr>
    </w:p>
    <w:p w:rsidR="004A47DC" w:rsidRPr="004A47DC" w:rsidRDefault="004A47DC" w:rsidP="004A47DC">
      <w:pPr>
        <w:rPr>
          <w:lang w:eastAsia="zh-CN"/>
        </w:rPr>
      </w:pPr>
    </w:p>
    <w:p w:rsidR="004A47DC" w:rsidRPr="004A47DC" w:rsidRDefault="004A47DC" w:rsidP="004A47DC">
      <w:pPr>
        <w:tabs>
          <w:tab w:val="clear" w:pos="794"/>
          <w:tab w:val="clear" w:pos="1191"/>
          <w:tab w:val="clear" w:pos="1588"/>
          <w:tab w:val="clear" w:pos="1985"/>
          <w:tab w:val="center" w:pos="7088"/>
        </w:tabs>
        <w:rPr>
          <w:rFonts w:asciiTheme="majorBidi" w:hAnsiTheme="majorBidi" w:cstheme="majorBidi"/>
          <w:lang w:val="es-ES" w:eastAsia="zh-CN"/>
        </w:rPr>
      </w:pPr>
      <w:r w:rsidRPr="004A47DC">
        <w:rPr>
          <w:rFonts w:asciiTheme="majorBidi" w:hAnsiTheme="majorBidi" w:cstheme="majorBidi" w:hint="eastAsia"/>
          <w:lang w:eastAsia="zh-CN"/>
        </w:rPr>
        <w:tab/>
      </w:r>
      <w:r w:rsidRPr="004A47DC">
        <w:rPr>
          <w:rFonts w:asciiTheme="majorBidi" w:hAnsiTheme="majorBidi" w:cstheme="majorBidi"/>
          <w:lang w:eastAsia="zh-CN"/>
        </w:rPr>
        <w:t>秘书长</w:t>
      </w:r>
      <w:r w:rsidRPr="004A47DC">
        <w:rPr>
          <w:rFonts w:asciiTheme="majorBidi" w:hAnsiTheme="majorBidi" w:cstheme="majorBidi"/>
          <w:lang w:eastAsia="zh-CN"/>
        </w:rPr>
        <w:br/>
      </w:r>
      <w:r w:rsidRPr="004A47DC">
        <w:rPr>
          <w:rFonts w:asciiTheme="majorBidi" w:hAnsiTheme="majorBidi" w:cstheme="majorBidi" w:hint="eastAsia"/>
          <w:lang w:eastAsia="zh-CN"/>
        </w:rPr>
        <w:tab/>
      </w:r>
      <w:r w:rsidRPr="004A47DC">
        <w:rPr>
          <w:rFonts w:asciiTheme="majorBidi" w:hAnsiTheme="majorBidi" w:cstheme="majorBidi"/>
          <w:lang w:eastAsia="zh-CN"/>
        </w:rPr>
        <w:t>哈玛德</w:t>
      </w:r>
      <w:r w:rsidR="00AC0CBB" w:rsidRPr="00AC0CBB">
        <w:rPr>
          <w:rFonts w:asciiTheme="majorBidi" w:hAnsiTheme="majorBidi" w:cstheme="majorBidi"/>
          <w:sz w:val="20"/>
          <w:lang w:eastAsia="zh-CN"/>
        </w:rPr>
        <w:t>•</w:t>
      </w:r>
      <w:r w:rsidRPr="004A47DC">
        <w:rPr>
          <w:rFonts w:asciiTheme="majorBidi" w:hAnsiTheme="majorBidi" w:cstheme="majorBidi"/>
          <w:lang w:eastAsia="zh-CN"/>
        </w:rPr>
        <w:t>图埃博士</w:t>
      </w:r>
    </w:p>
    <w:p w:rsidR="00C660BB" w:rsidRPr="00C660BB" w:rsidRDefault="00C660BB" w:rsidP="00C660BB">
      <w:pPr>
        <w:tabs>
          <w:tab w:val="clear" w:pos="794"/>
          <w:tab w:val="clear" w:pos="1191"/>
          <w:tab w:val="clear" w:pos="1588"/>
          <w:tab w:val="clear" w:pos="1985"/>
        </w:tabs>
        <w:overflowPunct/>
        <w:autoSpaceDE/>
        <w:autoSpaceDN/>
        <w:adjustRightInd/>
        <w:spacing w:before="0"/>
        <w:ind w:left="7088" w:hanging="425"/>
        <w:textAlignment w:val="auto"/>
        <w:rPr>
          <w:rFonts w:asciiTheme="majorBidi" w:hAnsiTheme="majorBidi" w:cstheme="majorBidi"/>
          <w:lang w:eastAsia="zh-CN"/>
        </w:rPr>
      </w:pPr>
      <w:r>
        <w:rPr>
          <w:lang w:val="fr-FR" w:eastAsia="zh-CN"/>
        </w:rPr>
        <w:br w:type="page"/>
      </w:r>
    </w:p>
    <w:p w:rsidR="006423F4" w:rsidRDefault="00B84451" w:rsidP="00B84451">
      <w:pPr>
        <w:pStyle w:val="Title1"/>
        <w:rPr>
          <w:lang w:eastAsia="zh-CN"/>
        </w:rPr>
      </w:pPr>
      <w:r w:rsidRPr="00781224">
        <w:rPr>
          <w:rFonts w:hint="eastAsia"/>
          <w:lang w:eastAsia="zh-CN"/>
        </w:rPr>
        <w:lastRenderedPageBreak/>
        <w:t>独立管理顾问管理委员会（</w:t>
      </w:r>
      <w:r w:rsidRPr="00781224">
        <w:rPr>
          <w:rFonts w:hint="eastAsia"/>
          <w:lang w:eastAsia="zh-CN"/>
        </w:rPr>
        <w:t>IMAC</w:t>
      </w:r>
      <w:r w:rsidRPr="00781224">
        <w:rPr>
          <w:rFonts w:hint="eastAsia"/>
          <w:lang w:eastAsia="zh-CN"/>
        </w:rPr>
        <w:t>）</w:t>
      </w:r>
      <w:r>
        <w:rPr>
          <w:rFonts w:hint="eastAsia"/>
          <w:lang w:eastAsia="zh-CN"/>
        </w:rPr>
        <w:t>的补充</w:t>
      </w:r>
      <w:r w:rsidRPr="00781224">
        <w:rPr>
          <w:rFonts w:hint="eastAsia"/>
          <w:lang w:eastAsia="zh-CN"/>
        </w:rPr>
        <w:t>报告</w:t>
      </w:r>
    </w:p>
    <w:p w:rsidR="00B84451" w:rsidRDefault="00B84451" w:rsidP="00B84451">
      <w:pPr>
        <w:jc w:val="cente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347010" w:rsidRPr="00AD5A5B" w:rsidTr="001D2318">
        <w:trPr>
          <w:trHeight w:val="3372"/>
        </w:trPr>
        <w:tc>
          <w:tcPr>
            <w:tcW w:w="8080" w:type="dxa"/>
            <w:tcBorders>
              <w:top w:val="single" w:sz="12" w:space="0" w:color="auto"/>
              <w:left w:val="single" w:sz="12" w:space="0" w:color="auto"/>
              <w:bottom w:val="single" w:sz="12" w:space="0" w:color="auto"/>
              <w:right w:val="single" w:sz="12" w:space="0" w:color="auto"/>
            </w:tcBorders>
          </w:tcPr>
          <w:p w:rsidR="00347010" w:rsidRPr="00024A13" w:rsidRDefault="00347010" w:rsidP="001D2318">
            <w:pPr>
              <w:pStyle w:val="toc0"/>
              <w:tabs>
                <w:tab w:val="left" w:pos="1191"/>
                <w:tab w:val="left" w:pos="1588"/>
                <w:tab w:val="left" w:pos="1985"/>
              </w:tabs>
              <w:spacing w:before="240"/>
              <w:rPr>
                <w:bCs/>
                <w:sz w:val="22"/>
                <w:szCs w:val="22"/>
                <w:lang w:val="fr-FR" w:eastAsia="zh-CN"/>
              </w:rPr>
            </w:pPr>
            <w:bookmarkStart w:id="2" w:name="_Toc387089353"/>
            <w:r w:rsidRPr="00024A13">
              <w:rPr>
                <w:rFonts w:hint="eastAsia"/>
                <w:bCs/>
                <w:sz w:val="22"/>
                <w:szCs w:val="22"/>
                <w:lang w:val="fr-FR" w:eastAsia="zh-CN"/>
              </w:rPr>
              <w:t>概</w:t>
            </w:r>
            <w:r w:rsidRPr="00024A13">
              <w:rPr>
                <w:rFonts w:hint="eastAsia"/>
                <w:bCs/>
                <w:sz w:val="22"/>
                <w:szCs w:val="22"/>
                <w:lang w:eastAsia="zh-CN"/>
              </w:rPr>
              <w:t>要</w:t>
            </w:r>
            <w:bookmarkEnd w:id="2"/>
          </w:p>
          <w:p w:rsidR="0093485F" w:rsidRPr="00024A13" w:rsidRDefault="0093485F" w:rsidP="0093485F">
            <w:pPr>
              <w:ind w:firstLineChars="200" w:firstLine="440"/>
              <w:rPr>
                <w:sz w:val="22"/>
                <w:szCs w:val="22"/>
                <w:lang w:eastAsia="zh-CN"/>
              </w:rPr>
            </w:pPr>
            <w:r w:rsidRPr="00024A13">
              <w:rPr>
                <w:sz w:val="22"/>
                <w:szCs w:val="22"/>
                <w:lang w:eastAsia="zh-CN"/>
              </w:rPr>
              <w:t>本文件</w:t>
            </w:r>
            <w:r w:rsidRPr="00024A13">
              <w:rPr>
                <w:rFonts w:hint="eastAsia"/>
                <w:sz w:val="22"/>
                <w:szCs w:val="22"/>
                <w:lang w:eastAsia="zh-CN"/>
              </w:rPr>
              <w:t>介绍了</w:t>
            </w:r>
            <w:r w:rsidRPr="00024A13">
              <w:rPr>
                <w:rFonts w:hint="eastAsia"/>
                <w:sz w:val="22"/>
                <w:szCs w:val="22"/>
                <w:lang w:eastAsia="zh-CN"/>
              </w:rPr>
              <w:t>IMAC</w:t>
            </w:r>
            <w:r w:rsidRPr="00024A13">
              <w:rPr>
                <w:rFonts w:hint="eastAsia"/>
                <w:sz w:val="22"/>
                <w:szCs w:val="22"/>
                <w:lang w:eastAsia="zh-CN"/>
              </w:rPr>
              <w:t>第三年度报告的补充报告。现</w:t>
            </w:r>
            <w:r w:rsidRPr="00024A13">
              <w:rPr>
                <w:sz w:val="22"/>
                <w:szCs w:val="22"/>
                <w:lang w:eastAsia="zh-CN"/>
              </w:rPr>
              <w:t>将报告提交</w:t>
            </w:r>
            <w:r w:rsidRPr="00024A13">
              <w:rPr>
                <w:rFonts w:hint="eastAsia"/>
                <w:sz w:val="22"/>
                <w:szCs w:val="22"/>
                <w:lang w:eastAsia="zh-CN"/>
              </w:rPr>
              <w:t>2014</w:t>
            </w:r>
            <w:r w:rsidRPr="00024A13">
              <w:rPr>
                <w:rFonts w:hint="eastAsia"/>
                <w:sz w:val="22"/>
                <w:szCs w:val="22"/>
                <w:lang w:eastAsia="zh-CN"/>
              </w:rPr>
              <w:t>年</w:t>
            </w:r>
            <w:r w:rsidRPr="00024A13">
              <w:rPr>
                <w:rFonts w:hint="eastAsia"/>
                <w:sz w:val="22"/>
                <w:szCs w:val="22"/>
                <w:lang w:eastAsia="zh-CN"/>
              </w:rPr>
              <w:t>10</w:t>
            </w:r>
            <w:r w:rsidRPr="00024A13">
              <w:rPr>
                <w:rFonts w:hint="eastAsia"/>
                <w:sz w:val="22"/>
                <w:szCs w:val="22"/>
                <w:lang w:eastAsia="zh-CN"/>
              </w:rPr>
              <w:t>月</w:t>
            </w:r>
            <w:r w:rsidRPr="00024A13">
              <w:rPr>
                <w:sz w:val="22"/>
                <w:szCs w:val="22"/>
                <w:lang w:eastAsia="zh-CN"/>
              </w:rPr>
              <w:t>召开的国际电联理事会最后一次会议，以</w:t>
            </w:r>
            <w:r w:rsidRPr="00024A13">
              <w:rPr>
                <w:rFonts w:hint="eastAsia"/>
                <w:sz w:val="22"/>
                <w:szCs w:val="22"/>
                <w:lang w:eastAsia="zh-CN"/>
              </w:rPr>
              <w:t>履行</w:t>
            </w:r>
            <w:r w:rsidRPr="00024A13">
              <w:rPr>
                <w:sz w:val="22"/>
                <w:szCs w:val="22"/>
                <w:lang w:eastAsia="zh-CN"/>
              </w:rPr>
              <w:t>委员会的</w:t>
            </w:r>
            <w:r w:rsidRPr="00024A13">
              <w:rPr>
                <w:rFonts w:hint="eastAsia"/>
                <w:sz w:val="22"/>
                <w:szCs w:val="22"/>
                <w:lang w:eastAsia="zh-CN"/>
              </w:rPr>
              <w:t>具体</w:t>
            </w:r>
            <w:r w:rsidRPr="00024A13">
              <w:rPr>
                <w:sz w:val="22"/>
                <w:szCs w:val="22"/>
                <w:lang w:eastAsia="zh-CN"/>
              </w:rPr>
              <w:t>职责，</w:t>
            </w:r>
            <w:r w:rsidRPr="00024A13">
              <w:rPr>
                <w:rFonts w:hint="eastAsia"/>
                <w:sz w:val="22"/>
                <w:szCs w:val="22"/>
                <w:lang w:eastAsia="zh-CN"/>
              </w:rPr>
              <w:t>即</w:t>
            </w:r>
            <w:r w:rsidRPr="00024A13">
              <w:rPr>
                <w:sz w:val="22"/>
                <w:szCs w:val="22"/>
                <w:lang w:eastAsia="zh-CN"/>
              </w:rPr>
              <w:t>，针对</w:t>
            </w:r>
            <w:r w:rsidRPr="00024A13">
              <w:rPr>
                <w:rFonts w:hint="eastAsia"/>
                <w:sz w:val="22"/>
                <w:szCs w:val="22"/>
                <w:lang w:eastAsia="zh-CN"/>
              </w:rPr>
              <w:t>外部审计员编拟的国际电联财务审计报表和报告提出的问题向理事会提供咨询；并支持</w:t>
            </w:r>
            <w:r w:rsidRPr="00024A13">
              <w:rPr>
                <w:sz w:val="22"/>
                <w:szCs w:val="22"/>
                <w:lang w:eastAsia="zh-CN"/>
              </w:rPr>
              <w:t>和</w:t>
            </w:r>
            <w:r w:rsidRPr="00024A13">
              <w:rPr>
                <w:rFonts w:hint="eastAsia"/>
                <w:sz w:val="22"/>
                <w:szCs w:val="22"/>
                <w:lang w:eastAsia="zh-CN"/>
              </w:rPr>
              <w:t>通报理事会对</w:t>
            </w:r>
            <w:r w:rsidRPr="00024A13">
              <w:rPr>
                <w:rFonts w:hint="eastAsia"/>
                <w:sz w:val="22"/>
                <w:szCs w:val="22"/>
                <w:lang w:eastAsia="zh-CN"/>
              </w:rPr>
              <w:t>2013</w:t>
            </w:r>
            <w:r w:rsidRPr="00024A13">
              <w:rPr>
                <w:rFonts w:hint="eastAsia"/>
                <w:sz w:val="22"/>
                <w:szCs w:val="22"/>
                <w:lang w:eastAsia="zh-CN"/>
              </w:rPr>
              <w:t>年财务报表和外部审计报告的审议情况。</w:t>
            </w:r>
          </w:p>
          <w:p w:rsidR="00347010" w:rsidRPr="00024A13" w:rsidRDefault="0093485F" w:rsidP="0093485F">
            <w:pPr>
              <w:pStyle w:val="enumlev1"/>
              <w:ind w:left="0" w:firstLineChars="200" w:firstLine="440"/>
              <w:rPr>
                <w:sz w:val="22"/>
                <w:szCs w:val="22"/>
                <w:lang w:val="fr-FR" w:eastAsia="zh-CN"/>
              </w:rPr>
            </w:pPr>
            <w:r w:rsidRPr="00024A13">
              <w:rPr>
                <w:rFonts w:hint="eastAsia"/>
                <w:sz w:val="22"/>
                <w:szCs w:val="22"/>
                <w:lang w:eastAsia="zh-CN"/>
              </w:rPr>
              <w:t>本补充报告还就有关理事会正式审议</w:t>
            </w:r>
            <w:r w:rsidRPr="00024A13">
              <w:rPr>
                <w:rFonts w:hint="eastAsia"/>
                <w:sz w:val="22"/>
                <w:szCs w:val="22"/>
                <w:lang w:eastAsia="zh-CN"/>
              </w:rPr>
              <w:t>IMAC</w:t>
            </w:r>
            <w:r w:rsidRPr="00024A13">
              <w:rPr>
                <w:rFonts w:hint="eastAsia"/>
                <w:sz w:val="22"/>
                <w:szCs w:val="22"/>
                <w:lang w:eastAsia="zh-CN"/>
              </w:rPr>
              <w:t>报告和建议的程序的一个额外问题提出了意见和建议。</w:t>
            </w:r>
          </w:p>
          <w:p w:rsidR="00347010" w:rsidRPr="00024A13" w:rsidRDefault="00347010" w:rsidP="001D2318">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Cs w:val="22"/>
                <w:lang w:val="fr-FR" w:eastAsia="zh-CN"/>
              </w:rPr>
            </w:pPr>
          </w:p>
          <w:p w:rsidR="00347010" w:rsidRPr="00024A13" w:rsidRDefault="00347010" w:rsidP="001D2318">
            <w:pPr>
              <w:pStyle w:val="Index1"/>
              <w:spacing w:before="0"/>
              <w:rPr>
                <w:b/>
                <w:bCs/>
                <w:sz w:val="22"/>
                <w:szCs w:val="22"/>
                <w:lang w:val="fr-FR" w:eastAsia="zh-CN"/>
              </w:rPr>
            </w:pPr>
            <w:r w:rsidRPr="00024A13">
              <w:rPr>
                <w:rFonts w:hint="eastAsia"/>
                <w:b/>
                <w:bCs/>
                <w:sz w:val="22"/>
                <w:szCs w:val="22"/>
                <w:lang w:eastAsia="zh-CN"/>
              </w:rPr>
              <w:t>需采取的行动</w:t>
            </w:r>
          </w:p>
          <w:p w:rsidR="00347010" w:rsidRPr="00024A13" w:rsidRDefault="0093485F" w:rsidP="00F01791">
            <w:pPr>
              <w:pStyle w:val="BodyTextIndent"/>
              <w:spacing w:after="0"/>
              <w:ind w:left="0" w:firstLineChars="200" w:firstLine="440"/>
              <w:rPr>
                <w:sz w:val="22"/>
                <w:szCs w:val="22"/>
                <w:lang w:val="fr-FR" w:eastAsia="zh-CN"/>
              </w:rPr>
            </w:pPr>
            <w:r w:rsidRPr="00024A13">
              <w:rPr>
                <w:rFonts w:hint="eastAsia"/>
                <w:sz w:val="22"/>
                <w:szCs w:val="22"/>
                <w:lang w:eastAsia="zh-CN"/>
              </w:rPr>
              <w:t>请理事会</w:t>
            </w:r>
            <w:r w:rsidRPr="00024A13">
              <w:rPr>
                <w:rFonts w:hint="eastAsia"/>
                <w:b/>
                <w:bCs/>
                <w:sz w:val="22"/>
                <w:szCs w:val="22"/>
                <w:lang w:eastAsia="zh-CN"/>
              </w:rPr>
              <w:t>赞同</w:t>
            </w:r>
            <w:r w:rsidRPr="00024A13">
              <w:rPr>
                <w:rFonts w:hint="eastAsia"/>
                <w:sz w:val="22"/>
                <w:szCs w:val="22"/>
                <w:lang w:eastAsia="zh-CN"/>
              </w:rPr>
              <w:t>IMAC</w:t>
            </w:r>
            <w:r w:rsidRPr="00024A13">
              <w:rPr>
                <w:rFonts w:hint="eastAsia"/>
                <w:sz w:val="22"/>
                <w:szCs w:val="22"/>
                <w:lang w:eastAsia="zh-CN"/>
              </w:rPr>
              <w:t>的补充报告。</w:t>
            </w:r>
          </w:p>
          <w:p w:rsidR="00347010" w:rsidRPr="00024A13" w:rsidRDefault="00347010" w:rsidP="001D2318">
            <w:pPr>
              <w:jc w:val="center"/>
              <w:rPr>
                <w:sz w:val="22"/>
                <w:szCs w:val="22"/>
                <w:lang w:val="fr-FR" w:eastAsia="zh-CN"/>
              </w:rPr>
            </w:pPr>
            <w:r w:rsidRPr="00024A13">
              <w:rPr>
                <w:sz w:val="22"/>
                <w:szCs w:val="22"/>
                <w:lang w:val="fr-FR" w:eastAsia="zh-CN"/>
              </w:rPr>
              <w:t>______________</w:t>
            </w:r>
          </w:p>
          <w:p w:rsidR="00347010" w:rsidRPr="00024A13" w:rsidRDefault="00347010" w:rsidP="001D2318">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Cs w:val="22"/>
                <w:lang w:val="fr-FR" w:eastAsia="zh-CN"/>
              </w:rPr>
            </w:pPr>
          </w:p>
          <w:p w:rsidR="00347010" w:rsidRPr="00024A13" w:rsidRDefault="00347010" w:rsidP="001D2318">
            <w:pPr>
              <w:pStyle w:val="toc0"/>
              <w:tabs>
                <w:tab w:val="left" w:pos="1191"/>
                <w:tab w:val="left" w:pos="1588"/>
                <w:tab w:val="left" w:pos="1985"/>
              </w:tabs>
              <w:spacing w:before="0"/>
              <w:rPr>
                <w:sz w:val="22"/>
                <w:szCs w:val="22"/>
                <w:lang w:val="fr-FR" w:eastAsia="zh-CN"/>
              </w:rPr>
            </w:pPr>
            <w:bookmarkStart w:id="3" w:name="_Toc387089354"/>
            <w:r w:rsidRPr="00024A13">
              <w:rPr>
                <w:rFonts w:hint="eastAsia"/>
                <w:sz w:val="22"/>
                <w:szCs w:val="22"/>
                <w:lang w:eastAsia="zh-CN"/>
              </w:rPr>
              <w:t>参考文件</w:t>
            </w:r>
            <w:bookmarkEnd w:id="3"/>
          </w:p>
          <w:p w:rsidR="00347010" w:rsidRPr="00B54565" w:rsidRDefault="003D382B" w:rsidP="00024A13">
            <w:pPr>
              <w:pStyle w:val="Index1"/>
              <w:snapToGrid w:val="0"/>
              <w:spacing w:before="60" w:after="60"/>
              <w:ind w:firstLineChars="200" w:firstLine="480"/>
              <w:rPr>
                <w:i/>
                <w:iCs/>
                <w:sz w:val="22"/>
                <w:lang w:val="fr-FR" w:eastAsia="zh-CN"/>
              </w:rPr>
            </w:pPr>
            <w:hyperlink r:id="rId9" w:anchor="res162" w:history="1">
              <w:r w:rsidR="0093485F" w:rsidRPr="00024A13">
                <w:rPr>
                  <w:rStyle w:val="Hyperlink"/>
                  <w:rFonts w:hint="eastAsia"/>
                  <w:sz w:val="22"/>
                  <w:szCs w:val="22"/>
                  <w:lang w:eastAsia="zh-CN"/>
                </w:rPr>
                <w:t>第</w:t>
              </w:r>
              <w:r w:rsidR="0093485F" w:rsidRPr="00024A13">
                <w:rPr>
                  <w:rStyle w:val="Hyperlink"/>
                  <w:rFonts w:hint="eastAsia"/>
                  <w:sz w:val="22"/>
                  <w:szCs w:val="22"/>
                  <w:lang w:eastAsia="zh-CN"/>
                </w:rPr>
                <w:t>162</w:t>
              </w:r>
              <w:r w:rsidR="0093485F" w:rsidRPr="00024A13">
                <w:rPr>
                  <w:rStyle w:val="Hyperlink"/>
                  <w:rFonts w:hint="eastAsia"/>
                  <w:sz w:val="22"/>
                  <w:szCs w:val="22"/>
                  <w:lang w:eastAsia="zh-CN"/>
                </w:rPr>
                <w:t>号决议</w:t>
              </w:r>
            </w:hyperlink>
            <w:r w:rsidR="0093485F" w:rsidRPr="00024A13">
              <w:rPr>
                <w:sz w:val="22"/>
                <w:szCs w:val="22"/>
                <w:lang w:eastAsia="zh-CN"/>
              </w:rPr>
              <w:t>（</w:t>
            </w:r>
            <w:r w:rsidR="0093485F" w:rsidRPr="00024A13">
              <w:rPr>
                <w:sz w:val="22"/>
                <w:szCs w:val="22"/>
                <w:lang w:eastAsia="zh-CN"/>
              </w:rPr>
              <w:t>2010</w:t>
            </w:r>
            <w:r w:rsidR="0093485F" w:rsidRPr="00024A13">
              <w:rPr>
                <w:sz w:val="22"/>
                <w:szCs w:val="22"/>
                <w:lang w:eastAsia="zh-CN"/>
              </w:rPr>
              <w:t>年，瓜达拉哈拉）；</w:t>
            </w:r>
            <w:r w:rsidR="0093485F" w:rsidRPr="00024A13">
              <w:rPr>
                <w:rFonts w:hint="eastAsia"/>
                <w:sz w:val="22"/>
                <w:szCs w:val="22"/>
                <w:lang w:eastAsia="zh-CN"/>
              </w:rPr>
              <w:t>理事会</w:t>
            </w:r>
            <w:hyperlink r:id="rId10" w:history="1">
              <w:r w:rsidR="0093485F" w:rsidRPr="00024A13">
                <w:rPr>
                  <w:rStyle w:val="Hyperlink"/>
                  <w:rFonts w:hint="eastAsia"/>
                  <w:sz w:val="22"/>
                  <w:szCs w:val="22"/>
                  <w:lang w:eastAsia="zh-CN"/>
                </w:rPr>
                <w:t>第</w:t>
              </w:r>
              <w:r w:rsidR="0093485F" w:rsidRPr="00024A13">
                <w:rPr>
                  <w:rStyle w:val="Hyperlink"/>
                  <w:sz w:val="22"/>
                  <w:szCs w:val="22"/>
                  <w:lang w:eastAsia="zh-CN"/>
                </w:rPr>
                <w:t>565</w:t>
              </w:r>
              <w:r w:rsidR="0093485F" w:rsidRPr="00024A13">
                <w:rPr>
                  <w:rStyle w:val="Hyperlink"/>
                  <w:rFonts w:hint="eastAsia"/>
                  <w:sz w:val="22"/>
                  <w:szCs w:val="22"/>
                  <w:lang w:eastAsia="zh-CN"/>
                </w:rPr>
                <w:t>号决定</w:t>
              </w:r>
            </w:hyperlink>
            <w:r w:rsidR="009171B1">
              <w:rPr>
                <w:rFonts w:hint="eastAsia"/>
                <w:sz w:val="22"/>
                <w:szCs w:val="22"/>
                <w:lang w:eastAsia="zh-CN"/>
              </w:rPr>
              <w:t>；</w:t>
            </w:r>
            <w:hyperlink r:id="rId11" w:history="1">
              <w:r w:rsidR="00024A13" w:rsidRPr="00BD25A3">
                <w:rPr>
                  <w:rStyle w:val="Hyperlink"/>
                  <w:rFonts w:asciiTheme="minorHAnsi" w:hAnsiTheme="minorHAnsi"/>
                  <w:sz w:val="22"/>
                  <w:lang w:eastAsia="zh-CN"/>
                </w:rPr>
                <w:t>C14/22</w:t>
              </w:r>
            </w:hyperlink>
            <w:r w:rsidR="0093485F" w:rsidRPr="00024A13">
              <w:rPr>
                <w:sz w:val="22"/>
                <w:szCs w:val="22"/>
                <w:lang w:eastAsia="zh-CN"/>
              </w:rPr>
              <w:t>号文件</w:t>
            </w:r>
            <w:r w:rsidR="0093485F" w:rsidRPr="00024A13">
              <w:rPr>
                <w:rFonts w:hint="eastAsia"/>
                <w:sz w:val="22"/>
                <w:szCs w:val="22"/>
                <w:lang w:eastAsia="zh-CN"/>
              </w:rPr>
              <w:t>（</w:t>
            </w:r>
            <w:r w:rsidR="0093485F" w:rsidRPr="00024A13">
              <w:rPr>
                <w:sz w:val="22"/>
                <w:szCs w:val="22"/>
                <w:lang w:eastAsia="zh-CN"/>
              </w:rPr>
              <w:t>IMAC</w:t>
            </w:r>
            <w:r w:rsidR="0093485F" w:rsidRPr="00024A13">
              <w:rPr>
                <w:sz w:val="22"/>
                <w:szCs w:val="22"/>
                <w:lang w:eastAsia="zh-CN"/>
              </w:rPr>
              <w:t>提交理事会的</w:t>
            </w:r>
            <w:r w:rsidR="0093485F" w:rsidRPr="00024A13">
              <w:rPr>
                <w:rFonts w:hint="eastAsia"/>
                <w:sz w:val="22"/>
                <w:szCs w:val="22"/>
                <w:lang w:eastAsia="zh-CN"/>
              </w:rPr>
              <w:t>第三年</w:t>
            </w:r>
            <w:r w:rsidR="0093485F" w:rsidRPr="00024A13">
              <w:rPr>
                <w:sz w:val="22"/>
                <w:szCs w:val="22"/>
                <w:lang w:eastAsia="zh-CN"/>
              </w:rPr>
              <w:t>度报告</w:t>
            </w:r>
            <w:r w:rsidR="0093485F" w:rsidRPr="00024A13">
              <w:rPr>
                <w:rFonts w:hint="eastAsia"/>
                <w:sz w:val="22"/>
                <w:szCs w:val="22"/>
                <w:lang w:eastAsia="zh-CN"/>
              </w:rPr>
              <w:t>）。</w:t>
            </w:r>
          </w:p>
        </w:tc>
      </w:tr>
    </w:tbl>
    <w:p w:rsidR="0093485F" w:rsidRPr="00FB3EE5" w:rsidRDefault="0093485F" w:rsidP="004A47DC">
      <w:pPr>
        <w:pStyle w:val="Heading1"/>
        <w:rPr>
          <w:lang w:eastAsia="zh-CN" w:bidi="en-US"/>
        </w:rPr>
      </w:pPr>
      <w:r>
        <w:rPr>
          <w:lang w:eastAsia="zh-CN" w:bidi="en-US"/>
        </w:rPr>
        <w:t>1</w:t>
      </w:r>
      <w:r w:rsidRPr="00FB3EE5">
        <w:rPr>
          <w:lang w:eastAsia="zh-CN" w:bidi="en-US"/>
        </w:rPr>
        <w:tab/>
        <w:t>IMAC</w:t>
      </w:r>
      <w:r>
        <w:rPr>
          <w:rFonts w:hint="eastAsia"/>
          <w:lang w:eastAsia="zh-CN" w:bidi="en-US"/>
        </w:rPr>
        <w:t>这次报告的目的</w:t>
      </w:r>
    </w:p>
    <w:p w:rsidR="0093485F" w:rsidRPr="00AF4902" w:rsidRDefault="0093485F" w:rsidP="00AC0CBB">
      <w:pPr>
        <w:rPr>
          <w:lang w:eastAsia="zh-CN" w:bidi="en-US"/>
        </w:rPr>
      </w:pPr>
      <w:r w:rsidRPr="00024A13">
        <w:rPr>
          <w:szCs w:val="24"/>
          <w:lang w:eastAsia="zh-CN" w:bidi="en-US"/>
        </w:rPr>
        <w:t>1.1</w:t>
      </w:r>
      <w:r w:rsidRPr="00FB3EE5">
        <w:rPr>
          <w:sz w:val="22"/>
          <w:szCs w:val="22"/>
          <w:lang w:eastAsia="zh-CN" w:bidi="en-US"/>
        </w:rPr>
        <w:tab/>
      </w:r>
      <w:r w:rsidRPr="00AF4902">
        <w:rPr>
          <w:rFonts w:hint="eastAsia"/>
          <w:lang w:eastAsia="zh-CN" w:bidi="en-US"/>
        </w:rPr>
        <w:t>IMAC</w:t>
      </w:r>
      <w:r w:rsidRPr="00AF4902">
        <w:rPr>
          <w:rFonts w:hint="eastAsia"/>
          <w:lang w:eastAsia="zh-CN" w:bidi="en-US"/>
        </w:rPr>
        <w:t>在</w:t>
      </w:r>
      <w:r w:rsidRPr="00AF4902">
        <w:rPr>
          <w:rFonts w:hint="eastAsia"/>
          <w:lang w:eastAsia="zh-CN" w:bidi="en-US"/>
        </w:rPr>
        <w:t>2014</w:t>
      </w:r>
      <w:r w:rsidRPr="00AF4902">
        <w:rPr>
          <w:rFonts w:hint="eastAsia"/>
          <w:lang w:eastAsia="zh-CN" w:bidi="en-US"/>
        </w:rPr>
        <w:t>年</w:t>
      </w:r>
      <w:r w:rsidRPr="00AF4902">
        <w:rPr>
          <w:rFonts w:hint="eastAsia"/>
          <w:lang w:eastAsia="zh-CN" w:bidi="en-US"/>
        </w:rPr>
        <w:t>5</w:t>
      </w:r>
      <w:r w:rsidRPr="00AF4902">
        <w:rPr>
          <w:rFonts w:hint="eastAsia"/>
          <w:lang w:eastAsia="zh-CN" w:bidi="en-US"/>
        </w:rPr>
        <w:t>月</w:t>
      </w:r>
      <w:r w:rsidRPr="00AF4902">
        <w:rPr>
          <w:rFonts w:hint="eastAsia"/>
          <w:lang w:eastAsia="zh-CN" w:bidi="en-US"/>
        </w:rPr>
        <w:t>7</w:t>
      </w:r>
      <w:r w:rsidRPr="00AF4902">
        <w:rPr>
          <w:rFonts w:hint="eastAsia"/>
          <w:lang w:eastAsia="zh-CN" w:bidi="en-US"/>
        </w:rPr>
        <w:t>日提交给理事会的第三年度报告中提及与外部审计员举行的例会以及委员会希望在</w:t>
      </w:r>
      <w:r w:rsidRPr="00AF4902">
        <w:rPr>
          <w:rFonts w:hint="eastAsia"/>
          <w:lang w:eastAsia="zh-CN" w:bidi="en-US"/>
        </w:rPr>
        <w:t>2014</w:t>
      </w:r>
      <w:r w:rsidRPr="00AF4902">
        <w:rPr>
          <w:rFonts w:hint="eastAsia"/>
          <w:lang w:eastAsia="zh-CN" w:bidi="en-US"/>
        </w:rPr>
        <w:t>年</w:t>
      </w:r>
      <w:r w:rsidRPr="00AF4902">
        <w:rPr>
          <w:rFonts w:hint="eastAsia"/>
          <w:lang w:eastAsia="zh-CN" w:bidi="en-US"/>
        </w:rPr>
        <w:t>7</w:t>
      </w:r>
      <w:r w:rsidRPr="00AF4902">
        <w:rPr>
          <w:rFonts w:hint="eastAsia"/>
          <w:lang w:eastAsia="zh-CN" w:bidi="en-US"/>
        </w:rPr>
        <w:t>月</w:t>
      </w:r>
      <w:r w:rsidRPr="00AF4902">
        <w:rPr>
          <w:rFonts w:hint="eastAsia"/>
          <w:lang w:eastAsia="zh-CN" w:bidi="en-US"/>
        </w:rPr>
        <w:t>3</w:t>
      </w:r>
      <w:r w:rsidRPr="00AF4902">
        <w:rPr>
          <w:rFonts w:hint="eastAsia"/>
          <w:lang w:eastAsia="zh-CN" w:bidi="en-US"/>
        </w:rPr>
        <w:t>日和</w:t>
      </w:r>
      <w:r w:rsidRPr="00AF4902">
        <w:rPr>
          <w:rFonts w:hint="eastAsia"/>
          <w:lang w:eastAsia="zh-CN" w:bidi="en-US"/>
        </w:rPr>
        <w:t>4</w:t>
      </w:r>
      <w:r w:rsidRPr="00AF4902">
        <w:rPr>
          <w:rFonts w:hint="eastAsia"/>
          <w:lang w:eastAsia="zh-CN" w:bidi="en-US"/>
        </w:rPr>
        <w:t>日的</w:t>
      </w:r>
      <w:r w:rsidRPr="00AF4902">
        <w:rPr>
          <w:rFonts w:hint="eastAsia"/>
          <w:lang w:eastAsia="zh-CN" w:bidi="en-US"/>
        </w:rPr>
        <w:t>IMAC</w:t>
      </w:r>
      <w:r w:rsidRPr="00AF4902">
        <w:rPr>
          <w:rFonts w:hint="eastAsia"/>
          <w:lang w:eastAsia="zh-CN" w:bidi="en-US"/>
        </w:rPr>
        <w:t>会议上与审计员讨论</w:t>
      </w:r>
      <w:r w:rsidRPr="00AF4902">
        <w:rPr>
          <w:rFonts w:hint="eastAsia"/>
          <w:lang w:eastAsia="zh-CN" w:bidi="en-US"/>
        </w:rPr>
        <w:t>2013</w:t>
      </w:r>
      <w:r w:rsidRPr="00AF4902">
        <w:rPr>
          <w:rFonts w:hint="eastAsia"/>
          <w:lang w:eastAsia="zh-CN" w:bidi="en-US"/>
        </w:rPr>
        <w:t>年外部审计员报告。尽管由于种种原因外部审计员的报告直到</w:t>
      </w:r>
      <w:r w:rsidRPr="00AF4902">
        <w:rPr>
          <w:rFonts w:hint="eastAsia"/>
          <w:lang w:eastAsia="zh-CN" w:bidi="en-US"/>
        </w:rPr>
        <w:t>7</w:t>
      </w:r>
      <w:r w:rsidRPr="00AF4902">
        <w:rPr>
          <w:rFonts w:hint="eastAsia"/>
          <w:lang w:eastAsia="zh-CN" w:bidi="en-US"/>
        </w:rPr>
        <w:t>月下旬才交给</w:t>
      </w:r>
      <w:r w:rsidRPr="00AF4902">
        <w:rPr>
          <w:rFonts w:hint="eastAsia"/>
          <w:lang w:eastAsia="zh-CN" w:bidi="en-US"/>
        </w:rPr>
        <w:t>IMAC</w:t>
      </w:r>
      <w:r w:rsidRPr="00AF4902">
        <w:rPr>
          <w:rFonts w:hint="eastAsia"/>
          <w:lang w:eastAsia="zh-CN" w:bidi="en-US"/>
        </w:rPr>
        <w:t>，但是</w:t>
      </w:r>
      <w:r w:rsidRPr="00AF4902">
        <w:rPr>
          <w:rFonts w:hint="eastAsia"/>
          <w:lang w:eastAsia="zh-CN" w:bidi="en-US"/>
        </w:rPr>
        <w:t>IMAC</w:t>
      </w:r>
      <w:r w:rsidRPr="00AF4902">
        <w:rPr>
          <w:rFonts w:hint="eastAsia"/>
          <w:lang w:eastAsia="zh-CN" w:bidi="en-US"/>
        </w:rPr>
        <w:t>还是与意大利国家审计院的审计人员就</w:t>
      </w:r>
      <w:r w:rsidRPr="00AF4902">
        <w:rPr>
          <w:rFonts w:hint="eastAsia"/>
          <w:lang w:eastAsia="zh-CN" w:bidi="en-US"/>
        </w:rPr>
        <w:t>2013</w:t>
      </w:r>
      <w:r w:rsidRPr="00AF4902">
        <w:rPr>
          <w:rFonts w:hint="eastAsia"/>
          <w:lang w:eastAsia="zh-CN" w:bidi="en-US"/>
        </w:rPr>
        <w:t>年的审计结果进行了全面有益的面对面讨论。</w:t>
      </w:r>
    </w:p>
    <w:p w:rsidR="0093485F" w:rsidRPr="00AF4902" w:rsidRDefault="0093485F" w:rsidP="00AC0CBB">
      <w:pPr>
        <w:rPr>
          <w:lang w:eastAsia="zh-CN" w:bidi="en-US"/>
        </w:rPr>
      </w:pPr>
      <w:r w:rsidRPr="00AF4902">
        <w:rPr>
          <w:lang w:eastAsia="zh-CN" w:bidi="en-US"/>
        </w:rPr>
        <w:t>1.2</w:t>
      </w:r>
      <w:r w:rsidRPr="00AF4902">
        <w:rPr>
          <w:lang w:eastAsia="zh-CN" w:bidi="en-US"/>
        </w:rPr>
        <w:tab/>
      </w:r>
      <w:r w:rsidRPr="00AF4902">
        <w:rPr>
          <w:rFonts w:hint="eastAsia"/>
          <w:lang w:eastAsia="zh-CN" w:bidi="en-US"/>
        </w:rPr>
        <w:t>根据第</w:t>
      </w:r>
      <w:r w:rsidRPr="00AF4902">
        <w:rPr>
          <w:rFonts w:hint="eastAsia"/>
          <w:lang w:eastAsia="zh-CN" w:bidi="en-US"/>
        </w:rPr>
        <w:t>162</w:t>
      </w:r>
      <w:r w:rsidRPr="00AF4902">
        <w:rPr>
          <w:rFonts w:hint="eastAsia"/>
          <w:lang w:eastAsia="zh-CN" w:bidi="en-US"/>
        </w:rPr>
        <w:t>号决议（</w:t>
      </w:r>
      <w:r w:rsidRPr="00AF4902">
        <w:rPr>
          <w:rFonts w:hint="eastAsia"/>
          <w:lang w:eastAsia="zh-CN" w:bidi="en-US"/>
        </w:rPr>
        <w:t>2010</w:t>
      </w:r>
      <w:r w:rsidRPr="00AF4902">
        <w:rPr>
          <w:rFonts w:hint="eastAsia"/>
          <w:lang w:eastAsia="zh-CN" w:bidi="en-US"/>
        </w:rPr>
        <w:t>年，瓜达拉哈拉）批准的职责范围规定的具体职责，委员会将向理事会</w:t>
      </w:r>
      <w:r w:rsidRPr="00AF4902">
        <w:rPr>
          <w:rFonts w:hint="eastAsia"/>
          <w:lang w:eastAsia="zh-CN" w:bidi="en-US"/>
        </w:rPr>
        <w:t>2014</w:t>
      </w:r>
      <w:r w:rsidRPr="00AF4902">
        <w:rPr>
          <w:rFonts w:hint="eastAsia"/>
          <w:lang w:eastAsia="zh-CN" w:bidi="en-US"/>
        </w:rPr>
        <w:t>年</w:t>
      </w:r>
      <w:r w:rsidRPr="00AF4902">
        <w:rPr>
          <w:rFonts w:hint="eastAsia"/>
          <w:lang w:eastAsia="zh-CN" w:bidi="en-US"/>
        </w:rPr>
        <w:t>10</w:t>
      </w:r>
      <w:r w:rsidRPr="00AF4902">
        <w:rPr>
          <w:rFonts w:hint="eastAsia"/>
          <w:lang w:eastAsia="zh-CN" w:bidi="en-US"/>
        </w:rPr>
        <w:t>月最后一次会议提交</w:t>
      </w:r>
      <w:r w:rsidRPr="00AF4902">
        <w:rPr>
          <w:rFonts w:hint="eastAsia"/>
          <w:lang w:eastAsia="zh-CN" w:bidi="en-US"/>
        </w:rPr>
        <w:t>IMAC</w:t>
      </w:r>
      <w:r w:rsidRPr="00AF4902">
        <w:rPr>
          <w:rFonts w:hint="eastAsia"/>
          <w:lang w:eastAsia="zh-CN" w:bidi="en-US"/>
        </w:rPr>
        <w:t>第三年度报告的补充报告，以履行该委员会的</w:t>
      </w:r>
      <w:r w:rsidRPr="00AF4902">
        <w:rPr>
          <w:lang w:eastAsia="zh-CN" w:bidi="en-US"/>
        </w:rPr>
        <w:t>具体职责，即针对</w:t>
      </w:r>
      <w:r w:rsidRPr="00AF4902">
        <w:rPr>
          <w:rFonts w:hint="eastAsia"/>
          <w:lang w:eastAsia="zh-CN" w:bidi="en-US"/>
        </w:rPr>
        <w:t>外部审计员编拟的国际电联财务审计报表和报告提出的问题向理事会提供咨询；并支持</w:t>
      </w:r>
      <w:r w:rsidRPr="00AF4902">
        <w:rPr>
          <w:lang w:eastAsia="zh-CN" w:bidi="en-US"/>
        </w:rPr>
        <w:t>和通报</w:t>
      </w:r>
      <w:r w:rsidRPr="00AF4902">
        <w:rPr>
          <w:rFonts w:hint="eastAsia"/>
          <w:lang w:eastAsia="zh-CN" w:bidi="en-US"/>
        </w:rPr>
        <w:t>理事会对</w:t>
      </w:r>
      <w:r w:rsidRPr="00AF4902">
        <w:rPr>
          <w:rFonts w:hint="eastAsia"/>
          <w:lang w:eastAsia="zh-CN" w:bidi="en-US"/>
        </w:rPr>
        <w:t>2013</w:t>
      </w:r>
      <w:r w:rsidRPr="00AF4902">
        <w:rPr>
          <w:rFonts w:hint="eastAsia"/>
          <w:lang w:eastAsia="zh-CN" w:bidi="en-US"/>
        </w:rPr>
        <w:t>年财务报表和外部审计报告的审议情况。</w:t>
      </w:r>
    </w:p>
    <w:p w:rsidR="0093485F" w:rsidRPr="00FB3EE5" w:rsidRDefault="0093485F" w:rsidP="00AC0CBB">
      <w:pPr>
        <w:rPr>
          <w:sz w:val="22"/>
          <w:szCs w:val="22"/>
          <w:lang w:eastAsia="zh-CN" w:bidi="en-US"/>
        </w:rPr>
      </w:pPr>
      <w:r w:rsidRPr="00AF4902">
        <w:rPr>
          <w:lang w:eastAsia="zh-CN" w:bidi="en-US"/>
        </w:rPr>
        <w:t>1.3</w:t>
      </w:r>
      <w:r w:rsidRPr="00AF4902">
        <w:rPr>
          <w:lang w:eastAsia="zh-CN" w:bidi="en-US"/>
        </w:rPr>
        <w:tab/>
      </w:r>
      <w:r w:rsidRPr="00AF4902">
        <w:rPr>
          <w:rFonts w:hint="eastAsia"/>
          <w:lang w:eastAsia="zh-CN" w:bidi="en-US"/>
        </w:rPr>
        <w:t>本补充报告还就有关理事会正式审议</w:t>
      </w:r>
      <w:r w:rsidRPr="00AF4902">
        <w:rPr>
          <w:rFonts w:hint="eastAsia"/>
          <w:lang w:eastAsia="zh-CN" w:bidi="en-US"/>
        </w:rPr>
        <w:t>IMAC</w:t>
      </w:r>
      <w:r w:rsidRPr="00AF4902">
        <w:rPr>
          <w:rFonts w:hint="eastAsia"/>
          <w:lang w:eastAsia="zh-CN" w:bidi="en-US"/>
        </w:rPr>
        <w:t>报告和建议程序的额外问题提出了意见和建议。</w:t>
      </w:r>
    </w:p>
    <w:p w:rsidR="0093485F" w:rsidRPr="00FB3EE5" w:rsidRDefault="0093485F" w:rsidP="004A47DC">
      <w:pPr>
        <w:pStyle w:val="Heading1"/>
        <w:rPr>
          <w:lang w:eastAsia="zh-CN" w:bidi="en-US"/>
        </w:rPr>
      </w:pPr>
      <w:r w:rsidRPr="00FB3EE5">
        <w:rPr>
          <w:lang w:eastAsia="zh-CN" w:bidi="en-US"/>
        </w:rPr>
        <w:t>2</w:t>
      </w:r>
      <w:r w:rsidRPr="00FB3EE5">
        <w:rPr>
          <w:lang w:eastAsia="zh-CN" w:bidi="en-US"/>
        </w:rPr>
        <w:tab/>
      </w:r>
      <w:r>
        <w:rPr>
          <w:rFonts w:hint="eastAsia"/>
          <w:lang w:eastAsia="zh-CN" w:bidi="en-US"/>
        </w:rPr>
        <w:t>2013</w:t>
      </w:r>
      <w:r>
        <w:rPr>
          <w:rFonts w:hint="eastAsia"/>
          <w:lang w:eastAsia="zh-CN" w:bidi="en-US"/>
        </w:rPr>
        <w:t>年外部审计员报告</w:t>
      </w:r>
    </w:p>
    <w:p w:rsidR="0093485F" w:rsidRPr="00AC0CBB" w:rsidRDefault="0093485F" w:rsidP="00AC0CBB">
      <w:pPr>
        <w:rPr>
          <w:szCs w:val="24"/>
          <w:lang w:eastAsia="zh-CN" w:bidi="en-US"/>
        </w:rPr>
      </w:pPr>
      <w:r w:rsidRPr="00AC0CBB">
        <w:rPr>
          <w:szCs w:val="24"/>
          <w:lang w:eastAsia="zh-CN" w:bidi="en-US"/>
        </w:rPr>
        <w:t>2.1</w:t>
      </w:r>
      <w:r w:rsidRPr="00AC0CBB">
        <w:rPr>
          <w:szCs w:val="24"/>
          <w:lang w:eastAsia="zh-CN" w:bidi="en-US"/>
        </w:rPr>
        <w:tab/>
      </w:r>
      <w:r w:rsidRPr="00AC0CBB">
        <w:rPr>
          <w:rFonts w:hint="eastAsia"/>
          <w:szCs w:val="24"/>
          <w:lang w:eastAsia="zh-CN" w:bidi="en-US"/>
        </w:rPr>
        <w:t>外部审计员就国际电联</w:t>
      </w:r>
      <w:r w:rsidRPr="00AC0CBB">
        <w:rPr>
          <w:rFonts w:hint="eastAsia"/>
          <w:szCs w:val="24"/>
          <w:lang w:eastAsia="zh-CN" w:bidi="en-US"/>
        </w:rPr>
        <w:t>2013</w:t>
      </w:r>
      <w:r w:rsidRPr="00AC0CBB">
        <w:rPr>
          <w:rFonts w:hint="eastAsia"/>
          <w:szCs w:val="24"/>
          <w:lang w:eastAsia="zh-CN" w:bidi="en-US"/>
        </w:rPr>
        <w:t>年财务报表提出了无保留的“公允呈报”的审计意见，如往年一样再次加入了</w:t>
      </w:r>
      <w:r w:rsidRPr="00AC0CBB">
        <w:rPr>
          <w:szCs w:val="24"/>
          <w:lang w:eastAsia="zh-CN" w:bidi="en-US"/>
        </w:rPr>
        <w:t>强调事项段</w:t>
      </w:r>
      <w:r w:rsidRPr="00AC0CBB">
        <w:rPr>
          <w:rFonts w:hint="eastAsia"/>
          <w:szCs w:val="24"/>
          <w:lang w:eastAsia="zh-CN" w:bidi="en-US"/>
        </w:rPr>
        <w:t>。强调</w:t>
      </w:r>
      <w:r w:rsidRPr="00AC0CBB">
        <w:rPr>
          <w:szCs w:val="24"/>
          <w:lang w:eastAsia="zh-CN" w:bidi="en-US"/>
        </w:rPr>
        <w:t>事项</w:t>
      </w:r>
      <w:r w:rsidRPr="00AC0CBB">
        <w:rPr>
          <w:rFonts w:hint="eastAsia"/>
          <w:szCs w:val="24"/>
          <w:lang w:eastAsia="zh-CN" w:bidi="en-US"/>
        </w:rPr>
        <w:t>通常指出审计员认为应引起财务报表使用者注意的一些情况，这对使用者理解财务报表十分重要，</w:t>
      </w:r>
      <w:r w:rsidRPr="00AC0CBB">
        <w:rPr>
          <w:szCs w:val="24"/>
          <w:lang w:eastAsia="zh-CN" w:bidi="en-US"/>
        </w:rPr>
        <w:t>同时又不</w:t>
      </w:r>
      <w:r w:rsidRPr="00AC0CBB">
        <w:rPr>
          <w:rFonts w:hint="eastAsia"/>
          <w:szCs w:val="24"/>
          <w:lang w:eastAsia="zh-CN" w:bidi="en-US"/>
        </w:rPr>
        <w:t>必</w:t>
      </w:r>
      <w:r w:rsidRPr="00AC0CBB">
        <w:rPr>
          <w:szCs w:val="24"/>
          <w:lang w:eastAsia="zh-CN" w:bidi="en-US"/>
        </w:rPr>
        <w:t>修改审计人员对强调事项的意见。</w:t>
      </w:r>
    </w:p>
    <w:p w:rsidR="0093485F" w:rsidRPr="00AC0CBB" w:rsidRDefault="0093485F" w:rsidP="00AC0CBB">
      <w:pPr>
        <w:rPr>
          <w:szCs w:val="24"/>
          <w:lang w:eastAsia="zh-CN" w:bidi="en-US"/>
        </w:rPr>
      </w:pPr>
      <w:r w:rsidRPr="00AC0CBB">
        <w:rPr>
          <w:szCs w:val="24"/>
          <w:lang w:eastAsia="zh-CN" w:bidi="en-US"/>
        </w:rPr>
        <w:t>2.2</w:t>
      </w:r>
      <w:r w:rsidRPr="00AC0CBB">
        <w:rPr>
          <w:szCs w:val="24"/>
          <w:lang w:eastAsia="zh-CN" w:bidi="en-US"/>
        </w:rPr>
        <w:tab/>
      </w:r>
      <w:r w:rsidRPr="00AC0CBB">
        <w:rPr>
          <w:rFonts w:hint="eastAsia"/>
          <w:szCs w:val="24"/>
          <w:lang w:eastAsia="zh-CN" w:bidi="en-US"/>
        </w:rPr>
        <w:t>在此情况下，外部审计员特提请注意，由于离职后健康保险精算债务，</w:t>
      </w:r>
      <w:r w:rsidRPr="00AC0CBB">
        <w:rPr>
          <w:rFonts w:hint="eastAsia"/>
          <w:szCs w:val="24"/>
          <w:lang w:eastAsia="zh-CN" w:bidi="en-US"/>
        </w:rPr>
        <w:t>2013</w:t>
      </w:r>
      <w:r w:rsidRPr="00AC0CBB">
        <w:rPr>
          <w:rFonts w:hint="eastAsia"/>
          <w:szCs w:val="24"/>
          <w:lang w:eastAsia="zh-CN" w:bidi="en-US"/>
        </w:rPr>
        <w:t>年</w:t>
      </w:r>
      <w:r w:rsidRPr="00AC0CBB">
        <w:rPr>
          <w:rFonts w:hint="eastAsia"/>
          <w:szCs w:val="24"/>
          <w:lang w:eastAsia="zh-CN" w:bidi="en-US"/>
        </w:rPr>
        <w:t>12</w:t>
      </w:r>
      <w:r w:rsidRPr="00AC0CBB">
        <w:rPr>
          <w:rFonts w:hint="eastAsia"/>
          <w:szCs w:val="24"/>
          <w:lang w:eastAsia="zh-CN" w:bidi="en-US"/>
        </w:rPr>
        <w:t>月</w:t>
      </w:r>
      <w:r w:rsidRPr="00AC0CBB">
        <w:rPr>
          <w:rFonts w:hint="eastAsia"/>
          <w:szCs w:val="24"/>
          <w:lang w:eastAsia="zh-CN" w:bidi="en-US"/>
        </w:rPr>
        <w:t>31</w:t>
      </w:r>
      <w:r w:rsidRPr="00AC0CBB">
        <w:rPr>
          <w:rFonts w:hint="eastAsia"/>
          <w:szCs w:val="24"/>
          <w:lang w:eastAsia="zh-CN" w:bidi="en-US"/>
        </w:rPr>
        <w:t>日的财务状况表显示净资产为</w:t>
      </w:r>
      <w:r w:rsidRPr="00AC0CBB">
        <w:rPr>
          <w:rFonts w:hint="eastAsia"/>
          <w:szCs w:val="24"/>
          <w:lang w:eastAsia="zh-CN" w:bidi="en-US"/>
        </w:rPr>
        <w:t>-</w:t>
      </w:r>
      <w:r w:rsidRPr="00AC0CBB">
        <w:rPr>
          <w:szCs w:val="24"/>
          <w:lang w:eastAsia="zh-CN" w:bidi="en-US"/>
        </w:rPr>
        <w:t>1.962</w:t>
      </w:r>
      <w:r w:rsidRPr="00AC0CBB">
        <w:rPr>
          <w:rFonts w:hint="eastAsia"/>
          <w:szCs w:val="24"/>
          <w:lang w:eastAsia="zh-CN" w:bidi="en-US"/>
        </w:rPr>
        <w:t>亿瑞郎（</w:t>
      </w:r>
      <w:r w:rsidRPr="00AC0CBB">
        <w:rPr>
          <w:rFonts w:hint="eastAsia"/>
          <w:szCs w:val="24"/>
          <w:lang w:eastAsia="zh-CN" w:bidi="en-US"/>
        </w:rPr>
        <w:t>2012</w:t>
      </w:r>
      <w:r w:rsidRPr="00AC0CBB">
        <w:rPr>
          <w:rFonts w:hint="eastAsia"/>
          <w:szCs w:val="24"/>
          <w:lang w:eastAsia="zh-CN" w:bidi="en-US"/>
        </w:rPr>
        <w:t>年</w:t>
      </w:r>
      <w:r w:rsidRPr="00AC0CBB">
        <w:rPr>
          <w:rFonts w:hint="eastAsia"/>
          <w:szCs w:val="24"/>
          <w:lang w:eastAsia="zh-CN" w:bidi="en-US"/>
        </w:rPr>
        <w:t>12</w:t>
      </w:r>
      <w:r w:rsidRPr="00AC0CBB">
        <w:rPr>
          <w:rFonts w:hint="eastAsia"/>
          <w:szCs w:val="24"/>
          <w:lang w:eastAsia="zh-CN" w:bidi="en-US"/>
        </w:rPr>
        <w:t>月</w:t>
      </w:r>
      <w:r w:rsidRPr="00AC0CBB">
        <w:rPr>
          <w:rFonts w:hint="eastAsia"/>
          <w:szCs w:val="24"/>
          <w:lang w:eastAsia="zh-CN" w:bidi="en-US"/>
        </w:rPr>
        <w:t>31</w:t>
      </w:r>
      <w:r w:rsidRPr="00AC0CBB">
        <w:rPr>
          <w:rFonts w:hint="eastAsia"/>
          <w:szCs w:val="24"/>
          <w:lang w:eastAsia="zh-CN" w:bidi="en-US"/>
        </w:rPr>
        <w:t>日为</w:t>
      </w:r>
      <w:r w:rsidRPr="00AC0CBB">
        <w:rPr>
          <w:rFonts w:hint="eastAsia"/>
          <w:szCs w:val="24"/>
          <w:lang w:eastAsia="zh-CN" w:bidi="en-US"/>
        </w:rPr>
        <w:t>-</w:t>
      </w:r>
      <w:r w:rsidRPr="00AC0CBB">
        <w:rPr>
          <w:szCs w:val="24"/>
          <w:lang w:eastAsia="zh-CN" w:bidi="en-US"/>
        </w:rPr>
        <w:t>2.277</w:t>
      </w:r>
      <w:r w:rsidRPr="00AC0CBB">
        <w:rPr>
          <w:rFonts w:hint="eastAsia"/>
          <w:szCs w:val="24"/>
          <w:lang w:eastAsia="zh-CN" w:bidi="en-US"/>
        </w:rPr>
        <w:t>亿瑞郎）。强调</w:t>
      </w:r>
      <w:r w:rsidRPr="00AC0CBB">
        <w:rPr>
          <w:szCs w:val="24"/>
          <w:lang w:eastAsia="zh-CN" w:bidi="en-US"/>
        </w:rPr>
        <w:t>事项</w:t>
      </w:r>
      <w:r w:rsidRPr="00AC0CBB">
        <w:rPr>
          <w:rFonts w:hint="eastAsia"/>
          <w:szCs w:val="24"/>
          <w:lang w:eastAsia="zh-CN" w:bidi="en-US"/>
        </w:rPr>
        <w:t>涉及</w:t>
      </w:r>
      <w:r w:rsidRPr="00AC0CBB">
        <w:rPr>
          <w:szCs w:val="24"/>
          <w:lang w:eastAsia="zh-CN" w:bidi="en-US"/>
        </w:rPr>
        <w:t>承认</w:t>
      </w:r>
      <w:r w:rsidRPr="00AC0CBB">
        <w:rPr>
          <w:rFonts w:hint="eastAsia"/>
          <w:szCs w:val="24"/>
          <w:lang w:eastAsia="zh-CN" w:bidi="en-US"/>
        </w:rPr>
        <w:t>长期债务带来的后果，这是</w:t>
      </w:r>
      <w:r w:rsidRPr="00AC0CBB">
        <w:rPr>
          <w:szCs w:val="24"/>
          <w:lang w:eastAsia="zh-CN" w:bidi="en-US"/>
        </w:rPr>
        <w:t>因</w:t>
      </w:r>
      <w:r w:rsidRPr="00AC0CBB">
        <w:rPr>
          <w:rFonts w:hint="eastAsia"/>
          <w:szCs w:val="24"/>
          <w:lang w:eastAsia="zh-CN" w:bidi="en-US"/>
        </w:rPr>
        <w:t>受精算估计和估值变化的影响导致</w:t>
      </w:r>
      <w:r w:rsidRPr="00AC0CBB">
        <w:rPr>
          <w:szCs w:val="24"/>
          <w:lang w:eastAsia="zh-CN" w:bidi="en-US"/>
        </w:rPr>
        <w:t>的</w:t>
      </w:r>
      <w:r w:rsidRPr="00AC0CBB">
        <w:rPr>
          <w:rFonts w:hint="eastAsia"/>
          <w:szCs w:val="24"/>
          <w:lang w:eastAsia="zh-CN" w:bidi="en-US"/>
        </w:rPr>
        <w:t>，财务报表注释</w:t>
      </w:r>
      <w:r w:rsidRPr="00AC0CBB">
        <w:rPr>
          <w:rFonts w:hint="eastAsia"/>
          <w:szCs w:val="24"/>
          <w:lang w:eastAsia="zh-CN" w:bidi="en-US"/>
        </w:rPr>
        <w:t>17.2</w:t>
      </w:r>
      <w:r w:rsidRPr="00AC0CBB">
        <w:rPr>
          <w:rFonts w:hint="eastAsia"/>
          <w:szCs w:val="24"/>
          <w:lang w:eastAsia="zh-CN" w:bidi="en-US"/>
        </w:rPr>
        <w:t>对此作了详细说明。</w:t>
      </w:r>
    </w:p>
    <w:p w:rsidR="0093485F" w:rsidRPr="00AF4902" w:rsidRDefault="0093485F" w:rsidP="00AC0CBB">
      <w:pPr>
        <w:rPr>
          <w:lang w:eastAsia="zh-CN" w:bidi="en-US"/>
        </w:rPr>
      </w:pPr>
      <w:r w:rsidRPr="00AC0CBB">
        <w:rPr>
          <w:szCs w:val="24"/>
          <w:lang w:eastAsia="zh-CN" w:bidi="en-US"/>
        </w:rPr>
        <w:lastRenderedPageBreak/>
        <w:t>2.3</w:t>
      </w:r>
      <w:r w:rsidRPr="00AC0CBB">
        <w:rPr>
          <w:szCs w:val="24"/>
          <w:lang w:eastAsia="zh-CN" w:bidi="en-US"/>
        </w:rPr>
        <w:tab/>
      </w:r>
      <w:r w:rsidRPr="00AC0CBB">
        <w:rPr>
          <w:rFonts w:hint="eastAsia"/>
          <w:szCs w:val="24"/>
          <w:lang w:eastAsia="zh-CN" w:bidi="en-US"/>
        </w:rPr>
        <w:t>外部审计员关于国际电联</w:t>
      </w:r>
      <w:r w:rsidRPr="00AC0CBB">
        <w:rPr>
          <w:rFonts w:hint="eastAsia"/>
          <w:szCs w:val="24"/>
          <w:lang w:eastAsia="zh-CN" w:bidi="en-US"/>
        </w:rPr>
        <w:t>2013</w:t>
      </w:r>
      <w:r w:rsidRPr="00AC0CBB">
        <w:rPr>
          <w:rFonts w:hint="eastAsia"/>
          <w:szCs w:val="24"/>
          <w:lang w:eastAsia="zh-CN" w:bidi="en-US"/>
        </w:rPr>
        <w:t>年财务报表审计的长篇报告提出了五项具体建议（</w:t>
      </w:r>
      <w:r w:rsidRPr="00AC0CBB">
        <w:rPr>
          <w:rFonts w:hint="eastAsia"/>
          <w:szCs w:val="24"/>
          <w:lang w:eastAsia="zh-CN" w:bidi="en-US"/>
        </w:rPr>
        <w:t>specific recommendations</w:t>
      </w:r>
      <w:r w:rsidRPr="00AC0CBB">
        <w:rPr>
          <w:rFonts w:hint="eastAsia"/>
          <w:szCs w:val="24"/>
          <w:lang w:eastAsia="zh-CN" w:bidi="en-US"/>
        </w:rPr>
        <w:t>）（其中四项需管理层采取行动，一项针对内部审计处）；和九点“提议</w:t>
      </w:r>
      <w:r w:rsidRPr="00AC0CBB">
        <w:rPr>
          <w:szCs w:val="24"/>
          <w:lang w:eastAsia="zh-CN" w:bidi="en-US"/>
        </w:rPr>
        <w:t>（</w:t>
      </w:r>
      <w:r w:rsidRPr="00AC0CBB">
        <w:rPr>
          <w:szCs w:val="24"/>
          <w:lang w:eastAsia="zh-CN" w:bidi="en-US"/>
        </w:rPr>
        <w:t>suggestions</w:t>
      </w:r>
      <w:r w:rsidRPr="00AC0CBB">
        <w:rPr>
          <w:rFonts w:hint="eastAsia"/>
          <w:szCs w:val="24"/>
          <w:lang w:eastAsia="zh-CN" w:bidi="en-US"/>
        </w:rPr>
        <w:t>）”（四点</w:t>
      </w:r>
      <w:r w:rsidRPr="00AC0CBB">
        <w:rPr>
          <w:szCs w:val="24"/>
          <w:lang w:eastAsia="zh-CN" w:bidi="en-US"/>
        </w:rPr>
        <w:t>针对管理层</w:t>
      </w:r>
      <w:r w:rsidRPr="00AC0CBB">
        <w:rPr>
          <w:rFonts w:hint="eastAsia"/>
          <w:szCs w:val="24"/>
          <w:lang w:eastAsia="zh-CN" w:bidi="en-US"/>
        </w:rPr>
        <w:t>，五点</w:t>
      </w:r>
      <w:r w:rsidRPr="00AC0CBB">
        <w:rPr>
          <w:szCs w:val="24"/>
          <w:lang w:eastAsia="zh-CN" w:bidi="en-US"/>
        </w:rPr>
        <w:t>针对</w:t>
      </w:r>
      <w:r w:rsidRPr="00AC0CBB">
        <w:rPr>
          <w:rFonts w:hint="eastAsia"/>
          <w:szCs w:val="24"/>
          <w:lang w:eastAsia="zh-CN" w:bidi="en-US"/>
        </w:rPr>
        <w:t>内部审计）。</w:t>
      </w:r>
    </w:p>
    <w:p w:rsidR="0093485F" w:rsidRPr="00FB3EE5" w:rsidRDefault="0093485F" w:rsidP="004A47DC">
      <w:pPr>
        <w:pStyle w:val="Heading1"/>
        <w:rPr>
          <w:lang w:eastAsia="zh-CN" w:bidi="en-US"/>
        </w:rPr>
      </w:pPr>
      <w:r w:rsidRPr="00FB3EE5">
        <w:rPr>
          <w:lang w:eastAsia="zh-CN" w:bidi="en-US"/>
        </w:rPr>
        <w:t>3</w:t>
      </w:r>
      <w:r w:rsidRPr="00FB3EE5">
        <w:rPr>
          <w:lang w:eastAsia="zh-CN" w:bidi="en-US"/>
        </w:rPr>
        <w:tab/>
      </w:r>
      <w:r>
        <w:rPr>
          <w:rFonts w:hint="eastAsia"/>
          <w:lang w:eastAsia="zh-CN" w:bidi="en-US"/>
        </w:rPr>
        <w:t>外部审计员的建议</w:t>
      </w:r>
    </w:p>
    <w:p w:rsidR="0093485F" w:rsidRPr="00AC0CBB" w:rsidRDefault="0093485F" w:rsidP="00AC0CBB">
      <w:pPr>
        <w:rPr>
          <w:szCs w:val="24"/>
          <w:lang w:eastAsia="zh-CN" w:bidi="en-US"/>
        </w:rPr>
      </w:pPr>
      <w:r w:rsidRPr="00AC0CBB">
        <w:rPr>
          <w:szCs w:val="24"/>
          <w:lang w:eastAsia="zh-CN" w:bidi="en-US"/>
        </w:rPr>
        <w:t>3.1</w:t>
      </w:r>
      <w:r w:rsidRPr="00AC0CBB">
        <w:rPr>
          <w:szCs w:val="24"/>
          <w:lang w:eastAsia="zh-CN" w:bidi="en-US"/>
        </w:rPr>
        <w:tab/>
      </w:r>
      <w:r w:rsidRPr="00AC0CBB">
        <w:rPr>
          <w:rFonts w:hint="eastAsia"/>
          <w:szCs w:val="24"/>
          <w:lang w:eastAsia="zh-CN" w:bidi="en-US"/>
        </w:rPr>
        <w:t>外部审计员给管理层的建议涉及到：</w:t>
      </w:r>
    </w:p>
    <w:p w:rsidR="0093485F" w:rsidRPr="00AF4902" w:rsidRDefault="0093485F" w:rsidP="0093485F">
      <w:pPr>
        <w:pStyle w:val="enumlev1"/>
        <w:rPr>
          <w:szCs w:val="24"/>
          <w:lang w:eastAsia="zh-CN" w:bidi="en-US"/>
        </w:rPr>
      </w:pPr>
      <w:r w:rsidRPr="00AF4902">
        <w:rPr>
          <w:szCs w:val="24"/>
          <w:lang w:eastAsia="zh-CN" w:bidi="en-US"/>
        </w:rPr>
        <w:t>•</w:t>
      </w:r>
      <w:r w:rsidRPr="00AF4902">
        <w:rPr>
          <w:szCs w:val="24"/>
          <w:lang w:eastAsia="zh-CN" w:bidi="en-US"/>
        </w:rPr>
        <w:tab/>
      </w:r>
      <w:r w:rsidRPr="00AF4902">
        <w:rPr>
          <w:rFonts w:hint="eastAsia"/>
          <w:szCs w:val="24"/>
          <w:lang w:eastAsia="zh-CN" w:bidi="en-US"/>
        </w:rPr>
        <w:t>国际电联总部需改进审查与监督，而且</w:t>
      </w:r>
      <w:r w:rsidRPr="00AF4902">
        <w:rPr>
          <w:szCs w:val="24"/>
          <w:lang w:eastAsia="zh-CN" w:bidi="en-US"/>
        </w:rPr>
        <w:t>需在驻地</w:t>
      </w:r>
      <w:r w:rsidRPr="00AF4902">
        <w:rPr>
          <w:rFonts w:hint="eastAsia"/>
          <w:szCs w:val="24"/>
          <w:lang w:eastAsia="zh-CN" w:bidi="en-US"/>
        </w:rPr>
        <w:t>办事处严格</w:t>
      </w:r>
      <w:r w:rsidRPr="00AF4902">
        <w:rPr>
          <w:szCs w:val="24"/>
          <w:lang w:eastAsia="zh-CN" w:bidi="en-US"/>
        </w:rPr>
        <w:t>执行</w:t>
      </w:r>
      <w:r w:rsidRPr="00AF4902">
        <w:rPr>
          <w:rFonts w:hint="eastAsia"/>
          <w:szCs w:val="24"/>
          <w:lang w:eastAsia="zh-CN" w:bidi="en-US"/>
        </w:rPr>
        <w:t>银行安排程序（内部审计处单独</w:t>
      </w:r>
      <w:r w:rsidRPr="00AF4902">
        <w:rPr>
          <w:szCs w:val="24"/>
          <w:lang w:eastAsia="zh-CN" w:bidi="en-US"/>
        </w:rPr>
        <w:t>报告的</w:t>
      </w:r>
      <w:r w:rsidRPr="00AF4902">
        <w:rPr>
          <w:rFonts w:hint="eastAsia"/>
          <w:szCs w:val="24"/>
          <w:lang w:eastAsia="zh-CN" w:bidi="en-US"/>
        </w:rPr>
        <w:t>调查结果也证实了这一点）；</w:t>
      </w:r>
    </w:p>
    <w:p w:rsidR="0093485F" w:rsidRPr="00AF4902" w:rsidRDefault="0093485F" w:rsidP="00024A13">
      <w:pPr>
        <w:pStyle w:val="enumlev1"/>
        <w:rPr>
          <w:szCs w:val="24"/>
          <w:lang w:eastAsia="zh-CN" w:bidi="en-US"/>
        </w:rPr>
      </w:pPr>
      <w:r w:rsidRPr="00AF4902">
        <w:rPr>
          <w:szCs w:val="24"/>
          <w:lang w:eastAsia="zh-CN" w:bidi="en-US"/>
        </w:rPr>
        <w:t>•</w:t>
      </w:r>
      <w:r w:rsidRPr="00AF4902">
        <w:rPr>
          <w:szCs w:val="24"/>
          <w:lang w:eastAsia="zh-CN" w:bidi="en-US"/>
        </w:rPr>
        <w:tab/>
      </w:r>
      <w:r w:rsidRPr="00AF4902">
        <w:rPr>
          <w:rFonts w:hint="eastAsia"/>
          <w:szCs w:val="24"/>
          <w:lang w:eastAsia="zh-CN" w:bidi="en-US"/>
        </w:rPr>
        <w:t>仍须进行全面精算研究</w:t>
      </w:r>
      <w:r w:rsidR="00024A13">
        <w:rPr>
          <w:szCs w:val="24"/>
          <w:lang w:eastAsia="zh-CN" w:bidi="en-US"/>
        </w:rPr>
        <w:t xml:space="preserve"> </w:t>
      </w:r>
      <w:r w:rsidR="00024A13" w:rsidRPr="00024A13">
        <w:rPr>
          <w:szCs w:val="24"/>
          <w:lang w:eastAsia="zh-CN" w:bidi="en-US"/>
        </w:rPr>
        <w:t>–</w:t>
      </w:r>
      <w:r w:rsidR="00024A13">
        <w:rPr>
          <w:szCs w:val="24"/>
          <w:lang w:eastAsia="zh-CN" w:bidi="en-US"/>
        </w:rPr>
        <w:t xml:space="preserve"> </w:t>
      </w:r>
      <w:r w:rsidRPr="00AF4902">
        <w:rPr>
          <w:rFonts w:hint="eastAsia"/>
          <w:szCs w:val="24"/>
          <w:lang w:eastAsia="zh-CN" w:bidi="en-US"/>
        </w:rPr>
        <w:t>目前计划于</w:t>
      </w:r>
      <w:r w:rsidRPr="00AF4902">
        <w:rPr>
          <w:rFonts w:hint="eastAsia"/>
          <w:szCs w:val="24"/>
          <w:lang w:eastAsia="zh-CN" w:bidi="en-US"/>
        </w:rPr>
        <w:t>2016</w:t>
      </w:r>
      <w:r w:rsidRPr="00AF4902">
        <w:rPr>
          <w:rFonts w:hint="eastAsia"/>
          <w:szCs w:val="24"/>
          <w:lang w:eastAsia="zh-CN" w:bidi="en-US"/>
        </w:rPr>
        <w:t>年实施</w:t>
      </w:r>
      <w:r w:rsidR="00024A13">
        <w:rPr>
          <w:szCs w:val="24"/>
          <w:lang w:eastAsia="zh-CN" w:bidi="en-US"/>
        </w:rPr>
        <w:t xml:space="preserve"> </w:t>
      </w:r>
      <w:r w:rsidR="00024A13" w:rsidRPr="00024A13">
        <w:rPr>
          <w:szCs w:val="24"/>
          <w:lang w:eastAsia="zh-CN" w:bidi="en-US"/>
        </w:rPr>
        <w:t>–</w:t>
      </w:r>
      <w:r w:rsidR="00024A13">
        <w:rPr>
          <w:szCs w:val="24"/>
          <w:lang w:eastAsia="zh-CN" w:bidi="en-US"/>
        </w:rPr>
        <w:t xml:space="preserve"> </w:t>
      </w:r>
      <w:r w:rsidRPr="00AF4902">
        <w:rPr>
          <w:rFonts w:hint="eastAsia"/>
          <w:szCs w:val="24"/>
          <w:lang w:eastAsia="zh-CN" w:bidi="en-US"/>
        </w:rPr>
        <w:t>以支持对债务进行资产负债表的估值，主要针对离职后健康保险，同时确保国际电联长期财务状况的健康；</w:t>
      </w:r>
    </w:p>
    <w:p w:rsidR="0093485F" w:rsidRPr="00AF4902" w:rsidRDefault="0093485F" w:rsidP="0093485F">
      <w:pPr>
        <w:pStyle w:val="enumlev1"/>
        <w:rPr>
          <w:szCs w:val="24"/>
          <w:lang w:eastAsia="zh-CN" w:bidi="en-US"/>
        </w:rPr>
      </w:pPr>
      <w:r w:rsidRPr="00AF4902">
        <w:rPr>
          <w:szCs w:val="24"/>
          <w:lang w:eastAsia="zh-CN" w:bidi="en-US"/>
        </w:rPr>
        <w:t>•</w:t>
      </w:r>
      <w:r w:rsidRPr="00AF4902">
        <w:rPr>
          <w:szCs w:val="24"/>
          <w:lang w:eastAsia="zh-CN" w:bidi="en-US"/>
        </w:rPr>
        <w:tab/>
      </w:r>
      <w:r w:rsidRPr="00AF4902">
        <w:rPr>
          <w:rFonts w:hint="eastAsia"/>
          <w:szCs w:val="24"/>
          <w:lang w:eastAsia="zh-CN" w:bidi="en-US"/>
        </w:rPr>
        <w:t>需要制定预算外资金的会计、账目核对和报告导则。</w:t>
      </w:r>
    </w:p>
    <w:p w:rsidR="0093485F" w:rsidRPr="00AC0CBB" w:rsidRDefault="0093485F" w:rsidP="00AC0CBB">
      <w:pPr>
        <w:rPr>
          <w:szCs w:val="24"/>
          <w:lang w:eastAsia="zh-CN" w:bidi="en-US"/>
        </w:rPr>
      </w:pPr>
      <w:r w:rsidRPr="00AC0CBB">
        <w:rPr>
          <w:szCs w:val="24"/>
          <w:lang w:eastAsia="zh-CN" w:bidi="en-US"/>
        </w:rPr>
        <w:t>3.2</w:t>
      </w:r>
      <w:r w:rsidRPr="00AC0CBB">
        <w:rPr>
          <w:szCs w:val="24"/>
          <w:lang w:eastAsia="zh-CN" w:bidi="en-US"/>
        </w:rPr>
        <w:tab/>
      </w:r>
      <w:r w:rsidRPr="00AC0CBB">
        <w:rPr>
          <w:rFonts w:hint="eastAsia"/>
          <w:szCs w:val="24"/>
          <w:lang w:eastAsia="zh-CN" w:bidi="en-US"/>
        </w:rPr>
        <w:t>此外，外部审计员还提出第五条建议，即</w:t>
      </w:r>
      <w:r w:rsidRPr="00AC0CBB">
        <w:rPr>
          <w:szCs w:val="24"/>
          <w:lang w:eastAsia="zh-CN" w:bidi="en-US"/>
        </w:rPr>
        <w:t>，</w:t>
      </w:r>
      <w:r w:rsidRPr="00AC0CBB">
        <w:rPr>
          <w:rFonts w:hint="eastAsia"/>
          <w:szCs w:val="24"/>
          <w:lang w:eastAsia="zh-CN" w:bidi="en-US"/>
        </w:rPr>
        <w:t>内部审计处应完善</w:t>
      </w:r>
      <w:r w:rsidRPr="00AC0CBB">
        <w:rPr>
          <w:szCs w:val="24"/>
          <w:lang w:eastAsia="zh-CN" w:bidi="en-US"/>
        </w:rPr>
        <w:t>其</w:t>
      </w:r>
      <w:r w:rsidRPr="00AC0CBB">
        <w:rPr>
          <w:rFonts w:hint="eastAsia"/>
          <w:szCs w:val="24"/>
          <w:lang w:eastAsia="zh-CN" w:bidi="en-US"/>
        </w:rPr>
        <w:t>年度风险分析和确保基于风险的审计规划进程。这条建议符合良好规范和职业标准。如委员会往年报告所述（亦见下述），</w:t>
      </w:r>
      <w:r w:rsidRPr="00AC0CBB">
        <w:rPr>
          <w:rFonts w:hint="eastAsia"/>
          <w:szCs w:val="24"/>
          <w:lang w:eastAsia="zh-CN" w:bidi="en-US"/>
        </w:rPr>
        <w:t>IMAC</w:t>
      </w:r>
      <w:r w:rsidRPr="00AC0CBB">
        <w:rPr>
          <w:rFonts w:hint="eastAsia"/>
          <w:szCs w:val="24"/>
          <w:lang w:eastAsia="zh-CN" w:bidi="en-US"/>
        </w:rPr>
        <w:t>认为</w:t>
      </w:r>
      <w:r w:rsidRPr="00AC0CBB">
        <w:rPr>
          <w:szCs w:val="24"/>
          <w:lang w:eastAsia="zh-CN" w:bidi="en-US"/>
        </w:rPr>
        <w:t>这点十分重要，从而</w:t>
      </w:r>
      <w:r w:rsidRPr="00AC0CBB">
        <w:rPr>
          <w:rFonts w:hint="eastAsia"/>
          <w:szCs w:val="24"/>
          <w:lang w:eastAsia="zh-CN" w:bidi="en-US"/>
        </w:rPr>
        <w:t>在内部审计资源有限</w:t>
      </w:r>
      <w:r w:rsidRPr="00AC0CBB">
        <w:rPr>
          <w:szCs w:val="24"/>
          <w:lang w:eastAsia="zh-CN" w:bidi="en-US"/>
        </w:rPr>
        <w:t>时</w:t>
      </w:r>
      <w:r w:rsidRPr="00AC0CBB">
        <w:rPr>
          <w:rFonts w:hint="eastAsia"/>
          <w:szCs w:val="24"/>
          <w:lang w:eastAsia="zh-CN" w:bidi="en-US"/>
        </w:rPr>
        <w:t>，确保最大限度地发挥有限资源的效率。</w:t>
      </w:r>
    </w:p>
    <w:p w:rsidR="0093485F" w:rsidRPr="00AC0CBB" w:rsidRDefault="0093485F" w:rsidP="00AC0CBB">
      <w:pPr>
        <w:rPr>
          <w:szCs w:val="24"/>
          <w:lang w:eastAsia="zh-CN" w:bidi="en-US"/>
        </w:rPr>
      </w:pPr>
      <w:r w:rsidRPr="00AC0CBB">
        <w:rPr>
          <w:szCs w:val="24"/>
          <w:lang w:eastAsia="zh-CN" w:bidi="en-US"/>
        </w:rPr>
        <w:t>3.3</w:t>
      </w:r>
      <w:r w:rsidRPr="00AC0CBB">
        <w:rPr>
          <w:szCs w:val="24"/>
          <w:lang w:eastAsia="zh-CN" w:bidi="en-US"/>
        </w:rPr>
        <w:tab/>
      </w:r>
      <w:r w:rsidRPr="00AC0CBB">
        <w:rPr>
          <w:b/>
          <w:szCs w:val="24"/>
          <w:lang w:eastAsia="zh-CN" w:bidi="en-US"/>
        </w:rPr>
        <w:t>IMAC</w:t>
      </w:r>
      <w:r w:rsidRPr="00AC0CBB">
        <w:rPr>
          <w:rFonts w:hint="eastAsia"/>
          <w:b/>
          <w:szCs w:val="24"/>
          <w:lang w:eastAsia="zh-CN" w:bidi="en-US"/>
        </w:rPr>
        <w:t>认为，这些正式建议一俟落实将有助于加强国际电联的财务管理</w:t>
      </w:r>
      <w:r w:rsidRPr="00AC0CBB">
        <w:rPr>
          <w:b/>
          <w:szCs w:val="24"/>
          <w:lang w:eastAsia="zh-CN" w:bidi="en-US"/>
        </w:rPr>
        <w:t>和控制</w:t>
      </w:r>
      <w:r w:rsidRPr="00AC0CBB">
        <w:rPr>
          <w:rFonts w:hint="eastAsia"/>
          <w:b/>
          <w:szCs w:val="24"/>
          <w:lang w:eastAsia="zh-CN" w:bidi="en-US"/>
        </w:rPr>
        <w:t>；委员会因此支持外部审计员的建议。</w:t>
      </w:r>
    </w:p>
    <w:p w:rsidR="0093485F" w:rsidRPr="00FB3EE5" w:rsidRDefault="0093485F" w:rsidP="004A47DC">
      <w:pPr>
        <w:pStyle w:val="Heading1"/>
        <w:rPr>
          <w:lang w:eastAsia="zh-CN" w:bidi="en-US"/>
        </w:rPr>
      </w:pPr>
      <w:r w:rsidRPr="00FB3EE5">
        <w:rPr>
          <w:lang w:eastAsia="zh-CN" w:bidi="en-US"/>
        </w:rPr>
        <w:t>4</w:t>
      </w:r>
      <w:r w:rsidRPr="00FB3EE5">
        <w:rPr>
          <w:lang w:eastAsia="zh-CN" w:bidi="en-US"/>
        </w:rPr>
        <w:tab/>
      </w:r>
      <w:r>
        <w:rPr>
          <w:rFonts w:hint="eastAsia"/>
          <w:lang w:eastAsia="zh-CN" w:bidi="en-US"/>
        </w:rPr>
        <w:t>外部审计员的提议</w:t>
      </w:r>
    </w:p>
    <w:p w:rsidR="0093485F" w:rsidRPr="00AC0CBB" w:rsidRDefault="0093485F" w:rsidP="0093485F">
      <w:pPr>
        <w:tabs>
          <w:tab w:val="clear" w:pos="794"/>
          <w:tab w:val="clear" w:pos="1191"/>
          <w:tab w:val="clear" w:pos="1588"/>
          <w:tab w:val="clear" w:pos="1985"/>
        </w:tabs>
        <w:overflowPunct/>
        <w:adjustRightInd/>
        <w:spacing w:after="120"/>
        <w:jc w:val="both"/>
        <w:textAlignment w:val="auto"/>
        <w:rPr>
          <w:rFonts w:cs="SimSun"/>
          <w:szCs w:val="24"/>
          <w:lang w:eastAsia="zh-CN" w:bidi="en-US"/>
        </w:rPr>
      </w:pPr>
      <w:r w:rsidRPr="00AC0CBB">
        <w:rPr>
          <w:rFonts w:cs="SimSun"/>
          <w:szCs w:val="24"/>
          <w:lang w:eastAsia="zh-CN" w:bidi="en-US"/>
        </w:rPr>
        <w:t>4.1</w:t>
      </w:r>
      <w:r w:rsidRPr="00AC0CBB">
        <w:rPr>
          <w:rFonts w:cs="SimSun"/>
          <w:szCs w:val="24"/>
          <w:lang w:eastAsia="zh-CN" w:bidi="en-US"/>
        </w:rPr>
        <w:tab/>
      </w:r>
      <w:r w:rsidRPr="00AC0CBB">
        <w:rPr>
          <w:rFonts w:cs="SimSun" w:hint="eastAsia"/>
          <w:szCs w:val="24"/>
          <w:lang w:eastAsia="zh-CN" w:bidi="en-US"/>
        </w:rPr>
        <w:t>外部审计员提出四点管理层应采取行动的提议</w:t>
      </w:r>
      <w:r w:rsidRPr="00AC0CBB">
        <w:rPr>
          <w:rFonts w:cs="SimSun"/>
          <w:szCs w:val="24"/>
          <w:lang w:eastAsia="zh-CN" w:bidi="en-US"/>
        </w:rPr>
        <w:t>涉及</w:t>
      </w:r>
      <w:r w:rsidRPr="00AC0CBB">
        <w:rPr>
          <w:rFonts w:cs="SimSun" w:hint="eastAsia"/>
          <w:szCs w:val="24"/>
          <w:lang w:eastAsia="zh-CN" w:bidi="en-US"/>
        </w:rPr>
        <w:t>：</w:t>
      </w:r>
    </w:p>
    <w:p w:rsidR="0093485F" w:rsidRPr="00AC0CBB" w:rsidRDefault="0093485F" w:rsidP="00AC0CBB">
      <w:pPr>
        <w:pStyle w:val="enumlev1"/>
        <w:rPr>
          <w:lang w:eastAsia="zh-CN"/>
        </w:rPr>
      </w:pPr>
      <w:r w:rsidRPr="00AC0CBB">
        <w:rPr>
          <w:lang w:eastAsia="zh-CN"/>
        </w:rPr>
        <w:t>•</w:t>
      </w:r>
      <w:r w:rsidRPr="00AC0CBB">
        <w:rPr>
          <w:lang w:eastAsia="zh-CN"/>
        </w:rPr>
        <w:tab/>
      </w:r>
      <w:r w:rsidRPr="00AC0CBB">
        <w:rPr>
          <w:rFonts w:hint="eastAsia"/>
          <w:lang w:eastAsia="zh-CN"/>
        </w:rPr>
        <w:t>有必要注销流失资产；</w:t>
      </w:r>
    </w:p>
    <w:p w:rsidR="0093485F" w:rsidRPr="00AC0CBB" w:rsidRDefault="0093485F" w:rsidP="00AC0CBB">
      <w:pPr>
        <w:pStyle w:val="enumlev1"/>
        <w:rPr>
          <w:lang w:eastAsia="zh-CN"/>
        </w:rPr>
      </w:pPr>
      <w:r w:rsidRPr="00AC0CBB">
        <w:rPr>
          <w:lang w:eastAsia="zh-CN"/>
        </w:rPr>
        <w:t>•</w:t>
      </w:r>
      <w:r w:rsidRPr="00AC0CBB">
        <w:rPr>
          <w:lang w:eastAsia="zh-CN"/>
        </w:rPr>
        <w:tab/>
      </w:r>
      <w:r w:rsidRPr="00AC0CBB">
        <w:rPr>
          <w:rFonts w:hint="eastAsia"/>
          <w:lang w:eastAsia="zh-CN"/>
        </w:rPr>
        <w:t>有必要加强对作为卫生保健报销的健康服务进行审查和评估，</w:t>
      </w:r>
      <w:r w:rsidRPr="00AC0CBB">
        <w:rPr>
          <w:lang w:eastAsia="zh-CN"/>
        </w:rPr>
        <w:t>有必要</w:t>
      </w:r>
      <w:r w:rsidRPr="00AC0CBB">
        <w:rPr>
          <w:rFonts w:hint="eastAsia"/>
          <w:lang w:eastAsia="zh-CN"/>
        </w:rPr>
        <w:t>确保各项安排费用的可持续性；</w:t>
      </w:r>
    </w:p>
    <w:p w:rsidR="0093485F" w:rsidRPr="00AC0CBB" w:rsidRDefault="0093485F" w:rsidP="00AC0CBB">
      <w:pPr>
        <w:pStyle w:val="enumlev1"/>
        <w:rPr>
          <w:lang w:eastAsia="zh-CN"/>
        </w:rPr>
      </w:pPr>
      <w:r w:rsidRPr="00AC0CBB">
        <w:rPr>
          <w:lang w:eastAsia="zh-CN"/>
        </w:rPr>
        <w:t>•</w:t>
      </w:r>
      <w:r w:rsidRPr="00AC0CBB">
        <w:rPr>
          <w:lang w:eastAsia="zh-CN"/>
        </w:rPr>
        <w:tab/>
      </w:r>
      <w:r w:rsidRPr="00AC0CBB">
        <w:rPr>
          <w:rFonts w:hint="eastAsia"/>
          <w:lang w:eastAsia="zh-CN"/>
        </w:rPr>
        <w:t>信托基金会计程序方面</w:t>
      </w:r>
      <w:r w:rsidRPr="00AC0CBB">
        <w:rPr>
          <w:lang w:eastAsia="zh-CN"/>
        </w:rPr>
        <w:t>的改进范围</w:t>
      </w:r>
      <w:r w:rsidRPr="00AC0CBB">
        <w:rPr>
          <w:rFonts w:hint="eastAsia"/>
          <w:lang w:eastAsia="zh-CN"/>
        </w:rPr>
        <w:t>；</w:t>
      </w:r>
    </w:p>
    <w:p w:rsidR="0093485F" w:rsidRPr="00AC0CBB" w:rsidRDefault="0093485F" w:rsidP="00AC0CBB">
      <w:pPr>
        <w:pStyle w:val="enumlev1"/>
        <w:rPr>
          <w:lang w:eastAsia="zh-CN"/>
        </w:rPr>
      </w:pPr>
      <w:r w:rsidRPr="00AC0CBB">
        <w:rPr>
          <w:lang w:eastAsia="zh-CN"/>
        </w:rPr>
        <w:t>•</w:t>
      </w:r>
      <w:r w:rsidRPr="00AC0CBB">
        <w:rPr>
          <w:lang w:eastAsia="zh-CN"/>
        </w:rPr>
        <w:tab/>
      </w:r>
      <w:r w:rsidRPr="00AC0CBB">
        <w:rPr>
          <w:rFonts w:hint="eastAsia"/>
          <w:lang w:eastAsia="zh-CN"/>
        </w:rPr>
        <w:t>有必要完善预算外资金的会计和报告导则。</w:t>
      </w:r>
    </w:p>
    <w:p w:rsidR="0093485F" w:rsidRPr="00AC0CBB" w:rsidRDefault="0093485F" w:rsidP="0093485F">
      <w:pPr>
        <w:tabs>
          <w:tab w:val="clear" w:pos="794"/>
          <w:tab w:val="clear" w:pos="1191"/>
          <w:tab w:val="clear" w:pos="1588"/>
          <w:tab w:val="clear" w:pos="1985"/>
        </w:tabs>
        <w:overflowPunct/>
        <w:adjustRightInd/>
        <w:spacing w:before="240" w:after="120"/>
        <w:jc w:val="both"/>
        <w:textAlignment w:val="auto"/>
        <w:rPr>
          <w:rFonts w:cs="SimSun"/>
          <w:szCs w:val="24"/>
          <w:lang w:eastAsia="zh-CN" w:bidi="en-US"/>
        </w:rPr>
      </w:pPr>
      <w:r w:rsidRPr="00AC0CBB">
        <w:rPr>
          <w:rFonts w:cs="SimSun"/>
          <w:szCs w:val="24"/>
          <w:lang w:eastAsia="zh-CN" w:bidi="en-US"/>
        </w:rPr>
        <w:t>4.2</w:t>
      </w:r>
      <w:r w:rsidRPr="00AC0CBB">
        <w:rPr>
          <w:rFonts w:cs="SimSun"/>
          <w:szCs w:val="24"/>
          <w:lang w:eastAsia="zh-CN" w:bidi="en-US"/>
        </w:rPr>
        <w:tab/>
      </w:r>
      <w:r w:rsidRPr="00AC0CBB">
        <w:rPr>
          <w:rFonts w:cs="SimSun" w:hint="eastAsia"/>
          <w:szCs w:val="24"/>
          <w:lang w:eastAsia="zh-CN" w:bidi="en-US"/>
        </w:rPr>
        <w:t>此外，外部审计员报告对国际电联内部审计处</w:t>
      </w:r>
      <w:r w:rsidRPr="00AC0CBB">
        <w:rPr>
          <w:rFonts w:cs="SimSun"/>
          <w:szCs w:val="24"/>
          <w:lang w:eastAsia="zh-CN" w:bidi="en-US"/>
        </w:rPr>
        <w:t>（</w:t>
      </w:r>
      <w:r w:rsidRPr="00AC0CBB">
        <w:rPr>
          <w:rFonts w:cs="SimSun" w:hint="eastAsia"/>
          <w:szCs w:val="24"/>
          <w:lang w:eastAsia="zh-CN" w:bidi="en-US"/>
        </w:rPr>
        <w:t>IAU</w:t>
      </w:r>
      <w:r w:rsidRPr="00AC0CBB">
        <w:rPr>
          <w:rFonts w:cs="SimSun" w:hint="eastAsia"/>
          <w:szCs w:val="24"/>
          <w:lang w:eastAsia="zh-CN" w:bidi="en-US"/>
        </w:rPr>
        <w:t>）评定后提出五点提议，</w:t>
      </w:r>
      <w:r w:rsidRPr="00AC0CBB">
        <w:rPr>
          <w:rFonts w:cs="SimSun" w:hint="eastAsia"/>
          <w:szCs w:val="24"/>
          <w:lang w:eastAsia="zh-CN" w:bidi="en-US"/>
        </w:rPr>
        <w:t>IMAC</w:t>
      </w:r>
      <w:r w:rsidRPr="00AC0CBB">
        <w:rPr>
          <w:rFonts w:cs="SimSun" w:hint="eastAsia"/>
          <w:szCs w:val="24"/>
          <w:lang w:eastAsia="zh-CN" w:bidi="en-US"/>
        </w:rPr>
        <w:t>曾在</w:t>
      </w:r>
      <w:r w:rsidRPr="00AC0CBB">
        <w:rPr>
          <w:rFonts w:cs="SimSun" w:hint="eastAsia"/>
          <w:szCs w:val="24"/>
          <w:lang w:eastAsia="zh-CN" w:bidi="en-US"/>
        </w:rPr>
        <w:t>2013</w:t>
      </w:r>
      <w:r w:rsidRPr="00AC0CBB">
        <w:rPr>
          <w:rFonts w:cs="SimSun" w:hint="eastAsia"/>
          <w:szCs w:val="24"/>
          <w:lang w:eastAsia="zh-CN" w:bidi="en-US"/>
        </w:rPr>
        <w:t>年</w:t>
      </w:r>
      <w:r w:rsidRPr="00AC0CBB">
        <w:rPr>
          <w:rFonts w:cs="SimSun" w:hint="eastAsia"/>
          <w:szCs w:val="24"/>
          <w:lang w:eastAsia="zh-CN" w:bidi="en-US"/>
        </w:rPr>
        <w:t>6</w:t>
      </w:r>
      <w:r w:rsidRPr="00AC0CBB">
        <w:rPr>
          <w:rFonts w:cs="SimSun" w:hint="eastAsia"/>
          <w:szCs w:val="24"/>
          <w:lang w:eastAsia="zh-CN" w:bidi="en-US"/>
        </w:rPr>
        <w:t>月的第二次年度报告中建议对该处进行评定。外部审计员对内部审计处审查后对该处</w:t>
      </w:r>
      <w:r w:rsidRPr="00AC0CBB">
        <w:rPr>
          <w:rFonts w:cs="SimSun"/>
          <w:szCs w:val="24"/>
          <w:lang w:eastAsia="zh-CN" w:bidi="en-US"/>
        </w:rPr>
        <w:t>的</w:t>
      </w:r>
      <w:r w:rsidRPr="00AC0CBB">
        <w:rPr>
          <w:rFonts w:cs="SimSun" w:hint="eastAsia"/>
          <w:szCs w:val="24"/>
          <w:lang w:eastAsia="zh-CN" w:bidi="en-US"/>
        </w:rPr>
        <w:t>安排和职业标准提出了全面和积极的评价；同时还提出了一系列行动，以解决</w:t>
      </w:r>
      <w:r w:rsidRPr="00AC0CBB">
        <w:rPr>
          <w:rFonts w:cs="SimSun" w:hint="eastAsia"/>
          <w:szCs w:val="24"/>
          <w:lang w:eastAsia="zh-CN" w:bidi="en-US"/>
        </w:rPr>
        <w:t>IMAC</w:t>
      </w:r>
      <w:r w:rsidRPr="00AC0CBB">
        <w:rPr>
          <w:rFonts w:cs="SimSun" w:hint="eastAsia"/>
          <w:szCs w:val="24"/>
          <w:lang w:eastAsia="zh-CN" w:bidi="en-US"/>
        </w:rPr>
        <w:t>以前提出的关于如何有效利用内部审计处资源的问题以及</w:t>
      </w:r>
      <w:r w:rsidRPr="00AC0CBB">
        <w:rPr>
          <w:rFonts w:cs="SimSun"/>
          <w:szCs w:val="24"/>
          <w:lang w:eastAsia="zh-CN" w:bidi="en-US"/>
        </w:rPr>
        <w:t>确保足够的审计覆盖、满足</w:t>
      </w:r>
      <w:r w:rsidRPr="00AC0CBB">
        <w:rPr>
          <w:rFonts w:cs="SimSun" w:hint="eastAsia"/>
          <w:szCs w:val="24"/>
          <w:lang w:eastAsia="zh-CN" w:bidi="en-US"/>
        </w:rPr>
        <w:t>国际电联需要的问题。</w:t>
      </w:r>
    </w:p>
    <w:p w:rsidR="0093485F" w:rsidRPr="00AC0CBB" w:rsidRDefault="0093485F" w:rsidP="0093485F">
      <w:pPr>
        <w:tabs>
          <w:tab w:val="clear" w:pos="794"/>
          <w:tab w:val="clear" w:pos="1191"/>
          <w:tab w:val="clear" w:pos="1588"/>
          <w:tab w:val="clear" w:pos="1985"/>
        </w:tabs>
        <w:overflowPunct/>
        <w:adjustRightInd/>
        <w:spacing w:after="120"/>
        <w:jc w:val="both"/>
        <w:textAlignment w:val="auto"/>
        <w:rPr>
          <w:rFonts w:cs="SimSun"/>
          <w:szCs w:val="24"/>
          <w:lang w:eastAsia="zh-CN" w:bidi="en-US"/>
        </w:rPr>
      </w:pPr>
      <w:r w:rsidRPr="00AC0CBB">
        <w:rPr>
          <w:rFonts w:cs="SimSun"/>
          <w:szCs w:val="24"/>
          <w:lang w:eastAsia="zh-CN" w:bidi="en-US"/>
        </w:rPr>
        <w:t>4.3</w:t>
      </w:r>
      <w:r w:rsidRPr="00AC0CBB">
        <w:rPr>
          <w:rFonts w:cs="SimSun"/>
          <w:szCs w:val="24"/>
          <w:lang w:eastAsia="zh-CN" w:bidi="en-US"/>
        </w:rPr>
        <w:tab/>
      </w:r>
      <w:r w:rsidRPr="00AC0CBB">
        <w:rPr>
          <w:rFonts w:cs="SimSun" w:hint="eastAsia"/>
          <w:szCs w:val="24"/>
          <w:lang w:eastAsia="zh-CN" w:bidi="en-US"/>
        </w:rPr>
        <w:t>外部审计员提议：</w:t>
      </w:r>
    </w:p>
    <w:p w:rsidR="0093485F" w:rsidRPr="00AC0CBB" w:rsidRDefault="0093485F" w:rsidP="0093485F">
      <w:pPr>
        <w:pStyle w:val="enumlev1"/>
        <w:rPr>
          <w:szCs w:val="24"/>
          <w:lang w:eastAsia="zh-CN" w:bidi="en-US"/>
        </w:rPr>
      </w:pPr>
      <w:r w:rsidRPr="00AC0CBB">
        <w:rPr>
          <w:szCs w:val="24"/>
          <w:lang w:eastAsia="zh-CN" w:bidi="en-US"/>
        </w:rPr>
        <w:t>•</w:t>
      </w:r>
      <w:r w:rsidRPr="00AC0CBB">
        <w:rPr>
          <w:szCs w:val="24"/>
          <w:lang w:eastAsia="zh-CN" w:bidi="en-US"/>
        </w:rPr>
        <w:tab/>
      </w:r>
      <w:r w:rsidRPr="00AC0CBB">
        <w:rPr>
          <w:rFonts w:hint="eastAsia"/>
          <w:szCs w:val="24"/>
          <w:lang w:eastAsia="zh-CN" w:bidi="en-US"/>
        </w:rPr>
        <w:t>内部审计处应采用一种多年总体审计规划流程，加强目的更明确</w:t>
      </w:r>
      <w:r w:rsidRPr="00AC0CBB">
        <w:rPr>
          <w:szCs w:val="24"/>
          <w:lang w:eastAsia="zh-CN" w:bidi="en-US"/>
        </w:rPr>
        <w:t>的</w:t>
      </w:r>
      <w:r w:rsidRPr="00AC0CBB">
        <w:rPr>
          <w:rFonts w:hint="eastAsia"/>
          <w:szCs w:val="24"/>
          <w:lang w:eastAsia="zh-CN" w:bidi="en-US"/>
        </w:rPr>
        <w:t>风险分析，以便</w:t>
      </w:r>
      <w:r w:rsidRPr="00AC0CBB">
        <w:rPr>
          <w:szCs w:val="24"/>
          <w:lang w:eastAsia="zh-CN" w:bidi="en-US"/>
        </w:rPr>
        <w:t>在周期性基础上支持对主要确认风险领域的审计，</w:t>
      </w:r>
      <w:r w:rsidRPr="00AC0CBB">
        <w:rPr>
          <w:rFonts w:hint="eastAsia"/>
          <w:szCs w:val="24"/>
          <w:lang w:eastAsia="zh-CN" w:bidi="en-US"/>
        </w:rPr>
        <w:t>从而改进其</w:t>
      </w:r>
      <w:r w:rsidRPr="00AC0CBB">
        <w:rPr>
          <w:szCs w:val="24"/>
          <w:lang w:eastAsia="zh-CN" w:bidi="en-US"/>
        </w:rPr>
        <w:t>目</w:t>
      </w:r>
      <w:r w:rsidRPr="00AC0CBB">
        <w:rPr>
          <w:rFonts w:hint="eastAsia"/>
          <w:szCs w:val="24"/>
          <w:lang w:eastAsia="zh-CN" w:bidi="en-US"/>
        </w:rPr>
        <w:t>前的年度规划；（第</w:t>
      </w:r>
      <w:r w:rsidRPr="00AC0CBB">
        <w:rPr>
          <w:rFonts w:hint="eastAsia"/>
          <w:szCs w:val="24"/>
          <w:lang w:eastAsia="zh-CN" w:bidi="en-US"/>
        </w:rPr>
        <w:t>5</w:t>
      </w:r>
      <w:r w:rsidRPr="00AC0CBB">
        <w:rPr>
          <w:rFonts w:hint="eastAsia"/>
          <w:szCs w:val="24"/>
          <w:lang w:eastAsia="zh-CN" w:bidi="en-US"/>
        </w:rPr>
        <w:t>、</w:t>
      </w:r>
      <w:r w:rsidRPr="00AC0CBB">
        <w:rPr>
          <w:rFonts w:hint="eastAsia"/>
          <w:szCs w:val="24"/>
          <w:lang w:eastAsia="zh-CN" w:bidi="en-US"/>
        </w:rPr>
        <w:t>6</w:t>
      </w:r>
      <w:r w:rsidRPr="00AC0CBB">
        <w:rPr>
          <w:rFonts w:hint="eastAsia"/>
          <w:szCs w:val="24"/>
          <w:lang w:eastAsia="zh-CN" w:bidi="en-US"/>
        </w:rPr>
        <w:t>、</w:t>
      </w:r>
      <w:r w:rsidRPr="00AC0CBB">
        <w:rPr>
          <w:rFonts w:hint="eastAsia"/>
          <w:szCs w:val="24"/>
          <w:lang w:eastAsia="zh-CN" w:bidi="en-US"/>
        </w:rPr>
        <w:t>7</w:t>
      </w:r>
      <w:r w:rsidRPr="00AC0CBB">
        <w:rPr>
          <w:rFonts w:hint="eastAsia"/>
          <w:szCs w:val="24"/>
          <w:lang w:eastAsia="zh-CN" w:bidi="en-US"/>
        </w:rPr>
        <w:t>条意见）；</w:t>
      </w:r>
    </w:p>
    <w:p w:rsidR="0093485F" w:rsidRPr="00AC0CBB" w:rsidRDefault="0093485F" w:rsidP="0093485F">
      <w:pPr>
        <w:pStyle w:val="enumlev1"/>
        <w:rPr>
          <w:szCs w:val="24"/>
          <w:lang w:eastAsia="zh-CN" w:bidi="en-US"/>
        </w:rPr>
      </w:pPr>
      <w:r w:rsidRPr="00AC0CBB">
        <w:rPr>
          <w:szCs w:val="24"/>
          <w:lang w:eastAsia="zh-CN" w:bidi="en-US"/>
        </w:rPr>
        <w:t>•</w:t>
      </w:r>
      <w:r w:rsidRPr="00AC0CBB">
        <w:rPr>
          <w:szCs w:val="24"/>
          <w:lang w:eastAsia="zh-CN" w:bidi="en-US"/>
        </w:rPr>
        <w:tab/>
      </w:r>
      <w:r w:rsidRPr="00AC0CBB">
        <w:rPr>
          <w:rFonts w:hint="eastAsia"/>
          <w:szCs w:val="24"/>
          <w:lang w:eastAsia="zh-CN" w:bidi="en-US"/>
        </w:rPr>
        <w:t>流程改进后获取的更完善信息可与内部审计处年度工作计划中提出的审计任务</w:t>
      </w:r>
      <w:r w:rsidRPr="00AC0CBB">
        <w:rPr>
          <w:szCs w:val="24"/>
          <w:lang w:eastAsia="zh-CN" w:bidi="en-US"/>
        </w:rPr>
        <w:t>联系起来</w:t>
      </w:r>
      <w:r w:rsidRPr="00AC0CBB">
        <w:rPr>
          <w:rFonts w:hint="eastAsia"/>
          <w:szCs w:val="24"/>
          <w:lang w:eastAsia="zh-CN" w:bidi="en-US"/>
        </w:rPr>
        <w:t>，以便更好地</w:t>
      </w:r>
      <w:r w:rsidRPr="00AC0CBB">
        <w:rPr>
          <w:szCs w:val="24"/>
          <w:lang w:eastAsia="zh-CN" w:bidi="en-US"/>
        </w:rPr>
        <w:t>向</w:t>
      </w:r>
      <w:r w:rsidRPr="00AC0CBB">
        <w:rPr>
          <w:rFonts w:hint="eastAsia"/>
          <w:szCs w:val="24"/>
          <w:lang w:eastAsia="zh-CN" w:bidi="en-US"/>
        </w:rPr>
        <w:t>秘书长报告</w:t>
      </w:r>
      <w:r w:rsidRPr="00AC0CBB">
        <w:rPr>
          <w:szCs w:val="24"/>
          <w:lang w:eastAsia="zh-CN" w:bidi="en-US"/>
        </w:rPr>
        <w:t>，从而确定</w:t>
      </w:r>
      <w:r w:rsidRPr="00AC0CBB">
        <w:rPr>
          <w:rFonts w:hint="eastAsia"/>
          <w:szCs w:val="24"/>
          <w:lang w:eastAsia="zh-CN" w:bidi="en-US"/>
        </w:rPr>
        <w:t>IAU</w:t>
      </w:r>
      <w:r w:rsidRPr="00AC0CBB">
        <w:rPr>
          <w:rFonts w:hint="eastAsia"/>
          <w:szCs w:val="24"/>
          <w:lang w:eastAsia="zh-CN" w:bidi="en-US"/>
        </w:rPr>
        <w:t>的</w:t>
      </w:r>
      <w:r w:rsidRPr="00AC0CBB">
        <w:rPr>
          <w:szCs w:val="24"/>
          <w:lang w:eastAsia="zh-CN" w:bidi="en-US"/>
        </w:rPr>
        <w:t>资源是否充足（第</w:t>
      </w:r>
      <w:r w:rsidRPr="00AC0CBB">
        <w:rPr>
          <w:rFonts w:hint="eastAsia"/>
          <w:szCs w:val="24"/>
          <w:lang w:eastAsia="zh-CN" w:bidi="en-US"/>
        </w:rPr>
        <w:t>8</w:t>
      </w:r>
      <w:r w:rsidRPr="00AC0CBB">
        <w:rPr>
          <w:rFonts w:hint="eastAsia"/>
          <w:szCs w:val="24"/>
          <w:lang w:eastAsia="zh-CN" w:bidi="en-US"/>
        </w:rPr>
        <w:t>号</w:t>
      </w:r>
      <w:r w:rsidRPr="00AC0CBB">
        <w:rPr>
          <w:szCs w:val="24"/>
          <w:lang w:eastAsia="zh-CN" w:bidi="en-US"/>
        </w:rPr>
        <w:t>提议）</w:t>
      </w:r>
      <w:r w:rsidRPr="00AC0CBB">
        <w:rPr>
          <w:rFonts w:hint="eastAsia"/>
          <w:szCs w:val="24"/>
          <w:lang w:eastAsia="zh-CN" w:bidi="en-US"/>
        </w:rPr>
        <w:t>；以及</w:t>
      </w:r>
    </w:p>
    <w:p w:rsidR="0093485F" w:rsidRPr="00AC0CBB" w:rsidRDefault="0093485F" w:rsidP="0093485F">
      <w:pPr>
        <w:pStyle w:val="enumlev1"/>
        <w:rPr>
          <w:szCs w:val="24"/>
          <w:lang w:eastAsia="zh-CN" w:bidi="en-US"/>
        </w:rPr>
      </w:pPr>
      <w:r w:rsidRPr="00AC0CBB">
        <w:rPr>
          <w:szCs w:val="24"/>
          <w:lang w:eastAsia="zh-CN" w:bidi="en-US"/>
        </w:rPr>
        <w:lastRenderedPageBreak/>
        <w:t>•</w:t>
      </w:r>
      <w:r w:rsidRPr="00AC0CBB">
        <w:rPr>
          <w:szCs w:val="24"/>
          <w:lang w:eastAsia="zh-CN" w:bidi="en-US"/>
        </w:rPr>
        <w:tab/>
      </w:r>
      <w:r w:rsidRPr="00AC0CBB">
        <w:rPr>
          <w:rFonts w:hint="eastAsia"/>
          <w:szCs w:val="24"/>
          <w:lang w:eastAsia="zh-CN" w:bidi="en-US"/>
        </w:rPr>
        <w:t>在年度计划批准过程中，</w:t>
      </w:r>
      <w:r w:rsidRPr="00AC0CBB">
        <w:rPr>
          <w:rFonts w:hint="eastAsia"/>
          <w:szCs w:val="24"/>
          <w:lang w:eastAsia="zh-CN" w:bidi="en-US"/>
        </w:rPr>
        <w:t>IAU</w:t>
      </w:r>
      <w:r w:rsidRPr="00AC0CBB">
        <w:rPr>
          <w:rFonts w:hint="eastAsia"/>
          <w:szCs w:val="24"/>
          <w:lang w:eastAsia="zh-CN" w:bidi="en-US"/>
        </w:rPr>
        <w:t>处长</w:t>
      </w:r>
      <w:r w:rsidRPr="00AC0CBB">
        <w:rPr>
          <w:szCs w:val="24"/>
          <w:lang w:eastAsia="zh-CN" w:bidi="en-US"/>
        </w:rPr>
        <w:t>应</w:t>
      </w:r>
      <w:r w:rsidRPr="00AC0CBB">
        <w:rPr>
          <w:rFonts w:hint="eastAsia"/>
          <w:szCs w:val="24"/>
          <w:lang w:eastAsia="zh-CN" w:bidi="en-US"/>
        </w:rPr>
        <w:t>说明聘用额外合同制专业人员的</w:t>
      </w:r>
      <w:r w:rsidRPr="00AC0CBB">
        <w:rPr>
          <w:szCs w:val="24"/>
          <w:lang w:eastAsia="zh-CN" w:bidi="en-US"/>
        </w:rPr>
        <w:t>需求量</w:t>
      </w:r>
      <w:r w:rsidRPr="00AC0CBB">
        <w:rPr>
          <w:rFonts w:hint="eastAsia"/>
          <w:szCs w:val="24"/>
          <w:lang w:eastAsia="zh-CN" w:bidi="en-US"/>
        </w:rPr>
        <w:t>，以便秘书长在批准预算的</w:t>
      </w:r>
      <w:r w:rsidRPr="00AC0CBB">
        <w:rPr>
          <w:szCs w:val="24"/>
          <w:lang w:eastAsia="zh-CN" w:bidi="en-US"/>
        </w:rPr>
        <w:t>背景下</w:t>
      </w:r>
      <w:r w:rsidRPr="00AC0CBB">
        <w:rPr>
          <w:rFonts w:hint="eastAsia"/>
          <w:szCs w:val="24"/>
          <w:lang w:eastAsia="zh-CN" w:bidi="en-US"/>
        </w:rPr>
        <w:t>予以考虑（第</w:t>
      </w:r>
      <w:r w:rsidRPr="00AC0CBB">
        <w:rPr>
          <w:rFonts w:hint="eastAsia"/>
          <w:szCs w:val="24"/>
          <w:lang w:eastAsia="zh-CN" w:bidi="en-US"/>
        </w:rPr>
        <w:t>9</w:t>
      </w:r>
      <w:r w:rsidRPr="00AC0CBB">
        <w:rPr>
          <w:rFonts w:hint="eastAsia"/>
          <w:szCs w:val="24"/>
          <w:lang w:eastAsia="zh-CN" w:bidi="en-US"/>
        </w:rPr>
        <w:t>条建议）。</w:t>
      </w:r>
    </w:p>
    <w:p w:rsidR="0093485F" w:rsidRPr="00AC0CBB" w:rsidRDefault="0093485F" w:rsidP="0093485F">
      <w:pPr>
        <w:tabs>
          <w:tab w:val="clear" w:pos="794"/>
          <w:tab w:val="clear" w:pos="1191"/>
          <w:tab w:val="clear" w:pos="1588"/>
          <w:tab w:val="clear" w:pos="1985"/>
        </w:tabs>
        <w:overflowPunct/>
        <w:adjustRightInd/>
        <w:spacing w:after="120"/>
        <w:jc w:val="both"/>
        <w:textAlignment w:val="auto"/>
        <w:rPr>
          <w:rFonts w:cs="SimSun"/>
          <w:szCs w:val="24"/>
          <w:lang w:eastAsia="zh-CN" w:bidi="en-US"/>
        </w:rPr>
      </w:pPr>
      <w:r w:rsidRPr="00AC0CBB">
        <w:rPr>
          <w:rFonts w:cs="SimSun"/>
          <w:szCs w:val="24"/>
          <w:lang w:eastAsia="zh-CN" w:bidi="en-US"/>
        </w:rPr>
        <w:t>4.4</w:t>
      </w:r>
      <w:r w:rsidRPr="00AC0CBB">
        <w:rPr>
          <w:rFonts w:cs="SimSun"/>
          <w:szCs w:val="24"/>
          <w:lang w:eastAsia="zh-CN" w:bidi="en-US"/>
        </w:rPr>
        <w:tab/>
      </w:r>
      <w:r w:rsidRPr="00AC0CBB">
        <w:rPr>
          <w:rFonts w:cs="SimSun" w:hint="eastAsia"/>
          <w:szCs w:val="24"/>
          <w:lang w:eastAsia="zh-CN" w:bidi="en-US"/>
        </w:rPr>
        <w:t>尽管秘书长对上述提议的正式</w:t>
      </w:r>
      <w:r w:rsidRPr="00AC0CBB">
        <w:rPr>
          <w:rFonts w:cs="SimSun"/>
          <w:szCs w:val="24"/>
          <w:lang w:eastAsia="zh-CN" w:bidi="en-US"/>
        </w:rPr>
        <w:t>意见</w:t>
      </w:r>
      <w:r w:rsidRPr="00AC0CBB">
        <w:rPr>
          <w:rFonts w:cs="SimSun" w:hint="eastAsia"/>
          <w:szCs w:val="24"/>
          <w:lang w:eastAsia="zh-CN" w:bidi="en-US"/>
        </w:rPr>
        <w:t>仅表现出采取所</w:t>
      </w:r>
      <w:r w:rsidRPr="00AC0CBB">
        <w:rPr>
          <w:rFonts w:cs="SimSun"/>
          <w:szCs w:val="24"/>
          <w:lang w:eastAsia="zh-CN" w:bidi="en-US"/>
        </w:rPr>
        <w:t>提议</w:t>
      </w:r>
      <w:r w:rsidRPr="00AC0CBB">
        <w:rPr>
          <w:rFonts w:cs="SimSun" w:hint="eastAsia"/>
          <w:szCs w:val="24"/>
          <w:lang w:eastAsia="zh-CN" w:bidi="en-US"/>
        </w:rPr>
        <w:t>行动的意愿，但</w:t>
      </w:r>
      <w:r w:rsidRPr="00AC0CBB">
        <w:rPr>
          <w:rFonts w:cs="SimSun" w:hint="eastAsia"/>
          <w:szCs w:val="24"/>
          <w:lang w:eastAsia="zh-CN" w:bidi="en-US"/>
        </w:rPr>
        <w:t>IMAC</w:t>
      </w:r>
      <w:r w:rsidRPr="00AC0CBB">
        <w:rPr>
          <w:rFonts w:cs="SimSun" w:hint="eastAsia"/>
          <w:szCs w:val="24"/>
          <w:lang w:eastAsia="zh-CN" w:bidi="en-US"/>
        </w:rPr>
        <w:t>认为外部审计员的建议是恰当、现实和可行的。</w:t>
      </w:r>
    </w:p>
    <w:p w:rsidR="0093485F" w:rsidRPr="00AC0CBB" w:rsidRDefault="0093485F" w:rsidP="0093485F">
      <w:pPr>
        <w:tabs>
          <w:tab w:val="clear" w:pos="794"/>
          <w:tab w:val="clear" w:pos="1191"/>
          <w:tab w:val="clear" w:pos="1588"/>
          <w:tab w:val="clear" w:pos="1985"/>
        </w:tabs>
        <w:overflowPunct/>
        <w:adjustRightInd/>
        <w:spacing w:after="120"/>
        <w:jc w:val="both"/>
        <w:textAlignment w:val="auto"/>
        <w:rPr>
          <w:rFonts w:cs="SimSun"/>
          <w:szCs w:val="24"/>
          <w:lang w:eastAsia="zh-CN" w:bidi="en-US"/>
        </w:rPr>
      </w:pPr>
      <w:r w:rsidRPr="00AC0CBB">
        <w:rPr>
          <w:rFonts w:cs="SimSun"/>
          <w:szCs w:val="24"/>
          <w:lang w:eastAsia="zh-CN" w:bidi="en-US"/>
        </w:rPr>
        <w:t>4.5</w:t>
      </w:r>
      <w:r w:rsidRPr="00AC0CBB">
        <w:rPr>
          <w:rFonts w:cs="SimSun"/>
          <w:szCs w:val="24"/>
          <w:lang w:eastAsia="zh-CN" w:bidi="en-US"/>
        </w:rPr>
        <w:tab/>
      </w:r>
      <w:r w:rsidRPr="00AC0CBB">
        <w:rPr>
          <w:rFonts w:cs="SimSun" w:hint="eastAsia"/>
          <w:szCs w:val="24"/>
          <w:lang w:eastAsia="zh-CN" w:bidi="en-US"/>
        </w:rPr>
        <w:t>由于</w:t>
      </w:r>
      <w:r w:rsidRPr="00AC0CBB">
        <w:rPr>
          <w:rFonts w:cs="SimSun" w:hint="eastAsia"/>
          <w:szCs w:val="24"/>
          <w:lang w:eastAsia="zh-CN" w:bidi="en-US"/>
        </w:rPr>
        <w:t>IMAC</w:t>
      </w:r>
      <w:r w:rsidRPr="00AC0CBB">
        <w:rPr>
          <w:rFonts w:cs="SimSun" w:hint="eastAsia"/>
          <w:szCs w:val="24"/>
          <w:lang w:eastAsia="zh-CN" w:bidi="en-US"/>
        </w:rPr>
        <w:t>以前曾对</w:t>
      </w:r>
      <w:r w:rsidRPr="00AC0CBB">
        <w:rPr>
          <w:rFonts w:cs="SimSun" w:hint="eastAsia"/>
          <w:szCs w:val="24"/>
          <w:lang w:eastAsia="zh-CN" w:bidi="en-US"/>
        </w:rPr>
        <w:t>IAU</w:t>
      </w:r>
      <w:r w:rsidRPr="00AC0CBB">
        <w:rPr>
          <w:rFonts w:cs="SimSun" w:hint="eastAsia"/>
          <w:szCs w:val="24"/>
          <w:lang w:eastAsia="zh-CN" w:bidi="en-US"/>
        </w:rPr>
        <w:t>的工作范围和有限资源性表示担忧（</w:t>
      </w:r>
      <w:r w:rsidRPr="00AC0CBB">
        <w:rPr>
          <w:rFonts w:cs="SimSun" w:hint="eastAsia"/>
          <w:szCs w:val="24"/>
          <w:lang w:eastAsia="zh-CN" w:bidi="en-US"/>
        </w:rPr>
        <w:t>IMAC</w:t>
      </w:r>
      <w:r w:rsidRPr="00AC0CBB">
        <w:rPr>
          <w:rFonts w:cs="SimSun" w:hint="eastAsia"/>
          <w:szCs w:val="24"/>
          <w:lang w:eastAsia="zh-CN" w:bidi="en-US"/>
        </w:rPr>
        <w:t>的第一、二和三年度报告有</w:t>
      </w:r>
      <w:r w:rsidRPr="00AC0CBB">
        <w:rPr>
          <w:rFonts w:cs="SimSun"/>
          <w:szCs w:val="24"/>
          <w:lang w:eastAsia="zh-CN" w:bidi="en-US"/>
        </w:rPr>
        <w:t>提及</w:t>
      </w:r>
      <w:r w:rsidRPr="00AC0CBB">
        <w:rPr>
          <w:rFonts w:cs="SimSun" w:hint="eastAsia"/>
          <w:szCs w:val="24"/>
          <w:lang w:eastAsia="zh-CN" w:bidi="en-US"/>
        </w:rPr>
        <w:t>），委员会完全赞同外部审计员的意见。</w:t>
      </w:r>
    </w:p>
    <w:p w:rsidR="0093485F" w:rsidRPr="00FB3EE5" w:rsidRDefault="0093485F" w:rsidP="004A47DC">
      <w:pPr>
        <w:pStyle w:val="Heading1"/>
        <w:rPr>
          <w:lang w:eastAsia="zh-CN" w:bidi="en-US"/>
        </w:rPr>
      </w:pPr>
      <w:r w:rsidRPr="00FB3EE5">
        <w:rPr>
          <w:lang w:eastAsia="zh-CN" w:bidi="en-US"/>
        </w:rPr>
        <w:t>5</w:t>
      </w:r>
      <w:r w:rsidRPr="00FB3EE5">
        <w:rPr>
          <w:lang w:eastAsia="zh-CN" w:bidi="en-US"/>
        </w:rPr>
        <w:tab/>
      </w:r>
      <w:r>
        <w:rPr>
          <w:rFonts w:hint="eastAsia"/>
          <w:lang w:eastAsia="zh-CN" w:bidi="en-US"/>
        </w:rPr>
        <w:t>理事会审议</w:t>
      </w:r>
      <w:r>
        <w:rPr>
          <w:rFonts w:hint="eastAsia"/>
          <w:lang w:eastAsia="zh-CN" w:bidi="en-US"/>
        </w:rPr>
        <w:t>IMAC</w:t>
      </w:r>
      <w:r>
        <w:rPr>
          <w:rFonts w:hint="eastAsia"/>
          <w:lang w:eastAsia="zh-CN" w:bidi="en-US"/>
        </w:rPr>
        <w:t>报告和建议的程序问题</w:t>
      </w:r>
    </w:p>
    <w:p w:rsidR="0093485F" w:rsidRPr="00AC0CBB" w:rsidRDefault="0093485F" w:rsidP="0093485F">
      <w:pPr>
        <w:tabs>
          <w:tab w:val="clear" w:pos="794"/>
          <w:tab w:val="clear" w:pos="1191"/>
          <w:tab w:val="clear" w:pos="1588"/>
          <w:tab w:val="clear" w:pos="1985"/>
        </w:tabs>
        <w:overflowPunct/>
        <w:adjustRightInd/>
        <w:spacing w:after="120"/>
        <w:jc w:val="both"/>
        <w:textAlignment w:val="auto"/>
        <w:rPr>
          <w:rFonts w:cs="SimSun"/>
          <w:szCs w:val="24"/>
          <w:lang w:eastAsia="zh-CN" w:bidi="en-US"/>
        </w:rPr>
      </w:pPr>
      <w:r w:rsidRPr="00AC0CBB">
        <w:rPr>
          <w:rFonts w:cs="SimSun"/>
          <w:szCs w:val="24"/>
          <w:lang w:eastAsia="zh-CN" w:bidi="en-US"/>
        </w:rPr>
        <w:t>5.1</w:t>
      </w:r>
      <w:r w:rsidRPr="00AC0CBB">
        <w:rPr>
          <w:rFonts w:cs="SimSun"/>
          <w:szCs w:val="24"/>
          <w:lang w:eastAsia="zh-CN" w:bidi="en-US"/>
        </w:rPr>
        <w:tab/>
      </w:r>
      <w:r w:rsidRPr="00AC0CBB">
        <w:rPr>
          <w:rFonts w:cs="SimSun" w:hint="eastAsia"/>
          <w:szCs w:val="24"/>
          <w:lang w:eastAsia="zh-CN" w:bidi="en-US"/>
        </w:rPr>
        <w:t>理事会在</w:t>
      </w:r>
      <w:r w:rsidRPr="00AC0CBB">
        <w:rPr>
          <w:rFonts w:cs="SimSun" w:hint="eastAsia"/>
          <w:szCs w:val="24"/>
          <w:lang w:eastAsia="zh-CN" w:bidi="en-US"/>
        </w:rPr>
        <w:t>2013</w:t>
      </w:r>
      <w:r w:rsidRPr="00AC0CBB">
        <w:rPr>
          <w:rFonts w:cs="SimSun" w:hint="eastAsia"/>
          <w:szCs w:val="24"/>
          <w:lang w:eastAsia="zh-CN" w:bidi="en-US"/>
        </w:rPr>
        <w:t>年</w:t>
      </w:r>
      <w:r w:rsidRPr="00AC0CBB">
        <w:rPr>
          <w:rFonts w:cs="SimSun" w:hint="eastAsia"/>
          <w:szCs w:val="24"/>
          <w:lang w:eastAsia="zh-CN" w:bidi="en-US"/>
        </w:rPr>
        <w:t>6</w:t>
      </w:r>
      <w:r w:rsidRPr="00AC0CBB">
        <w:rPr>
          <w:rFonts w:cs="SimSun" w:hint="eastAsia"/>
          <w:szCs w:val="24"/>
          <w:lang w:eastAsia="zh-CN" w:bidi="en-US"/>
        </w:rPr>
        <w:t>月审议了</w:t>
      </w:r>
      <w:r w:rsidRPr="00AC0CBB">
        <w:rPr>
          <w:rFonts w:cs="SimSun" w:hint="eastAsia"/>
          <w:szCs w:val="24"/>
          <w:lang w:eastAsia="zh-CN" w:bidi="en-US"/>
        </w:rPr>
        <w:t>IMAC</w:t>
      </w:r>
      <w:r w:rsidRPr="00AC0CBB">
        <w:rPr>
          <w:rFonts w:cs="SimSun" w:hint="eastAsia"/>
          <w:szCs w:val="24"/>
          <w:lang w:eastAsia="zh-CN" w:bidi="en-US"/>
        </w:rPr>
        <w:t>第二年度报告之后，批准了该报告、</w:t>
      </w:r>
      <w:r w:rsidRPr="00AC0CBB">
        <w:rPr>
          <w:rFonts w:cs="SimSun"/>
          <w:szCs w:val="24"/>
          <w:lang w:eastAsia="zh-CN" w:bidi="en-US"/>
        </w:rPr>
        <w:t>尤其各项建议</w:t>
      </w:r>
      <w:r w:rsidRPr="00AC0CBB">
        <w:rPr>
          <w:rFonts w:cs="SimSun" w:hint="eastAsia"/>
          <w:szCs w:val="24"/>
          <w:lang w:eastAsia="zh-CN" w:bidi="en-US"/>
        </w:rPr>
        <w:t>。此程序为国际电联管理机构加强有效问责制规定了透明和适当的流程，有利于取得良好的结果，因为理事会对落实委员会建议及其后续措施的期待是明确的。</w:t>
      </w:r>
    </w:p>
    <w:p w:rsidR="0093485F" w:rsidRPr="00AC0CBB" w:rsidRDefault="0093485F" w:rsidP="0093485F">
      <w:pPr>
        <w:tabs>
          <w:tab w:val="clear" w:pos="794"/>
          <w:tab w:val="clear" w:pos="1191"/>
          <w:tab w:val="clear" w:pos="1588"/>
          <w:tab w:val="clear" w:pos="1985"/>
        </w:tabs>
        <w:overflowPunct/>
        <w:adjustRightInd/>
        <w:spacing w:after="120"/>
        <w:jc w:val="both"/>
        <w:textAlignment w:val="auto"/>
        <w:rPr>
          <w:rFonts w:cs="SimSun"/>
          <w:szCs w:val="24"/>
          <w:lang w:eastAsia="zh-CN" w:bidi="en-US"/>
        </w:rPr>
      </w:pPr>
      <w:r w:rsidRPr="00AC0CBB">
        <w:rPr>
          <w:rFonts w:cs="SimSun"/>
          <w:szCs w:val="24"/>
          <w:lang w:eastAsia="zh-CN" w:bidi="en-US"/>
        </w:rPr>
        <w:t>5.2</w:t>
      </w:r>
      <w:r w:rsidRPr="00AC0CBB">
        <w:rPr>
          <w:rFonts w:cs="SimSun"/>
          <w:szCs w:val="24"/>
          <w:lang w:eastAsia="zh-CN" w:bidi="en-US"/>
        </w:rPr>
        <w:tab/>
      </w:r>
      <w:r w:rsidRPr="00AC0CBB">
        <w:rPr>
          <w:rFonts w:cs="SimSun" w:hint="eastAsia"/>
          <w:szCs w:val="24"/>
          <w:lang w:eastAsia="zh-CN" w:bidi="en-US"/>
        </w:rPr>
        <w:t>2014</w:t>
      </w:r>
      <w:r w:rsidRPr="00AC0CBB">
        <w:rPr>
          <w:rFonts w:cs="SimSun" w:hint="eastAsia"/>
          <w:szCs w:val="24"/>
          <w:lang w:eastAsia="zh-CN" w:bidi="en-US"/>
        </w:rPr>
        <w:t>年</w:t>
      </w:r>
      <w:r w:rsidRPr="00AC0CBB">
        <w:rPr>
          <w:rFonts w:cs="SimSun" w:hint="eastAsia"/>
          <w:szCs w:val="24"/>
          <w:lang w:eastAsia="zh-CN" w:bidi="en-US"/>
        </w:rPr>
        <w:t>IMAC</w:t>
      </w:r>
      <w:r w:rsidRPr="00AC0CBB">
        <w:rPr>
          <w:rFonts w:cs="SimSun" w:hint="eastAsia"/>
          <w:szCs w:val="24"/>
          <w:lang w:eastAsia="zh-CN" w:bidi="en-US"/>
        </w:rPr>
        <w:t>一如既往地提交了报告，请理事会批准报告中的建议，以鼓励有效响应并在</w:t>
      </w:r>
      <w:r w:rsidRPr="00AC0CBB">
        <w:rPr>
          <w:rFonts w:cs="SimSun"/>
          <w:szCs w:val="24"/>
          <w:lang w:eastAsia="zh-CN" w:bidi="en-US"/>
        </w:rPr>
        <w:t>建立良好的问责制方面</w:t>
      </w:r>
      <w:r w:rsidRPr="00AC0CBB">
        <w:rPr>
          <w:rFonts w:cs="SimSun" w:hint="eastAsia"/>
          <w:szCs w:val="24"/>
          <w:lang w:eastAsia="zh-CN" w:bidi="en-US"/>
        </w:rPr>
        <w:t>及时采取措施。如会议进程视频记录所记载的，在讨论结束时，行政与管理常设委员会主席请理事会成员批准</w:t>
      </w:r>
      <w:r w:rsidRPr="00AC0CBB">
        <w:rPr>
          <w:rFonts w:cs="SimSun" w:hint="eastAsia"/>
          <w:szCs w:val="24"/>
          <w:lang w:eastAsia="zh-CN" w:bidi="en-US"/>
        </w:rPr>
        <w:t>IMAC</w:t>
      </w:r>
      <w:r w:rsidRPr="00AC0CBB">
        <w:rPr>
          <w:rFonts w:cs="SimSun" w:hint="eastAsia"/>
          <w:szCs w:val="24"/>
          <w:lang w:eastAsia="zh-CN" w:bidi="en-US"/>
        </w:rPr>
        <w:t>的建议，而且</w:t>
      </w:r>
      <w:r w:rsidRPr="00AC0CBB">
        <w:rPr>
          <w:rFonts w:cs="SimSun"/>
          <w:szCs w:val="24"/>
          <w:lang w:eastAsia="zh-CN" w:bidi="en-US"/>
        </w:rPr>
        <w:t>会议</w:t>
      </w:r>
      <w:r w:rsidRPr="00AC0CBB">
        <w:rPr>
          <w:rFonts w:cs="SimSun" w:hint="eastAsia"/>
          <w:szCs w:val="24"/>
          <w:lang w:eastAsia="zh-CN" w:bidi="en-US"/>
        </w:rPr>
        <w:t>在没有反对意见的情况下确认了这一结论。</w:t>
      </w:r>
    </w:p>
    <w:p w:rsidR="0093485F" w:rsidRPr="00AC0CBB" w:rsidRDefault="0093485F" w:rsidP="00822A51">
      <w:pPr>
        <w:tabs>
          <w:tab w:val="clear" w:pos="794"/>
          <w:tab w:val="clear" w:pos="1191"/>
          <w:tab w:val="clear" w:pos="1588"/>
          <w:tab w:val="clear" w:pos="1985"/>
          <w:tab w:val="left" w:pos="284"/>
        </w:tabs>
        <w:overflowPunct/>
        <w:adjustRightInd/>
        <w:spacing w:after="120"/>
        <w:jc w:val="both"/>
        <w:textAlignment w:val="auto"/>
        <w:rPr>
          <w:rFonts w:cs="SimSun"/>
          <w:szCs w:val="24"/>
          <w:lang w:eastAsia="zh-CN" w:bidi="en-US"/>
        </w:rPr>
      </w:pPr>
      <w:r w:rsidRPr="0067700C">
        <w:rPr>
          <w:rFonts w:cs="SimSun"/>
          <w:spacing w:val="4"/>
          <w:szCs w:val="24"/>
          <w:lang w:eastAsia="zh-CN" w:bidi="en-US"/>
        </w:rPr>
        <w:t>5.3</w:t>
      </w:r>
      <w:r w:rsidR="00822A51" w:rsidRPr="0067700C">
        <w:rPr>
          <w:rFonts w:cs="SimSun"/>
          <w:spacing w:val="4"/>
          <w:szCs w:val="24"/>
          <w:lang w:eastAsia="zh-CN" w:bidi="en-US"/>
        </w:rPr>
        <w:tab/>
      </w:r>
      <w:r w:rsidRPr="0067700C">
        <w:rPr>
          <w:rFonts w:cs="SimSun" w:hint="eastAsia"/>
          <w:spacing w:val="4"/>
          <w:szCs w:val="24"/>
          <w:lang w:eastAsia="zh-CN" w:bidi="en-US"/>
        </w:rPr>
        <w:t>然而，行政与管理常设委员会主席随后发表的报告（</w:t>
      </w:r>
      <w:r w:rsidRPr="0067700C">
        <w:rPr>
          <w:rFonts w:cs="SimSun" w:hint="eastAsia"/>
          <w:spacing w:val="4"/>
          <w:szCs w:val="24"/>
          <w:lang w:eastAsia="zh-CN" w:bidi="en-US"/>
        </w:rPr>
        <w:t>2014</w:t>
      </w:r>
      <w:r w:rsidRPr="0067700C">
        <w:rPr>
          <w:rFonts w:cs="SimSun" w:hint="eastAsia"/>
          <w:spacing w:val="4"/>
          <w:szCs w:val="24"/>
          <w:lang w:eastAsia="zh-CN" w:bidi="en-US"/>
        </w:rPr>
        <w:t>年</w:t>
      </w:r>
      <w:r w:rsidRPr="0067700C">
        <w:rPr>
          <w:rFonts w:cs="SimSun" w:hint="eastAsia"/>
          <w:spacing w:val="4"/>
          <w:szCs w:val="24"/>
          <w:lang w:eastAsia="zh-CN" w:bidi="en-US"/>
        </w:rPr>
        <w:t>5</w:t>
      </w:r>
      <w:r w:rsidRPr="0067700C">
        <w:rPr>
          <w:rFonts w:cs="SimSun" w:hint="eastAsia"/>
          <w:spacing w:val="4"/>
          <w:szCs w:val="24"/>
          <w:lang w:eastAsia="zh-CN" w:bidi="en-US"/>
        </w:rPr>
        <w:t>月</w:t>
      </w:r>
      <w:r w:rsidRPr="0067700C">
        <w:rPr>
          <w:rFonts w:cs="SimSun" w:hint="eastAsia"/>
          <w:spacing w:val="4"/>
          <w:szCs w:val="24"/>
          <w:lang w:eastAsia="zh-CN" w:bidi="en-US"/>
        </w:rPr>
        <w:t>14</w:t>
      </w:r>
      <w:r w:rsidRPr="0067700C">
        <w:rPr>
          <w:rFonts w:cs="SimSun" w:hint="eastAsia"/>
          <w:spacing w:val="4"/>
          <w:szCs w:val="24"/>
          <w:lang w:eastAsia="zh-CN" w:bidi="en-US"/>
        </w:rPr>
        <w:t>日的</w:t>
      </w:r>
      <w:r w:rsidRPr="0067700C">
        <w:rPr>
          <w:rFonts w:cs="SimSun"/>
          <w:spacing w:val="4"/>
          <w:szCs w:val="24"/>
          <w:lang w:eastAsia="zh-CN" w:bidi="en-US"/>
        </w:rPr>
        <w:t>C14/92</w:t>
      </w:r>
      <w:r w:rsidRPr="0067700C">
        <w:rPr>
          <w:rFonts w:cs="SimSun" w:hint="eastAsia"/>
          <w:spacing w:val="4"/>
          <w:szCs w:val="24"/>
          <w:lang w:eastAsia="zh-CN" w:bidi="en-US"/>
        </w:rPr>
        <w:t>号文件，</w:t>
      </w:r>
      <w:r w:rsidRPr="00AC0CBB">
        <w:rPr>
          <w:rFonts w:cs="SimSun"/>
          <w:szCs w:val="24"/>
          <w:lang w:eastAsia="zh-CN" w:bidi="en-US"/>
        </w:rPr>
        <w:t>原文：英文</w:t>
      </w:r>
      <w:r w:rsidRPr="00AC0CBB">
        <w:rPr>
          <w:rFonts w:cs="SimSun" w:hint="eastAsia"/>
          <w:szCs w:val="24"/>
          <w:lang w:eastAsia="zh-CN" w:bidi="en-US"/>
        </w:rPr>
        <w:t>）仅提到理事会应将</w:t>
      </w:r>
      <w:r w:rsidRPr="00AC0CBB">
        <w:rPr>
          <w:rFonts w:cs="SimSun" w:hint="eastAsia"/>
          <w:szCs w:val="24"/>
          <w:lang w:eastAsia="zh-CN" w:bidi="en-US"/>
        </w:rPr>
        <w:t>IMAC</w:t>
      </w:r>
      <w:r w:rsidRPr="00AC0CBB">
        <w:rPr>
          <w:rFonts w:cs="SimSun" w:hint="eastAsia"/>
          <w:szCs w:val="24"/>
          <w:lang w:eastAsia="zh-CN" w:bidi="en-US"/>
        </w:rPr>
        <w:t>的报告和建议记录在案。</w:t>
      </w:r>
    </w:p>
    <w:p w:rsidR="0093485F" w:rsidRPr="00AC0CBB" w:rsidRDefault="0093485F" w:rsidP="00822A51">
      <w:pPr>
        <w:tabs>
          <w:tab w:val="clear" w:pos="794"/>
          <w:tab w:val="clear" w:pos="1191"/>
          <w:tab w:val="clear" w:pos="1588"/>
          <w:tab w:val="clear" w:pos="1985"/>
        </w:tabs>
        <w:overflowPunct/>
        <w:adjustRightInd/>
        <w:spacing w:after="120"/>
        <w:jc w:val="both"/>
        <w:textAlignment w:val="auto"/>
        <w:rPr>
          <w:rFonts w:cs="SimSun"/>
          <w:szCs w:val="24"/>
          <w:lang w:eastAsia="zh-CN" w:bidi="en-US"/>
        </w:rPr>
      </w:pPr>
      <w:r w:rsidRPr="00AC0CBB">
        <w:rPr>
          <w:rFonts w:cs="SimSun"/>
          <w:szCs w:val="24"/>
          <w:lang w:eastAsia="zh-CN" w:bidi="en-US"/>
        </w:rPr>
        <w:t>5.4</w:t>
      </w:r>
      <w:r w:rsidRPr="00AC0CBB">
        <w:rPr>
          <w:rFonts w:cs="SimSun"/>
          <w:szCs w:val="24"/>
          <w:lang w:eastAsia="zh-CN" w:bidi="en-US"/>
        </w:rPr>
        <w:tab/>
      </w:r>
      <w:r w:rsidRPr="00AC0CBB">
        <w:rPr>
          <w:rFonts w:cs="SimSun" w:hint="eastAsia"/>
          <w:szCs w:val="24"/>
          <w:lang w:eastAsia="zh-CN" w:bidi="en-US"/>
        </w:rPr>
        <w:t>虽然理事会完全具有</w:t>
      </w:r>
      <w:r w:rsidRPr="00AC0CBB">
        <w:rPr>
          <w:rFonts w:cs="SimSun"/>
          <w:szCs w:val="24"/>
          <w:lang w:eastAsia="zh-CN" w:bidi="en-US"/>
        </w:rPr>
        <w:t>决定如何进展</w:t>
      </w:r>
      <w:r w:rsidRPr="00AC0CBB">
        <w:rPr>
          <w:rFonts w:cs="SimSun" w:hint="eastAsia"/>
          <w:szCs w:val="24"/>
          <w:lang w:eastAsia="zh-CN" w:bidi="en-US"/>
        </w:rPr>
        <w:t>的裁量权和</w:t>
      </w:r>
      <w:r w:rsidRPr="00AC0CBB">
        <w:rPr>
          <w:rFonts w:cs="SimSun"/>
          <w:szCs w:val="24"/>
          <w:lang w:eastAsia="zh-CN" w:bidi="en-US"/>
        </w:rPr>
        <w:t>权威</w:t>
      </w:r>
      <w:r w:rsidRPr="00AC0CBB">
        <w:rPr>
          <w:rFonts w:cs="SimSun" w:hint="eastAsia"/>
          <w:szCs w:val="24"/>
          <w:lang w:eastAsia="zh-CN" w:bidi="en-US"/>
        </w:rPr>
        <w:t>，但是这一结果似乎并未</w:t>
      </w:r>
      <w:r w:rsidR="00822A51" w:rsidRPr="00AC0CBB">
        <w:rPr>
          <w:rFonts w:cs="SimSun" w:hint="eastAsia"/>
          <w:szCs w:val="24"/>
          <w:lang w:eastAsia="zh-CN" w:bidi="en-US"/>
        </w:rPr>
        <w:t>反映</w:t>
      </w:r>
      <w:r w:rsidR="00822A51" w:rsidRPr="00AC0CBB">
        <w:rPr>
          <w:rFonts w:cs="SimSun" w:hint="eastAsia"/>
          <w:szCs w:val="24"/>
          <w:lang w:eastAsia="zh-CN" w:bidi="en-US"/>
        </w:rPr>
        <w:t>7</w:t>
      </w:r>
      <w:r w:rsidRPr="00AC0CBB">
        <w:rPr>
          <w:rFonts w:cs="SimSun" w:hint="eastAsia"/>
          <w:szCs w:val="24"/>
          <w:lang w:eastAsia="zh-CN" w:bidi="en-US"/>
        </w:rPr>
        <w:t>出讨论</w:t>
      </w:r>
      <w:r w:rsidRPr="00AC0CBB">
        <w:rPr>
          <w:rFonts w:cs="SimSun" w:hint="eastAsia"/>
          <w:szCs w:val="24"/>
          <w:lang w:eastAsia="zh-CN" w:bidi="en-US"/>
        </w:rPr>
        <w:t>IMAC</w:t>
      </w:r>
      <w:r w:rsidRPr="00AC0CBB">
        <w:rPr>
          <w:rFonts w:cs="SimSun" w:hint="eastAsia"/>
          <w:szCs w:val="24"/>
          <w:lang w:eastAsia="zh-CN" w:bidi="en-US"/>
        </w:rPr>
        <w:t>报告的</w:t>
      </w:r>
      <w:r w:rsidRPr="00AC0CBB">
        <w:rPr>
          <w:rFonts w:cs="SimSun"/>
          <w:szCs w:val="24"/>
          <w:lang w:eastAsia="zh-CN" w:bidi="en-US"/>
        </w:rPr>
        <w:t>那节会议</w:t>
      </w:r>
      <w:r w:rsidRPr="00AC0CBB">
        <w:rPr>
          <w:rFonts w:cs="SimSun" w:hint="eastAsia"/>
          <w:szCs w:val="24"/>
          <w:lang w:eastAsia="zh-CN" w:bidi="en-US"/>
        </w:rPr>
        <w:t>所做出的明确而具体的决定；另外，仅要求管理机构注意某项结果无助于相关</w:t>
      </w:r>
      <w:r w:rsidRPr="00AC0CBB">
        <w:rPr>
          <w:rFonts w:cs="SimSun"/>
          <w:szCs w:val="24"/>
          <w:lang w:eastAsia="zh-CN" w:bidi="en-US"/>
        </w:rPr>
        <w:t>各方对</w:t>
      </w:r>
      <w:r w:rsidRPr="00AC0CBB">
        <w:rPr>
          <w:rFonts w:cs="SimSun" w:hint="eastAsia"/>
          <w:szCs w:val="24"/>
          <w:lang w:eastAsia="zh-CN" w:bidi="en-US"/>
        </w:rPr>
        <w:t>这些建议落实情况</w:t>
      </w:r>
      <w:r w:rsidRPr="00AC0CBB">
        <w:rPr>
          <w:rFonts w:cs="SimSun"/>
          <w:szCs w:val="24"/>
          <w:lang w:eastAsia="zh-CN" w:bidi="en-US"/>
        </w:rPr>
        <w:t>的跟进</w:t>
      </w:r>
      <w:r w:rsidRPr="00AC0CBB">
        <w:rPr>
          <w:rFonts w:cs="SimSun" w:hint="eastAsia"/>
          <w:szCs w:val="24"/>
          <w:lang w:eastAsia="zh-CN" w:bidi="en-US"/>
        </w:rPr>
        <w:t>，也无益于按照管理机构的期待建立起明晰的问责制。为按照理事会的期待对管理层落实建议情况</w:t>
      </w:r>
      <w:r w:rsidRPr="00AC0CBB">
        <w:rPr>
          <w:rFonts w:cs="SimSun"/>
          <w:szCs w:val="24"/>
          <w:lang w:eastAsia="zh-CN" w:bidi="en-US"/>
        </w:rPr>
        <w:t>实行</w:t>
      </w:r>
      <w:r w:rsidRPr="00AC0CBB">
        <w:rPr>
          <w:rFonts w:cs="SimSun" w:hint="eastAsia"/>
          <w:szCs w:val="24"/>
          <w:lang w:eastAsia="zh-CN" w:bidi="en-US"/>
        </w:rPr>
        <w:t>有效监督，</w:t>
      </w:r>
      <w:r w:rsidRPr="00AC0CBB">
        <w:rPr>
          <w:rFonts w:cs="SimSun" w:hint="eastAsia"/>
          <w:szCs w:val="24"/>
          <w:lang w:eastAsia="zh-CN" w:bidi="en-US"/>
        </w:rPr>
        <w:t>IMAC</w:t>
      </w:r>
      <w:r w:rsidRPr="00AC0CBB">
        <w:rPr>
          <w:rFonts w:cs="SimSun" w:hint="eastAsia"/>
          <w:szCs w:val="24"/>
          <w:lang w:eastAsia="zh-CN" w:bidi="en-US"/>
        </w:rPr>
        <w:t>恳请理事会对其立场进行澄清。</w:t>
      </w:r>
    </w:p>
    <w:p w:rsidR="0093485F" w:rsidRPr="00FB3EE5" w:rsidRDefault="0093485F" w:rsidP="004A47DC">
      <w:pPr>
        <w:pStyle w:val="Heading1"/>
        <w:rPr>
          <w:bCs/>
          <w:lang w:eastAsia="zh-CN" w:bidi="en-US"/>
        </w:rPr>
      </w:pPr>
      <w:r w:rsidRPr="00FB3EE5">
        <w:rPr>
          <w:lang w:eastAsia="zh-CN" w:bidi="en-US"/>
        </w:rPr>
        <w:t>6</w:t>
      </w:r>
      <w:r w:rsidRPr="00FB3EE5">
        <w:rPr>
          <w:lang w:eastAsia="zh-CN" w:bidi="en-US"/>
        </w:rPr>
        <w:tab/>
      </w:r>
      <w:r>
        <w:rPr>
          <w:rFonts w:hint="eastAsia"/>
          <w:lang w:eastAsia="zh-CN" w:bidi="en-US"/>
        </w:rPr>
        <w:t>理事会审议</w:t>
      </w:r>
      <w:r>
        <w:rPr>
          <w:rFonts w:hint="eastAsia"/>
          <w:lang w:eastAsia="zh-CN" w:bidi="en-US"/>
        </w:rPr>
        <w:t>2014</w:t>
      </w:r>
      <w:r>
        <w:rPr>
          <w:rFonts w:hint="eastAsia"/>
          <w:lang w:eastAsia="zh-CN" w:bidi="en-US"/>
        </w:rPr>
        <w:t>年外部审计员</w:t>
      </w:r>
      <w:r>
        <w:rPr>
          <w:rFonts w:hint="eastAsia"/>
          <w:lang w:eastAsia="zh-CN" w:bidi="en-US"/>
        </w:rPr>
        <w:t>2014</w:t>
      </w:r>
      <w:r>
        <w:rPr>
          <w:rFonts w:hint="eastAsia"/>
          <w:lang w:eastAsia="zh-CN" w:bidi="en-US"/>
        </w:rPr>
        <w:t>年报告的时间</w:t>
      </w:r>
    </w:p>
    <w:p w:rsidR="0093485F" w:rsidRPr="00AC0CBB" w:rsidRDefault="0093485F" w:rsidP="00AF4902">
      <w:pPr>
        <w:rPr>
          <w:szCs w:val="24"/>
          <w:lang w:eastAsia="zh-CN"/>
        </w:rPr>
      </w:pPr>
      <w:r w:rsidRPr="00AC0CBB">
        <w:rPr>
          <w:szCs w:val="24"/>
          <w:lang w:eastAsia="zh-CN" w:bidi="en-US"/>
        </w:rPr>
        <w:t>6.1</w:t>
      </w:r>
      <w:r w:rsidRPr="00AC0CBB">
        <w:rPr>
          <w:szCs w:val="24"/>
          <w:lang w:eastAsia="zh-CN" w:bidi="en-US"/>
        </w:rPr>
        <w:tab/>
      </w:r>
      <w:r w:rsidRPr="00AC0CBB">
        <w:rPr>
          <w:rFonts w:hint="eastAsia"/>
          <w:szCs w:val="24"/>
          <w:lang w:eastAsia="zh-CN" w:bidi="en-US"/>
        </w:rPr>
        <w:t>最后，</w:t>
      </w:r>
      <w:r w:rsidRPr="00AC0CBB">
        <w:rPr>
          <w:rFonts w:hint="eastAsia"/>
          <w:szCs w:val="24"/>
          <w:lang w:eastAsia="zh-CN" w:bidi="en-US"/>
        </w:rPr>
        <w:t>IMAC</w:t>
      </w:r>
      <w:r w:rsidRPr="00AC0CBB">
        <w:rPr>
          <w:rFonts w:hint="eastAsia"/>
          <w:szCs w:val="24"/>
          <w:lang w:eastAsia="zh-CN" w:bidi="en-US"/>
        </w:rPr>
        <w:t>希望提</w:t>
      </w:r>
      <w:r w:rsidRPr="00AC0CBB">
        <w:rPr>
          <w:rFonts w:hint="eastAsia"/>
          <w:caps/>
          <w:szCs w:val="24"/>
          <w:lang w:eastAsia="zh-CN" w:bidi="en-US"/>
        </w:rPr>
        <w:t>请</w:t>
      </w:r>
      <w:r w:rsidRPr="00AC0CBB">
        <w:rPr>
          <w:rFonts w:hint="eastAsia"/>
          <w:szCs w:val="24"/>
          <w:lang w:eastAsia="zh-CN" w:bidi="en-US"/>
        </w:rPr>
        <w:t>理事会注意有关审议</w:t>
      </w:r>
      <w:r w:rsidRPr="00AC0CBB">
        <w:rPr>
          <w:rFonts w:hint="eastAsia"/>
          <w:szCs w:val="24"/>
          <w:lang w:eastAsia="zh-CN" w:bidi="en-US"/>
        </w:rPr>
        <w:t>2014</w:t>
      </w:r>
      <w:r w:rsidRPr="00AC0CBB">
        <w:rPr>
          <w:rFonts w:hint="eastAsia"/>
          <w:szCs w:val="24"/>
          <w:lang w:eastAsia="zh-CN" w:bidi="en-US"/>
        </w:rPr>
        <w:t>年外部审计员报告的一个管理问题。</w:t>
      </w:r>
      <w:r w:rsidRPr="00AC0CBB">
        <w:rPr>
          <w:rFonts w:hint="eastAsia"/>
          <w:szCs w:val="24"/>
          <w:lang w:eastAsia="zh-CN" w:bidi="en-US"/>
        </w:rPr>
        <w:t>IMAC</w:t>
      </w:r>
      <w:r w:rsidRPr="00AC0CBB">
        <w:rPr>
          <w:rFonts w:hint="eastAsia"/>
          <w:szCs w:val="24"/>
          <w:lang w:eastAsia="zh-CN" w:bidi="en-US"/>
        </w:rPr>
        <w:t>注意到，今年以及往年，理事会在所审计财年的下一年才审议外部审计员的报告。</w:t>
      </w:r>
      <w:r w:rsidRPr="00AC0CBB">
        <w:rPr>
          <w:rFonts w:hint="eastAsia"/>
          <w:caps/>
          <w:szCs w:val="24"/>
          <w:lang w:eastAsia="zh-CN" w:bidi="en-US"/>
        </w:rPr>
        <w:t>这通常</w:t>
      </w:r>
      <w:r w:rsidRPr="00AC0CBB">
        <w:rPr>
          <w:rFonts w:hint="eastAsia"/>
          <w:szCs w:val="24"/>
          <w:lang w:eastAsia="zh-CN" w:bidi="en-US"/>
        </w:rPr>
        <w:t>被认为是好的做法，因为这样可以</w:t>
      </w:r>
      <w:r w:rsidRPr="00AC0CBB">
        <w:rPr>
          <w:rFonts w:hint="eastAsia"/>
          <w:caps/>
          <w:szCs w:val="24"/>
          <w:lang w:eastAsia="zh-CN" w:bidi="en-US"/>
        </w:rPr>
        <w:t>使</w:t>
      </w:r>
      <w:r w:rsidRPr="00AC0CBB">
        <w:rPr>
          <w:caps/>
          <w:szCs w:val="24"/>
          <w:lang w:eastAsia="zh-CN" w:bidi="en-US"/>
        </w:rPr>
        <w:t>国际电联的管理机构</w:t>
      </w:r>
      <w:r w:rsidRPr="00AC0CBB">
        <w:rPr>
          <w:rFonts w:hint="eastAsia"/>
          <w:szCs w:val="24"/>
          <w:lang w:eastAsia="zh-CN" w:bidi="en-US"/>
        </w:rPr>
        <w:t>对账目状况进行审查，</w:t>
      </w:r>
      <w:r w:rsidRPr="00AC0CBB">
        <w:rPr>
          <w:rFonts w:hint="eastAsia"/>
          <w:caps/>
          <w:szCs w:val="24"/>
          <w:lang w:eastAsia="zh-CN" w:bidi="en-US"/>
        </w:rPr>
        <w:t>而且</w:t>
      </w:r>
      <w:r w:rsidRPr="00AC0CBB">
        <w:rPr>
          <w:rFonts w:hint="eastAsia"/>
          <w:szCs w:val="24"/>
          <w:lang w:eastAsia="zh-CN" w:bidi="en-US"/>
        </w:rPr>
        <w:t>如</w:t>
      </w:r>
      <w:r w:rsidRPr="00AC0CBB">
        <w:rPr>
          <w:rFonts w:hint="eastAsia"/>
          <w:caps/>
          <w:szCs w:val="24"/>
          <w:lang w:eastAsia="zh-CN" w:bidi="en-US"/>
        </w:rPr>
        <w:t>有</w:t>
      </w:r>
      <w:r w:rsidRPr="00AC0CBB">
        <w:rPr>
          <w:caps/>
          <w:szCs w:val="24"/>
          <w:lang w:eastAsia="zh-CN" w:bidi="en-US"/>
        </w:rPr>
        <w:t>必要，</w:t>
      </w:r>
      <w:r w:rsidRPr="00AC0CBB">
        <w:rPr>
          <w:rFonts w:hint="eastAsia"/>
          <w:szCs w:val="24"/>
          <w:lang w:eastAsia="zh-CN" w:bidi="en-US"/>
        </w:rPr>
        <w:t>可在下一财年结束前采取措施。但是，</w:t>
      </w:r>
      <w:r w:rsidRPr="00AC0CBB">
        <w:rPr>
          <w:rFonts w:hint="eastAsia"/>
          <w:caps/>
          <w:szCs w:val="24"/>
          <w:lang w:eastAsia="zh-CN" w:bidi="en-US"/>
        </w:rPr>
        <w:t>现在</w:t>
      </w:r>
      <w:r w:rsidRPr="00AC0CBB">
        <w:rPr>
          <w:caps/>
          <w:szCs w:val="24"/>
          <w:lang w:eastAsia="zh-CN" w:bidi="en-US"/>
        </w:rPr>
        <w:t>看来，</w:t>
      </w:r>
      <w:r w:rsidRPr="00AC0CBB">
        <w:rPr>
          <w:rFonts w:hint="eastAsia"/>
          <w:szCs w:val="24"/>
          <w:lang w:eastAsia="zh-CN" w:bidi="en-US"/>
        </w:rPr>
        <w:t>2015</w:t>
      </w:r>
      <w:r w:rsidRPr="00AC0CBB">
        <w:rPr>
          <w:rFonts w:hint="eastAsia"/>
          <w:szCs w:val="24"/>
          <w:lang w:eastAsia="zh-CN" w:bidi="en-US"/>
        </w:rPr>
        <w:t>年</w:t>
      </w:r>
      <w:r w:rsidRPr="00AC0CBB">
        <w:rPr>
          <w:rFonts w:hint="eastAsia"/>
          <w:caps/>
          <w:szCs w:val="24"/>
          <w:lang w:eastAsia="zh-CN" w:bidi="en-US"/>
        </w:rPr>
        <w:t>时</w:t>
      </w:r>
      <w:r w:rsidRPr="00AC0CBB">
        <w:rPr>
          <w:rFonts w:hint="eastAsia"/>
          <w:szCs w:val="24"/>
          <w:lang w:eastAsia="zh-CN" w:bidi="en-US"/>
        </w:rPr>
        <w:t>无法在理事会</w:t>
      </w:r>
      <w:r w:rsidRPr="00AC0CBB">
        <w:rPr>
          <w:rFonts w:hint="eastAsia"/>
          <w:szCs w:val="24"/>
          <w:lang w:eastAsia="zh-CN" w:bidi="en-US"/>
        </w:rPr>
        <w:t>5</w:t>
      </w:r>
      <w:r w:rsidRPr="00AC0CBB">
        <w:rPr>
          <w:rFonts w:hint="eastAsia"/>
          <w:caps/>
          <w:szCs w:val="24"/>
          <w:lang w:eastAsia="zh-CN" w:bidi="en-US"/>
        </w:rPr>
        <w:t>月份会议前及时完成外部</w:t>
      </w:r>
      <w:r w:rsidRPr="00AC0CBB">
        <w:rPr>
          <w:caps/>
          <w:szCs w:val="24"/>
          <w:lang w:eastAsia="zh-CN" w:bidi="en-US"/>
        </w:rPr>
        <w:t>审计员报告</w:t>
      </w:r>
      <w:r w:rsidRPr="00AC0CBB">
        <w:rPr>
          <w:rFonts w:hint="eastAsia"/>
          <w:szCs w:val="24"/>
          <w:lang w:eastAsia="zh-CN" w:bidi="en-US"/>
        </w:rPr>
        <w:t>。因此，理事会只有到</w:t>
      </w:r>
      <w:r w:rsidRPr="00AC0CBB">
        <w:rPr>
          <w:rFonts w:hint="eastAsia"/>
          <w:szCs w:val="24"/>
          <w:lang w:eastAsia="zh-CN" w:bidi="en-US"/>
        </w:rPr>
        <w:t>2016</w:t>
      </w:r>
      <w:r w:rsidRPr="00AC0CBB">
        <w:rPr>
          <w:rFonts w:hint="eastAsia"/>
          <w:szCs w:val="24"/>
          <w:lang w:eastAsia="zh-CN" w:bidi="en-US"/>
        </w:rPr>
        <w:t>年，即国际电联财年</w:t>
      </w:r>
      <w:r w:rsidRPr="00AC0CBB">
        <w:rPr>
          <w:rFonts w:hint="eastAsia"/>
          <w:caps/>
          <w:szCs w:val="24"/>
          <w:lang w:eastAsia="zh-CN" w:bidi="en-US"/>
        </w:rPr>
        <w:t>结束</w:t>
      </w:r>
      <w:r w:rsidRPr="00AC0CBB">
        <w:rPr>
          <w:rFonts w:hint="eastAsia"/>
          <w:szCs w:val="24"/>
          <w:lang w:eastAsia="zh-CN" w:bidi="en-US"/>
        </w:rPr>
        <w:t>一年半以后，才有机会对</w:t>
      </w:r>
      <w:r w:rsidRPr="00AC0CBB">
        <w:rPr>
          <w:rFonts w:hint="eastAsia"/>
          <w:szCs w:val="24"/>
          <w:lang w:eastAsia="zh-CN" w:bidi="en-US"/>
        </w:rPr>
        <w:t>2014</w:t>
      </w:r>
      <w:r w:rsidRPr="00AC0CBB">
        <w:rPr>
          <w:rFonts w:hint="eastAsia"/>
          <w:szCs w:val="24"/>
          <w:lang w:eastAsia="zh-CN" w:bidi="en-US"/>
        </w:rPr>
        <w:t>年的报告进行审查。因此，理事会</w:t>
      </w:r>
      <w:r w:rsidRPr="00AC0CBB">
        <w:rPr>
          <w:rFonts w:hint="eastAsia"/>
          <w:caps/>
          <w:szCs w:val="24"/>
          <w:lang w:eastAsia="zh-CN" w:bidi="en-US"/>
        </w:rPr>
        <w:t>可能</w:t>
      </w:r>
      <w:r w:rsidRPr="00AC0CBB">
        <w:rPr>
          <w:rFonts w:hint="eastAsia"/>
          <w:szCs w:val="24"/>
          <w:lang w:eastAsia="zh-CN" w:bidi="en-US"/>
        </w:rPr>
        <w:t>希望与外部审计员讨论一下</w:t>
      </w:r>
      <w:r w:rsidRPr="00AC0CBB">
        <w:rPr>
          <w:rFonts w:hint="eastAsia"/>
          <w:caps/>
          <w:szCs w:val="24"/>
          <w:lang w:eastAsia="zh-CN" w:bidi="en-US"/>
        </w:rPr>
        <w:t>确保</w:t>
      </w:r>
      <w:r w:rsidRPr="00AC0CBB">
        <w:rPr>
          <w:rFonts w:hint="eastAsia"/>
          <w:szCs w:val="24"/>
          <w:lang w:eastAsia="zh-CN" w:bidi="en-US"/>
        </w:rPr>
        <w:t>2014</w:t>
      </w:r>
      <w:r w:rsidRPr="00AC0CBB">
        <w:rPr>
          <w:rFonts w:hint="eastAsia"/>
          <w:szCs w:val="24"/>
          <w:lang w:eastAsia="zh-CN" w:bidi="en-US"/>
        </w:rPr>
        <w:t>年审计</w:t>
      </w:r>
      <w:r w:rsidRPr="00AC0CBB">
        <w:rPr>
          <w:rFonts w:hint="eastAsia"/>
          <w:caps/>
          <w:szCs w:val="24"/>
          <w:lang w:eastAsia="zh-CN" w:bidi="en-US"/>
        </w:rPr>
        <w:t>员</w:t>
      </w:r>
      <w:r w:rsidRPr="00AC0CBB">
        <w:rPr>
          <w:rFonts w:hint="eastAsia"/>
          <w:szCs w:val="24"/>
          <w:lang w:eastAsia="zh-CN" w:bidi="en-US"/>
        </w:rPr>
        <w:t>报告得到</w:t>
      </w:r>
      <w:r w:rsidRPr="00AC0CBB">
        <w:rPr>
          <w:rFonts w:hint="eastAsia"/>
          <w:caps/>
          <w:szCs w:val="24"/>
          <w:lang w:eastAsia="zh-CN" w:bidi="en-US"/>
        </w:rPr>
        <w:t>及时</w:t>
      </w:r>
      <w:r w:rsidRPr="00AC0CBB">
        <w:rPr>
          <w:rFonts w:hint="eastAsia"/>
          <w:szCs w:val="24"/>
          <w:lang w:eastAsia="zh-CN" w:bidi="en-US"/>
        </w:rPr>
        <w:t>审议</w:t>
      </w:r>
      <w:r w:rsidRPr="00AC0CBB">
        <w:rPr>
          <w:rFonts w:hint="eastAsia"/>
          <w:caps/>
          <w:szCs w:val="24"/>
          <w:lang w:eastAsia="zh-CN" w:bidi="en-US"/>
        </w:rPr>
        <w:t>的</w:t>
      </w:r>
      <w:r w:rsidRPr="00AC0CBB">
        <w:rPr>
          <w:caps/>
          <w:szCs w:val="24"/>
          <w:lang w:eastAsia="zh-CN" w:bidi="en-US"/>
        </w:rPr>
        <w:t>备选方案</w:t>
      </w:r>
      <w:r w:rsidRPr="00AC0CBB">
        <w:rPr>
          <w:rFonts w:hint="eastAsia"/>
          <w:szCs w:val="24"/>
          <w:lang w:eastAsia="zh-CN" w:bidi="en-US"/>
        </w:rPr>
        <w:t>。</w:t>
      </w:r>
    </w:p>
    <w:p w:rsidR="00B84451" w:rsidRPr="00AF4902" w:rsidRDefault="00B84451" w:rsidP="0032202E">
      <w:pPr>
        <w:pStyle w:val="Reasons"/>
        <w:rPr>
          <w:szCs w:val="24"/>
          <w:lang w:eastAsia="zh-CN"/>
        </w:rPr>
      </w:pPr>
    </w:p>
    <w:p w:rsidR="00B84451" w:rsidRDefault="00B84451">
      <w:pPr>
        <w:jc w:val="center"/>
      </w:pPr>
      <w:r>
        <w:t>______________</w:t>
      </w:r>
    </w:p>
    <w:p w:rsidR="00347010" w:rsidRDefault="00347010" w:rsidP="00347010">
      <w:pPr>
        <w:jc w:val="center"/>
      </w:pPr>
    </w:p>
    <w:sectPr w:rsidR="00347010" w:rsidSect="00C660BB">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82B" w:rsidRDefault="003D382B">
      <w:r>
        <w:separator/>
      </w:r>
    </w:p>
  </w:endnote>
  <w:endnote w:type="continuationSeparator" w:id="0">
    <w:p w:rsidR="003D382B" w:rsidRDefault="003D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5F" w:rsidRDefault="00133C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GoBack"/>
  <w:p w:rsidR="0093485F" w:rsidRPr="00133C5F" w:rsidRDefault="003D382B" w:rsidP="00153079">
    <w:pPr>
      <w:pStyle w:val="Footer"/>
      <w:rPr>
        <w:color w:val="FFFFFF" w:themeColor="background1"/>
        <w:lang w:val="fr-CH"/>
      </w:rPr>
    </w:pPr>
    <w:r w:rsidRPr="00133C5F">
      <w:rPr>
        <w:color w:val="FFFFFF" w:themeColor="background1"/>
      </w:rPr>
      <w:fldChar w:fldCharType="begin"/>
    </w:r>
    <w:r w:rsidRPr="00133C5F">
      <w:rPr>
        <w:color w:val="FFFFFF" w:themeColor="background1"/>
      </w:rPr>
      <w:instrText xml:space="preserve"> FILENAME \p  \* MERGEFORMAT </w:instrText>
    </w:r>
    <w:r w:rsidRPr="00133C5F">
      <w:rPr>
        <w:color w:val="FFFFFF" w:themeColor="background1"/>
      </w:rPr>
      <w:fldChar w:fldCharType="separate"/>
    </w:r>
    <w:r w:rsidR="009171B1" w:rsidRPr="00133C5F">
      <w:rPr>
        <w:color w:val="FFFFFF" w:themeColor="background1"/>
      </w:rPr>
      <w:t>P:\CHI\SG\CONSEIL\C14\000\022ADD1C.docx</w:t>
    </w:r>
    <w:r w:rsidRPr="00133C5F">
      <w:rPr>
        <w:color w:val="FFFFFF" w:themeColor="background1"/>
      </w:rPr>
      <w:fldChar w:fldCharType="end"/>
    </w:r>
    <w:r w:rsidR="0093485F" w:rsidRPr="00133C5F">
      <w:rPr>
        <w:rFonts w:hint="eastAsia"/>
        <w:color w:val="FFFFFF" w:themeColor="background1"/>
        <w:lang w:eastAsia="zh-CN"/>
      </w:rPr>
      <w:t xml:space="preserve"> (</w:t>
    </w:r>
    <w:r w:rsidR="0093485F" w:rsidRPr="00133C5F">
      <w:rPr>
        <w:color w:val="FFFFFF" w:themeColor="background1"/>
        <w:lang w:eastAsia="zh-CN"/>
      </w:rPr>
      <w:t>368854</w:t>
    </w:r>
    <w:r w:rsidR="0093485F" w:rsidRPr="00133C5F">
      <w:rPr>
        <w:rFonts w:hint="eastAsia"/>
        <w:color w:val="FFFFFF" w:themeColor="background1"/>
        <w:lang w:eastAsia="zh-CN"/>
      </w:rPr>
      <w:t>)</w:t>
    </w:r>
    <w:r w:rsidR="0093485F" w:rsidRPr="00133C5F">
      <w:rPr>
        <w:color w:val="FFFFFF" w:themeColor="background1"/>
      </w:rPr>
      <w:tab/>
    </w:r>
    <w:r w:rsidR="0093485F" w:rsidRPr="00133C5F">
      <w:rPr>
        <w:color w:val="FFFFFF" w:themeColor="background1"/>
      </w:rPr>
      <w:fldChar w:fldCharType="begin"/>
    </w:r>
    <w:r w:rsidR="0093485F" w:rsidRPr="00133C5F">
      <w:rPr>
        <w:color w:val="FFFFFF" w:themeColor="background1"/>
      </w:rPr>
      <w:instrText xml:space="preserve"> SAVEDATE \@ DD.MM.YY </w:instrText>
    </w:r>
    <w:r w:rsidR="0093485F" w:rsidRPr="00133C5F">
      <w:rPr>
        <w:color w:val="FFFFFF" w:themeColor="background1"/>
      </w:rPr>
      <w:fldChar w:fldCharType="separate"/>
    </w:r>
    <w:r w:rsidR="00133C5F" w:rsidRPr="00133C5F">
      <w:rPr>
        <w:color w:val="FFFFFF" w:themeColor="background1"/>
      </w:rPr>
      <w:t>03.10.14</w:t>
    </w:r>
    <w:r w:rsidR="0093485F" w:rsidRPr="00133C5F">
      <w:rPr>
        <w:color w:val="FFFFFF" w:themeColor="background1"/>
      </w:rPr>
      <w:fldChar w:fldCharType="end"/>
    </w:r>
    <w:r w:rsidR="0093485F" w:rsidRPr="00133C5F">
      <w:rPr>
        <w:color w:val="FFFFFF" w:themeColor="background1"/>
      </w:rPr>
      <w:tab/>
    </w:r>
    <w:r w:rsidR="0093485F" w:rsidRPr="00133C5F">
      <w:rPr>
        <w:color w:val="FFFFFF" w:themeColor="background1"/>
      </w:rPr>
      <w:fldChar w:fldCharType="begin"/>
    </w:r>
    <w:r w:rsidR="0093485F" w:rsidRPr="00133C5F">
      <w:rPr>
        <w:color w:val="FFFFFF" w:themeColor="background1"/>
      </w:rPr>
      <w:instrText xml:space="preserve"> PRINTDATE \@ DD.MM.YY </w:instrText>
    </w:r>
    <w:r w:rsidR="0093485F" w:rsidRPr="00133C5F">
      <w:rPr>
        <w:color w:val="FFFFFF" w:themeColor="background1"/>
      </w:rPr>
      <w:fldChar w:fldCharType="separate"/>
    </w:r>
    <w:r w:rsidR="009171B1" w:rsidRPr="00133C5F">
      <w:rPr>
        <w:color w:val="FFFFFF" w:themeColor="background1"/>
      </w:rPr>
      <w:t>03.10.14</w:t>
    </w:r>
    <w:r w:rsidR="0093485F" w:rsidRPr="00133C5F">
      <w:rPr>
        <w:color w:val="FFFFFF" w:themeColor="background1"/>
      </w:rPr>
      <w:fldChar w:fldCharType="end"/>
    </w:r>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03" w:rsidRPr="008B0A03" w:rsidRDefault="008B0A03" w:rsidP="008B0A03">
    <w:pPr>
      <w:spacing w:after="120"/>
      <w:jc w:val="center"/>
      <w:rPr>
        <w:lang w:val="fr-CH"/>
      </w:rPr>
    </w:pPr>
    <w:r w:rsidRPr="008B0A03">
      <w:rPr>
        <w:lang w:val="fr-CH"/>
      </w:rPr>
      <w:t xml:space="preserve">• </w:t>
    </w:r>
    <w:hyperlink r:id="rId1" w:history="1">
      <w:r w:rsidRPr="008B0A03">
        <w:rPr>
          <w:color w:val="0000FF"/>
          <w:u w:val="single"/>
          <w:lang w:val="fr-CH"/>
        </w:rPr>
        <w:t>http://www.itu.int/council</w:t>
      </w:r>
    </w:hyperlink>
    <w:r w:rsidRPr="008B0A03">
      <w:rPr>
        <w:lang w:val="fr-CH"/>
      </w:rPr>
      <w:t xml:space="preserve"> •</w:t>
    </w:r>
  </w:p>
  <w:p w:rsidR="00C660BB" w:rsidRPr="00C660BB" w:rsidRDefault="00C660BB" w:rsidP="00C660BB">
    <w:pPr>
      <w:tabs>
        <w:tab w:val="clear" w:pos="794"/>
        <w:tab w:val="clear" w:pos="1191"/>
        <w:tab w:val="clear" w:pos="1588"/>
        <w:tab w:val="clear" w:pos="1985"/>
        <w:tab w:val="left" w:pos="6521"/>
        <w:tab w:val="right" w:pos="9639"/>
      </w:tabs>
      <w:spacing w:before="0"/>
      <w:rPr>
        <w:caps/>
        <w:noProof/>
        <w:sz w:val="16"/>
        <w:lang w:val="fr-FR"/>
      </w:rPr>
    </w:pPr>
  </w:p>
  <w:p w:rsidR="00C660BB" w:rsidRPr="00133C5F" w:rsidRDefault="003D382B" w:rsidP="00153079">
    <w:pPr>
      <w:pStyle w:val="Footer"/>
      <w:rPr>
        <w:color w:val="FFFFFF" w:themeColor="background1"/>
      </w:rPr>
    </w:pPr>
    <w:r w:rsidRPr="00133C5F">
      <w:rPr>
        <w:color w:val="FFFFFF" w:themeColor="background1"/>
      </w:rPr>
      <w:fldChar w:fldCharType="begin"/>
    </w:r>
    <w:r w:rsidRPr="00133C5F">
      <w:rPr>
        <w:color w:val="FFFFFF" w:themeColor="background1"/>
      </w:rPr>
      <w:instrText xml:space="preserve"> FILENAME \p  \* MERGEFORMAT </w:instrText>
    </w:r>
    <w:r w:rsidRPr="00133C5F">
      <w:rPr>
        <w:color w:val="FFFFFF" w:themeColor="background1"/>
      </w:rPr>
      <w:fldChar w:fldCharType="separate"/>
    </w:r>
    <w:r w:rsidR="009171B1" w:rsidRPr="00133C5F">
      <w:rPr>
        <w:color w:val="FFFFFF" w:themeColor="background1"/>
      </w:rPr>
      <w:t>P:\CHI\SG\CONSEIL\C14\000\022ADD1C.docx</w:t>
    </w:r>
    <w:r w:rsidRPr="00133C5F">
      <w:rPr>
        <w:color w:val="FFFFFF" w:themeColor="background1"/>
      </w:rPr>
      <w:fldChar w:fldCharType="end"/>
    </w:r>
    <w:r w:rsidR="00C660BB" w:rsidRPr="00133C5F">
      <w:rPr>
        <w:rFonts w:hint="eastAsia"/>
        <w:color w:val="FFFFFF" w:themeColor="background1"/>
        <w:lang w:eastAsia="zh-CN"/>
      </w:rPr>
      <w:t xml:space="preserve"> (</w:t>
    </w:r>
    <w:r w:rsidR="00C660BB" w:rsidRPr="00133C5F">
      <w:rPr>
        <w:color w:val="FFFFFF" w:themeColor="background1"/>
        <w:lang w:eastAsia="zh-CN"/>
      </w:rPr>
      <w:t>368854</w:t>
    </w:r>
    <w:r w:rsidR="00C660BB" w:rsidRPr="00133C5F">
      <w:rPr>
        <w:rFonts w:hint="eastAsia"/>
        <w:color w:val="FFFFFF" w:themeColor="background1"/>
        <w:lang w:eastAsia="zh-CN"/>
      </w:rPr>
      <w:t>)</w:t>
    </w:r>
    <w:r w:rsidR="00C660BB" w:rsidRPr="00133C5F">
      <w:rPr>
        <w:color w:val="FFFFFF" w:themeColor="background1"/>
      </w:rPr>
      <w:tab/>
    </w:r>
    <w:r w:rsidR="00C660BB" w:rsidRPr="00133C5F">
      <w:rPr>
        <w:color w:val="FFFFFF" w:themeColor="background1"/>
      </w:rPr>
      <w:fldChar w:fldCharType="begin"/>
    </w:r>
    <w:r w:rsidR="00C660BB" w:rsidRPr="00133C5F">
      <w:rPr>
        <w:color w:val="FFFFFF" w:themeColor="background1"/>
      </w:rPr>
      <w:instrText xml:space="preserve"> SAVEDATE \@ DD.MM.YY </w:instrText>
    </w:r>
    <w:r w:rsidR="00C660BB" w:rsidRPr="00133C5F">
      <w:rPr>
        <w:color w:val="FFFFFF" w:themeColor="background1"/>
      </w:rPr>
      <w:fldChar w:fldCharType="separate"/>
    </w:r>
    <w:r w:rsidR="00133C5F" w:rsidRPr="00133C5F">
      <w:rPr>
        <w:color w:val="FFFFFF" w:themeColor="background1"/>
      </w:rPr>
      <w:t>03.10.14</w:t>
    </w:r>
    <w:r w:rsidR="00C660BB" w:rsidRPr="00133C5F">
      <w:rPr>
        <w:color w:val="FFFFFF" w:themeColor="background1"/>
      </w:rPr>
      <w:fldChar w:fldCharType="end"/>
    </w:r>
    <w:r w:rsidR="00C660BB" w:rsidRPr="00133C5F">
      <w:rPr>
        <w:color w:val="FFFFFF" w:themeColor="background1"/>
      </w:rPr>
      <w:tab/>
    </w:r>
    <w:r w:rsidR="00C660BB" w:rsidRPr="00133C5F">
      <w:rPr>
        <w:color w:val="FFFFFF" w:themeColor="background1"/>
      </w:rPr>
      <w:fldChar w:fldCharType="begin"/>
    </w:r>
    <w:r w:rsidR="00C660BB" w:rsidRPr="00133C5F">
      <w:rPr>
        <w:color w:val="FFFFFF" w:themeColor="background1"/>
      </w:rPr>
      <w:instrText xml:space="preserve"> PRINTDATE \@ DD.MM.YY </w:instrText>
    </w:r>
    <w:r w:rsidR="00C660BB" w:rsidRPr="00133C5F">
      <w:rPr>
        <w:color w:val="FFFFFF" w:themeColor="background1"/>
      </w:rPr>
      <w:fldChar w:fldCharType="separate"/>
    </w:r>
    <w:r w:rsidR="009171B1" w:rsidRPr="00133C5F">
      <w:rPr>
        <w:color w:val="FFFFFF" w:themeColor="background1"/>
      </w:rPr>
      <w:t>03.10.14</w:t>
    </w:r>
    <w:r w:rsidR="00C660BB" w:rsidRPr="00133C5F">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82B" w:rsidRDefault="003D382B">
      <w:r>
        <w:t>____________________</w:t>
      </w:r>
    </w:p>
  </w:footnote>
  <w:footnote w:type="continuationSeparator" w:id="0">
    <w:p w:rsidR="003D382B" w:rsidRDefault="003D3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5F" w:rsidRDefault="00133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331541"/>
      <w:docPartObj>
        <w:docPartGallery w:val="Page Numbers (Top of Page)"/>
        <w:docPartUnique/>
      </w:docPartObj>
    </w:sdtPr>
    <w:sdtEndPr>
      <w:rPr>
        <w:noProof/>
      </w:rPr>
    </w:sdtEndPr>
    <w:sdtContent>
      <w:p w:rsidR="004A47DC" w:rsidRDefault="004A47DC">
        <w:pPr>
          <w:pStyle w:val="Header"/>
        </w:pPr>
        <w:r>
          <w:fldChar w:fldCharType="begin"/>
        </w:r>
        <w:r>
          <w:instrText xml:space="preserve"> PAGE   \* MERGEFORMAT </w:instrText>
        </w:r>
        <w:r>
          <w:fldChar w:fldCharType="separate"/>
        </w:r>
        <w:r w:rsidR="00133C5F">
          <w:rPr>
            <w:noProof/>
          </w:rPr>
          <w:t>2</w:t>
        </w:r>
        <w:r>
          <w:rPr>
            <w:noProof/>
          </w:rPr>
          <w:fldChar w:fldCharType="end"/>
        </w:r>
      </w:p>
    </w:sdtContent>
  </w:sdt>
  <w:p w:rsidR="0093485F" w:rsidRDefault="004A47DC">
    <w:pPr>
      <w:pStyle w:val="Header"/>
    </w:pPr>
    <w:r>
      <w:t>C14/22</w:t>
    </w:r>
    <w:r w:rsidR="00AC0CBB">
      <w:t>(Add.1)</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5F" w:rsidRDefault="00133C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143198"/>
    <w:multiLevelType w:val="hybridMultilevel"/>
    <w:tmpl w:val="6E46D1BC"/>
    <w:lvl w:ilvl="0" w:tplc="8A30C04A">
      <w:numFmt w:val="bullet"/>
      <w:lvlText w:val="-"/>
      <w:lvlJc w:val="left"/>
      <w:pPr>
        <w:ind w:left="1856" w:hanging="360"/>
      </w:pPr>
      <w:rPr>
        <w:rFonts w:ascii="Calibri" w:eastAsia="Times New Roman" w:hAnsi="Calibri" w:cs="Calibri" w:hint="default"/>
      </w:rPr>
    </w:lvl>
    <w:lvl w:ilvl="1" w:tplc="04090003">
      <w:start w:val="1"/>
      <w:numFmt w:val="bullet"/>
      <w:lvlText w:val="o"/>
      <w:lvlJc w:val="left"/>
      <w:pPr>
        <w:ind w:left="2576" w:hanging="360"/>
      </w:pPr>
      <w:rPr>
        <w:rFonts w:ascii="Courier New" w:hAnsi="Courier New" w:cs="Courier New" w:hint="default"/>
      </w:rPr>
    </w:lvl>
    <w:lvl w:ilvl="2" w:tplc="04090005">
      <w:start w:val="1"/>
      <w:numFmt w:val="bullet"/>
      <w:lvlText w:val=""/>
      <w:lvlJc w:val="left"/>
      <w:pPr>
        <w:ind w:left="3296" w:hanging="360"/>
      </w:pPr>
      <w:rPr>
        <w:rFonts w:ascii="Wingdings" w:hAnsi="Wingdings" w:hint="default"/>
      </w:rPr>
    </w:lvl>
    <w:lvl w:ilvl="3" w:tplc="04090001">
      <w:start w:val="1"/>
      <w:numFmt w:val="bullet"/>
      <w:lvlText w:val=""/>
      <w:lvlJc w:val="left"/>
      <w:pPr>
        <w:ind w:left="4016" w:hanging="360"/>
      </w:pPr>
      <w:rPr>
        <w:rFonts w:ascii="Symbol" w:hAnsi="Symbol" w:hint="default"/>
      </w:rPr>
    </w:lvl>
    <w:lvl w:ilvl="4" w:tplc="04090003">
      <w:start w:val="1"/>
      <w:numFmt w:val="bullet"/>
      <w:lvlText w:val="o"/>
      <w:lvlJc w:val="left"/>
      <w:pPr>
        <w:ind w:left="4736" w:hanging="360"/>
      </w:pPr>
      <w:rPr>
        <w:rFonts w:ascii="Courier New" w:hAnsi="Courier New" w:cs="Courier New" w:hint="default"/>
      </w:rPr>
    </w:lvl>
    <w:lvl w:ilvl="5" w:tplc="04090005">
      <w:start w:val="1"/>
      <w:numFmt w:val="bullet"/>
      <w:lvlText w:val=""/>
      <w:lvlJc w:val="left"/>
      <w:pPr>
        <w:ind w:left="5456" w:hanging="360"/>
      </w:pPr>
      <w:rPr>
        <w:rFonts w:ascii="Wingdings" w:hAnsi="Wingdings" w:hint="default"/>
      </w:rPr>
    </w:lvl>
    <w:lvl w:ilvl="6" w:tplc="04090001">
      <w:start w:val="1"/>
      <w:numFmt w:val="bullet"/>
      <w:lvlText w:val=""/>
      <w:lvlJc w:val="left"/>
      <w:pPr>
        <w:ind w:left="6176" w:hanging="360"/>
      </w:pPr>
      <w:rPr>
        <w:rFonts w:ascii="Symbol" w:hAnsi="Symbol" w:hint="default"/>
      </w:rPr>
    </w:lvl>
    <w:lvl w:ilvl="7" w:tplc="04090003">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3">
    <w:nsid w:val="1358405B"/>
    <w:multiLevelType w:val="hybridMultilevel"/>
    <w:tmpl w:val="2F44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0F3763"/>
    <w:multiLevelType w:val="hybridMultilevel"/>
    <w:tmpl w:val="F072EDAE"/>
    <w:lvl w:ilvl="0" w:tplc="B9684A8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95337"/>
    <w:multiLevelType w:val="hybridMultilevel"/>
    <w:tmpl w:val="5DD07356"/>
    <w:lvl w:ilvl="0" w:tplc="00010809">
      <w:start w:val="1"/>
      <w:numFmt w:val="bullet"/>
      <w:lvlText w:val=""/>
      <w:lvlJc w:val="left"/>
      <w:pPr>
        <w:ind w:left="780" w:hanging="360"/>
      </w:pPr>
      <w:rPr>
        <w:rFonts w:ascii="Symbol" w:hAnsi="Symbol" w:hint="default"/>
      </w:rPr>
    </w:lvl>
    <w:lvl w:ilvl="1" w:tplc="00030809" w:tentative="1">
      <w:start w:val="1"/>
      <w:numFmt w:val="bullet"/>
      <w:lvlText w:val="o"/>
      <w:lvlJc w:val="left"/>
      <w:pPr>
        <w:ind w:left="1500" w:hanging="360"/>
      </w:pPr>
      <w:rPr>
        <w:rFonts w:ascii="Courier New" w:hAnsi="Courier New" w:hint="default"/>
      </w:rPr>
    </w:lvl>
    <w:lvl w:ilvl="2" w:tplc="00050809" w:tentative="1">
      <w:start w:val="1"/>
      <w:numFmt w:val="bullet"/>
      <w:lvlText w:val=""/>
      <w:lvlJc w:val="left"/>
      <w:pPr>
        <w:ind w:left="2220" w:hanging="360"/>
      </w:pPr>
      <w:rPr>
        <w:rFonts w:ascii="Wingdings" w:hAnsi="Wingdings" w:hint="default"/>
      </w:rPr>
    </w:lvl>
    <w:lvl w:ilvl="3" w:tplc="00010809" w:tentative="1">
      <w:start w:val="1"/>
      <w:numFmt w:val="bullet"/>
      <w:lvlText w:val=""/>
      <w:lvlJc w:val="left"/>
      <w:pPr>
        <w:ind w:left="2940" w:hanging="360"/>
      </w:pPr>
      <w:rPr>
        <w:rFonts w:ascii="Symbol" w:hAnsi="Symbol" w:hint="default"/>
      </w:rPr>
    </w:lvl>
    <w:lvl w:ilvl="4" w:tplc="00030809" w:tentative="1">
      <w:start w:val="1"/>
      <w:numFmt w:val="bullet"/>
      <w:lvlText w:val="o"/>
      <w:lvlJc w:val="left"/>
      <w:pPr>
        <w:ind w:left="3660" w:hanging="360"/>
      </w:pPr>
      <w:rPr>
        <w:rFonts w:ascii="Courier New" w:hAnsi="Courier New" w:hint="default"/>
      </w:rPr>
    </w:lvl>
    <w:lvl w:ilvl="5" w:tplc="00050809" w:tentative="1">
      <w:start w:val="1"/>
      <w:numFmt w:val="bullet"/>
      <w:lvlText w:val=""/>
      <w:lvlJc w:val="left"/>
      <w:pPr>
        <w:ind w:left="4380" w:hanging="360"/>
      </w:pPr>
      <w:rPr>
        <w:rFonts w:ascii="Wingdings" w:hAnsi="Wingdings" w:hint="default"/>
      </w:rPr>
    </w:lvl>
    <w:lvl w:ilvl="6" w:tplc="00010809" w:tentative="1">
      <w:start w:val="1"/>
      <w:numFmt w:val="bullet"/>
      <w:lvlText w:val=""/>
      <w:lvlJc w:val="left"/>
      <w:pPr>
        <w:ind w:left="5100" w:hanging="360"/>
      </w:pPr>
      <w:rPr>
        <w:rFonts w:ascii="Symbol" w:hAnsi="Symbol" w:hint="default"/>
      </w:rPr>
    </w:lvl>
    <w:lvl w:ilvl="7" w:tplc="00030809" w:tentative="1">
      <w:start w:val="1"/>
      <w:numFmt w:val="bullet"/>
      <w:lvlText w:val="o"/>
      <w:lvlJc w:val="left"/>
      <w:pPr>
        <w:ind w:left="5820" w:hanging="360"/>
      </w:pPr>
      <w:rPr>
        <w:rFonts w:ascii="Courier New" w:hAnsi="Courier New" w:hint="default"/>
      </w:rPr>
    </w:lvl>
    <w:lvl w:ilvl="8" w:tplc="00050809" w:tentative="1">
      <w:start w:val="1"/>
      <w:numFmt w:val="bullet"/>
      <w:lvlText w:val=""/>
      <w:lvlJc w:val="left"/>
      <w:pPr>
        <w:ind w:left="6540" w:hanging="360"/>
      </w:pPr>
      <w:rPr>
        <w:rFonts w:ascii="Wingdings" w:hAnsi="Wingdings" w:hint="default"/>
      </w:rPr>
    </w:lvl>
  </w:abstractNum>
  <w:abstractNum w:abstractNumId="11">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15">
    <w:nsid w:val="5F7A146A"/>
    <w:multiLevelType w:val="hybridMultilevel"/>
    <w:tmpl w:val="9F9EE318"/>
    <w:lvl w:ilvl="0" w:tplc="00010809">
      <w:start w:val="1"/>
      <w:numFmt w:val="bullet"/>
      <w:lvlText w:val=""/>
      <w:lvlJc w:val="left"/>
      <w:pPr>
        <w:ind w:left="852" w:hanging="360"/>
      </w:pPr>
      <w:rPr>
        <w:rFonts w:ascii="Symbol" w:hAnsi="Symbol" w:hint="default"/>
      </w:rPr>
    </w:lvl>
    <w:lvl w:ilvl="1" w:tplc="00030809" w:tentative="1">
      <w:start w:val="1"/>
      <w:numFmt w:val="bullet"/>
      <w:lvlText w:val="o"/>
      <w:lvlJc w:val="left"/>
      <w:pPr>
        <w:ind w:left="1572" w:hanging="360"/>
      </w:pPr>
      <w:rPr>
        <w:rFonts w:ascii="Courier New" w:hAnsi="Courier New" w:hint="default"/>
      </w:rPr>
    </w:lvl>
    <w:lvl w:ilvl="2" w:tplc="00050809" w:tentative="1">
      <w:start w:val="1"/>
      <w:numFmt w:val="bullet"/>
      <w:lvlText w:val=""/>
      <w:lvlJc w:val="left"/>
      <w:pPr>
        <w:ind w:left="2292" w:hanging="360"/>
      </w:pPr>
      <w:rPr>
        <w:rFonts w:ascii="Wingdings" w:hAnsi="Wingdings" w:hint="default"/>
      </w:rPr>
    </w:lvl>
    <w:lvl w:ilvl="3" w:tplc="00010809" w:tentative="1">
      <w:start w:val="1"/>
      <w:numFmt w:val="bullet"/>
      <w:lvlText w:val=""/>
      <w:lvlJc w:val="left"/>
      <w:pPr>
        <w:ind w:left="3012" w:hanging="360"/>
      </w:pPr>
      <w:rPr>
        <w:rFonts w:ascii="Symbol" w:hAnsi="Symbol" w:hint="default"/>
      </w:rPr>
    </w:lvl>
    <w:lvl w:ilvl="4" w:tplc="00030809" w:tentative="1">
      <w:start w:val="1"/>
      <w:numFmt w:val="bullet"/>
      <w:lvlText w:val="o"/>
      <w:lvlJc w:val="left"/>
      <w:pPr>
        <w:ind w:left="3732" w:hanging="360"/>
      </w:pPr>
      <w:rPr>
        <w:rFonts w:ascii="Courier New" w:hAnsi="Courier New" w:hint="default"/>
      </w:rPr>
    </w:lvl>
    <w:lvl w:ilvl="5" w:tplc="00050809" w:tentative="1">
      <w:start w:val="1"/>
      <w:numFmt w:val="bullet"/>
      <w:lvlText w:val=""/>
      <w:lvlJc w:val="left"/>
      <w:pPr>
        <w:ind w:left="4452" w:hanging="360"/>
      </w:pPr>
      <w:rPr>
        <w:rFonts w:ascii="Wingdings" w:hAnsi="Wingdings" w:hint="default"/>
      </w:rPr>
    </w:lvl>
    <w:lvl w:ilvl="6" w:tplc="00010809" w:tentative="1">
      <w:start w:val="1"/>
      <w:numFmt w:val="bullet"/>
      <w:lvlText w:val=""/>
      <w:lvlJc w:val="left"/>
      <w:pPr>
        <w:ind w:left="5172" w:hanging="360"/>
      </w:pPr>
      <w:rPr>
        <w:rFonts w:ascii="Symbol" w:hAnsi="Symbol" w:hint="default"/>
      </w:rPr>
    </w:lvl>
    <w:lvl w:ilvl="7" w:tplc="00030809" w:tentative="1">
      <w:start w:val="1"/>
      <w:numFmt w:val="bullet"/>
      <w:lvlText w:val="o"/>
      <w:lvlJc w:val="left"/>
      <w:pPr>
        <w:ind w:left="5892" w:hanging="360"/>
      </w:pPr>
      <w:rPr>
        <w:rFonts w:ascii="Courier New" w:hAnsi="Courier New" w:hint="default"/>
      </w:rPr>
    </w:lvl>
    <w:lvl w:ilvl="8" w:tplc="00050809" w:tentative="1">
      <w:start w:val="1"/>
      <w:numFmt w:val="bullet"/>
      <w:lvlText w:val=""/>
      <w:lvlJc w:val="left"/>
      <w:pPr>
        <w:ind w:left="6612" w:hanging="360"/>
      </w:pPr>
      <w:rPr>
        <w:rFonts w:ascii="Wingdings" w:hAnsi="Wingdings" w:hint="default"/>
      </w:rPr>
    </w:lvl>
  </w:abstractNum>
  <w:abstractNum w:abstractNumId="16">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C901CB"/>
    <w:multiLevelType w:val="hybridMultilevel"/>
    <w:tmpl w:val="415CFB7E"/>
    <w:lvl w:ilvl="0" w:tplc="DD0A8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DD63F4"/>
    <w:multiLevelType w:val="hybridMultilevel"/>
    <w:tmpl w:val="05A622E0"/>
    <w:lvl w:ilvl="0" w:tplc="6A604D46">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8"/>
  </w:num>
  <w:num w:numId="5">
    <w:abstractNumId w:val="19"/>
  </w:num>
  <w:num w:numId="6">
    <w:abstractNumId w:val="16"/>
  </w:num>
  <w:num w:numId="7">
    <w:abstractNumId w:val="12"/>
  </w:num>
  <w:num w:numId="8">
    <w:abstractNumId w:val="9"/>
  </w:num>
  <w:num w:numId="9">
    <w:abstractNumId w:val="3"/>
  </w:num>
  <w:num w:numId="10">
    <w:abstractNumId w:val="11"/>
  </w:num>
  <w:num w:numId="11">
    <w:abstractNumId w:val="13"/>
  </w:num>
  <w:num w:numId="12">
    <w:abstractNumId w:val="4"/>
  </w:num>
  <w:num w:numId="13">
    <w:abstractNumId w:val="5"/>
  </w:num>
  <w:num w:numId="14">
    <w:abstractNumId w:val="20"/>
  </w:num>
  <w:num w:numId="15">
    <w:abstractNumId w:val="17"/>
  </w:num>
  <w:num w:numId="16">
    <w:abstractNumId w:val="6"/>
  </w:num>
  <w:num w:numId="17">
    <w:abstractNumId w:val="1"/>
  </w:num>
  <w:num w:numId="18">
    <w:abstractNumId w:val="18"/>
  </w:num>
  <w:num w:numId="19">
    <w:abstractNumId w:val="7"/>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DC"/>
    <w:rsid w:val="00012E15"/>
    <w:rsid w:val="000217A3"/>
    <w:rsid w:val="00021ABA"/>
    <w:rsid w:val="0002443F"/>
    <w:rsid w:val="00024A13"/>
    <w:rsid w:val="00024AE5"/>
    <w:rsid w:val="000339DF"/>
    <w:rsid w:val="00037A87"/>
    <w:rsid w:val="000402BB"/>
    <w:rsid w:val="0004062B"/>
    <w:rsid w:val="0004434E"/>
    <w:rsid w:val="000464C5"/>
    <w:rsid w:val="000467C0"/>
    <w:rsid w:val="000529B4"/>
    <w:rsid w:val="00052A7E"/>
    <w:rsid w:val="00053011"/>
    <w:rsid w:val="000546E4"/>
    <w:rsid w:val="0006070C"/>
    <w:rsid w:val="00060F19"/>
    <w:rsid w:val="00061F33"/>
    <w:rsid w:val="0006435A"/>
    <w:rsid w:val="00065725"/>
    <w:rsid w:val="000669BB"/>
    <w:rsid w:val="00067B0A"/>
    <w:rsid w:val="00070CA9"/>
    <w:rsid w:val="00071114"/>
    <w:rsid w:val="00075DB3"/>
    <w:rsid w:val="00080CD0"/>
    <w:rsid w:val="0008152D"/>
    <w:rsid w:val="00084C98"/>
    <w:rsid w:val="00092808"/>
    <w:rsid w:val="000A1BA9"/>
    <w:rsid w:val="000A2130"/>
    <w:rsid w:val="000A4878"/>
    <w:rsid w:val="000A4BA1"/>
    <w:rsid w:val="000B0E6C"/>
    <w:rsid w:val="000B5EE8"/>
    <w:rsid w:val="000B7E48"/>
    <w:rsid w:val="000C0728"/>
    <w:rsid w:val="000C0B6D"/>
    <w:rsid w:val="000C2A85"/>
    <w:rsid w:val="000C34D5"/>
    <w:rsid w:val="000C4017"/>
    <w:rsid w:val="000C5735"/>
    <w:rsid w:val="000D0B28"/>
    <w:rsid w:val="000D15EA"/>
    <w:rsid w:val="000D1B26"/>
    <w:rsid w:val="000D2E34"/>
    <w:rsid w:val="000D3D20"/>
    <w:rsid w:val="000D6BCC"/>
    <w:rsid w:val="000D7C7F"/>
    <w:rsid w:val="000E09B2"/>
    <w:rsid w:val="000F06DD"/>
    <w:rsid w:val="000F0F7F"/>
    <w:rsid w:val="000F1FA1"/>
    <w:rsid w:val="000F2134"/>
    <w:rsid w:val="000F223B"/>
    <w:rsid w:val="000F3FCD"/>
    <w:rsid w:val="000F451F"/>
    <w:rsid w:val="000F670F"/>
    <w:rsid w:val="000F70D9"/>
    <w:rsid w:val="000F7695"/>
    <w:rsid w:val="00100A49"/>
    <w:rsid w:val="00100BBF"/>
    <w:rsid w:val="001118DF"/>
    <w:rsid w:val="001119D8"/>
    <w:rsid w:val="00111FF1"/>
    <w:rsid w:val="00113286"/>
    <w:rsid w:val="0011644F"/>
    <w:rsid w:val="001173CD"/>
    <w:rsid w:val="00122592"/>
    <w:rsid w:val="00124C9D"/>
    <w:rsid w:val="0012695D"/>
    <w:rsid w:val="001274AA"/>
    <w:rsid w:val="0012795E"/>
    <w:rsid w:val="00130A97"/>
    <w:rsid w:val="00132098"/>
    <w:rsid w:val="001322DF"/>
    <w:rsid w:val="00132C92"/>
    <w:rsid w:val="00133C5F"/>
    <w:rsid w:val="001361F9"/>
    <w:rsid w:val="00140FE9"/>
    <w:rsid w:val="00143DF7"/>
    <w:rsid w:val="00147474"/>
    <w:rsid w:val="00151F25"/>
    <w:rsid w:val="00151F78"/>
    <w:rsid w:val="00153079"/>
    <w:rsid w:val="001537AE"/>
    <w:rsid w:val="00157773"/>
    <w:rsid w:val="00157869"/>
    <w:rsid w:val="00165302"/>
    <w:rsid w:val="00166DD7"/>
    <w:rsid w:val="00170357"/>
    <w:rsid w:val="0017146F"/>
    <w:rsid w:val="0017307E"/>
    <w:rsid w:val="00176064"/>
    <w:rsid w:val="001804E6"/>
    <w:rsid w:val="00182F5F"/>
    <w:rsid w:val="00185AE2"/>
    <w:rsid w:val="00190272"/>
    <w:rsid w:val="00190ABE"/>
    <w:rsid w:val="00193A69"/>
    <w:rsid w:val="001956EC"/>
    <w:rsid w:val="001970C2"/>
    <w:rsid w:val="001A516C"/>
    <w:rsid w:val="001A5C35"/>
    <w:rsid w:val="001B4B6A"/>
    <w:rsid w:val="001C1423"/>
    <w:rsid w:val="001D2318"/>
    <w:rsid w:val="001D24D1"/>
    <w:rsid w:val="001E0120"/>
    <w:rsid w:val="001E5C24"/>
    <w:rsid w:val="001E74ED"/>
    <w:rsid w:val="001E7F72"/>
    <w:rsid w:val="001F0804"/>
    <w:rsid w:val="001F0BEF"/>
    <w:rsid w:val="001F171E"/>
    <w:rsid w:val="001F2B07"/>
    <w:rsid w:val="001F5D60"/>
    <w:rsid w:val="001F5EBB"/>
    <w:rsid w:val="001F69DC"/>
    <w:rsid w:val="001F69E9"/>
    <w:rsid w:val="001F6CDE"/>
    <w:rsid w:val="001F6E5B"/>
    <w:rsid w:val="00202092"/>
    <w:rsid w:val="002076A0"/>
    <w:rsid w:val="002126CE"/>
    <w:rsid w:val="002172E6"/>
    <w:rsid w:val="002200E8"/>
    <w:rsid w:val="00220B55"/>
    <w:rsid w:val="00221428"/>
    <w:rsid w:val="00226B10"/>
    <w:rsid w:val="002357BA"/>
    <w:rsid w:val="00240F88"/>
    <w:rsid w:val="00241C79"/>
    <w:rsid w:val="002430CE"/>
    <w:rsid w:val="00243BCC"/>
    <w:rsid w:val="00243F25"/>
    <w:rsid w:val="002442D9"/>
    <w:rsid w:val="00244A89"/>
    <w:rsid w:val="00250A94"/>
    <w:rsid w:val="00250AE5"/>
    <w:rsid w:val="00251C6F"/>
    <w:rsid w:val="002556D6"/>
    <w:rsid w:val="0026024D"/>
    <w:rsid w:val="002747BF"/>
    <w:rsid w:val="0027487B"/>
    <w:rsid w:val="0027508F"/>
    <w:rsid w:val="00275DA8"/>
    <w:rsid w:val="00280964"/>
    <w:rsid w:val="00281AD5"/>
    <w:rsid w:val="002841CC"/>
    <w:rsid w:val="00285A7E"/>
    <w:rsid w:val="002908C3"/>
    <w:rsid w:val="002948DC"/>
    <w:rsid w:val="00295D79"/>
    <w:rsid w:val="002A04B1"/>
    <w:rsid w:val="002A2E11"/>
    <w:rsid w:val="002A46AF"/>
    <w:rsid w:val="002A5FF8"/>
    <w:rsid w:val="002B0265"/>
    <w:rsid w:val="002B0BC6"/>
    <w:rsid w:val="002B2137"/>
    <w:rsid w:val="002B2AE9"/>
    <w:rsid w:val="002B2CEC"/>
    <w:rsid w:val="002B42D3"/>
    <w:rsid w:val="002B509B"/>
    <w:rsid w:val="002B7D85"/>
    <w:rsid w:val="002B7EBF"/>
    <w:rsid w:val="002C0570"/>
    <w:rsid w:val="002C1769"/>
    <w:rsid w:val="002C1AFC"/>
    <w:rsid w:val="002C2D0A"/>
    <w:rsid w:val="002D37D6"/>
    <w:rsid w:val="002D746A"/>
    <w:rsid w:val="002D7B66"/>
    <w:rsid w:val="002E06BE"/>
    <w:rsid w:val="002E66D0"/>
    <w:rsid w:val="002E7D06"/>
    <w:rsid w:val="002F5708"/>
    <w:rsid w:val="002F5E23"/>
    <w:rsid w:val="0030585E"/>
    <w:rsid w:val="003144EC"/>
    <w:rsid w:val="00316E3E"/>
    <w:rsid w:val="00316EF0"/>
    <w:rsid w:val="00320B14"/>
    <w:rsid w:val="003228D1"/>
    <w:rsid w:val="00325C25"/>
    <w:rsid w:val="00326777"/>
    <w:rsid w:val="00331D63"/>
    <w:rsid w:val="00333A7B"/>
    <w:rsid w:val="00337F8A"/>
    <w:rsid w:val="00344A55"/>
    <w:rsid w:val="00346544"/>
    <w:rsid w:val="00346B05"/>
    <w:rsid w:val="00347010"/>
    <w:rsid w:val="003478A9"/>
    <w:rsid w:val="00353208"/>
    <w:rsid w:val="00355123"/>
    <w:rsid w:val="00356ADC"/>
    <w:rsid w:val="003621EB"/>
    <w:rsid w:val="00362C29"/>
    <w:rsid w:val="00363FE0"/>
    <w:rsid w:val="00367627"/>
    <w:rsid w:val="00373478"/>
    <w:rsid w:val="00374742"/>
    <w:rsid w:val="00382EB2"/>
    <w:rsid w:val="003833FB"/>
    <w:rsid w:val="003874DC"/>
    <w:rsid w:val="003912DB"/>
    <w:rsid w:val="00392EC4"/>
    <w:rsid w:val="00393DDF"/>
    <w:rsid w:val="00397F55"/>
    <w:rsid w:val="003A0632"/>
    <w:rsid w:val="003A1EEE"/>
    <w:rsid w:val="003A2919"/>
    <w:rsid w:val="003A399D"/>
    <w:rsid w:val="003A659C"/>
    <w:rsid w:val="003A7A4F"/>
    <w:rsid w:val="003B12F7"/>
    <w:rsid w:val="003B24CC"/>
    <w:rsid w:val="003B3530"/>
    <w:rsid w:val="003B3B4E"/>
    <w:rsid w:val="003B3ED4"/>
    <w:rsid w:val="003B4692"/>
    <w:rsid w:val="003B5117"/>
    <w:rsid w:val="003B6117"/>
    <w:rsid w:val="003B696F"/>
    <w:rsid w:val="003B6B2A"/>
    <w:rsid w:val="003B6E7C"/>
    <w:rsid w:val="003C0528"/>
    <w:rsid w:val="003C6D3D"/>
    <w:rsid w:val="003C7756"/>
    <w:rsid w:val="003D0B2A"/>
    <w:rsid w:val="003D382B"/>
    <w:rsid w:val="003D449F"/>
    <w:rsid w:val="003E2E4B"/>
    <w:rsid w:val="003F5331"/>
    <w:rsid w:val="00400004"/>
    <w:rsid w:val="00403D52"/>
    <w:rsid w:val="00403EB7"/>
    <w:rsid w:val="004054D8"/>
    <w:rsid w:val="00406965"/>
    <w:rsid w:val="00407F13"/>
    <w:rsid w:val="0042086A"/>
    <w:rsid w:val="004248D1"/>
    <w:rsid w:val="00425196"/>
    <w:rsid w:val="004310D9"/>
    <w:rsid w:val="00431672"/>
    <w:rsid w:val="0043341C"/>
    <w:rsid w:val="00435CC8"/>
    <w:rsid w:val="00440662"/>
    <w:rsid w:val="004416F0"/>
    <w:rsid w:val="004428F3"/>
    <w:rsid w:val="00444374"/>
    <w:rsid w:val="00445FEA"/>
    <w:rsid w:val="00450C09"/>
    <w:rsid w:val="00452ECD"/>
    <w:rsid w:val="00455C5C"/>
    <w:rsid w:val="00455F46"/>
    <w:rsid w:val="004628FD"/>
    <w:rsid w:val="00462BEE"/>
    <w:rsid w:val="00471BEC"/>
    <w:rsid w:val="00472408"/>
    <w:rsid w:val="0047280A"/>
    <w:rsid w:val="00475B37"/>
    <w:rsid w:val="00476612"/>
    <w:rsid w:val="0048517A"/>
    <w:rsid w:val="004854F5"/>
    <w:rsid w:val="004859D9"/>
    <w:rsid w:val="00491E2E"/>
    <w:rsid w:val="00492218"/>
    <w:rsid w:val="00492A4C"/>
    <w:rsid w:val="0049328A"/>
    <w:rsid w:val="004A173A"/>
    <w:rsid w:val="004A27DF"/>
    <w:rsid w:val="004A3051"/>
    <w:rsid w:val="004A47DC"/>
    <w:rsid w:val="004A484A"/>
    <w:rsid w:val="004A4BD2"/>
    <w:rsid w:val="004A5458"/>
    <w:rsid w:val="004A66BD"/>
    <w:rsid w:val="004B2B62"/>
    <w:rsid w:val="004B2E8C"/>
    <w:rsid w:val="004B6E6B"/>
    <w:rsid w:val="004D0618"/>
    <w:rsid w:val="004D163F"/>
    <w:rsid w:val="004D37C0"/>
    <w:rsid w:val="004D399F"/>
    <w:rsid w:val="004D4275"/>
    <w:rsid w:val="004D53CD"/>
    <w:rsid w:val="004D64C5"/>
    <w:rsid w:val="004E0C5F"/>
    <w:rsid w:val="004F18A9"/>
    <w:rsid w:val="004F1AEA"/>
    <w:rsid w:val="004F22BB"/>
    <w:rsid w:val="004F2598"/>
    <w:rsid w:val="004F6FBB"/>
    <w:rsid w:val="004F7B9A"/>
    <w:rsid w:val="005007E7"/>
    <w:rsid w:val="005027AE"/>
    <w:rsid w:val="00506E4B"/>
    <w:rsid w:val="005134DD"/>
    <w:rsid w:val="00526372"/>
    <w:rsid w:val="00526394"/>
    <w:rsid w:val="00526E01"/>
    <w:rsid w:val="00533F1F"/>
    <w:rsid w:val="005403F7"/>
    <w:rsid w:val="00540632"/>
    <w:rsid w:val="00541CF4"/>
    <w:rsid w:val="00542A59"/>
    <w:rsid w:val="00546B5A"/>
    <w:rsid w:val="00547780"/>
    <w:rsid w:val="005548C0"/>
    <w:rsid w:val="00554904"/>
    <w:rsid w:val="00560351"/>
    <w:rsid w:val="00562329"/>
    <w:rsid w:val="0056608C"/>
    <w:rsid w:val="00566965"/>
    <w:rsid w:val="00566CFF"/>
    <w:rsid w:val="0057134E"/>
    <w:rsid w:val="005748B5"/>
    <w:rsid w:val="005750F7"/>
    <w:rsid w:val="00577813"/>
    <w:rsid w:val="005800DC"/>
    <w:rsid w:val="00580601"/>
    <w:rsid w:val="00580EC5"/>
    <w:rsid w:val="005818F9"/>
    <w:rsid w:val="00586539"/>
    <w:rsid w:val="00587692"/>
    <w:rsid w:val="00594A12"/>
    <w:rsid w:val="00594CD6"/>
    <w:rsid w:val="00594DBA"/>
    <w:rsid w:val="005970F1"/>
    <w:rsid w:val="00597229"/>
    <w:rsid w:val="005A4FB8"/>
    <w:rsid w:val="005A633D"/>
    <w:rsid w:val="005A67A9"/>
    <w:rsid w:val="005A7977"/>
    <w:rsid w:val="005C1576"/>
    <w:rsid w:val="005C1DD9"/>
    <w:rsid w:val="005C2751"/>
    <w:rsid w:val="005C7DEB"/>
    <w:rsid w:val="005D1F12"/>
    <w:rsid w:val="005D2ED0"/>
    <w:rsid w:val="005D3AA3"/>
    <w:rsid w:val="005D4F3C"/>
    <w:rsid w:val="005D64B3"/>
    <w:rsid w:val="005D7449"/>
    <w:rsid w:val="005E29EC"/>
    <w:rsid w:val="005E4218"/>
    <w:rsid w:val="005E71AA"/>
    <w:rsid w:val="005F0EDC"/>
    <w:rsid w:val="00601524"/>
    <w:rsid w:val="006041FC"/>
    <w:rsid w:val="00604DCD"/>
    <w:rsid w:val="00607927"/>
    <w:rsid w:val="00613152"/>
    <w:rsid w:val="00615CB9"/>
    <w:rsid w:val="00617D5E"/>
    <w:rsid w:val="00620670"/>
    <w:rsid w:val="00625646"/>
    <w:rsid w:val="00626A4D"/>
    <w:rsid w:val="00626A83"/>
    <w:rsid w:val="00627F28"/>
    <w:rsid w:val="0063012F"/>
    <w:rsid w:val="006335C2"/>
    <w:rsid w:val="00634AEE"/>
    <w:rsid w:val="00640CD1"/>
    <w:rsid w:val="006423F4"/>
    <w:rsid w:val="006437D1"/>
    <w:rsid w:val="00643DF0"/>
    <w:rsid w:val="00644BE4"/>
    <w:rsid w:val="00644E97"/>
    <w:rsid w:val="00650D95"/>
    <w:rsid w:val="00653391"/>
    <w:rsid w:val="0066147E"/>
    <w:rsid w:val="0066330A"/>
    <w:rsid w:val="006733A8"/>
    <w:rsid w:val="00673706"/>
    <w:rsid w:val="00673907"/>
    <w:rsid w:val="00674C5D"/>
    <w:rsid w:val="00674D4E"/>
    <w:rsid w:val="00676AAA"/>
    <w:rsid w:val="0067700C"/>
    <w:rsid w:val="00684B8B"/>
    <w:rsid w:val="00687600"/>
    <w:rsid w:val="00691B28"/>
    <w:rsid w:val="00691FF2"/>
    <w:rsid w:val="006921CC"/>
    <w:rsid w:val="00694028"/>
    <w:rsid w:val="00694139"/>
    <w:rsid w:val="006941DD"/>
    <w:rsid w:val="006A00AA"/>
    <w:rsid w:val="006A1EA9"/>
    <w:rsid w:val="006A2175"/>
    <w:rsid w:val="006A2DD3"/>
    <w:rsid w:val="006A3C3B"/>
    <w:rsid w:val="006A50C1"/>
    <w:rsid w:val="006A5B0C"/>
    <w:rsid w:val="006A68CD"/>
    <w:rsid w:val="006B0250"/>
    <w:rsid w:val="006B5146"/>
    <w:rsid w:val="006B5E9D"/>
    <w:rsid w:val="006B60EE"/>
    <w:rsid w:val="006B79F6"/>
    <w:rsid w:val="006C06BB"/>
    <w:rsid w:val="006C36CD"/>
    <w:rsid w:val="006C448C"/>
    <w:rsid w:val="006C53D2"/>
    <w:rsid w:val="006C7645"/>
    <w:rsid w:val="006E18F1"/>
    <w:rsid w:val="006E2465"/>
    <w:rsid w:val="006E31B1"/>
    <w:rsid w:val="006E5121"/>
    <w:rsid w:val="006F0FC8"/>
    <w:rsid w:val="006F38F1"/>
    <w:rsid w:val="006F5131"/>
    <w:rsid w:val="006F57CD"/>
    <w:rsid w:val="006F6098"/>
    <w:rsid w:val="006F67C4"/>
    <w:rsid w:val="00700D1F"/>
    <w:rsid w:val="00701643"/>
    <w:rsid w:val="00704910"/>
    <w:rsid w:val="00704917"/>
    <w:rsid w:val="00705F0A"/>
    <w:rsid w:val="007061C9"/>
    <w:rsid w:val="007067B1"/>
    <w:rsid w:val="00706AF6"/>
    <w:rsid w:val="0071130A"/>
    <w:rsid w:val="0071183E"/>
    <w:rsid w:val="00711F0B"/>
    <w:rsid w:val="0071251C"/>
    <w:rsid w:val="0071438E"/>
    <w:rsid w:val="007164F5"/>
    <w:rsid w:val="007205CB"/>
    <w:rsid w:val="00720DD4"/>
    <w:rsid w:val="0072390B"/>
    <w:rsid w:val="007247E4"/>
    <w:rsid w:val="007248B7"/>
    <w:rsid w:val="007250A1"/>
    <w:rsid w:val="00725A5D"/>
    <w:rsid w:val="0073364D"/>
    <w:rsid w:val="0073484A"/>
    <w:rsid w:val="00744948"/>
    <w:rsid w:val="00745A03"/>
    <w:rsid w:val="00750E5E"/>
    <w:rsid w:val="0075261D"/>
    <w:rsid w:val="0075767B"/>
    <w:rsid w:val="00757902"/>
    <w:rsid w:val="007614D2"/>
    <w:rsid w:val="0076321A"/>
    <w:rsid w:val="00765030"/>
    <w:rsid w:val="007659A8"/>
    <w:rsid w:val="007678F6"/>
    <w:rsid w:val="00770F7F"/>
    <w:rsid w:val="007763BC"/>
    <w:rsid w:val="007768D6"/>
    <w:rsid w:val="00776E02"/>
    <w:rsid w:val="00777A5A"/>
    <w:rsid w:val="00780F23"/>
    <w:rsid w:val="00783FF4"/>
    <w:rsid w:val="00787D83"/>
    <w:rsid w:val="007909DE"/>
    <w:rsid w:val="00790E03"/>
    <w:rsid w:val="00791221"/>
    <w:rsid w:val="00792DFA"/>
    <w:rsid w:val="007945D8"/>
    <w:rsid w:val="007974BA"/>
    <w:rsid w:val="007A0A81"/>
    <w:rsid w:val="007A60EE"/>
    <w:rsid w:val="007A7A07"/>
    <w:rsid w:val="007B2ADD"/>
    <w:rsid w:val="007B3667"/>
    <w:rsid w:val="007B3B21"/>
    <w:rsid w:val="007B599A"/>
    <w:rsid w:val="007B764E"/>
    <w:rsid w:val="007B7EDB"/>
    <w:rsid w:val="007C0B71"/>
    <w:rsid w:val="007C3927"/>
    <w:rsid w:val="007C3B23"/>
    <w:rsid w:val="007C49A3"/>
    <w:rsid w:val="007D1B5D"/>
    <w:rsid w:val="007D1D83"/>
    <w:rsid w:val="007D204A"/>
    <w:rsid w:val="007D4DA9"/>
    <w:rsid w:val="007E189D"/>
    <w:rsid w:val="007E272A"/>
    <w:rsid w:val="007E3EB8"/>
    <w:rsid w:val="007E64B7"/>
    <w:rsid w:val="007F030A"/>
    <w:rsid w:val="007F27FC"/>
    <w:rsid w:val="0080080F"/>
    <w:rsid w:val="008020EE"/>
    <w:rsid w:val="008060EE"/>
    <w:rsid w:val="00807DA4"/>
    <w:rsid w:val="00813AA2"/>
    <w:rsid w:val="00815F3A"/>
    <w:rsid w:val="00820F68"/>
    <w:rsid w:val="00822A51"/>
    <w:rsid w:val="00823D2F"/>
    <w:rsid w:val="00840E60"/>
    <w:rsid w:val="008417C3"/>
    <w:rsid w:val="00842193"/>
    <w:rsid w:val="0084288C"/>
    <w:rsid w:val="00842BAA"/>
    <w:rsid w:val="0084517A"/>
    <w:rsid w:val="00850BA4"/>
    <w:rsid w:val="0085130C"/>
    <w:rsid w:val="00851525"/>
    <w:rsid w:val="00852431"/>
    <w:rsid w:val="0085268A"/>
    <w:rsid w:val="0085361E"/>
    <w:rsid w:val="00854AE5"/>
    <w:rsid w:val="00862810"/>
    <w:rsid w:val="00862F0C"/>
    <w:rsid w:val="00862FFA"/>
    <w:rsid w:val="00870D38"/>
    <w:rsid w:val="00871A40"/>
    <w:rsid w:val="008752AC"/>
    <w:rsid w:val="0087627A"/>
    <w:rsid w:val="00880941"/>
    <w:rsid w:val="00881EEE"/>
    <w:rsid w:val="008857DB"/>
    <w:rsid w:val="00892522"/>
    <w:rsid w:val="00896C73"/>
    <w:rsid w:val="00897CAD"/>
    <w:rsid w:val="008A4ACE"/>
    <w:rsid w:val="008A4F1A"/>
    <w:rsid w:val="008A5004"/>
    <w:rsid w:val="008A6593"/>
    <w:rsid w:val="008B0A03"/>
    <w:rsid w:val="008B532E"/>
    <w:rsid w:val="008B75C7"/>
    <w:rsid w:val="008C1AA6"/>
    <w:rsid w:val="008C5DE0"/>
    <w:rsid w:val="008C7057"/>
    <w:rsid w:val="008C7347"/>
    <w:rsid w:val="008D0185"/>
    <w:rsid w:val="008D0A30"/>
    <w:rsid w:val="008D13E8"/>
    <w:rsid w:val="008D5F80"/>
    <w:rsid w:val="008D789B"/>
    <w:rsid w:val="008E1462"/>
    <w:rsid w:val="008E440F"/>
    <w:rsid w:val="008E5D25"/>
    <w:rsid w:val="008E622F"/>
    <w:rsid w:val="008F26F6"/>
    <w:rsid w:val="008F79FE"/>
    <w:rsid w:val="009023B6"/>
    <w:rsid w:val="00907C45"/>
    <w:rsid w:val="00907E45"/>
    <w:rsid w:val="00911902"/>
    <w:rsid w:val="00911B7B"/>
    <w:rsid w:val="009123BD"/>
    <w:rsid w:val="009138F6"/>
    <w:rsid w:val="00914E3B"/>
    <w:rsid w:val="009171B1"/>
    <w:rsid w:val="0091721D"/>
    <w:rsid w:val="00921039"/>
    <w:rsid w:val="009226FC"/>
    <w:rsid w:val="00924704"/>
    <w:rsid w:val="0093113E"/>
    <w:rsid w:val="00931681"/>
    <w:rsid w:val="00931E1B"/>
    <w:rsid w:val="0093362E"/>
    <w:rsid w:val="0093485F"/>
    <w:rsid w:val="00937FC5"/>
    <w:rsid w:val="00940F6C"/>
    <w:rsid w:val="0094209D"/>
    <w:rsid w:val="009428C5"/>
    <w:rsid w:val="009436D8"/>
    <w:rsid w:val="00945239"/>
    <w:rsid w:val="009457BA"/>
    <w:rsid w:val="009469E4"/>
    <w:rsid w:val="009501A1"/>
    <w:rsid w:val="00950F78"/>
    <w:rsid w:val="0095275B"/>
    <w:rsid w:val="0095389D"/>
    <w:rsid w:val="00954925"/>
    <w:rsid w:val="00955229"/>
    <w:rsid w:val="00956000"/>
    <w:rsid w:val="00957117"/>
    <w:rsid w:val="0095766A"/>
    <w:rsid w:val="009601EE"/>
    <w:rsid w:val="00960C3E"/>
    <w:rsid w:val="00961915"/>
    <w:rsid w:val="00970E0F"/>
    <w:rsid w:val="009711B8"/>
    <w:rsid w:val="00972936"/>
    <w:rsid w:val="009743C0"/>
    <w:rsid w:val="009774B8"/>
    <w:rsid w:val="00981CDA"/>
    <w:rsid w:val="00983000"/>
    <w:rsid w:val="0098349A"/>
    <w:rsid w:val="009844C9"/>
    <w:rsid w:val="00987A35"/>
    <w:rsid w:val="00990494"/>
    <w:rsid w:val="0099168E"/>
    <w:rsid w:val="00991E3B"/>
    <w:rsid w:val="00993131"/>
    <w:rsid w:val="00997153"/>
    <w:rsid w:val="00997185"/>
    <w:rsid w:val="009B11BE"/>
    <w:rsid w:val="009B48B2"/>
    <w:rsid w:val="009B5AA8"/>
    <w:rsid w:val="009C0E28"/>
    <w:rsid w:val="009C11BD"/>
    <w:rsid w:val="009D01A0"/>
    <w:rsid w:val="009D3CC6"/>
    <w:rsid w:val="009D4382"/>
    <w:rsid w:val="009D4E45"/>
    <w:rsid w:val="009D7AD1"/>
    <w:rsid w:val="009D7E22"/>
    <w:rsid w:val="009E5973"/>
    <w:rsid w:val="009E66EC"/>
    <w:rsid w:val="00A00DA1"/>
    <w:rsid w:val="00A02593"/>
    <w:rsid w:val="00A02E79"/>
    <w:rsid w:val="00A040AC"/>
    <w:rsid w:val="00A041F7"/>
    <w:rsid w:val="00A045E8"/>
    <w:rsid w:val="00A10510"/>
    <w:rsid w:val="00A10F40"/>
    <w:rsid w:val="00A119C0"/>
    <w:rsid w:val="00A12DDE"/>
    <w:rsid w:val="00A13EBB"/>
    <w:rsid w:val="00A13F30"/>
    <w:rsid w:val="00A168CE"/>
    <w:rsid w:val="00A17567"/>
    <w:rsid w:val="00A2239F"/>
    <w:rsid w:val="00A22B0C"/>
    <w:rsid w:val="00A233EC"/>
    <w:rsid w:val="00A2531F"/>
    <w:rsid w:val="00A27D35"/>
    <w:rsid w:val="00A30815"/>
    <w:rsid w:val="00A3097B"/>
    <w:rsid w:val="00A30F13"/>
    <w:rsid w:val="00A33508"/>
    <w:rsid w:val="00A35186"/>
    <w:rsid w:val="00A408E4"/>
    <w:rsid w:val="00A4136C"/>
    <w:rsid w:val="00A429F4"/>
    <w:rsid w:val="00A42D85"/>
    <w:rsid w:val="00A5008F"/>
    <w:rsid w:val="00A515A6"/>
    <w:rsid w:val="00A517AC"/>
    <w:rsid w:val="00A52569"/>
    <w:rsid w:val="00A54C7B"/>
    <w:rsid w:val="00A55C35"/>
    <w:rsid w:val="00A57D81"/>
    <w:rsid w:val="00A6430B"/>
    <w:rsid w:val="00A66BC3"/>
    <w:rsid w:val="00A74E46"/>
    <w:rsid w:val="00A75407"/>
    <w:rsid w:val="00A766DC"/>
    <w:rsid w:val="00A77B58"/>
    <w:rsid w:val="00A8032A"/>
    <w:rsid w:val="00A80909"/>
    <w:rsid w:val="00A81CB1"/>
    <w:rsid w:val="00A82D6B"/>
    <w:rsid w:val="00A838F3"/>
    <w:rsid w:val="00A87C8B"/>
    <w:rsid w:val="00A92CA7"/>
    <w:rsid w:val="00A941DB"/>
    <w:rsid w:val="00A97660"/>
    <w:rsid w:val="00A97B38"/>
    <w:rsid w:val="00AA03EC"/>
    <w:rsid w:val="00AA4855"/>
    <w:rsid w:val="00AA50F9"/>
    <w:rsid w:val="00AA541A"/>
    <w:rsid w:val="00AA6B23"/>
    <w:rsid w:val="00AB0B20"/>
    <w:rsid w:val="00AB3F5D"/>
    <w:rsid w:val="00AC0CBB"/>
    <w:rsid w:val="00AC2C86"/>
    <w:rsid w:val="00AC7544"/>
    <w:rsid w:val="00AD19B3"/>
    <w:rsid w:val="00AD5A5B"/>
    <w:rsid w:val="00AD6185"/>
    <w:rsid w:val="00AE0A1B"/>
    <w:rsid w:val="00AE0A4B"/>
    <w:rsid w:val="00AE3416"/>
    <w:rsid w:val="00AE472B"/>
    <w:rsid w:val="00AF190D"/>
    <w:rsid w:val="00AF4902"/>
    <w:rsid w:val="00AF6BCB"/>
    <w:rsid w:val="00B0169C"/>
    <w:rsid w:val="00B03342"/>
    <w:rsid w:val="00B04A74"/>
    <w:rsid w:val="00B04DD8"/>
    <w:rsid w:val="00B05101"/>
    <w:rsid w:val="00B07617"/>
    <w:rsid w:val="00B11ED5"/>
    <w:rsid w:val="00B13E79"/>
    <w:rsid w:val="00B22906"/>
    <w:rsid w:val="00B30329"/>
    <w:rsid w:val="00B32129"/>
    <w:rsid w:val="00B40641"/>
    <w:rsid w:val="00B41AE3"/>
    <w:rsid w:val="00B43AA5"/>
    <w:rsid w:val="00B44872"/>
    <w:rsid w:val="00B453EC"/>
    <w:rsid w:val="00B47F6E"/>
    <w:rsid w:val="00B54565"/>
    <w:rsid w:val="00B54A6E"/>
    <w:rsid w:val="00B55379"/>
    <w:rsid w:val="00B571B7"/>
    <w:rsid w:val="00B60184"/>
    <w:rsid w:val="00B62D20"/>
    <w:rsid w:val="00B633F2"/>
    <w:rsid w:val="00B63E5E"/>
    <w:rsid w:val="00B64449"/>
    <w:rsid w:val="00B647AD"/>
    <w:rsid w:val="00B66D11"/>
    <w:rsid w:val="00B678C8"/>
    <w:rsid w:val="00B759E2"/>
    <w:rsid w:val="00B8014E"/>
    <w:rsid w:val="00B81E75"/>
    <w:rsid w:val="00B83B05"/>
    <w:rsid w:val="00B83F77"/>
    <w:rsid w:val="00B84451"/>
    <w:rsid w:val="00B86583"/>
    <w:rsid w:val="00B92A6F"/>
    <w:rsid w:val="00B94F4F"/>
    <w:rsid w:val="00BA1312"/>
    <w:rsid w:val="00BA1BE0"/>
    <w:rsid w:val="00BA2FF8"/>
    <w:rsid w:val="00BA5713"/>
    <w:rsid w:val="00BA7ED0"/>
    <w:rsid w:val="00BB0399"/>
    <w:rsid w:val="00BB4241"/>
    <w:rsid w:val="00BB5993"/>
    <w:rsid w:val="00BB6DB4"/>
    <w:rsid w:val="00BB76B8"/>
    <w:rsid w:val="00BB7D23"/>
    <w:rsid w:val="00BC06C2"/>
    <w:rsid w:val="00BC1CA9"/>
    <w:rsid w:val="00BC34E9"/>
    <w:rsid w:val="00BC398D"/>
    <w:rsid w:val="00BC3CBD"/>
    <w:rsid w:val="00BC46EA"/>
    <w:rsid w:val="00BC5FF1"/>
    <w:rsid w:val="00BD1501"/>
    <w:rsid w:val="00BD2BE3"/>
    <w:rsid w:val="00BD70C0"/>
    <w:rsid w:val="00BE53D9"/>
    <w:rsid w:val="00BE593E"/>
    <w:rsid w:val="00BF25A7"/>
    <w:rsid w:val="00BF2B8D"/>
    <w:rsid w:val="00BF3786"/>
    <w:rsid w:val="00BF398A"/>
    <w:rsid w:val="00BF3EED"/>
    <w:rsid w:val="00BF41DE"/>
    <w:rsid w:val="00BF48D6"/>
    <w:rsid w:val="00BF5288"/>
    <w:rsid w:val="00BF7A36"/>
    <w:rsid w:val="00C04143"/>
    <w:rsid w:val="00C04471"/>
    <w:rsid w:val="00C058A8"/>
    <w:rsid w:val="00C10FE3"/>
    <w:rsid w:val="00C13558"/>
    <w:rsid w:val="00C15E58"/>
    <w:rsid w:val="00C16A5F"/>
    <w:rsid w:val="00C16B66"/>
    <w:rsid w:val="00C22C7A"/>
    <w:rsid w:val="00C23A02"/>
    <w:rsid w:val="00C2435C"/>
    <w:rsid w:val="00C246D5"/>
    <w:rsid w:val="00C252FD"/>
    <w:rsid w:val="00C27CDE"/>
    <w:rsid w:val="00C27DE0"/>
    <w:rsid w:val="00C32E0D"/>
    <w:rsid w:val="00C42B85"/>
    <w:rsid w:val="00C456A2"/>
    <w:rsid w:val="00C6244A"/>
    <w:rsid w:val="00C64E4E"/>
    <w:rsid w:val="00C65482"/>
    <w:rsid w:val="00C660BB"/>
    <w:rsid w:val="00C66E64"/>
    <w:rsid w:val="00C71D67"/>
    <w:rsid w:val="00C739BD"/>
    <w:rsid w:val="00C74036"/>
    <w:rsid w:val="00C75871"/>
    <w:rsid w:val="00C76B10"/>
    <w:rsid w:val="00C771B6"/>
    <w:rsid w:val="00C8026A"/>
    <w:rsid w:val="00C813B0"/>
    <w:rsid w:val="00C8388F"/>
    <w:rsid w:val="00C8468F"/>
    <w:rsid w:val="00C90E18"/>
    <w:rsid w:val="00C943B2"/>
    <w:rsid w:val="00C94B3C"/>
    <w:rsid w:val="00C94D99"/>
    <w:rsid w:val="00C97CB7"/>
    <w:rsid w:val="00CA481A"/>
    <w:rsid w:val="00CB2E24"/>
    <w:rsid w:val="00CB323F"/>
    <w:rsid w:val="00CC3077"/>
    <w:rsid w:val="00CC34B4"/>
    <w:rsid w:val="00CC522D"/>
    <w:rsid w:val="00CC7B6A"/>
    <w:rsid w:val="00CD0D50"/>
    <w:rsid w:val="00CD47F0"/>
    <w:rsid w:val="00CD5563"/>
    <w:rsid w:val="00CE0FA1"/>
    <w:rsid w:val="00CE1CA1"/>
    <w:rsid w:val="00CE3F4D"/>
    <w:rsid w:val="00CE6F22"/>
    <w:rsid w:val="00CE71E4"/>
    <w:rsid w:val="00CF06C4"/>
    <w:rsid w:val="00CF09BE"/>
    <w:rsid w:val="00CF181B"/>
    <w:rsid w:val="00CF219F"/>
    <w:rsid w:val="00CF2DFC"/>
    <w:rsid w:val="00CF2FAA"/>
    <w:rsid w:val="00CF3D83"/>
    <w:rsid w:val="00CF4817"/>
    <w:rsid w:val="00CF7D3E"/>
    <w:rsid w:val="00D017DA"/>
    <w:rsid w:val="00D110D9"/>
    <w:rsid w:val="00D12566"/>
    <w:rsid w:val="00D1541E"/>
    <w:rsid w:val="00D1597C"/>
    <w:rsid w:val="00D232E5"/>
    <w:rsid w:val="00D23D02"/>
    <w:rsid w:val="00D2402D"/>
    <w:rsid w:val="00D2445C"/>
    <w:rsid w:val="00D2577C"/>
    <w:rsid w:val="00D32870"/>
    <w:rsid w:val="00D34007"/>
    <w:rsid w:val="00D36061"/>
    <w:rsid w:val="00D3625C"/>
    <w:rsid w:val="00D36A18"/>
    <w:rsid w:val="00D378C5"/>
    <w:rsid w:val="00D42447"/>
    <w:rsid w:val="00D503C9"/>
    <w:rsid w:val="00D561AF"/>
    <w:rsid w:val="00D572DE"/>
    <w:rsid w:val="00D64F51"/>
    <w:rsid w:val="00D66F45"/>
    <w:rsid w:val="00D70E46"/>
    <w:rsid w:val="00D70F41"/>
    <w:rsid w:val="00D7138B"/>
    <w:rsid w:val="00D7314D"/>
    <w:rsid w:val="00D76AF7"/>
    <w:rsid w:val="00D80005"/>
    <w:rsid w:val="00D80728"/>
    <w:rsid w:val="00D813EB"/>
    <w:rsid w:val="00D81776"/>
    <w:rsid w:val="00D83B62"/>
    <w:rsid w:val="00D9135D"/>
    <w:rsid w:val="00D91864"/>
    <w:rsid w:val="00D94637"/>
    <w:rsid w:val="00DA1FDF"/>
    <w:rsid w:val="00DA2D14"/>
    <w:rsid w:val="00DA3D47"/>
    <w:rsid w:val="00DB1B60"/>
    <w:rsid w:val="00DB28E2"/>
    <w:rsid w:val="00DB2A2F"/>
    <w:rsid w:val="00DB3BBA"/>
    <w:rsid w:val="00DB6F0B"/>
    <w:rsid w:val="00DB79FE"/>
    <w:rsid w:val="00DC09E7"/>
    <w:rsid w:val="00DC4824"/>
    <w:rsid w:val="00DC6C57"/>
    <w:rsid w:val="00DC6D7F"/>
    <w:rsid w:val="00DC7A09"/>
    <w:rsid w:val="00DD4DAC"/>
    <w:rsid w:val="00DD6A97"/>
    <w:rsid w:val="00DE11AE"/>
    <w:rsid w:val="00DE17E7"/>
    <w:rsid w:val="00DE4ADA"/>
    <w:rsid w:val="00DE5AF5"/>
    <w:rsid w:val="00DE5FA1"/>
    <w:rsid w:val="00DE74AB"/>
    <w:rsid w:val="00DF06B4"/>
    <w:rsid w:val="00DF09B8"/>
    <w:rsid w:val="00DF1480"/>
    <w:rsid w:val="00DF2852"/>
    <w:rsid w:val="00DF3635"/>
    <w:rsid w:val="00DF67C5"/>
    <w:rsid w:val="00E02B7C"/>
    <w:rsid w:val="00E03432"/>
    <w:rsid w:val="00E0362E"/>
    <w:rsid w:val="00E06B65"/>
    <w:rsid w:val="00E136E2"/>
    <w:rsid w:val="00E17497"/>
    <w:rsid w:val="00E17761"/>
    <w:rsid w:val="00E23BBD"/>
    <w:rsid w:val="00E265BF"/>
    <w:rsid w:val="00E3212E"/>
    <w:rsid w:val="00E33A52"/>
    <w:rsid w:val="00E35A8F"/>
    <w:rsid w:val="00E360FA"/>
    <w:rsid w:val="00E41174"/>
    <w:rsid w:val="00E426E0"/>
    <w:rsid w:val="00E44B0A"/>
    <w:rsid w:val="00E45D93"/>
    <w:rsid w:val="00E46012"/>
    <w:rsid w:val="00E521F6"/>
    <w:rsid w:val="00E63524"/>
    <w:rsid w:val="00E65A98"/>
    <w:rsid w:val="00E70E14"/>
    <w:rsid w:val="00E7171B"/>
    <w:rsid w:val="00E73BE7"/>
    <w:rsid w:val="00E75843"/>
    <w:rsid w:val="00E77476"/>
    <w:rsid w:val="00E77D5A"/>
    <w:rsid w:val="00E84CE1"/>
    <w:rsid w:val="00E90F05"/>
    <w:rsid w:val="00E95F86"/>
    <w:rsid w:val="00EA1F8A"/>
    <w:rsid w:val="00EA4A87"/>
    <w:rsid w:val="00EA7BDA"/>
    <w:rsid w:val="00EB6B42"/>
    <w:rsid w:val="00EB7A3C"/>
    <w:rsid w:val="00EC0A08"/>
    <w:rsid w:val="00EC7470"/>
    <w:rsid w:val="00ED1132"/>
    <w:rsid w:val="00ED379C"/>
    <w:rsid w:val="00ED5A47"/>
    <w:rsid w:val="00ED6954"/>
    <w:rsid w:val="00EE07C2"/>
    <w:rsid w:val="00EE1194"/>
    <w:rsid w:val="00EE2128"/>
    <w:rsid w:val="00EE2CDC"/>
    <w:rsid w:val="00EE2E19"/>
    <w:rsid w:val="00EE363A"/>
    <w:rsid w:val="00EE3DE6"/>
    <w:rsid w:val="00EE725A"/>
    <w:rsid w:val="00EF1E27"/>
    <w:rsid w:val="00EF2A53"/>
    <w:rsid w:val="00F014C7"/>
    <w:rsid w:val="00F01791"/>
    <w:rsid w:val="00F0287A"/>
    <w:rsid w:val="00F03722"/>
    <w:rsid w:val="00F04873"/>
    <w:rsid w:val="00F06C51"/>
    <w:rsid w:val="00F1028E"/>
    <w:rsid w:val="00F10727"/>
    <w:rsid w:val="00F11595"/>
    <w:rsid w:val="00F1239A"/>
    <w:rsid w:val="00F12425"/>
    <w:rsid w:val="00F3283F"/>
    <w:rsid w:val="00F3379B"/>
    <w:rsid w:val="00F40BF2"/>
    <w:rsid w:val="00F42257"/>
    <w:rsid w:val="00F422DE"/>
    <w:rsid w:val="00F4285B"/>
    <w:rsid w:val="00F4498E"/>
    <w:rsid w:val="00F46319"/>
    <w:rsid w:val="00F46804"/>
    <w:rsid w:val="00F53E76"/>
    <w:rsid w:val="00F56318"/>
    <w:rsid w:val="00F628AD"/>
    <w:rsid w:val="00F67905"/>
    <w:rsid w:val="00F67E75"/>
    <w:rsid w:val="00F706C4"/>
    <w:rsid w:val="00F7097A"/>
    <w:rsid w:val="00F70DFE"/>
    <w:rsid w:val="00F7186F"/>
    <w:rsid w:val="00F720E3"/>
    <w:rsid w:val="00F7250C"/>
    <w:rsid w:val="00F74214"/>
    <w:rsid w:val="00F752D0"/>
    <w:rsid w:val="00F77B4F"/>
    <w:rsid w:val="00F85D56"/>
    <w:rsid w:val="00F92CE8"/>
    <w:rsid w:val="00F95D56"/>
    <w:rsid w:val="00F96903"/>
    <w:rsid w:val="00F97746"/>
    <w:rsid w:val="00FA34F6"/>
    <w:rsid w:val="00FA75C6"/>
    <w:rsid w:val="00FB0731"/>
    <w:rsid w:val="00FB1609"/>
    <w:rsid w:val="00FB323F"/>
    <w:rsid w:val="00FB771F"/>
    <w:rsid w:val="00FC00FD"/>
    <w:rsid w:val="00FC1722"/>
    <w:rsid w:val="00FC1EC8"/>
    <w:rsid w:val="00FC24E2"/>
    <w:rsid w:val="00FC3DC9"/>
    <w:rsid w:val="00FC5386"/>
    <w:rsid w:val="00FC7362"/>
    <w:rsid w:val="00FC74DF"/>
    <w:rsid w:val="00FD0C58"/>
    <w:rsid w:val="00FD13B0"/>
    <w:rsid w:val="00FD1B3C"/>
    <w:rsid w:val="00FD2A5A"/>
    <w:rsid w:val="00FD35DD"/>
    <w:rsid w:val="00FD3C87"/>
    <w:rsid w:val="00FD4475"/>
    <w:rsid w:val="00FD6245"/>
    <w:rsid w:val="00FD7292"/>
    <w:rsid w:val="00FE0191"/>
    <w:rsid w:val="00FE2212"/>
    <w:rsid w:val="00FE6320"/>
    <w:rsid w:val="00FE6C2B"/>
    <w:rsid w:val="00FF3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C6204A-898B-46B7-A326-86C7A7CF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CBB"/>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uiPriority w:val="99"/>
    <w:rsid w:val="002C1769"/>
    <w:rPr>
      <w:rFonts w:ascii="Calibri" w:hAnsi="Calibri"/>
      <w:sz w:val="18"/>
      <w:lang w:val="fr-FR" w:eastAsia="en-US"/>
    </w:rPr>
  </w:style>
  <w:style w:type="paragraph" w:styleId="ListParagraph">
    <w:name w:val="List Paragraph"/>
    <w:basedOn w:val="Normal"/>
    <w:uiPriority w:val="34"/>
    <w:qFormat/>
    <w:rsid w:val="002C1769"/>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2B42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907C45"/>
    <w:pPr>
      <w:spacing w:after="120"/>
      <w:ind w:left="283"/>
    </w:pPr>
  </w:style>
  <w:style w:type="character" w:customStyle="1" w:styleId="BodyTextIndentChar">
    <w:name w:val="Body Text Indent Char"/>
    <w:basedOn w:val="DefaultParagraphFont"/>
    <w:link w:val="BodyTextIndent"/>
    <w:rsid w:val="00907C45"/>
    <w:rPr>
      <w:rFonts w:ascii="Calibri" w:hAnsi="Calibri"/>
      <w:sz w:val="24"/>
      <w:lang w:val="en-GB" w:eastAsia="en-US"/>
    </w:rPr>
  </w:style>
  <w:style w:type="paragraph" w:customStyle="1" w:styleId="firstfooter0">
    <w:name w:val="firstfooter"/>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907C45"/>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Heading1Char">
    <w:name w:val="Heading 1 Char"/>
    <w:link w:val="Heading1"/>
    <w:rsid w:val="00907C45"/>
    <w:rPr>
      <w:rFonts w:ascii="Calibri" w:hAnsi="Calibri"/>
      <w:b/>
      <w:sz w:val="28"/>
      <w:lang w:val="en-GB" w:eastAsia="en-US"/>
    </w:rPr>
  </w:style>
  <w:style w:type="character" w:customStyle="1" w:styleId="Heading2Char">
    <w:name w:val="Heading 2 Char"/>
    <w:link w:val="Heading2"/>
    <w:rsid w:val="00907C45"/>
    <w:rPr>
      <w:rFonts w:ascii="Calibri" w:hAnsi="Calibri"/>
      <w:b/>
      <w:sz w:val="24"/>
      <w:lang w:val="en-GB" w:eastAsia="en-US"/>
    </w:rPr>
  </w:style>
  <w:style w:type="character" w:customStyle="1" w:styleId="Heading3Char">
    <w:name w:val="Heading 3 Char"/>
    <w:link w:val="Heading3"/>
    <w:rsid w:val="00907C45"/>
    <w:rPr>
      <w:rFonts w:ascii="Calibri" w:hAnsi="Calibri"/>
      <w:b/>
      <w:i/>
      <w:sz w:val="24"/>
      <w:lang w:val="en-GB" w:eastAsia="en-US"/>
    </w:rPr>
  </w:style>
  <w:style w:type="character" w:customStyle="1" w:styleId="Heading4Char">
    <w:name w:val="Heading 4 Char"/>
    <w:link w:val="Heading4"/>
    <w:rsid w:val="00907C45"/>
    <w:rPr>
      <w:rFonts w:ascii="Calibri" w:hAnsi="Calibri"/>
      <w:i/>
      <w:sz w:val="24"/>
      <w:lang w:val="en-GB" w:eastAsia="en-US"/>
    </w:rPr>
  </w:style>
  <w:style w:type="character" w:customStyle="1" w:styleId="Heading5Char">
    <w:name w:val="Heading 5 Char"/>
    <w:link w:val="Heading5"/>
    <w:rsid w:val="00907C45"/>
    <w:rPr>
      <w:rFonts w:ascii="Calibri" w:hAnsi="Calibri"/>
      <w:i/>
      <w:sz w:val="24"/>
      <w:lang w:val="en-GB" w:eastAsia="en-US"/>
    </w:rPr>
  </w:style>
  <w:style w:type="character" w:customStyle="1" w:styleId="Heading6Char">
    <w:name w:val="Heading 6 Char"/>
    <w:link w:val="Heading6"/>
    <w:rsid w:val="00907C45"/>
    <w:rPr>
      <w:rFonts w:ascii="Calibri" w:hAnsi="Calibri"/>
      <w:i/>
      <w:sz w:val="24"/>
      <w:lang w:val="en-GB" w:eastAsia="en-US"/>
    </w:rPr>
  </w:style>
  <w:style w:type="character" w:customStyle="1" w:styleId="Heading7Char">
    <w:name w:val="Heading 7 Char"/>
    <w:link w:val="Heading7"/>
    <w:rsid w:val="00907C45"/>
    <w:rPr>
      <w:rFonts w:ascii="Calibri" w:hAnsi="Calibri"/>
      <w:i/>
      <w:sz w:val="24"/>
      <w:lang w:val="en-GB" w:eastAsia="en-US"/>
    </w:rPr>
  </w:style>
  <w:style w:type="character" w:customStyle="1" w:styleId="Heading8Char">
    <w:name w:val="Heading 8 Char"/>
    <w:link w:val="Heading8"/>
    <w:rsid w:val="00907C45"/>
    <w:rPr>
      <w:rFonts w:ascii="Calibri" w:hAnsi="Calibri"/>
      <w:i/>
      <w:sz w:val="24"/>
      <w:lang w:val="en-GB" w:eastAsia="en-US"/>
    </w:rPr>
  </w:style>
  <w:style w:type="character" w:customStyle="1" w:styleId="Heading9Char">
    <w:name w:val="Heading 9 Char"/>
    <w:link w:val="Heading9"/>
    <w:rsid w:val="00907C45"/>
    <w:rPr>
      <w:rFonts w:ascii="Calibri" w:hAnsi="Calibri"/>
      <w:i/>
      <w:sz w:val="24"/>
      <w:lang w:val="en-GB" w:eastAsia="en-US"/>
    </w:rPr>
  </w:style>
  <w:style w:type="character" w:customStyle="1" w:styleId="FooterChar">
    <w:name w:val="Footer Char"/>
    <w:link w:val="Footer"/>
    <w:rsid w:val="00907C45"/>
    <w:rPr>
      <w:rFonts w:ascii="Calibri" w:hAnsi="Calibri"/>
      <w:caps/>
      <w:noProof/>
      <w:sz w:val="16"/>
      <w:lang w:val="fr-FR" w:eastAsia="en-US"/>
    </w:rPr>
  </w:style>
  <w:style w:type="character" w:customStyle="1" w:styleId="FootnoteTextChar">
    <w:name w:val="Footnote Text Char"/>
    <w:link w:val="FootnoteText"/>
    <w:rsid w:val="00907C45"/>
    <w:rPr>
      <w:rFonts w:ascii="Calibri" w:hAnsi="Calibri"/>
      <w:sz w:val="24"/>
      <w:lang w:val="en-GB" w:eastAsia="en-US"/>
    </w:rPr>
  </w:style>
  <w:style w:type="character" w:customStyle="1" w:styleId="NormalaftertitleChar">
    <w:name w:val="Normal after title Char"/>
    <w:link w:val="Normalaftertitle"/>
    <w:rsid w:val="00907C45"/>
    <w:rPr>
      <w:rFonts w:ascii="Calibri" w:hAnsi="Calibri"/>
      <w:sz w:val="24"/>
      <w:lang w:val="en-GB" w:eastAsia="en-US"/>
    </w:rPr>
  </w:style>
  <w:style w:type="character" w:customStyle="1" w:styleId="CallChar">
    <w:name w:val="Call Char"/>
    <w:link w:val="Call"/>
    <w:rsid w:val="00907C45"/>
    <w:rPr>
      <w:rFonts w:ascii="STKaiti" w:hAnsi="STKaiti"/>
      <w:sz w:val="24"/>
      <w:lang w:val="en-GB" w:eastAsia="en-US"/>
    </w:rPr>
  </w:style>
  <w:style w:type="paragraph" w:styleId="NormalWeb">
    <w:name w:val="Normal (Web)"/>
    <w:basedOn w:val="Normal"/>
    <w:uiPriority w:val="99"/>
    <w:unhideWhenUsed/>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TableText0">
    <w:name w:val="Table_Text"/>
    <w:basedOn w:val="Normal"/>
    <w:rsid w:val="00907C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imes New Roman" w:hAnsi="Times New Roman"/>
      <w:sz w:val="22"/>
      <w:lang w:val="fr-FR"/>
    </w:rPr>
  </w:style>
  <w:style w:type="paragraph" w:customStyle="1" w:styleId="TableHead0">
    <w:name w:val="Table_Head"/>
    <w:basedOn w:val="TableText0"/>
    <w:rsid w:val="00907C45"/>
    <w:pPr>
      <w:keepNext/>
      <w:spacing w:before="480" w:after="0"/>
      <w:jc w:val="center"/>
    </w:pPr>
    <w:rPr>
      <w:b/>
    </w:rPr>
  </w:style>
  <w:style w:type="paragraph" w:styleId="BalloonText">
    <w:name w:val="Balloon Text"/>
    <w:basedOn w:val="Normal"/>
    <w:link w:val="BalloonTextChar"/>
    <w:uiPriority w:val="99"/>
    <w:unhideWhenUsed/>
    <w:rsid w:val="00907C45"/>
    <w:pPr>
      <w:widowControl w:val="0"/>
      <w:tabs>
        <w:tab w:val="clear" w:pos="794"/>
        <w:tab w:val="clear" w:pos="1191"/>
        <w:tab w:val="clear" w:pos="1588"/>
        <w:tab w:val="clear" w:pos="1985"/>
      </w:tabs>
      <w:kinsoku w:val="0"/>
      <w:overflowPunct/>
      <w:autoSpaceDE/>
      <w:autoSpaceDN/>
      <w:adjustRightInd/>
      <w:spacing w:before="0"/>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907C45"/>
    <w:rPr>
      <w:rFonts w:ascii="Tahoma" w:hAnsi="Tahoma" w:cs="Tahoma"/>
      <w:sz w:val="16"/>
      <w:szCs w:val="16"/>
    </w:rPr>
  </w:style>
  <w:style w:type="character" w:customStyle="1" w:styleId="BodyTextIndent3Char">
    <w:name w:val="Body Text Indent 3 Char"/>
    <w:link w:val="BodyTextIndent3"/>
    <w:rsid w:val="00907C45"/>
    <w:rPr>
      <w:rFonts w:ascii="Calibri" w:hAnsi="Calibri"/>
      <w:sz w:val="22"/>
      <w:lang w:val="fr-FR"/>
    </w:rPr>
  </w:style>
  <w:style w:type="paragraph" w:styleId="BodyText3">
    <w:name w:val="Body Text 3"/>
    <w:basedOn w:val="Normal"/>
    <w:link w:val="BodyText3Char"/>
    <w:uiPriority w:val="99"/>
    <w:unhideWhenUsed/>
    <w:rsid w:val="00907C45"/>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sz w:val="16"/>
      <w:szCs w:val="16"/>
      <w:lang w:val="en-US" w:eastAsia="zh-CN"/>
    </w:rPr>
  </w:style>
  <w:style w:type="character" w:customStyle="1" w:styleId="BodyText3Char">
    <w:name w:val="Body Text 3 Char"/>
    <w:basedOn w:val="DefaultParagraphFont"/>
    <w:link w:val="BodyText3"/>
    <w:uiPriority w:val="99"/>
    <w:rsid w:val="00907C45"/>
    <w:rPr>
      <w:rFonts w:ascii="Times New Roman" w:hAnsi="Times New Roman"/>
      <w:sz w:val="16"/>
      <w:szCs w:val="16"/>
    </w:rPr>
  </w:style>
  <w:style w:type="character" w:styleId="Strong">
    <w:name w:val="Strong"/>
    <w:uiPriority w:val="22"/>
    <w:qFormat/>
    <w:rsid w:val="00907C45"/>
    <w:rPr>
      <w:b/>
      <w:bCs/>
    </w:rPr>
  </w:style>
  <w:style w:type="character" w:styleId="CommentReference">
    <w:name w:val="annotation reference"/>
    <w:uiPriority w:val="99"/>
    <w:unhideWhenUsed/>
    <w:rsid w:val="00907C45"/>
    <w:rPr>
      <w:sz w:val="16"/>
      <w:szCs w:val="16"/>
    </w:rPr>
  </w:style>
  <w:style w:type="paragraph" w:styleId="CommentText">
    <w:name w:val="annotation text"/>
    <w:basedOn w:val="Normal"/>
    <w:link w:val="CommentTextChar"/>
    <w:uiPriority w:val="99"/>
    <w:unhideWhenUsed/>
    <w:rsid w:val="00907C45"/>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cs="Arial"/>
      <w:b/>
      <w:sz w:val="20"/>
      <w:lang w:val="fr-FR" w:eastAsia="fr-FR"/>
    </w:rPr>
  </w:style>
  <w:style w:type="character" w:customStyle="1" w:styleId="CommentTextChar">
    <w:name w:val="Comment Text Char"/>
    <w:basedOn w:val="DefaultParagraphFont"/>
    <w:link w:val="CommentText"/>
    <w:uiPriority w:val="99"/>
    <w:rsid w:val="00907C45"/>
    <w:rPr>
      <w:rFonts w:ascii="Times New Roman" w:eastAsia="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907C45"/>
    <w:rPr>
      <w:bCs/>
    </w:rPr>
  </w:style>
  <w:style w:type="character" w:customStyle="1" w:styleId="CommentSubjectChar">
    <w:name w:val="Comment Subject Char"/>
    <w:basedOn w:val="CommentTextChar"/>
    <w:link w:val="CommentSubject"/>
    <w:uiPriority w:val="99"/>
    <w:rsid w:val="00907C45"/>
    <w:rPr>
      <w:rFonts w:ascii="Times New Roman" w:eastAsia="Times New Roman" w:hAnsi="Times New Roman" w:cs="Arial"/>
      <w:b/>
      <w:bCs/>
      <w:lang w:val="fr-FR" w:eastAsia="fr-FR"/>
    </w:rPr>
  </w:style>
  <w:style w:type="paragraph" w:styleId="Revision">
    <w:name w:val="Revision"/>
    <w:hidden/>
    <w:uiPriority w:val="99"/>
    <w:semiHidden/>
    <w:rsid w:val="00907C45"/>
    <w:rPr>
      <w:rFonts w:ascii="Times New Roman" w:hAnsi="Times New Roman"/>
      <w:sz w:val="24"/>
      <w:szCs w:val="24"/>
    </w:rPr>
  </w:style>
  <w:style w:type="paragraph" w:styleId="Caption">
    <w:name w:val="caption"/>
    <w:basedOn w:val="Normal"/>
    <w:next w:val="Normal"/>
    <w:uiPriority w:val="35"/>
    <w:unhideWhenUsed/>
    <w:qFormat/>
    <w:rsid w:val="00907C45"/>
    <w:pPr>
      <w:widowControl w:val="0"/>
      <w:tabs>
        <w:tab w:val="clear" w:pos="794"/>
        <w:tab w:val="clear" w:pos="1191"/>
        <w:tab w:val="clear" w:pos="1588"/>
        <w:tab w:val="clear" w:pos="198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styleId="NoSpacing">
    <w:name w:val="No Spacing"/>
    <w:uiPriority w:val="1"/>
    <w:qFormat/>
    <w:rsid w:val="00907C45"/>
    <w:pPr>
      <w:spacing w:before="120" w:after="120" w:line="288" w:lineRule="auto"/>
    </w:pPr>
    <w:rPr>
      <w:rFonts w:ascii="Arial" w:eastAsia="Times New Roman" w:hAnsi="Arial" w:cs="Arial"/>
      <w:szCs w:val="24"/>
      <w:lang w:val="fr-FR" w:eastAsia="fr-FR"/>
    </w:rPr>
  </w:style>
  <w:style w:type="paragraph" w:customStyle="1" w:styleId="headingb0">
    <w:name w:val="heading_b"/>
    <w:basedOn w:val="Heading3"/>
    <w:next w:val="Normal"/>
    <w:uiPriority w:val="99"/>
    <w:rsid w:val="00907C45"/>
    <w:pPr>
      <w:tabs>
        <w:tab w:val="clear" w:pos="1191"/>
        <w:tab w:val="clear" w:pos="1588"/>
        <w:tab w:val="clear" w:pos="1985"/>
        <w:tab w:val="left" w:pos="2127"/>
        <w:tab w:val="left" w:pos="2410"/>
        <w:tab w:val="left" w:pos="2921"/>
        <w:tab w:val="left" w:pos="3261"/>
      </w:tabs>
      <w:spacing w:before="160"/>
      <w:outlineLvl w:val="9"/>
    </w:pPr>
    <w:rPr>
      <w:rFonts w:ascii="Times New Roman" w:eastAsia="Times New Roman" w:hAnsi="Times New Roman"/>
      <w:i w:val="0"/>
      <w:lang w:val="fr-FR"/>
    </w:rPr>
  </w:style>
  <w:style w:type="numbering" w:customStyle="1" w:styleId="NoList1">
    <w:name w:val="No List1"/>
    <w:next w:val="NoList"/>
    <w:uiPriority w:val="99"/>
    <w:semiHidden/>
    <w:unhideWhenUsed/>
    <w:rsid w:val="00907C45"/>
  </w:style>
  <w:style w:type="numbering" w:customStyle="1" w:styleId="NoList2">
    <w:name w:val="No List2"/>
    <w:next w:val="NoList"/>
    <w:uiPriority w:val="99"/>
    <w:semiHidden/>
    <w:unhideWhenUsed/>
    <w:rsid w:val="00907C45"/>
  </w:style>
  <w:style w:type="paragraph" w:customStyle="1" w:styleId="font5">
    <w:name w:val="font5"/>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907C4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907C4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907C45"/>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907C4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907C4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1">
    <w:name w:val="xl81"/>
    <w:basedOn w:val="Normal"/>
    <w:rsid w:val="00907C45"/>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907C45"/>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907C4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907C4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907C45"/>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907C4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907C45"/>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907C45"/>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907C45"/>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907C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styleId="Title">
    <w:name w:val="Title"/>
    <w:basedOn w:val="Normal"/>
    <w:link w:val="TitleChar"/>
    <w:qFormat/>
    <w:rsid w:val="00907C45"/>
    <w:pPr>
      <w:tabs>
        <w:tab w:val="clear" w:pos="794"/>
        <w:tab w:val="clear" w:pos="1191"/>
        <w:tab w:val="clear" w:pos="1588"/>
        <w:tab w:val="clear" w:pos="1985"/>
      </w:tabs>
      <w:overflowPunct/>
      <w:autoSpaceDE/>
      <w:autoSpaceDN/>
      <w:adjustRightInd/>
      <w:spacing w:before="0"/>
      <w:jc w:val="center"/>
      <w:textAlignment w:val="auto"/>
    </w:pPr>
    <w:rPr>
      <w:rFonts w:ascii="Arial" w:hAnsi="Arial"/>
      <w:b/>
      <w:bCs/>
      <w:sz w:val="22"/>
      <w:szCs w:val="24"/>
      <w:lang w:eastAsia="zh-CN"/>
    </w:rPr>
  </w:style>
  <w:style w:type="character" w:customStyle="1" w:styleId="TitleChar">
    <w:name w:val="Title Char"/>
    <w:basedOn w:val="DefaultParagraphFont"/>
    <w:link w:val="Title"/>
    <w:rsid w:val="00907C45"/>
    <w:rPr>
      <w:rFonts w:ascii="Arial" w:hAnsi="Arial"/>
      <w:b/>
      <w:bCs/>
      <w:sz w:val="22"/>
      <w:szCs w:val="24"/>
      <w:lang w:val="en-GB"/>
    </w:rPr>
  </w:style>
  <w:style w:type="paragraph" w:styleId="BlockText">
    <w:name w:val="Block Text"/>
    <w:basedOn w:val="Normal"/>
    <w:rsid w:val="00907C45"/>
    <w:pPr>
      <w:tabs>
        <w:tab w:val="clear" w:pos="794"/>
        <w:tab w:val="clear" w:pos="1191"/>
        <w:tab w:val="clear" w:pos="1588"/>
        <w:tab w:val="clear" w:pos="1985"/>
      </w:tabs>
      <w:overflowPunct/>
      <w:autoSpaceDE/>
      <w:autoSpaceDN/>
      <w:adjustRightInd/>
      <w:spacing w:before="0"/>
      <w:ind w:left="567" w:right="566"/>
      <w:textAlignment w:val="auto"/>
    </w:pPr>
    <w:rPr>
      <w:rFonts w:ascii="Univers" w:eastAsia="Times New Roman" w:hAnsi="Univers"/>
      <w:sz w:val="21"/>
      <w:szCs w:val="21"/>
    </w:rPr>
  </w:style>
  <w:style w:type="character" w:styleId="Emphasis">
    <w:name w:val="Emphasis"/>
    <w:basedOn w:val="DefaultParagraphFont"/>
    <w:qFormat/>
    <w:rsid w:val="00907C45"/>
    <w:rPr>
      <w:i/>
      <w:iCs/>
    </w:rPr>
  </w:style>
  <w:style w:type="paragraph" w:customStyle="1" w:styleId="nlist">
    <w:name w:val="nlist"/>
    <w:basedOn w:val="Normal"/>
    <w:rsid w:val="00347010"/>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rPr>
  </w:style>
  <w:style w:type="paragraph" w:styleId="BodyText">
    <w:name w:val="Body Text"/>
    <w:basedOn w:val="Normal"/>
    <w:link w:val="BodyTextChar"/>
    <w:uiPriority w:val="99"/>
    <w:unhideWhenUsed/>
    <w:rsid w:val="00347010"/>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347010"/>
    <w:rPr>
      <w:rFonts w:ascii="Times New Roman" w:eastAsiaTheme="minorEastAsia" w:hAnsi="Times New Roman"/>
      <w:sz w:val="24"/>
      <w:szCs w:val="24"/>
    </w:rPr>
  </w:style>
  <w:style w:type="paragraph" w:styleId="BodyTextIndent2">
    <w:name w:val="Body Text Indent 2"/>
    <w:basedOn w:val="Normal"/>
    <w:link w:val="BodyTextIndent2Char"/>
    <w:uiPriority w:val="99"/>
    <w:unhideWhenUsed/>
    <w:rsid w:val="00347010"/>
    <w:pPr>
      <w:widowControl w:val="0"/>
      <w:tabs>
        <w:tab w:val="clear" w:pos="794"/>
        <w:tab w:val="clear" w:pos="1191"/>
        <w:tab w:val="clear" w:pos="1588"/>
        <w:tab w:val="clear" w:pos="198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347010"/>
    <w:rPr>
      <w:rFonts w:ascii="Times New Roman" w:eastAsiaTheme="minorEastAsia" w:hAnsi="Times New Roman"/>
      <w:sz w:val="24"/>
      <w:szCs w:val="24"/>
    </w:rPr>
  </w:style>
  <w:style w:type="paragraph" w:customStyle="1" w:styleId="P2">
    <w:name w:val="P2"/>
    <w:basedOn w:val="Normal"/>
    <w:rsid w:val="00347010"/>
    <w:pPr>
      <w:tabs>
        <w:tab w:val="clear" w:pos="794"/>
        <w:tab w:val="clear" w:pos="1191"/>
        <w:tab w:val="clear" w:pos="1588"/>
        <w:tab w:val="clear" w:pos="1985"/>
      </w:tabs>
      <w:spacing w:before="240"/>
      <w:ind w:left="1247"/>
      <w:jc w:val="both"/>
    </w:pPr>
    <w:rPr>
      <w:rFonts w:ascii="Arial" w:eastAsia="Times New Roman" w:hAnsi="Arial"/>
      <w:sz w:val="22"/>
      <w:lang w:val="fr-FR" w:eastAsia="fr-FR"/>
    </w:rPr>
  </w:style>
  <w:style w:type="paragraph" w:customStyle="1" w:styleId="TableTitle0">
    <w:name w:val="Table_Title"/>
    <w:basedOn w:val="Normal"/>
    <w:next w:val="TableText0"/>
    <w:uiPriority w:val="99"/>
    <w:rsid w:val="00347010"/>
    <w:pPr>
      <w:keepNext/>
      <w:keepLines/>
      <w:spacing w:before="0" w:after="120"/>
      <w:jc w:val="center"/>
    </w:pPr>
    <w:rPr>
      <w:b/>
      <w:lang w:val="fr-FR"/>
    </w:rPr>
  </w:style>
  <w:style w:type="paragraph" w:customStyle="1" w:styleId="xl63">
    <w:name w:val="xl63"/>
    <w:basedOn w:val="Normal"/>
    <w:rsid w:val="0034701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4">
    <w:name w:val="xl64"/>
    <w:basedOn w:val="Normal"/>
    <w:rsid w:val="0034701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 w:val="22"/>
      <w:szCs w:val="22"/>
      <w:lang w:val="en-US" w:eastAsia="zh-CN"/>
    </w:rPr>
  </w:style>
  <w:style w:type="table" w:customStyle="1" w:styleId="DarkList1">
    <w:name w:val="Dark List1"/>
    <w:basedOn w:val="TableNormal"/>
    <w:uiPriority w:val="70"/>
    <w:rsid w:val="00347010"/>
    <w:rPr>
      <w:rFonts w:asciiTheme="minorHAnsi"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347010"/>
    <w:pPr>
      <w:numPr>
        <w:numId w:val="17"/>
      </w:numPr>
    </w:pPr>
  </w:style>
  <w:style w:type="numbering" w:customStyle="1" w:styleId="Style2">
    <w:name w:val="Style2"/>
    <w:uiPriority w:val="99"/>
    <w:rsid w:val="00347010"/>
    <w:pPr>
      <w:numPr>
        <w:numId w:val="18"/>
      </w:numPr>
    </w:pPr>
  </w:style>
  <w:style w:type="numbering" w:customStyle="1" w:styleId="Style3">
    <w:name w:val="Style3"/>
    <w:uiPriority w:val="99"/>
    <w:rsid w:val="00347010"/>
    <w:pPr>
      <w:numPr>
        <w:numId w:val="19"/>
      </w:numPr>
    </w:pPr>
  </w:style>
  <w:style w:type="paragraph" w:customStyle="1" w:styleId="plist">
    <w:name w:val="plist"/>
    <w:basedOn w:val="Normal"/>
    <w:rsid w:val="00347010"/>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347010"/>
  </w:style>
  <w:style w:type="paragraph" w:customStyle="1" w:styleId="Style7">
    <w:name w:val="Style7"/>
    <w:basedOn w:val="Normal"/>
    <w:rsid w:val="00347010"/>
    <w:pPr>
      <w:widowControl w:val="0"/>
      <w:tabs>
        <w:tab w:val="clear" w:pos="794"/>
        <w:tab w:val="clear" w:pos="1191"/>
        <w:tab w:val="clear" w:pos="1588"/>
        <w:tab w:val="clear" w:pos="198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table" w:customStyle="1" w:styleId="DarkList11">
    <w:name w:val="Dark List11"/>
    <w:basedOn w:val="TableNormal"/>
    <w:uiPriority w:val="70"/>
    <w:rsid w:val="00347010"/>
    <w:rPr>
      <w:rFonts w:asciiTheme="minorHAnsi"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TableGrid1">
    <w:name w:val="Table Grid1"/>
    <w:basedOn w:val="TableNormal"/>
    <w:next w:val="TableGrid"/>
    <w:rsid w:val="0034701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347010"/>
  </w:style>
  <w:style w:type="numbering" w:customStyle="1" w:styleId="Style21">
    <w:name w:val="Style21"/>
    <w:uiPriority w:val="99"/>
    <w:rsid w:val="00347010"/>
  </w:style>
  <w:style w:type="numbering" w:customStyle="1" w:styleId="Style31">
    <w:name w:val="Style31"/>
    <w:uiPriority w:val="99"/>
    <w:rsid w:val="00347010"/>
  </w:style>
  <w:style w:type="paragraph" w:customStyle="1" w:styleId="call0">
    <w:name w:val="call"/>
    <w:basedOn w:val="Normal"/>
    <w:next w:val="Normal"/>
    <w:rsid w:val="00347010"/>
    <w:pPr>
      <w:keepNext/>
      <w:keepLines/>
      <w:spacing w:before="160" w:line="0" w:lineRule="atLeast"/>
      <w:ind w:left="794"/>
    </w:pPr>
    <w:rPr>
      <w:rFonts w:ascii="Times New Roman" w:eastAsiaTheme="minorEastAsia" w:hAnsi="Times New Roman"/>
      <w:i/>
      <w:lang w:val="fr-FR"/>
    </w:rPr>
  </w:style>
  <w:style w:type="character" w:styleId="PlaceholderText">
    <w:name w:val="Placeholder Text"/>
    <w:basedOn w:val="DefaultParagraphFont"/>
    <w:uiPriority w:val="99"/>
    <w:semiHidden/>
    <w:rsid w:val="00347010"/>
    <w:rPr>
      <w:color w:val="808080"/>
    </w:rPr>
  </w:style>
  <w:style w:type="paragraph" w:styleId="TOCHeading">
    <w:name w:val="TOC Heading"/>
    <w:basedOn w:val="Heading1"/>
    <w:next w:val="Normal"/>
    <w:uiPriority w:val="39"/>
    <w:semiHidden/>
    <w:unhideWhenUsed/>
    <w:qFormat/>
    <w:rsid w:val="00347010"/>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xl94">
    <w:name w:val="xl94"/>
    <w:basedOn w:val="Normal"/>
    <w:rsid w:val="0034701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34701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347010"/>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347010"/>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347010"/>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34701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34701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34701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34701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3">
    <w:name w:val="xl103"/>
    <w:basedOn w:val="Normal"/>
    <w:rsid w:val="0034701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FF0000"/>
      <w:sz w:val="16"/>
      <w:szCs w:val="16"/>
      <w:lang w:val="en-US" w:eastAsia="zh-CN"/>
    </w:rPr>
  </w:style>
  <w:style w:type="paragraph" w:customStyle="1" w:styleId="xl104">
    <w:name w:val="xl104"/>
    <w:basedOn w:val="Normal"/>
    <w:rsid w:val="00347010"/>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5">
    <w:name w:val="xl105"/>
    <w:basedOn w:val="Normal"/>
    <w:rsid w:val="00347010"/>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6">
    <w:name w:val="xl106"/>
    <w:basedOn w:val="Normal"/>
    <w:rsid w:val="00347010"/>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character" w:customStyle="1" w:styleId="shorttext">
    <w:name w:val="short_text"/>
    <w:basedOn w:val="DefaultParagraphFont"/>
    <w:rsid w:val="00347010"/>
  </w:style>
  <w:style w:type="table" w:customStyle="1" w:styleId="TableGrid2">
    <w:name w:val="Table Grid2"/>
    <w:basedOn w:val="TableNormal"/>
    <w:next w:val="TableGrid"/>
    <w:rsid w:val="0034701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42257"/>
  </w:style>
  <w:style w:type="character" w:customStyle="1" w:styleId="RestitleChar">
    <w:name w:val="Res_title Char"/>
    <w:basedOn w:val="DefaultParagraphFont"/>
    <w:link w:val="Restitle"/>
    <w:locked/>
    <w:rsid w:val="003A0632"/>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19726">
      <w:bodyDiv w:val="1"/>
      <w:marLeft w:val="0"/>
      <w:marRight w:val="0"/>
      <w:marTop w:val="0"/>
      <w:marBottom w:val="0"/>
      <w:divBdr>
        <w:top w:val="none" w:sz="0" w:space="0" w:color="auto"/>
        <w:left w:val="none" w:sz="0" w:space="0" w:color="auto"/>
        <w:bottom w:val="none" w:sz="0" w:space="0" w:color="auto"/>
        <w:right w:val="none" w:sz="0" w:space="0" w:color="auto"/>
      </w:divBdr>
    </w:div>
    <w:div w:id="670066844">
      <w:bodyDiv w:val="1"/>
      <w:marLeft w:val="0"/>
      <w:marRight w:val="0"/>
      <w:marTop w:val="0"/>
      <w:marBottom w:val="0"/>
      <w:divBdr>
        <w:top w:val="none" w:sz="0" w:space="0" w:color="auto"/>
        <w:left w:val="none" w:sz="0" w:space="0" w:color="auto"/>
        <w:bottom w:val="none" w:sz="0" w:space="0" w:color="auto"/>
        <w:right w:val="none" w:sz="0" w:space="0" w:color="auto"/>
      </w:divBdr>
    </w:div>
    <w:div w:id="758912409">
      <w:bodyDiv w:val="1"/>
      <w:marLeft w:val="0"/>
      <w:marRight w:val="0"/>
      <w:marTop w:val="0"/>
      <w:marBottom w:val="0"/>
      <w:divBdr>
        <w:top w:val="none" w:sz="0" w:space="0" w:color="auto"/>
        <w:left w:val="none" w:sz="0" w:space="0" w:color="auto"/>
        <w:bottom w:val="none" w:sz="0" w:space="0" w:color="auto"/>
        <w:right w:val="none" w:sz="0" w:space="0" w:color="auto"/>
      </w:divBdr>
    </w:div>
    <w:div w:id="872229024">
      <w:bodyDiv w:val="1"/>
      <w:marLeft w:val="0"/>
      <w:marRight w:val="0"/>
      <w:marTop w:val="0"/>
      <w:marBottom w:val="0"/>
      <w:divBdr>
        <w:top w:val="none" w:sz="0" w:space="0" w:color="auto"/>
        <w:left w:val="none" w:sz="0" w:space="0" w:color="auto"/>
        <w:bottom w:val="none" w:sz="0" w:space="0" w:color="auto"/>
        <w:right w:val="none" w:sz="0" w:space="0" w:color="auto"/>
      </w:divBdr>
    </w:div>
    <w:div w:id="1565338408">
      <w:bodyDiv w:val="1"/>
      <w:marLeft w:val="0"/>
      <w:marRight w:val="0"/>
      <w:marTop w:val="0"/>
      <w:marBottom w:val="0"/>
      <w:divBdr>
        <w:top w:val="none" w:sz="0" w:space="0" w:color="auto"/>
        <w:left w:val="none" w:sz="0" w:space="0" w:color="auto"/>
        <w:bottom w:val="none" w:sz="0" w:space="0" w:color="auto"/>
        <w:right w:val="none" w:sz="0" w:space="0" w:color="auto"/>
      </w:divBdr>
    </w:div>
    <w:div w:id="1786843712">
      <w:bodyDiv w:val="1"/>
      <w:marLeft w:val="0"/>
      <w:marRight w:val="0"/>
      <w:marTop w:val="0"/>
      <w:marBottom w:val="0"/>
      <w:divBdr>
        <w:top w:val="none" w:sz="0" w:space="0" w:color="auto"/>
        <w:left w:val="none" w:sz="0" w:space="0" w:color="auto"/>
        <w:bottom w:val="none" w:sz="0" w:space="0" w:color="auto"/>
        <w:right w:val="none" w:sz="0" w:space="0" w:color="auto"/>
      </w:divBdr>
    </w:div>
    <w:div w:id="20317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CL-C-0022/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S11-CL-C-0109/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1DF6-A785-4AFF-AA74-22673435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PC_C14.dotm</Template>
  <TotalTime>54</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Xu, Hui</dc:creator>
  <cp:keywords>C2004, C04</cp:keywords>
  <dc:description>C05/xx-C  For: _x000d_Document date: _x000d_Saved by CHI42772 at 09:12:08 on 10/02/2005</dc:description>
  <cp:lastModifiedBy>Domingo Mejias, Luisa</cp:lastModifiedBy>
  <cp:revision>11</cp:revision>
  <cp:lastPrinted>2014-10-03T09:22:00Z</cp:lastPrinted>
  <dcterms:created xsi:type="dcterms:W3CDTF">2014-10-02T14:37:00Z</dcterms:created>
  <dcterms:modified xsi:type="dcterms:W3CDTF">2014-10-07T08:39:00Z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