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0371F1" w:rsidTr="00C713E0">
        <w:tc>
          <w:tcPr>
            <w:tcW w:w="9243" w:type="dxa"/>
          </w:tcPr>
          <w:p w:rsidR="000371F1" w:rsidRDefault="000371F1" w:rsidP="00C713E0">
            <w:pPr>
              <w:tabs>
                <w:tab w:val="left" w:pos="709"/>
              </w:tabs>
              <w:spacing w:before="100" w:beforeAutospacing="1" w:after="100" w:afterAutospacing="1"/>
              <w:ind w:left="-567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F790923" wp14:editId="516044D4">
                  <wp:extent cx="5732145" cy="90233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1F1" w:rsidRPr="00450278" w:rsidTr="00C713E0">
        <w:tc>
          <w:tcPr>
            <w:tcW w:w="9243" w:type="dxa"/>
            <w:tcBorders>
              <w:bottom w:val="single" w:sz="12" w:space="0" w:color="auto"/>
            </w:tcBorders>
          </w:tcPr>
          <w:p w:rsidR="000371F1" w:rsidRPr="00450278" w:rsidRDefault="000371F1" w:rsidP="00C713E0">
            <w:pPr>
              <w:pStyle w:val="Header"/>
              <w:spacing w:line="360" w:lineRule="auto"/>
              <w:ind w:left="142"/>
              <w:rPr>
                <w:noProof/>
              </w:rPr>
            </w:pPr>
            <w:proofErr w:type="spellStart"/>
            <w:r>
              <w:rPr>
                <w:sz w:val="28"/>
                <w:szCs w:val="28"/>
              </w:rPr>
              <w:t>Ginebra</w:t>
            </w:r>
            <w:proofErr w:type="spellEnd"/>
            <w:r w:rsidRPr="00450278">
              <w:rPr>
                <w:sz w:val="28"/>
                <w:szCs w:val="28"/>
              </w:rPr>
              <w:t xml:space="preserve">, 14-16 </w:t>
            </w:r>
            <w:r>
              <w:rPr>
                <w:sz w:val="28"/>
                <w:szCs w:val="28"/>
              </w:rPr>
              <w:t>de m</w:t>
            </w:r>
            <w:r w:rsidRPr="0045027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yo de</w:t>
            </w:r>
            <w:r w:rsidRPr="00450278">
              <w:rPr>
                <w:sz w:val="28"/>
                <w:szCs w:val="28"/>
              </w:rPr>
              <w:t xml:space="preserve"> 2013</w:t>
            </w:r>
          </w:p>
        </w:tc>
      </w:tr>
      <w:tr w:rsidR="000371F1" w:rsidRPr="000371F1" w:rsidTr="00C713E0">
        <w:tc>
          <w:tcPr>
            <w:tcW w:w="9243" w:type="dxa"/>
            <w:tcBorders>
              <w:top w:val="single" w:sz="12" w:space="0" w:color="auto"/>
            </w:tcBorders>
          </w:tcPr>
          <w:p w:rsidR="000371F1" w:rsidRPr="000371F1" w:rsidRDefault="000371F1" w:rsidP="00C713E0">
            <w:pPr>
              <w:pStyle w:val="Equation"/>
              <w:tabs>
                <w:tab w:val="left" w:pos="1191"/>
                <w:tab w:val="left" w:pos="1588"/>
                <w:tab w:val="left" w:pos="1985"/>
              </w:tabs>
              <w:spacing w:before="720" w:line="276" w:lineRule="auto"/>
              <w:jc w:val="center"/>
              <w:rPr>
                <w:b/>
                <w:caps/>
                <w:szCs w:val="24"/>
                <w:lang w:val="es-ES_tradnl"/>
              </w:rPr>
            </w:pPr>
            <w:r w:rsidRPr="000371F1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  <w:lang w:val="es-ES"/>
              </w:rPr>
              <w:t>PROYECTO DE OPINIÓN</w:t>
            </w:r>
            <w:r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  <w:lang w:val="es-ES"/>
              </w:rPr>
              <w:t xml:space="preserve"> 4</w:t>
            </w:r>
            <w:r w:rsidRPr="000371F1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  <w:lang w:val="es-ES"/>
              </w:rPr>
              <w:t xml:space="preserve">: En apoyo de la adopción de IPv6 y </w:t>
            </w:r>
            <w:r w:rsidRPr="000371F1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  <w:lang w:val="es-ES"/>
              </w:rPr>
              <w:br/>
              <w:t>de la transición desde IPv4</w:t>
            </w:r>
          </w:p>
        </w:tc>
      </w:tr>
    </w:tbl>
    <w:p w:rsidR="00623AEA" w:rsidRPr="004F620D" w:rsidRDefault="004F620D" w:rsidP="004F620D">
      <w:pPr>
        <w:pStyle w:val="Equation"/>
        <w:tabs>
          <w:tab w:val="clear" w:pos="794"/>
          <w:tab w:val="clear" w:pos="4820"/>
          <w:tab w:val="clear" w:pos="9639"/>
          <w:tab w:val="left" w:pos="720"/>
        </w:tabs>
        <w:spacing w:before="240"/>
        <w:jc w:val="both"/>
        <w:rPr>
          <w:rFonts w:asciiTheme="minorHAnsi" w:hAnsiTheme="minorHAnsi" w:cstheme="minorHAnsi"/>
          <w:szCs w:val="24"/>
          <w:lang w:val="es-ES"/>
        </w:rPr>
      </w:pPr>
      <w:r w:rsidRPr="004F620D">
        <w:rPr>
          <w:rFonts w:asciiTheme="minorHAnsi" w:hAnsiTheme="minorHAnsi" w:cstheme="minorHAnsi"/>
          <w:szCs w:val="24"/>
          <w:lang w:val="es-ES"/>
        </w:rPr>
        <w:t xml:space="preserve">El </w:t>
      </w:r>
      <w:r>
        <w:rPr>
          <w:rFonts w:asciiTheme="minorHAnsi" w:hAnsiTheme="minorHAnsi" w:cstheme="minorHAnsi"/>
          <w:szCs w:val="24"/>
          <w:lang w:val="es-ES"/>
        </w:rPr>
        <w:t>quinto</w:t>
      </w:r>
      <w:r w:rsidRPr="004F620D">
        <w:rPr>
          <w:rFonts w:asciiTheme="minorHAnsi" w:hAnsiTheme="minorHAnsi" w:cstheme="minorHAnsi"/>
          <w:szCs w:val="24"/>
          <w:lang w:val="es-ES"/>
        </w:rPr>
        <w:t xml:space="preserve"> Foro Mundial de Política de las Telecomunicaciones</w:t>
      </w:r>
      <w:r>
        <w:rPr>
          <w:rFonts w:asciiTheme="minorHAnsi" w:hAnsiTheme="minorHAnsi" w:cstheme="minorHAnsi"/>
          <w:szCs w:val="24"/>
          <w:lang w:val="es-ES"/>
        </w:rPr>
        <w:t>/TIC</w:t>
      </w:r>
      <w:r w:rsidRPr="004F620D">
        <w:rPr>
          <w:rFonts w:asciiTheme="minorHAnsi" w:hAnsiTheme="minorHAnsi" w:cstheme="minorHAnsi"/>
          <w:szCs w:val="24"/>
          <w:lang w:val="es-ES"/>
        </w:rPr>
        <w:t xml:space="preserve"> </w:t>
      </w:r>
      <w:r w:rsidR="00623AEA" w:rsidRPr="004F620D">
        <w:rPr>
          <w:rFonts w:asciiTheme="minorHAnsi" w:hAnsiTheme="minorHAnsi" w:cstheme="minorHAnsi"/>
          <w:szCs w:val="24"/>
          <w:lang w:val="es-ES"/>
        </w:rPr>
        <w:t>(G</w:t>
      </w:r>
      <w:r>
        <w:rPr>
          <w:rFonts w:asciiTheme="minorHAnsi" w:hAnsiTheme="minorHAnsi" w:cstheme="minorHAnsi"/>
          <w:szCs w:val="24"/>
          <w:lang w:val="es-ES"/>
        </w:rPr>
        <w:t>inebr</w:t>
      </w:r>
      <w:r w:rsidR="00623AEA" w:rsidRPr="004F620D">
        <w:rPr>
          <w:rFonts w:asciiTheme="minorHAnsi" w:hAnsiTheme="minorHAnsi" w:cstheme="minorHAnsi"/>
          <w:szCs w:val="24"/>
          <w:lang w:val="es-ES"/>
        </w:rPr>
        <w:t>a, 2013),</w:t>
      </w:r>
    </w:p>
    <w:p w:rsidR="00B36C98" w:rsidRPr="004F620D" w:rsidRDefault="00585D83" w:rsidP="00D01867">
      <w:pPr>
        <w:tabs>
          <w:tab w:val="left" w:pos="720"/>
        </w:tabs>
        <w:spacing w:before="240"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4F620D">
        <w:rPr>
          <w:rFonts w:cstheme="minorHAnsi"/>
          <w:i/>
          <w:sz w:val="24"/>
          <w:szCs w:val="24"/>
          <w:lang w:val="es-ES"/>
        </w:rPr>
        <w:tab/>
      </w:r>
      <w:r w:rsidR="00D01867">
        <w:rPr>
          <w:rFonts w:cstheme="minorHAnsi"/>
          <w:i/>
          <w:sz w:val="24"/>
          <w:szCs w:val="24"/>
          <w:lang w:val="es-ES"/>
        </w:rPr>
        <w:t>consider</w:t>
      </w:r>
      <w:r w:rsidR="004F620D">
        <w:rPr>
          <w:rFonts w:cstheme="minorHAnsi"/>
          <w:i/>
          <w:sz w:val="24"/>
          <w:szCs w:val="24"/>
          <w:lang w:val="es-ES"/>
        </w:rPr>
        <w:t>ando</w:t>
      </w:r>
      <w:r w:rsidR="00B36C98" w:rsidRPr="004F620D">
        <w:rPr>
          <w:rFonts w:cstheme="minorHAnsi"/>
          <w:i/>
          <w:sz w:val="24"/>
          <w:szCs w:val="24"/>
          <w:lang w:val="es-ES"/>
        </w:rPr>
        <w:t xml:space="preserve"> </w:t>
      </w:r>
    </w:p>
    <w:p w:rsidR="00D01867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a)</w:t>
      </w:r>
      <w:r>
        <w:rPr>
          <w:rFonts w:cstheme="minorHAnsi"/>
          <w:sz w:val="24"/>
          <w:szCs w:val="24"/>
          <w:lang w:val="es-ES"/>
        </w:rPr>
        <w:tab/>
      </w:r>
      <w:r w:rsidR="004F620D" w:rsidRPr="00D01867">
        <w:rPr>
          <w:rFonts w:cstheme="minorHAnsi"/>
          <w:sz w:val="24"/>
          <w:szCs w:val="24"/>
          <w:lang w:val="es-ES"/>
        </w:rPr>
        <w:t>L</w:t>
      </w:r>
      <w:r w:rsidR="00D01867" w:rsidRPr="00D01867">
        <w:rPr>
          <w:rFonts w:cstheme="minorHAnsi"/>
          <w:sz w:val="24"/>
          <w:szCs w:val="24"/>
          <w:lang w:val="es-ES"/>
        </w:rPr>
        <w:t xml:space="preserve">a Resolución 64 (Rev. </w:t>
      </w:r>
      <w:proofErr w:type="spellStart"/>
      <w:r w:rsidR="00D01867" w:rsidRPr="00D01867">
        <w:rPr>
          <w:rFonts w:cstheme="minorHAnsi"/>
          <w:sz w:val="24"/>
          <w:szCs w:val="24"/>
          <w:lang w:val="es-ES"/>
        </w:rPr>
        <w:t>Dubai</w:t>
      </w:r>
      <w:proofErr w:type="spellEnd"/>
      <w:r w:rsidR="00D01867" w:rsidRPr="00D01867">
        <w:rPr>
          <w:rFonts w:cstheme="minorHAnsi"/>
          <w:sz w:val="24"/>
          <w:szCs w:val="24"/>
          <w:lang w:val="es-ES"/>
        </w:rPr>
        <w:t xml:space="preserve"> 2012) sobre Asignación de direcciones IP y medidas encaminadas a facilitar la transición a IPv6 y su implantación</w:t>
      </w:r>
      <w:r w:rsidR="00D01867">
        <w:rPr>
          <w:rFonts w:cstheme="minorHAnsi"/>
          <w:sz w:val="24"/>
          <w:szCs w:val="24"/>
          <w:lang w:val="es-ES"/>
        </w:rPr>
        <w:t>,</w:t>
      </w:r>
      <w:r w:rsidR="00D01867" w:rsidRPr="00D01867">
        <w:rPr>
          <w:rFonts w:cstheme="minorHAnsi"/>
          <w:sz w:val="24"/>
          <w:szCs w:val="24"/>
          <w:lang w:val="es-ES"/>
        </w:rPr>
        <w:t xml:space="preserve"> en la que, entre otras cosas, se encarga al Director de la Oficina de Normalización de las Telecomunicaciones que, en estrecha colaboración con el Director de la Oficina de Desarrollo de las Telecomunicaciones</w:t>
      </w:r>
      <w:r w:rsidR="00D01867">
        <w:rPr>
          <w:rFonts w:cstheme="minorHAnsi"/>
          <w:sz w:val="24"/>
          <w:szCs w:val="24"/>
          <w:lang w:val="es-ES"/>
        </w:rPr>
        <w:t>:</w:t>
      </w:r>
    </w:p>
    <w:p w:rsidR="00D01867" w:rsidRPr="00D01867" w:rsidRDefault="00D01867" w:rsidP="000371F1">
      <w:pPr>
        <w:pStyle w:val="Enum"/>
        <w:spacing w:line="240" w:lineRule="auto"/>
        <w:ind w:left="720" w:hanging="720"/>
        <w:jc w:val="left"/>
      </w:pPr>
      <w:r w:rsidRPr="00D01867">
        <w:t>1</w:t>
      </w:r>
      <w:r w:rsidR="00540F27">
        <w:t>)</w:t>
      </w:r>
      <w:r w:rsidRPr="00D01867">
        <w:tab/>
        <w:t xml:space="preserve">prosiga las actividades en curso entre la Oficina de Normalización de las Telecomunicaciones de la UIT (TSB) y la </w:t>
      </w:r>
      <w:r w:rsidR="00F21C86">
        <w:t>Oficina de Desarrollo de las Telecomunicaciones (BDT)</w:t>
      </w:r>
      <w:r w:rsidRPr="00D01867">
        <w:t xml:space="preserve">, teniendo en cuenta la implicación de los asociados que deseen participar y aportar sus conocimientos técnicos especializados para ayudar a los países en desarrollo en la implantación y la migración a IPv6, y responder a sus necesidades regionales, tal como éstas han sido identificadas por la BDT, en particular mediante programas de fomento de la capacidad; </w:t>
      </w:r>
    </w:p>
    <w:p w:rsidR="00D01867" w:rsidRPr="00D01867" w:rsidRDefault="00D01867" w:rsidP="000371F1">
      <w:pPr>
        <w:pStyle w:val="Enum"/>
        <w:spacing w:line="240" w:lineRule="auto"/>
        <w:ind w:left="720" w:hanging="720"/>
        <w:jc w:val="left"/>
      </w:pPr>
      <w:r w:rsidRPr="00D01867">
        <w:t>2</w:t>
      </w:r>
      <w:r w:rsidR="00540F27">
        <w:t>)</w:t>
      </w:r>
      <w:r w:rsidRPr="00D01867">
        <w:tab/>
        <w:t xml:space="preserve">mantenga al día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interesadas, y con información sobre los eventos de formación que emprenden la UIT y distintas organizaciones pertinentes (por ejemplo, los registros regionales de Internet (RIR), los grupos de operadores de red y la Internet </w:t>
      </w:r>
      <w:proofErr w:type="spellStart"/>
      <w:r w:rsidRPr="00D01867">
        <w:t>Society</w:t>
      </w:r>
      <w:proofErr w:type="spellEnd"/>
      <w:r w:rsidRPr="00D01867">
        <w:t xml:space="preserve"> (ISOC));</w:t>
      </w:r>
    </w:p>
    <w:p w:rsidR="00D01867" w:rsidRDefault="00D01867" w:rsidP="000371F1">
      <w:pPr>
        <w:pStyle w:val="Enum"/>
        <w:spacing w:line="240" w:lineRule="auto"/>
        <w:ind w:left="720" w:hanging="720"/>
        <w:jc w:val="left"/>
      </w:pPr>
      <w:r w:rsidRPr="00D01867">
        <w:t>3</w:t>
      </w:r>
      <w:r w:rsidR="00540F27">
        <w:t>)</w:t>
      </w:r>
      <w:r w:rsidRPr="00D01867">
        <w:tab/>
        <w:t>promueva la sensibilización respecto de la importancia de la implantación de IPv6, propicie actividades de formación conjuntas, implicando a los expertos apropiados de las entidades pertinentes, facilite información, en particular planes y directrices, y colabore en la creación de laboratorios con bancos de pruebas para IPv6 en los países en desarrollo en colaboración con las organizaciones conexas apropiadas</w:t>
      </w:r>
      <w:r>
        <w:t>;</w:t>
      </w:r>
    </w:p>
    <w:p w:rsidR="00D01867" w:rsidRDefault="00D01867" w:rsidP="000371F1">
      <w:pPr>
        <w:pStyle w:val="Enum"/>
        <w:spacing w:line="240" w:lineRule="auto"/>
        <w:ind w:left="720" w:hanging="720"/>
        <w:jc w:val="left"/>
      </w:pPr>
      <w:r>
        <w:t>4</w:t>
      </w:r>
      <w:r w:rsidR="00540F27">
        <w:t>)</w:t>
      </w:r>
      <w:r>
        <w:tab/>
      </w:r>
      <w:r w:rsidRPr="00D01867">
        <w:t>tome las medidas adecuadas para facilitar las actividades de las Comisiones de Estudio 2 y 3 del UIT</w:t>
      </w:r>
      <w:r w:rsidR="00F21C86">
        <w:t>-</w:t>
      </w:r>
      <w:r w:rsidRPr="00D01867">
        <w:t>T en el ámbito de las direcciones IP e informe anualmente al Consejo de la UIT y a la Asamblea Mundial de Normalización de las Telecomunicaciones de 2016</w:t>
      </w:r>
      <w:r>
        <w:t>.</w:t>
      </w:r>
    </w:p>
    <w:p w:rsidR="00D01867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b)</w:t>
      </w:r>
      <w:r>
        <w:rPr>
          <w:rFonts w:cstheme="minorHAnsi"/>
          <w:sz w:val="24"/>
          <w:szCs w:val="24"/>
          <w:lang w:val="es-ES"/>
        </w:rPr>
        <w:tab/>
      </w:r>
      <w:r w:rsidR="00D01867">
        <w:rPr>
          <w:rFonts w:cstheme="minorHAnsi"/>
          <w:sz w:val="24"/>
          <w:szCs w:val="24"/>
          <w:lang w:val="es-ES"/>
        </w:rPr>
        <w:t xml:space="preserve">La Resolución 180 de la Conferencia de Plenipotenciarios (Guadalajara, 2010) </w:t>
      </w:r>
      <w:r w:rsidR="00F21C86">
        <w:rPr>
          <w:rFonts w:cstheme="minorHAnsi"/>
          <w:sz w:val="24"/>
          <w:szCs w:val="24"/>
          <w:lang w:val="es-ES"/>
        </w:rPr>
        <w:t>F</w:t>
      </w:r>
      <w:r w:rsidR="00D01867">
        <w:rPr>
          <w:rFonts w:cstheme="minorHAnsi"/>
          <w:sz w:val="24"/>
          <w:szCs w:val="24"/>
          <w:lang w:val="es-ES"/>
        </w:rPr>
        <w:t xml:space="preserve">acilitar la </w:t>
      </w:r>
      <w:r w:rsidR="00FB0370">
        <w:rPr>
          <w:rFonts w:cstheme="minorHAnsi"/>
          <w:sz w:val="24"/>
          <w:szCs w:val="24"/>
          <w:lang w:val="es-ES"/>
        </w:rPr>
        <w:t>transición</w:t>
      </w:r>
      <w:r w:rsidR="00D01867">
        <w:rPr>
          <w:rFonts w:cstheme="minorHAnsi"/>
          <w:sz w:val="24"/>
          <w:szCs w:val="24"/>
          <w:lang w:val="es-ES"/>
        </w:rPr>
        <w:t xml:space="preserve"> de I</w:t>
      </w:r>
      <w:r w:rsidR="00F32E8A">
        <w:rPr>
          <w:rFonts w:cstheme="minorHAnsi"/>
          <w:sz w:val="24"/>
          <w:szCs w:val="24"/>
          <w:lang w:val="es-ES"/>
        </w:rPr>
        <w:t>P</w:t>
      </w:r>
      <w:r w:rsidR="00D01867">
        <w:rPr>
          <w:rFonts w:cstheme="minorHAnsi"/>
          <w:sz w:val="24"/>
          <w:szCs w:val="24"/>
          <w:lang w:val="es-ES"/>
        </w:rPr>
        <w:t>v4 a I</w:t>
      </w:r>
      <w:r w:rsidR="00F32E8A">
        <w:rPr>
          <w:rFonts w:cstheme="minorHAnsi"/>
          <w:sz w:val="24"/>
          <w:szCs w:val="24"/>
          <w:lang w:val="es-ES"/>
        </w:rPr>
        <w:t>P</w:t>
      </w:r>
      <w:r w:rsidR="00D01867">
        <w:rPr>
          <w:rFonts w:cstheme="minorHAnsi"/>
          <w:sz w:val="24"/>
          <w:szCs w:val="24"/>
          <w:lang w:val="es-ES"/>
        </w:rPr>
        <w:t>v6;</w:t>
      </w:r>
    </w:p>
    <w:p w:rsidR="00F32E8A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c)</w:t>
      </w:r>
      <w:r>
        <w:rPr>
          <w:rFonts w:cstheme="minorHAnsi"/>
          <w:sz w:val="24"/>
          <w:szCs w:val="24"/>
          <w:lang w:val="es-ES"/>
        </w:rPr>
        <w:tab/>
      </w:r>
      <w:r w:rsidR="00BA1199">
        <w:rPr>
          <w:rFonts w:cstheme="minorHAnsi"/>
          <w:sz w:val="24"/>
          <w:szCs w:val="24"/>
          <w:lang w:val="es-ES"/>
        </w:rPr>
        <w:t>la labor del Grupo de Trabajo sobre el IPv6</w:t>
      </w:r>
      <w:r w:rsidR="00F32E8A">
        <w:rPr>
          <w:rFonts w:cstheme="minorHAnsi"/>
          <w:sz w:val="24"/>
          <w:szCs w:val="24"/>
          <w:lang w:val="es-ES"/>
        </w:rPr>
        <w:t>, que fue creado por el Conse</w:t>
      </w:r>
      <w:r w:rsidR="00DB39B7">
        <w:rPr>
          <w:rFonts w:cstheme="minorHAnsi"/>
          <w:sz w:val="24"/>
          <w:szCs w:val="24"/>
          <w:lang w:val="es-ES"/>
        </w:rPr>
        <w:t xml:space="preserve">jo </w:t>
      </w:r>
      <w:r w:rsidR="00F32E8A">
        <w:rPr>
          <w:rFonts w:cstheme="minorHAnsi"/>
          <w:sz w:val="24"/>
          <w:szCs w:val="24"/>
          <w:lang w:val="es-ES"/>
        </w:rPr>
        <w:t>en su reunión de 2009, así como las discusiones conexas en el marco de la AMNT-12 (</w:t>
      </w:r>
      <w:proofErr w:type="spellStart"/>
      <w:r w:rsidR="00F32E8A">
        <w:rPr>
          <w:rFonts w:cstheme="minorHAnsi"/>
          <w:sz w:val="24"/>
          <w:szCs w:val="24"/>
          <w:lang w:val="es-ES"/>
        </w:rPr>
        <w:t>Dubai</w:t>
      </w:r>
      <w:proofErr w:type="spellEnd"/>
      <w:r w:rsidR="00F32E8A">
        <w:rPr>
          <w:rFonts w:cstheme="minorHAnsi"/>
          <w:sz w:val="24"/>
          <w:szCs w:val="24"/>
          <w:lang w:val="es-ES"/>
        </w:rPr>
        <w:t>,</w:t>
      </w:r>
      <w:r w:rsidR="00DB39B7">
        <w:rPr>
          <w:rFonts w:cstheme="minorHAnsi"/>
          <w:sz w:val="24"/>
          <w:szCs w:val="24"/>
          <w:lang w:val="es-ES"/>
        </w:rPr>
        <w:t> </w:t>
      </w:r>
      <w:r w:rsidR="00F32E8A">
        <w:rPr>
          <w:rFonts w:cstheme="minorHAnsi"/>
          <w:sz w:val="24"/>
          <w:szCs w:val="24"/>
          <w:lang w:val="es-ES"/>
        </w:rPr>
        <w:t>2012);</w:t>
      </w:r>
    </w:p>
    <w:p w:rsidR="00F32E8A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d)</w:t>
      </w:r>
      <w:r>
        <w:rPr>
          <w:rFonts w:cstheme="minorHAnsi"/>
          <w:sz w:val="24"/>
          <w:szCs w:val="24"/>
          <w:lang w:val="es-ES"/>
        </w:rPr>
        <w:tab/>
      </w:r>
      <w:r w:rsidR="00F32E8A">
        <w:rPr>
          <w:rFonts w:cstheme="minorHAnsi"/>
          <w:sz w:val="24"/>
          <w:szCs w:val="24"/>
          <w:lang w:val="es-ES"/>
        </w:rPr>
        <w:t>la Opinión 5 del FMPT (Lisboa, 2009) en la que se pide que se aceleren las actividades relacionadas con la Resolución 64 de la AMNT (Johannesburgo, 2008);</w:t>
      </w:r>
    </w:p>
    <w:p w:rsidR="00F32E8A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e)</w:t>
      </w:r>
      <w:r>
        <w:rPr>
          <w:rFonts w:cstheme="minorHAnsi"/>
          <w:sz w:val="24"/>
          <w:szCs w:val="24"/>
          <w:lang w:val="es-ES"/>
        </w:rPr>
        <w:tab/>
      </w:r>
      <w:r w:rsidR="00F32E8A">
        <w:rPr>
          <w:rFonts w:cstheme="minorHAnsi"/>
          <w:sz w:val="24"/>
          <w:szCs w:val="24"/>
          <w:lang w:val="es-ES"/>
        </w:rPr>
        <w:t>la labor que ya han emprendido la BDT y la TSB sobre la cuestión de IPv6;</w:t>
      </w:r>
    </w:p>
    <w:p w:rsidR="00BA1199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f)</w:t>
      </w:r>
      <w:r>
        <w:rPr>
          <w:rFonts w:cstheme="minorHAnsi"/>
          <w:sz w:val="24"/>
          <w:szCs w:val="24"/>
          <w:lang w:val="es-ES"/>
        </w:rPr>
        <w:tab/>
      </w:r>
      <w:r w:rsidR="00F32E8A">
        <w:rPr>
          <w:rFonts w:cstheme="minorHAnsi"/>
          <w:sz w:val="24"/>
          <w:szCs w:val="24"/>
          <w:lang w:val="es-ES"/>
        </w:rPr>
        <w:t>que la atribución e implantación de direcciones IPv6 es una cuestión importante para los Estados Miembros y los Miembros de Sector;</w:t>
      </w:r>
      <w:r w:rsidR="00D01867" w:rsidRPr="00D01867">
        <w:rPr>
          <w:rFonts w:cstheme="minorHAnsi"/>
          <w:sz w:val="24"/>
          <w:szCs w:val="24"/>
          <w:lang w:val="es-ES"/>
        </w:rPr>
        <w:t xml:space="preserve"> </w:t>
      </w:r>
    </w:p>
    <w:p w:rsidR="00F32E8A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g)</w:t>
      </w:r>
      <w:r>
        <w:rPr>
          <w:rFonts w:cstheme="minorHAnsi"/>
          <w:sz w:val="24"/>
          <w:szCs w:val="24"/>
          <w:lang w:val="es-ES"/>
        </w:rPr>
        <w:tab/>
      </w:r>
      <w:r w:rsidR="00F32E8A">
        <w:rPr>
          <w:rFonts w:cstheme="minorHAnsi"/>
          <w:sz w:val="24"/>
          <w:szCs w:val="24"/>
          <w:lang w:val="es-ES"/>
        </w:rPr>
        <w:t xml:space="preserve">la labor en curso de los RIR, la ISOC y otras partes </w:t>
      </w:r>
      <w:r w:rsidR="00FB0370">
        <w:rPr>
          <w:rFonts w:cstheme="minorHAnsi"/>
          <w:sz w:val="24"/>
          <w:szCs w:val="24"/>
          <w:lang w:val="es-ES"/>
        </w:rPr>
        <w:t>interesadas</w:t>
      </w:r>
      <w:r w:rsidR="00F32E8A">
        <w:rPr>
          <w:rFonts w:cstheme="minorHAnsi"/>
          <w:sz w:val="24"/>
          <w:szCs w:val="24"/>
          <w:lang w:val="es-ES"/>
        </w:rPr>
        <w:t xml:space="preserve"> en los ámbitos de IPv4 e IPv6,</w:t>
      </w:r>
    </w:p>
    <w:p w:rsidR="00F32E8A" w:rsidRPr="00F32E8A" w:rsidRDefault="00F32E8A" w:rsidP="000371F1">
      <w:pPr>
        <w:pStyle w:val="Ca"/>
        <w:spacing w:line="240" w:lineRule="auto"/>
      </w:pPr>
      <w:r w:rsidRPr="00F32E8A">
        <w:t>reconociendo</w:t>
      </w:r>
    </w:p>
    <w:p w:rsidR="00F32E8A" w:rsidRDefault="00F32E8A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 xml:space="preserve">que </w:t>
      </w:r>
      <w:r w:rsidRPr="00F32E8A">
        <w:rPr>
          <w:rFonts w:cstheme="minorHAnsi"/>
          <w:sz w:val="24"/>
          <w:szCs w:val="24"/>
          <w:lang w:val="es-ES"/>
        </w:rPr>
        <w:t>el operador de funciones del IANA</w:t>
      </w:r>
      <w:r>
        <w:rPr>
          <w:rFonts w:cstheme="minorHAnsi"/>
          <w:sz w:val="24"/>
          <w:szCs w:val="24"/>
          <w:lang w:val="es-ES"/>
        </w:rPr>
        <w:t xml:space="preserve"> ha atribuido los últimos bloques IPv4 a los RIR;</w:t>
      </w:r>
    </w:p>
    <w:p w:rsidR="00F32E8A" w:rsidRDefault="00F32E8A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que los RIR están a punto de agotar sus atribuciones IPv4;</w:t>
      </w:r>
    </w:p>
    <w:p w:rsidR="00F32E8A" w:rsidRDefault="00F32E8A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c)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que se está acelerando la migración a IPv6 y que muchas empresas importantes basadas en la web ya han implantado portales IPv6;</w:t>
      </w:r>
    </w:p>
    <w:p w:rsidR="00274199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d)</w:t>
      </w:r>
      <w:r>
        <w:rPr>
          <w:rFonts w:cstheme="minorHAnsi"/>
          <w:sz w:val="24"/>
          <w:szCs w:val="24"/>
          <w:lang w:val="es-ES"/>
        </w:rPr>
        <w:tab/>
      </w:r>
      <w:r w:rsidR="00F32E8A">
        <w:rPr>
          <w:rFonts w:cstheme="minorHAnsi"/>
          <w:sz w:val="24"/>
          <w:szCs w:val="24"/>
          <w:lang w:val="es-ES"/>
        </w:rPr>
        <w:t xml:space="preserve">que </w:t>
      </w:r>
      <w:r w:rsidR="00FB0370">
        <w:rPr>
          <w:rFonts w:cstheme="minorHAnsi"/>
          <w:sz w:val="24"/>
          <w:szCs w:val="24"/>
          <w:lang w:val="es-ES"/>
        </w:rPr>
        <w:t>el enorme</w:t>
      </w:r>
      <w:r w:rsidR="00F32E8A">
        <w:rPr>
          <w:rFonts w:cstheme="minorHAnsi"/>
          <w:sz w:val="24"/>
          <w:szCs w:val="24"/>
          <w:lang w:val="es-ES"/>
        </w:rPr>
        <w:t xml:space="preserve"> espacio de direcciones de IPv6 hace posible la conectividad global a un número mucho mayor de dispositivos, teléfonos móviles, computadoras portátiles, computadoras a bordo de vehículos, </w:t>
      </w:r>
      <w:r w:rsidR="00274199">
        <w:rPr>
          <w:rFonts w:cstheme="minorHAnsi"/>
          <w:sz w:val="24"/>
          <w:szCs w:val="24"/>
          <w:lang w:val="es-ES"/>
        </w:rPr>
        <w:t>televisiones, cámaras, sensores de edificios, aparatos médicos, etc.;</w:t>
      </w:r>
    </w:p>
    <w:p w:rsidR="00274199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e)</w:t>
      </w:r>
      <w:r>
        <w:rPr>
          <w:rFonts w:cstheme="minorHAnsi"/>
          <w:sz w:val="24"/>
          <w:szCs w:val="24"/>
          <w:lang w:val="es-ES"/>
        </w:rPr>
        <w:tab/>
      </w:r>
      <w:r w:rsidR="00274199">
        <w:rPr>
          <w:rFonts w:cstheme="minorHAnsi"/>
          <w:sz w:val="24"/>
          <w:szCs w:val="24"/>
          <w:lang w:val="es-ES"/>
        </w:rPr>
        <w:t xml:space="preserve">que la seguridad de IPv6, cuando se haya puesto en servicio y configurado con la infraestructura clave apropiada, tal como </w:t>
      </w:r>
      <w:proofErr w:type="spellStart"/>
      <w:r w:rsidR="00274199">
        <w:rPr>
          <w:rFonts w:cstheme="minorHAnsi"/>
          <w:sz w:val="24"/>
          <w:szCs w:val="24"/>
          <w:lang w:val="es-ES"/>
        </w:rPr>
        <w:t>I</w:t>
      </w:r>
      <w:r w:rsidR="00DB39B7">
        <w:rPr>
          <w:rFonts w:cstheme="minorHAnsi"/>
          <w:sz w:val="24"/>
          <w:szCs w:val="24"/>
          <w:lang w:val="es-ES"/>
        </w:rPr>
        <w:t>P</w:t>
      </w:r>
      <w:r w:rsidR="00274199">
        <w:rPr>
          <w:rFonts w:cstheme="minorHAnsi"/>
          <w:sz w:val="24"/>
          <w:szCs w:val="24"/>
          <w:lang w:val="es-ES"/>
        </w:rPr>
        <w:t>sec</w:t>
      </w:r>
      <w:proofErr w:type="spellEnd"/>
      <w:r w:rsidR="00274199">
        <w:rPr>
          <w:rFonts w:cstheme="minorHAnsi"/>
          <w:sz w:val="24"/>
          <w:szCs w:val="24"/>
          <w:lang w:val="es-ES"/>
        </w:rPr>
        <w:t xml:space="preserve">, mejorará la autenticación, la </w:t>
      </w:r>
      <w:proofErr w:type="spellStart"/>
      <w:r w:rsidR="00274199">
        <w:rPr>
          <w:rFonts w:cstheme="minorHAnsi"/>
          <w:sz w:val="24"/>
          <w:szCs w:val="24"/>
          <w:lang w:val="es-ES"/>
        </w:rPr>
        <w:t>criptación</w:t>
      </w:r>
      <w:proofErr w:type="spellEnd"/>
      <w:r w:rsidR="00274199">
        <w:rPr>
          <w:rFonts w:cstheme="minorHAnsi"/>
          <w:sz w:val="24"/>
          <w:szCs w:val="24"/>
          <w:lang w:val="es-ES"/>
        </w:rPr>
        <w:t xml:space="preserve">, la  confidencialidad y la protección de la integridad en la capa de red; </w:t>
      </w:r>
    </w:p>
    <w:p w:rsidR="00274199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f)</w:t>
      </w:r>
      <w:r>
        <w:rPr>
          <w:rFonts w:cstheme="minorHAnsi"/>
          <w:sz w:val="24"/>
          <w:szCs w:val="24"/>
          <w:lang w:val="es-ES"/>
        </w:rPr>
        <w:tab/>
      </w:r>
      <w:r w:rsidR="00274199">
        <w:rPr>
          <w:rFonts w:cstheme="minorHAnsi"/>
          <w:sz w:val="24"/>
          <w:szCs w:val="24"/>
          <w:lang w:val="es-ES"/>
        </w:rPr>
        <w:t>que la proporción del tráfico de IPv6 en Internet sigue siendo muy reducida;</w:t>
      </w:r>
    </w:p>
    <w:p w:rsidR="00274199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g)</w:t>
      </w:r>
      <w:r>
        <w:rPr>
          <w:rFonts w:cstheme="minorHAnsi"/>
          <w:sz w:val="24"/>
          <w:szCs w:val="24"/>
          <w:lang w:val="es-ES"/>
        </w:rPr>
        <w:tab/>
      </w:r>
      <w:r w:rsidR="00274199">
        <w:rPr>
          <w:rFonts w:cstheme="minorHAnsi"/>
          <w:sz w:val="24"/>
          <w:szCs w:val="24"/>
          <w:lang w:val="es-ES"/>
        </w:rPr>
        <w:t xml:space="preserve">que, debido a la incompatibilidad entre IPv4 e IPv6, </w:t>
      </w:r>
      <w:r w:rsidR="00F21C86">
        <w:rPr>
          <w:rFonts w:cstheme="minorHAnsi"/>
          <w:sz w:val="24"/>
          <w:szCs w:val="24"/>
          <w:lang w:val="es-ES"/>
        </w:rPr>
        <w:t>se hace</w:t>
      </w:r>
      <w:r w:rsidR="00274199">
        <w:rPr>
          <w:rFonts w:cstheme="minorHAnsi"/>
          <w:sz w:val="24"/>
          <w:szCs w:val="24"/>
          <w:lang w:val="es-ES"/>
        </w:rPr>
        <w:t xml:space="preserve"> necesario el funcionamiento en paralelo (doble protocolo), y que habrá una necesidad de direcciones IPv4 </w:t>
      </w:r>
      <w:r w:rsidR="00F21C86">
        <w:rPr>
          <w:rFonts w:cstheme="minorHAnsi"/>
          <w:sz w:val="24"/>
          <w:szCs w:val="24"/>
          <w:lang w:val="es-ES"/>
        </w:rPr>
        <w:t>por</w:t>
      </w:r>
      <w:r w:rsidR="00274199">
        <w:rPr>
          <w:rFonts w:cstheme="minorHAnsi"/>
          <w:sz w:val="24"/>
          <w:szCs w:val="24"/>
          <w:lang w:val="es-ES"/>
        </w:rPr>
        <w:t xml:space="preserve"> un periodo indeterminado hasta que se disponga de una masa crítica de usuarios y servicios a través de direcciones IPv6, permitiendo así la eliminación progresiva de IPv4;</w:t>
      </w:r>
    </w:p>
    <w:p w:rsidR="00274199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h)</w:t>
      </w:r>
      <w:r>
        <w:rPr>
          <w:rFonts w:cstheme="minorHAnsi"/>
          <w:sz w:val="24"/>
          <w:szCs w:val="24"/>
          <w:lang w:val="es-ES"/>
        </w:rPr>
        <w:tab/>
      </w:r>
      <w:r w:rsidR="00274199">
        <w:rPr>
          <w:rFonts w:cstheme="minorHAnsi"/>
          <w:sz w:val="24"/>
          <w:szCs w:val="24"/>
          <w:lang w:val="es-ES"/>
        </w:rPr>
        <w:t>que los nuevos proveedores de servicio de Internet seguirán requiriendo el acceso a direcciones IPv4 por un periodo de tiempo indeterminado;</w:t>
      </w:r>
    </w:p>
    <w:p w:rsidR="0099529F" w:rsidRDefault="00540F27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i)</w:t>
      </w:r>
      <w:r>
        <w:rPr>
          <w:rFonts w:cstheme="minorHAnsi"/>
          <w:sz w:val="24"/>
          <w:szCs w:val="24"/>
          <w:lang w:val="es-ES"/>
        </w:rPr>
        <w:tab/>
      </w:r>
      <w:r w:rsidR="00274199">
        <w:rPr>
          <w:rFonts w:cstheme="minorHAnsi"/>
          <w:sz w:val="24"/>
          <w:szCs w:val="24"/>
          <w:lang w:val="es-ES"/>
        </w:rPr>
        <w:t xml:space="preserve">que se atribuyeron grandes bloques de espacio de direcciones IPv4 a empresas particulares y organizaciones antes de la creación de los RIR, y que </w:t>
      </w:r>
      <w:r w:rsidR="0099529F">
        <w:rPr>
          <w:rFonts w:cstheme="minorHAnsi"/>
          <w:sz w:val="24"/>
          <w:szCs w:val="24"/>
          <w:lang w:val="es-ES"/>
        </w:rPr>
        <w:t xml:space="preserve">no está clara </w:t>
      </w:r>
      <w:r w:rsidR="00274199">
        <w:rPr>
          <w:rFonts w:cstheme="minorHAnsi"/>
          <w:sz w:val="24"/>
          <w:szCs w:val="24"/>
          <w:lang w:val="es-ES"/>
        </w:rPr>
        <w:t xml:space="preserve">la situación de parte del </w:t>
      </w:r>
      <w:r w:rsidR="00274199" w:rsidRPr="00274199">
        <w:rPr>
          <w:rFonts w:cstheme="minorHAnsi"/>
          <w:sz w:val="24"/>
          <w:szCs w:val="24"/>
          <w:lang w:val="es-ES"/>
        </w:rPr>
        <w:t>espacio de direcciones tradicional</w:t>
      </w:r>
      <w:r w:rsidR="003B2FAF">
        <w:rPr>
          <w:rFonts w:cstheme="minorHAnsi"/>
          <w:sz w:val="24"/>
          <w:szCs w:val="24"/>
          <w:lang w:val="es-ES"/>
        </w:rPr>
        <w:t>;</w:t>
      </w:r>
    </w:p>
    <w:p w:rsidR="0099529F" w:rsidRDefault="0099529F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j)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 xml:space="preserve">que se ha desarrollado un mercado creciente para la transferencia de direcciones IPv4 entre entidades con una importante proporción de direcciones transferidas </w:t>
      </w:r>
      <w:r w:rsidR="00F21C86">
        <w:rPr>
          <w:rFonts w:cstheme="minorHAnsi"/>
          <w:sz w:val="24"/>
          <w:szCs w:val="24"/>
          <w:lang w:val="es-ES"/>
        </w:rPr>
        <w:t xml:space="preserve">procedentes </w:t>
      </w:r>
      <w:r>
        <w:rPr>
          <w:rFonts w:cstheme="minorHAnsi"/>
          <w:sz w:val="24"/>
          <w:szCs w:val="24"/>
          <w:lang w:val="es-ES"/>
        </w:rPr>
        <w:t>de atribuciones tradicionales que no están sujetas a las correspo</w:t>
      </w:r>
      <w:r w:rsidR="00DB39B7">
        <w:rPr>
          <w:rFonts w:cstheme="minorHAnsi"/>
          <w:sz w:val="24"/>
          <w:szCs w:val="24"/>
          <w:lang w:val="es-ES"/>
        </w:rPr>
        <w:t>ndientes políticas de los RIR;</w:t>
      </w:r>
    </w:p>
    <w:p w:rsidR="0099529F" w:rsidRDefault="0099529F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 xml:space="preserve">k)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que, de acuerdo con las políticas elaboradas a través de los RIR, todos los números IP siguen atribuyéndose para su utilización en función de las necesidades</w:t>
      </w:r>
      <w:r w:rsidR="00F21C86">
        <w:rPr>
          <w:rFonts w:cstheme="minorHAnsi"/>
          <w:sz w:val="24"/>
          <w:szCs w:val="24"/>
          <w:lang w:val="es-ES"/>
        </w:rPr>
        <w:t>,</w:t>
      </w:r>
      <w:r>
        <w:rPr>
          <w:rFonts w:cstheme="minorHAnsi"/>
          <w:sz w:val="24"/>
          <w:szCs w:val="24"/>
          <w:lang w:val="es-ES"/>
        </w:rPr>
        <w:t xml:space="preserve"> y que </w:t>
      </w:r>
      <w:r w:rsidR="00F21C86">
        <w:rPr>
          <w:rFonts w:cstheme="minorHAnsi"/>
          <w:sz w:val="24"/>
          <w:szCs w:val="24"/>
          <w:lang w:val="es-ES"/>
        </w:rPr>
        <w:t xml:space="preserve">éstos </w:t>
      </w:r>
      <w:r>
        <w:rPr>
          <w:rFonts w:cstheme="minorHAnsi"/>
          <w:sz w:val="24"/>
          <w:szCs w:val="24"/>
          <w:lang w:val="es-ES"/>
        </w:rPr>
        <w:t>deberían devolverse a la reserva de números cuando ya no se necesiten</w:t>
      </w:r>
      <w:r w:rsidR="00F21C86">
        <w:rPr>
          <w:rFonts w:cstheme="minorHAnsi"/>
          <w:sz w:val="24"/>
          <w:szCs w:val="24"/>
          <w:lang w:val="es-ES"/>
        </w:rPr>
        <w:t>,</w:t>
      </w:r>
    </w:p>
    <w:p w:rsidR="0099529F" w:rsidRPr="0099529F" w:rsidRDefault="0099529F" w:rsidP="000371F1">
      <w:pPr>
        <w:spacing w:before="240" w:line="240" w:lineRule="auto"/>
        <w:ind w:firstLine="720"/>
        <w:rPr>
          <w:rFonts w:cstheme="minorHAnsi"/>
          <w:i/>
          <w:iCs/>
          <w:sz w:val="24"/>
          <w:szCs w:val="24"/>
          <w:lang w:val="es-ES"/>
        </w:rPr>
      </w:pPr>
      <w:r w:rsidRPr="0099529F">
        <w:rPr>
          <w:rFonts w:cstheme="minorHAnsi"/>
          <w:i/>
          <w:iCs/>
          <w:sz w:val="24"/>
          <w:szCs w:val="24"/>
          <w:lang w:val="es-ES"/>
        </w:rPr>
        <w:t>reconociendo además</w:t>
      </w:r>
    </w:p>
    <w:p w:rsidR="0099529F" w:rsidRDefault="0099529F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que las transferencias de direcciones IPv4 que no se coordinen a través de los RIR podrían acarrear consecuencias no deseadas;</w:t>
      </w:r>
    </w:p>
    <w:p w:rsidR="0099529F" w:rsidRDefault="0099529F" w:rsidP="000371F1">
      <w:pPr>
        <w:spacing w:before="24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 xml:space="preserve">que dichas consecuencias podrían reducirse al mínimo </w:t>
      </w:r>
      <w:r w:rsidR="00DB39B7">
        <w:rPr>
          <w:rFonts w:cstheme="minorHAnsi"/>
          <w:sz w:val="24"/>
          <w:szCs w:val="24"/>
          <w:lang w:val="es-ES"/>
        </w:rPr>
        <w:t>acelerando la transición a IPv6,</w:t>
      </w:r>
    </w:p>
    <w:p w:rsidR="00623AEA" w:rsidRPr="004F620D" w:rsidRDefault="00D4498F" w:rsidP="000371F1">
      <w:pPr>
        <w:tabs>
          <w:tab w:val="left" w:pos="720"/>
        </w:tabs>
        <w:spacing w:before="240" w:after="0" w:line="240" w:lineRule="auto"/>
        <w:ind w:firstLine="720"/>
        <w:rPr>
          <w:rFonts w:cstheme="minorHAnsi"/>
          <w:i/>
          <w:sz w:val="24"/>
          <w:szCs w:val="24"/>
          <w:lang w:val="es-ES"/>
        </w:rPr>
      </w:pPr>
      <w:r>
        <w:rPr>
          <w:rFonts w:cstheme="minorHAnsi"/>
          <w:i/>
          <w:sz w:val="24"/>
          <w:szCs w:val="24"/>
          <w:lang w:val="es-ES"/>
        </w:rPr>
        <w:t xml:space="preserve">considera </w:t>
      </w:r>
    </w:p>
    <w:p w:rsidR="0099529F" w:rsidRDefault="0099529F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que debería hacerse todo lo posible para fomentar y facilitar la transición a IPv6;</w:t>
      </w:r>
    </w:p>
    <w:p w:rsidR="003B2FAF" w:rsidRDefault="0099529F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 xml:space="preserve">que debería hacerse todo lo posible para facilitar la utilización óptima de las direcciones IPv4, incluidas las direcciones </w:t>
      </w:r>
      <w:r w:rsidR="003B2FAF">
        <w:rPr>
          <w:rFonts w:cstheme="minorHAnsi"/>
          <w:sz w:val="24"/>
          <w:szCs w:val="24"/>
          <w:lang w:val="es-ES"/>
        </w:rPr>
        <w:t>del legado y por medio de transferencias interregionales;</w:t>
      </w:r>
    </w:p>
    <w:p w:rsidR="003B2FAF" w:rsidRDefault="003B2FAF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c)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que debería disponerse de planes y políticas para permitir a los nuevos ISP entrar en el mercado mediante el acceso a un bloque razonable de direcciones IPv4 a precios razonables;</w:t>
      </w:r>
    </w:p>
    <w:p w:rsidR="003B2FAF" w:rsidRDefault="003B2FAF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 xml:space="preserve">que la atribución de direcciones </w:t>
      </w:r>
      <w:r w:rsidR="00F21C86">
        <w:rPr>
          <w:rFonts w:cstheme="minorHAnsi"/>
          <w:sz w:val="24"/>
          <w:szCs w:val="24"/>
          <w:lang w:val="es-ES"/>
        </w:rPr>
        <w:t>sobre la base de</w:t>
      </w:r>
      <w:r>
        <w:rPr>
          <w:rFonts w:cstheme="minorHAnsi"/>
          <w:sz w:val="24"/>
          <w:szCs w:val="24"/>
          <w:lang w:val="es-ES"/>
        </w:rPr>
        <w:t xml:space="preserve"> las necesidades debería seguir siendo </w:t>
      </w:r>
      <w:r w:rsidR="00F21C86">
        <w:rPr>
          <w:rFonts w:cstheme="minorHAnsi"/>
          <w:sz w:val="24"/>
          <w:szCs w:val="24"/>
          <w:lang w:val="es-ES"/>
        </w:rPr>
        <w:t xml:space="preserve">el criterio para </w:t>
      </w:r>
      <w:r>
        <w:rPr>
          <w:rFonts w:cstheme="minorHAnsi"/>
          <w:sz w:val="24"/>
          <w:szCs w:val="24"/>
          <w:lang w:val="es-ES"/>
        </w:rPr>
        <w:t>la atribución de direcciones, con independencia de que se trate de direcciones IPv4 o IPv6;</w:t>
      </w:r>
    </w:p>
    <w:p w:rsidR="003B2FAF" w:rsidRDefault="003B2FAF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e)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que debería seguirse informando de todas las transacciones IPv4 a los RIR pertinentes;</w:t>
      </w:r>
    </w:p>
    <w:p w:rsidR="003B2FAF" w:rsidRDefault="003B2FAF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f)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 xml:space="preserve">que las políticas de transferencias entre RIR </w:t>
      </w:r>
      <w:r w:rsidR="00F21C86">
        <w:rPr>
          <w:rFonts w:cstheme="minorHAnsi"/>
          <w:sz w:val="24"/>
          <w:szCs w:val="24"/>
          <w:lang w:val="es-ES"/>
        </w:rPr>
        <w:t>aplicables a</w:t>
      </w:r>
      <w:r>
        <w:rPr>
          <w:rFonts w:cstheme="minorHAnsi"/>
          <w:sz w:val="24"/>
          <w:szCs w:val="24"/>
          <w:lang w:val="es-ES"/>
        </w:rPr>
        <w:t xml:space="preserve"> todos los RIR deberían funcionar de manera que se garantice que tales transferencias están basadas en necesidades y ser comunes a todos los RIR, cualquiera que sea el espacio de direcciones de que se trate;</w:t>
      </w:r>
    </w:p>
    <w:p w:rsidR="003B2FAF" w:rsidRDefault="003B2FAF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g)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que debería disponerse de planes y políticas para abordar la cuestión del legado de direcciones que puedan no estar sujetas a las políticas en vigor de los RIR,</w:t>
      </w:r>
    </w:p>
    <w:p w:rsidR="003B2FAF" w:rsidRPr="003B2FAF" w:rsidRDefault="003B2FAF" w:rsidP="000371F1">
      <w:pPr>
        <w:tabs>
          <w:tab w:val="left" w:pos="720"/>
        </w:tabs>
        <w:spacing w:before="240" w:after="0" w:line="240" w:lineRule="auto"/>
        <w:rPr>
          <w:rFonts w:cstheme="minorHAnsi"/>
          <w:i/>
          <w:iCs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ab/>
      </w:r>
      <w:r w:rsidRPr="003B2FAF">
        <w:rPr>
          <w:rFonts w:cstheme="minorHAnsi"/>
          <w:i/>
          <w:iCs/>
          <w:sz w:val="24"/>
          <w:szCs w:val="24"/>
          <w:lang w:val="es-ES"/>
        </w:rPr>
        <w:t>invita</w:t>
      </w:r>
    </w:p>
    <w:p w:rsidR="003B2FAF" w:rsidRDefault="005012C1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a)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 xml:space="preserve"> a los Estados Miembros a adoptar medidas apropiadas para fomentar, facilitar y apoyar la adopción y migración más rápida que sea posible a IPv6;</w:t>
      </w:r>
    </w:p>
    <w:p w:rsidR="005012C1" w:rsidRDefault="005012C1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b)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 xml:space="preserve">a los Miembros a promover cuanto antes productos y servicios </w:t>
      </w:r>
      <w:r w:rsidR="005C6455">
        <w:rPr>
          <w:rFonts w:cstheme="minorHAnsi"/>
          <w:sz w:val="24"/>
          <w:szCs w:val="24"/>
          <w:lang w:val="es-ES"/>
        </w:rPr>
        <w:t>adaptados a IPv6;</w:t>
      </w:r>
    </w:p>
    <w:p w:rsidR="005C6455" w:rsidRDefault="005C6455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c)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 xml:space="preserve">a los Estados Miembros a contribuir a la labor del </w:t>
      </w:r>
      <w:r w:rsidRPr="005C6455">
        <w:rPr>
          <w:rFonts w:cstheme="minorHAnsi"/>
          <w:sz w:val="24"/>
          <w:szCs w:val="24"/>
          <w:lang w:val="es-ES"/>
        </w:rPr>
        <w:t>Grupo de Trabajo del Consejo sobre cuestiones de política pública internacional relacionadas con Internet</w:t>
      </w:r>
      <w:r>
        <w:rPr>
          <w:rFonts w:cstheme="minorHAnsi"/>
          <w:sz w:val="24"/>
          <w:szCs w:val="24"/>
          <w:lang w:val="es-ES"/>
        </w:rPr>
        <w:t xml:space="preserve"> en los asuntos relativos a Internet y </w:t>
      </w:r>
      <w:r w:rsidR="00871245">
        <w:rPr>
          <w:rFonts w:cstheme="minorHAnsi"/>
          <w:sz w:val="24"/>
          <w:szCs w:val="24"/>
          <w:lang w:val="es-ES"/>
        </w:rPr>
        <w:t xml:space="preserve">a </w:t>
      </w:r>
      <w:r>
        <w:rPr>
          <w:rFonts w:cstheme="minorHAnsi"/>
          <w:sz w:val="24"/>
          <w:szCs w:val="24"/>
          <w:lang w:val="es-ES"/>
        </w:rPr>
        <w:t>la gestión de los recursos de Internet, incluidas las direcciones;</w:t>
      </w:r>
    </w:p>
    <w:p w:rsidR="005C6455" w:rsidRDefault="005C6455" w:rsidP="000371F1">
      <w:pPr>
        <w:tabs>
          <w:tab w:val="left" w:pos="720"/>
        </w:tabs>
        <w:spacing w:before="240"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d) </w:t>
      </w:r>
      <w:r w:rsidR="00540F27"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>a los Estados Miembros y a otras partes interesadas</w:t>
      </w:r>
      <w:r w:rsidR="00644A56">
        <w:rPr>
          <w:rFonts w:cstheme="minorHAnsi"/>
          <w:sz w:val="24"/>
          <w:szCs w:val="24"/>
          <w:lang w:val="es-ES"/>
        </w:rPr>
        <w:t xml:space="preserve"> a que</w:t>
      </w:r>
      <w:r>
        <w:rPr>
          <w:rFonts w:cstheme="minorHAnsi"/>
          <w:sz w:val="24"/>
          <w:szCs w:val="24"/>
          <w:lang w:val="es-ES"/>
        </w:rPr>
        <w:t>, de acuerdo con sus cometidos y responsabilidades definidos en el párrafo 35 de la Agenda de Túnez, particip</w:t>
      </w:r>
      <w:r w:rsidR="00644A56">
        <w:rPr>
          <w:rFonts w:cstheme="minorHAnsi"/>
          <w:sz w:val="24"/>
          <w:szCs w:val="24"/>
          <w:lang w:val="es-ES"/>
        </w:rPr>
        <w:t>en</w:t>
      </w:r>
      <w:r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lastRenderedPageBreak/>
        <w:t>en las instituciones de múltiples partes interesadas directamente responsables de la formulación de</w:t>
      </w:r>
      <w:r w:rsidR="00644A56">
        <w:rPr>
          <w:rFonts w:cstheme="minorHAnsi"/>
          <w:sz w:val="24"/>
          <w:szCs w:val="24"/>
          <w:lang w:val="es-ES"/>
        </w:rPr>
        <w:t xml:space="preserve"> la</w:t>
      </w:r>
      <w:r>
        <w:rPr>
          <w:rFonts w:cstheme="minorHAnsi"/>
          <w:sz w:val="24"/>
          <w:szCs w:val="24"/>
          <w:lang w:val="es-ES"/>
        </w:rPr>
        <w:t xml:space="preserve"> política técnica y de </w:t>
      </w:r>
      <w:r w:rsidR="00871245">
        <w:rPr>
          <w:rFonts w:cstheme="minorHAnsi"/>
          <w:sz w:val="24"/>
          <w:szCs w:val="24"/>
          <w:lang w:val="es-ES"/>
        </w:rPr>
        <w:t xml:space="preserve">la </w:t>
      </w:r>
      <w:r>
        <w:rPr>
          <w:rFonts w:cstheme="minorHAnsi"/>
          <w:sz w:val="24"/>
          <w:szCs w:val="24"/>
          <w:lang w:val="es-ES"/>
        </w:rPr>
        <w:t>atribución de dichos recursos</w:t>
      </w:r>
      <w:r w:rsidR="00644A56">
        <w:rPr>
          <w:rFonts w:cstheme="minorHAnsi"/>
          <w:sz w:val="24"/>
          <w:szCs w:val="24"/>
          <w:lang w:val="es-ES"/>
        </w:rPr>
        <w:t>,</w:t>
      </w:r>
      <w:r>
        <w:rPr>
          <w:rFonts w:cstheme="minorHAnsi"/>
          <w:sz w:val="24"/>
          <w:szCs w:val="24"/>
          <w:lang w:val="es-ES"/>
        </w:rPr>
        <w:t xml:space="preserve"> de modo que puedan tenerse en cuenta sus prioridades políticas en estas materias.  </w:t>
      </w:r>
    </w:p>
    <w:p w:rsidR="00540F27" w:rsidRPr="00DB39B7" w:rsidRDefault="00540F27" w:rsidP="000371F1">
      <w:pPr>
        <w:pStyle w:val="Reasons"/>
        <w:rPr>
          <w:lang w:val="es-ES_tradnl"/>
        </w:rPr>
      </w:pPr>
    </w:p>
    <w:p w:rsidR="00540F27" w:rsidRDefault="00540F27" w:rsidP="000371F1">
      <w:pPr>
        <w:spacing w:line="240" w:lineRule="auto"/>
        <w:jc w:val="center"/>
      </w:pPr>
      <w:bookmarkStart w:id="0" w:name="_GoBack"/>
      <w:bookmarkEnd w:id="0"/>
      <w:r>
        <w:t>______________</w:t>
      </w:r>
    </w:p>
    <w:sectPr w:rsidR="00540F27" w:rsidSect="003E5A3C">
      <w:headerReference w:type="default" r:id="rId9"/>
      <w:pgSz w:w="11907" w:h="16839" w:code="9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3C" w:rsidRDefault="003E5A3C" w:rsidP="003E5A3C">
      <w:pPr>
        <w:spacing w:after="0" w:line="240" w:lineRule="auto"/>
      </w:pPr>
      <w:r>
        <w:separator/>
      </w:r>
    </w:p>
  </w:endnote>
  <w:endnote w:type="continuationSeparator" w:id="0">
    <w:p w:rsidR="003E5A3C" w:rsidRDefault="003E5A3C" w:rsidP="003E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3C" w:rsidRDefault="003E5A3C" w:rsidP="003E5A3C">
      <w:pPr>
        <w:spacing w:after="0" w:line="240" w:lineRule="auto"/>
      </w:pPr>
      <w:r>
        <w:separator/>
      </w:r>
    </w:p>
  </w:footnote>
  <w:footnote w:type="continuationSeparator" w:id="0">
    <w:p w:rsidR="003E5A3C" w:rsidRDefault="003E5A3C" w:rsidP="003E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3C" w:rsidRDefault="003E5A3C" w:rsidP="003E5A3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1F1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7114"/>
    <w:multiLevelType w:val="hybridMultilevel"/>
    <w:tmpl w:val="EF866B4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C21F6"/>
    <w:multiLevelType w:val="hybridMultilevel"/>
    <w:tmpl w:val="62C6B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9C"/>
    <w:rsid w:val="000371F1"/>
    <w:rsid w:val="00060E6D"/>
    <w:rsid w:val="000635D1"/>
    <w:rsid w:val="001048F6"/>
    <w:rsid w:val="0011732A"/>
    <w:rsid w:val="001617E1"/>
    <w:rsid w:val="00183AD0"/>
    <w:rsid w:val="00184438"/>
    <w:rsid w:val="001C42DE"/>
    <w:rsid w:val="001E043D"/>
    <w:rsid w:val="00215B3A"/>
    <w:rsid w:val="00240D29"/>
    <w:rsid w:val="002474CD"/>
    <w:rsid w:val="00257CA3"/>
    <w:rsid w:val="00274199"/>
    <w:rsid w:val="00291606"/>
    <w:rsid w:val="00296AD8"/>
    <w:rsid w:val="002B0FBE"/>
    <w:rsid w:val="002B107B"/>
    <w:rsid w:val="002F1D6C"/>
    <w:rsid w:val="00322424"/>
    <w:rsid w:val="00347BC5"/>
    <w:rsid w:val="00364F4C"/>
    <w:rsid w:val="003B2FAF"/>
    <w:rsid w:val="003B3D76"/>
    <w:rsid w:val="003D3153"/>
    <w:rsid w:val="003E2881"/>
    <w:rsid w:val="003E5A3C"/>
    <w:rsid w:val="004071C3"/>
    <w:rsid w:val="00471F9C"/>
    <w:rsid w:val="0048482E"/>
    <w:rsid w:val="004A2B59"/>
    <w:rsid w:val="004B2871"/>
    <w:rsid w:val="004F1461"/>
    <w:rsid w:val="004F50E7"/>
    <w:rsid w:val="004F620D"/>
    <w:rsid w:val="005012C1"/>
    <w:rsid w:val="00540F27"/>
    <w:rsid w:val="005557EC"/>
    <w:rsid w:val="0056673B"/>
    <w:rsid w:val="00566BAD"/>
    <w:rsid w:val="00585D83"/>
    <w:rsid w:val="00593189"/>
    <w:rsid w:val="005979AC"/>
    <w:rsid w:val="005B1CF2"/>
    <w:rsid w:val="005B541B"/>
    <w:rsid w:val="005C29E1"/>
    <w:rsid w:val="005C40E3"/>
    <w:rsid w:val="005C6455"/>
    <w:rsid w:val="005F52DC"/>
    <w:rsid w:val="00622495"/>
    <w:rsid w:val="00623AEA"/>
    <w:rsid w:val="00644A56"/>
    <w:rsid w:val="00672025"/>
    <w:rsid w:val="00684A3B"/>
    <w:rsid w:val="006F00F9"/>
    <w:rsid w:val="00762E89"/>
    <w:rsid w:val="0078464C"/>
    <w:rsid w:val="007F73CA"/>
    <w:rsid w:val="00800624"/>
    <w:rsid w:val="00820E71"/>
    <w:rsid w:val="00842F59"/>
    <w:rsid w:val="00860940"/>
    <w:rsid w:val="00871245"/>
    <w:rsid w:val="008A74BB"/>
    <w:rsid w:val="008D59AE"/>
    <w:rsid w:val="008E70CD"/>
    <w:rsid w:val="008E726F"/>
    <w:rsid w:val="00901B1B"/>
    <w:rsid w:val="00907730"/>
    <w:rsid w:val="00927C1D"/>
    <w:rsid w:val="009522A6"/>
    <w:rsid w:val="009749D5"/>
    <w:rsid w:val="00986172"/>
    <w:rsid w:val="0099529F"/>
    <w:rsid w:val="009D4626"/>
    <w:rsid w:val="00A01109"/>
    <w:rsid w:val="00A05F07"/>
    <w:rsid w:val="00A06130"/>
    <w:rsid w:val="00A662CB"/>
    <w:rsid w:val="00B1746A"/>
    <w:rsid w:val="00B36C98"/>
    <w:rsid w:val="00B36F34"/>
    <w:rsid w:val="00BA1199"/>
    <w:rsid w:val="00BC57AB"/>
    <w:rsid w:val="00BD64B3"/>
    <w:rsid w:val="00C2001C"/>
    <w:rsid w:val="00C20E3C"/>
    <w:rsid w:val="00C44B50"/>
    <w:rsid w:val="00C46C10"/>
    <w:rsid w:val="00CB71D3"/>
    <w:rsid w:val="00D01867"/>
    <w:rsid w:val="00D05024"/>
    <w:rsid w:val="00D4498F"/>
    <w:rsid w:val="00D4608F"/>
    <w:rsid w:val="00D9269E"/>
    <w:rsid w:val="00D95902"/>
    <w:rsid w:val="00DB39B7"/>
    <w:rsid w:val="00DE0A37"/>
    <w:rsid w:val="00E57B25"/>
    <w:rsid w:val="00E651F5"/>
    <w:rsid w:val="00E92861"/>
    <w:rsid w:val="00EE4054"/>
    <w:rsid w:val="00F13808"/>
    <w:rsid w:val="00F21C86"/>
    <w:rsid w:val="00F23370"/>
    <w:rsid w:val="00F32E8A"/>
    <w:rsid w:val="00F33429"/>
    <w:rsid w:val="00F73903"/>
    <w:rsid w:val="00F94EFE"/>
    <w:rsid w:val="00FB0370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EA"/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471F9C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9C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B36C98"/>
    <w:pPr>
      <w:spacing w:after="0" w:line="240" w:lineRule="auto"/>
      <w:ind w:left="720"/>
      <w:contextualSpacing/>
    </w:pPr>
    <w:rPr>
      <w:rFonts w:ascii="Calibri" w:hAnsi="Calibri" w:cs="Calibri"/>
      <w:lang w:val="en-GB" w:eastAsia="en-GB" w:bidi="ar-SA"/>
    </w:rPr>
  </w:style>
  <w:style w:type="paragraph" w:styleId="Header">
    <w:name w:val="header"/>
    <w:basedOn w:val="Normal"/>
    <w:link w:val="HeaderChar"/>
    <w:unhideWhenUsed/>
    <w:rsid w:val="003E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5A3C"/>
    <w:rPr>
      <w:lang w:bidi="en-US"/>
    </w:rPr>
  </w:style>
  <w:style w:type="paragraph" w:styleId="Footer">
    <w:name w:val="footer"/>
    <w:basedOn w:val="Normal"/>
    <w:link w:val="FooterChar"/>
    <w:unhideWhenUsed/>
    <w:rsid w:val="003E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3C"/>
    <w:rPr>
      <w:lang w:bidi="en-US"/>
    </w:rPr>
  </w:style>
  <w:style w:type="paragraph" w:customStyle="1" w:styleId="Enum">
    <w:name w:val="Enum"/>
    <w:basedOn w:val="Normal"/>
    <w:rsid w:val="00540F27"/>
    <w:pPr>
      <w:spacing w:before="240"/>
      <w:jc w:val="both"/>
    </w:pPr>
    <w:rPr>
      <w:rFonts w:cstheme="minorHAnsi"/>
      <w:sz w:val="24"/>
      <w:szCs w:val="24"/>
      <w:lang w:val="es-ES"/>
    </w:rPr>
  </w:style>
  <w:style w:type="paragraph" w:customStyle="1" w:styleId="Ca">
    <w:name w:val="Ca"/>
    <w:basedOn w:val="Normal"/>
    <w:rsid w:val="00540F27"/>
    <w:pPr>
      <w:spacing w:before="240"/>
      <w:ind w:firstLine="720"/>
    </w:pPr>
    <w:rPr>
      <w:rFonts w:cstheme="minorHAnsi"/>
      <w:i/>
      <w:iCs/>
      <w:sz w:val="24"/>
      <w:szCs w:val="24"/>
      <w:lang w:val="es-ES"/>
    </w:rPr>
  </w:style>
  <w:style w:type="paragraph" w:customStyle="1" w:styleId="Reasons">
    <w:name w:val="Reasons"/>
    <w:basedOn w:val="Normal"/>
    <w:qFormat/>
    <w:rsid w:val="00540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Normalaftertitle">
    <w:name w:val="Normal after title"/>
    <w:basedOn w:val="Normal"/>
    <w:next w:val="Normal"/>
    <w:rsid w:val="000371F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fr-FR" w:bidi="ar-SA"/>
    </w:rPr>
  </w:style>
  <w:style w:type="table" w:styleId="TableGrid">
    <w:name w:val="Table Grid"/>
    <w:basedOn w:val="TableNormal"/>
    <w:rsid w:val="000371F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EA"/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471F9C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9C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B36C98"/>
    <w:pPr>
      <w:spacing w:after="0" w:line="240" w:lineRule="auto"/>
      <w:ind w:left="720"/>
      <w:contextualSpacing/>
    </w:pPr>
    <w:rPr>
      <w:rFonts w:ascii="Calibri" w:hAnsi="Calibri" w:cs="Calibri"/>
      <w:lang w:val="en-GB" w:eastAsia="en-GB" w:bidi="ar-SA"/>
    </w:rPr>
  </w:style>
  <w:style w:type="paragraph" w:styleId="Header">
    <w:name w:val="header"/>
    <w:basedOn w:val="Normal"/>
    <w:link w:val="HeaderChar"/>
    <w:unhideWhenUsed/>
    <w:rsid w:val="003E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5A3C"/>
    <w:rPr>
      <w:lang w:bidi="en-US"/>
    </w:rPr>
  </w:style>
  <w:style w:type="paragraph" w:styleId="Footer">
    <w:name w:val="footer"/>
    <w:basedOn w:val="Normal"/>
    <w:link w:val="FooterChar"/>
    <w:unhideWhenUsed/>
    <w:rsid w:val="003E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A3C"/>
    <w:rPr>
      <w:lang w:bidi="en-US"/>
    </w:rPr>
  </w:style>
  <w:style w:type="paragraph" w:customStyle="1" w:styleId="Enum">
    <w:name w:val="Enum"/>
    <w:basedOn w:val="Normal"/>
    <w:rsid w:val="00540F27"/>
    <w:pPr>
      <w:spacing w:before="240"/>
      <w:jc w:val="both"/>
    </w:pPr>
    <w:rPr>
      <w:rFonts w:cstheme="minorHAnsi"/>
      <w:sz w:val="24"/>
      <w:szCs w:val="24"/>
      <w:lang w:val="es-ES"/>
    </w:rPr>
  </w:style>
  <w:style w:type="paragraph" w:customStyle="1" w:styleId="Ca">
    <w:name w:val="Ca"/>
    <w:basedOn w:val="Normal"/>
    <w:rsid w:val="00540F27"/>
    <w:pPr>
      <w:spacing w:before="240"/>
      <w:ind w:firstLine="720"/>
    </w:pPr>
    <w:rPr>
      <w:rFonts w:cstheme="minorHAnsi"/>
      <w:i/>
      <w:iCs/>
      <w:sz w:val="24"/>
      <w:szCs w:val="24"/>
      <w:lang w:val="es-ES"/>
    </w:rPr>
  </w:style>
  <w:style w:type="paragraph" w:customStyle="1" w:styleId="Reasons">
    <w:name w:val="Reasons"/>
    <w:basedOn w:val="Normal"/>
    <w:qFormat/>
    <w:rsid w:val="00540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Normalaftertitle">
    <w:name w:val="Normal after title"/>
    <w:basedOn w:val="Normal"/>
    <w:next w:val="Normal"/>
    <w:rsid w:val="000371F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fr-FR" w:bidi="ar-SA"/>
    </w:rPr>
  </w:style>
  <w:style w:type="table" w:styleId="TableGrid">
    <w:name w:val="Table Grid"/>
    <w:basedOn w:val="TableNormal"/>
    <w:rsid w:val="000371F1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</dc:creator>
  <cp:lastModifiedBy>unknown</cp:lastModifiedBy>
  <cp:revision>3</cp:revision>
  <cp:lastPrinted>2013-03-13T08:52:00Z</cp:lastPrinted>
  <dcterms:created xsi:type="dcterms:W3CDTF">2013-03-28T09:41:00Z</dcterms:created>
  <dcterms:modified xsi:type="dcterms:W3CDTF">2013-03-28T09:42:00Z</dcterms:modified>
</cp:coreProperties>
</file>