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FF7639" w:rsidRPr="00FF7639" w:rsidTr="005B59DE">
        <w:tc>
          <w:tcPr>
            <w:tcW w:w="9855" w:type="dxa"/>
            <w:gridSpan w:val="2"/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91"/>
                <w:tab w:val="clear" w:pos="1588"/>
                <w:tab w:val="clear" w:pos="1871"/>
                <w:tab w:val="clear" w:pos="1985"/>
                <w:tab w:val="left" w:pos="567"/>
                <w:tab w:val="left" w:pos="709"/>
                <w:tab w:val="left" w:pos="1701"/>
                <w:tab w:val="left" w:pos="2835"/>
              </w:tabs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FF7639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6FBB6A5" wp14:editId="219AABA3">
                  <wp:extent cx="6120765" cy="955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39" w:rsidRPr="00FF7639" w:rsidTr="00CE6BC5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60"/>
              <w:ind w:left="284"/>
              <w:jc w:val="left"/>
              <w:textAlignment w:val="auto"/>
              <w:rPr>
                <w:rFonts w:ascii="Calibri" w:hAnsi="Calibri"/>
                <w:noProof/>
                <w:rtl/>
                <w:lang w:bidi="ar-SY"/>
              </w:rPr>
            </w:pPr>
            <w:r w:rsidRPr="00FF7639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FF7639">
              <w:rPr>
                <w:rFonts w:ascii="Calibri" w:hAnsi="Calibri"/>
              </w:rPr>
              <w:t>16-14</w:t>
            </w:r>
            <w:r w:rsidRPr="00FF7639">
              <w:rPr>
                <w:rFonts w:ascii="Calibri" w:hAnsi="Calibri" w:hint="cs"/>
                <w:rtl/>
                <w:lang w:bidi="ar-SY"/>
              </w:rPr>
              <w:t xml:space="preserve"> مايو </w:t>
            </w:r>
            <w:r w:rsidRPr="00FF7639">
              <w:rPr>
                <w:rFonts w:ascii="Calibri" w:hAnsi="Calibri"/>
                <w:lang w:bidi="ar-SY"/>
              </w:rPr>
              <w:t>2013</w:t>
            </w:r>
          </w:p>
        </w:tc>
      </w:tr>
      <w:tr w:rsidR="00FF7639" w:rsidRPr="00FF7639" w:rsidTr="00CE6BC5"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lang w:eastAsia="zh-CN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right w:val="nil"/>
            </w:tcBorders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6521"/>
              </w:tabs>
              <w:overflowPunct/>
              <w:autoSpaceDE/>
              <w:autoSpaceDN/>
              <w:bidi w:val="0"/>
              <w:adjustRightInd/>
              <w:spacing w:before="0"/>
              <w:jc w:val="left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E6BC5" w:rsidRPr="00FF7639" w:rsidTr="00CE6BC5">
        <w:tc>
          <w:tcPr>
            <w:tcW w:w="3085" w:type="dxa"/>
            <w:tcBorders>
              <w:left w:val="nil"/>
              <w:right w:val="nil"/>
            </w:tcBorders>
          </w:tcPr>
          <w:p w:rsidR="00CE6BC5" w:rsidRPr="00015E3B" w:rsidRDefault="00CE6BC5" w:rsidP="00CE6BC5">
            <w:pPr>
              <w:tabs>
                <w:tab w:val="clear" w:pos="1134"/>
                <w:tab w:val="clear" w:pos="1871"/>
                <w:tab w:val="clear" w:pos="2268"/>
              </w:tabs>
              <w:spacing w:before="180"/>
              <w:rPr>
                <w:rFonts w:ascii="Calibri" w:hAnsi="Calibri"/>
                <w:b/>
                <w:bCs/>
                <w:rtl/>
                <w:lang w:bidi="ar-EG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الوثيقة </w:t>
            </w:r>
            <w:r w:rsidRPr="00015E3B">
              <w:rPr>
                <w:rFonts w:ascii="Calibri" w:hAnsi="Calibri"/>
                <w:b/>
                <w:bCs/>
              </w:rPr>
              <w:t>WTPF-13/</w:t>
            </w:r>
            <w:r>
              <w:rPr>
                <w:rFonts w:ascii="Calibri" w:hAnsi="Calibri"/>
                <w:b/>
                <w:bCs/>
              </w:rPr>
              <w:t>DT/1</w:t>
            </w:r>
            <w:r w:rsidRPr="00015E3B">
              <w:rPr>
                <w:rFonts w:ascii="Calibri" w:hAnsi="Calibri"/>
                <w:b/>
                <w:bCs/>
              </w:rPr>
              <w:t>-A</w:t>
            </w:r>
          </w:p>
          <w:p w:rsidR="00CE6BC5" w:rsidRPr="00015E3B" w:rsidRDefault="00CE6BC5" w:rsidP="00CE6BC5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Calibri" w:hAnsi="Calibri"/>
                <w:b/>
                <w:bCs/>
                <w:rtl/>
                <w:lang w:bidi="ar-EG"/>
              </w:rPr>
            </w:pPr>
            <w:r>
              <w:rPr>
                <w:rFonts w:ascii="Calibri" w:hAnsi="Calibri"/>
                <w:b/>
                <w:bCs/>
                <w:lang w:bidi="ar-SY"/>
              </w:rPr>
              <w:t>14</w:t>
            </w:r>
            <w:r w:rsidRPr="00B50180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ما</w:t>
            </w:r>
            <w:r>
              <w:rPr>
                <w:rFonts w:ascii="Calibri" w:hAnsi="Calibri" w:hint="cs"/>
                <w:b/>
                <w:bCs/>
                <w:rtl/>
                <w:lang w:bidi="ar-EG"/>
              </w:rPr>
              <w:t>يو</w:t>
            </w:r>
            <w:r w:rsidRPr="00B50180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Pr="00B50180">
              <w:rPr>
                <w:rFonts w:ascii="Calibri" w:hAnsi="Calibri"/>
                <w:b/>
                <w:bCs/>
                <w:lang w:bidi="ar-SY"/>
              </w:rPr>
              <w:t>2013</w:t>
            </w:r>
          </w:p>
          <w:p w:rsidR="00CE6BC5" w:rsidRPr="00FF7639" w:rsidRDefault="00CE6BC5" w:rsidP="00CE6BC5">
            <w:pPr>
              <w:tabs>
                <w:tab w:val="clear" w:pos="794"/>
                <w:tab w:val="clear" w:pos="1134"/>
                <w:tab w:val="clear" w:pos="1871"/>
                <w:tab w:val="clear" w:pos="2268"/>
              </w:tabs>
              <w:spacing w:before="0" w:after="120"/>
              <w:rPr>
                <w:lang w:eastAsia="zh-CN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الأصل: </w:t>
            </w:r>
            <w:r w:rsidRPr="00B50180">
              <w:rPr>
                <w:rFonts w:ascii="Calibri" w:hAnsi="Calibri" w:hint="cs"/>
                <w:b/>
                <w:bCs/>
                <w:rtl/>
                <w:lang w:val="en-GB" w:bidi="ar-EG"/>
              </w:rPr>
              <w:t>بالإنكليزية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CE6BC5" w:rsidRPr="00FF7639" w:rsidRDefault="00CE6BC5" w:rsidP="00FF7639">
            <w:pPr>
              <w:tabs>
                <w:tab w:val="clear" w:pos="794"/>
                <w:tab w:val="clear" w:pos="1134"/>
                <w:tab w:val="clear" w:pos="1871"/>
                <w:tab w:val="clear" w:pos="2268"/>
                <w:tab w:val="left" w:pos="6521"/>
              </w:tabs>
              <w:bidi w:val="0"/>
              <w:spacing w:befor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5F6044" w:rsidRPr="00E90A8A" w:rsidRDefault="005F6044" w:rsidP="00E90A8A">
      <w:pPr>
        <w:pStyle w:val="RepNo"/>
        <w:spacing w:after="360"/>
        <w:rPr>
          <w:b/>
          <w:bCs/>
          <w:rtl/>
        </w:rPr>
      </w:pPr>
      <w:r w:rsidRPr="00E90A8A">
        <w:rPr>
          <w:b/>
          <w:bCs/>
          <w:rtl/>
        </w:rPr>
        <w:t xml:space="preserve">مشروع </w:t>
      </w:r>
      <w:r w:rsidRPr="00E90A8A">
        <w:rPr>
          <w:rFonts w:hint="cs"/>
          <w:b/>
          <w:bCs/>
          <w:rtl/>
        </w:rPr>
        <w:t>ال</w:t>
      </w:r>
      <w:r w:rsidRPr="00E90A8A">
        <w:rPr>
          <w:b/>
          <w:bCs/>
          <w:rtl/>
        </w:rPr>
        <w:t>رأي</w:t>
      </w:r>
      <w:r w:rsidRPr="00E90A8A">
        <w:rPr>
          <w:rFonts w:hint="cs"/>
          <w:b/>
          <w:bCs/>
          <w:rtl/>
        </w:rPr>
        <w:t> </w:t>
      </w:r>
      <w:r w:rsidRPr="00E90A8A">
        <w:rPr>
          <w:b/>
          <w:bCs/>
          <w:lang w:val="en-US" w:bidi="ar-SA"/>
        </w:rPr>
        <w:t>1</w:t>
      </w:r>
      <w:r w:rsidR="00CE6BC5" w:rsidRPr="00E90A8A">
        <w:rPr>
          <w:rFonts w:hint="cs"/>
          <w:b/>
          <w:bCs/>
          <w:rtl/>
        </w:rPr>
        <w:t xml:space="preserve">: </w:t>
      </w:r>
      <w:r w:rsidRPr="00E90A8A">
        <w:rPr>
          <w:b/>
          <w:bCs/>
          <w:rtl/>
        </w:rPr>
        <w:t>تشجيع إنشاء نقاط تبادل الإنترنت</w:t>
      </w:r>
      <w:r w:rsidR="00CE6BC5" w:rsidRPr="00E90A8A">
        <w:rPr>
          <w:rFonts w:hint="cs"/>
          <w:b/>
          <w:bCs/>
          <w:rtl/>
          <w:lang w:bidi="ar-SA"/>
        </w:rPr>
        <w:t xml:space="preserve"> </w:t>
      </w:r>
      <w:r w:rsidR="00CE6BC5" w:rsidRPr="00E90A8A">
        <w:rPr>
          <w:b/>
          <w:bCs/>
          <w:lang w:val="en-US" w:bidi="ar-SA"/>
        </w:rPr>
        <w:t>(IXP)</w:t>
      </w:r>
      <w:r w:rsidRPr="00E90A8A">
        <w:rPr>
          <w:b/>
          <w:bCs/>
        </w:rPr>
        <w:br/>
      </w:r>
      <w:r w:rsidRPr="00E90A8A">
        <w:rPr>
          <w:b/>
          <w:bCs/>
          <w:rtl/>
        </w:rPr>
        <w:t>كحل طويل الأجل لزيادة التوصيلية</w:t>
      </w:r>
    </w:p>
    <w:p w:rsidR="00B50180" w:rsidRPr="00015E3B" w:rsidRDefault="00AE2F28" w:rsidP="00120831">
      <w:pPr>
        <w:pStyle w:val="Normalaftertitle"/>
        <w:rPr>
          <w:lang w:val="en-GB" w:bidi="ar-EG"/>
        </w:rPr>
      </w:pPr>
      <w:r>
        <w:rPr>
          <w:rFonts w:hint="cs"/>
          <w:rtl/>
        </w:rPr>
        <w:t xml:space="preserve">إن </w:t>
      </w:r>
      <w:r w:rsidRPr="00C31B7F">
        <w:rPr>
          <w:rtl/>
        </w:rPr>
        <w:t xml:space="preserve">المنتدى العالمي الخامس لسياسات الاتصالات/تكنولوجيا المعلومات والاتصالات </w:t>
      </w:r>
      <w:r>
        <w:rPr>
          <w:rFonts w:hint="cs"/>
          <w:rtl/>
          <w:lang w:bidi="ar-EG"/>
        </w:rPr>
        <w:t>(</w:t>
      </w:r>
      <w:r w:rsidRPr="00C31B7F">
        <w:rPr>
          <w:rtl/>
        </w:rPr>
        <w:t>جنيف</w:t>
      </w:r>
      <w:r>
        <w:rPr>
          <w:rFonts w:hint="cs"/>
          <w:rtl/>
        </w:rPr>
        <w:t xml:space="preserve">، </w:t>
      </w:r>
      <w:r>
        <w:t>2013</w:t>
      </w:r>
      <w:r w:rsidRPr="00C31B7F">
        <w:rPr>
          <w:rFonts w:hint="cs"/>
          <w:rtl/>
          <w:lang w:bidi="ar"/>
        </w:rPr>
        <w:t>)،</w:t>
      </w:r>
    </w:p>
    <w:p w:rsidR="002919E1" w:rsidRPr="00AE2F28" w:rsidRDefault="00210518" w:rsidP="00210518">
      <w:pPr>
        <w:pStyle w:val="Call"/>
        <w:rPr>
          <w:noProof/>
          <w:lang w:val="en-GB" w:bidi="ar-EG"/>
        </w:rPr>
      </w:pPr>
      <w:r w:rsidRPr="0043785F">
        <w:rPr>
          <w:rFonts w:hint="cs"/>
          <w:rtl/>
        </w:rPr>
        <w:t>إذ يذكّر</w:t>
      </w:r>
    </w:p>
    <w:p w:rsidR="002521CB" w:rsidRDefault="0009105A" w:rsidP="00E22C9B">
      <w:pPr>
        <w:rPr>
          <w:noProof/>
          <w:lang w:bidi="ar-EG"/>
        </w:rPr>
      </w:pPr>
      <w:r w:rsidRPr="005F421E">
        <w:rPr>
          <w:rFonts w:ascii="Calibri" w:hAnsi="Calibri" w:hint="cs"/>
          <w:rtl/>
          <w:lang w:bidi="ar"/>
        </w:rPr>
        <w:t xml:space="preserve"> </w:t>
      </w:r>
      <w:r w:rsidR="00210518" w:rsidRPr="005F421E">
        <w:rPr>
          <w:rFonts w:ascii="Calibri" w:hAnsi="Calibri" w:hint="cs"/>
          <w:rtl/>
          <w:lang w:bidi="ar"/>
        </w:rPr>
        <w:t>أ )</w:t>
      </w:r>
      <w:r w:rsidR="00210518">
        <w:rPr>
          <w:rFonts w:ascii="Calibri" w:hAnsi="Calibri"/>
          <w:rtl/>
          <w:lang w:bidi="ar"/>
        </w:rPr>
        <w:tab/>
      </w:r>
      <w:r w:rsidR="00210518" w:rsidRPr="007A6E16">
        <w:rPr>
          <w:rFonts w:ascii="Calibri" w:hAnsi="Calibri" w:hint="cs"/>
          <w:rtl/>
          <w:lang w:bidi="ar"/>
        </w:rPr>
        <w:t xml:space="preserve">أن الفقرة </w:t>
      </w:r>
      <w:r w:rsidR="00210518" w:rsidRPr="007A6E16">
        <w:rPr>
          <w:rFonts w:ascii="Calibri" w:hAnsi="Calibri"/>
          <w:lang w:bidi="ar"/>
        </w:rPr>
        <w:t>27</w:t>
      </w:r>
      <w:r w:rsidR="00210518" w:rsidRPr="007A6E16">
        <w:rPr>
          <w:rFonts w:ascii="Calibri" w:hAnsi="Calibri" w:hint="cs"/>
          <w:rtl/>
          <w:lang w:bidi="ar"/>
        </w:rPr>
        <w:t>، ج) ’</w:t>
      </w:r>
      <w:r w:rsidR="00210518" w:rsidRPr="007A6E16">
        <w:rPr>
          <w:rFonts w:ascii="Calibri" w:hAnsi="Calibri"/>
          <w:lang w:bidi="ar"/>
        </w:rPr>
        <w:t>1</w:t>
      </w:r>
      <w:r w:rsidR="00210518" w:rsidRPr="007A6E16">
        <w:rPr>
          <w:rFonts w:ascii="Calibri" w:hAnsi="Calibri" w:hint="cs"/>
          <w:rtl/>
          <w:lang w:bidi="ar-EG"/>
        </w:rPr>
        <w:t>‘</w:t>
      </w:r>
      <w:r w:rsidR="00210518" w:rsidRPr="007A6E16">
        <w:rPr>
          <w:rFonts w:ascii="Calibri" w:hAnsi="Calibri" w:hint="cs"/>
          <w:rtl/>
          <w:lang w:bidi="ar"/>
        </w:rPr>
        <w:t xml:space="preserve"> من برنامج عمل تونس تعترف بالمساهمة التي يمكن أن تقدمها نقاط تبادل الإنترنت لخفض تكاليف التوصيل البيني وتوسيع النفاذ إلى الشبكة؛</w:t>
      </w:r>
    </w:p>
    <w:p w:rsidR="002521CB" w:rsidRDefault="00210518" w:rsidP="00E22C9B">
      <w:pPr>
        <w:rPr>
          <w:rFonts w:ascii="Calibri" w:hAnsi="Calibri"/>
          <w:rtl/>
          <w:lang w:bidi="ar"/>
        </w:rPr>
      </w:pPr>
      <w:r w:rsidRPr="005F421E"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الفقرة </w:t>
      </w:r>
      <w:r w:rsidRPr="007A6E16">
        <w:rPr>
          <w:rFonts w:ascii="Calibri" w:hAnsi="Calibri"/>
          <w:lang w:bidi="ar"/>
        </w:rPr>
        <w:t>50</w:t>
      </w:r>
      <w:r w:rsidRPr="007A6E16">
        <w:rPr>
          <w:rFonts w:ascii="Calibri" w:hAnsi="Calibri" w:hint="cs"/>
          <w:rtl/>
          <w:lang w:bidi="ar"/>
        </w:rPr>
        <w:t xml:space="preserve"> من برنامج عمل تونس تدعو إلى إنشاء نقاط تبادل للإنترنت وطنية وإقليمية ودون إقليمية كاستراتيجية لزيادة التوصيلية العالمية بتكلفة معقولة، وبالتالي تيسير النفاذ المحسَّن </w:t>
      </w:r>
      <w:r w:rsidRPr="007A6E16">
        <w:rPr>
          <w:rFonts w:ascii="Calibri" w:hAnsi="Calibri"/>
          <w:rtl/>
        </w:rPr>
        <w:t>والمنصف</w:t>
      </w:r>
      <w:r w:rsidRPr="007A6E16">
        <w:rPr>
          <w:rFonts w:ascii="Calibri" w:hAnsi="Calibri"/>
          <w:color w:val="000000"/>
          <w:sz w:val="20"/>
          <w:szCs w:val="20"/>
          <w:rtl/>
        </w:rPr>
        <w:t xml:space="preserve"> </w:t>
      </w:r>
      <w:r w:rsidRPr="007A6E16">
        <w:rPr>
          <w:rFonts w:ascii="Calibri" w:hAnsi="Calibri" w:hint="cs"/>
          <w:rtl/>
          <w:lang w:bidi="ar"/>
        </w:rPr>
        <w:t>للجميع؛</w:t>
      </w:r>
    </w:p>
    <w:p w:rsidR="00210518" w:rsidRPr="009A2EE7" w:rsidRDefault="00210518" w:rsidP="00CB7FB5">
      <w:pPr>
        <w:rPr>
          <w:rFonts w:ascii="Calibri" w:hAnsi="Calibri"/>
          <w:rtl/>
          <w:lang w:bidi="ar-EG"/>
        </w:rPr>
      </w:pPr>
      <w:r w:rsidRPr="005F421E">
        <w:rPr>
          <w:rFonts w:ascii="Calibri" w:hAnsi="Calibri" w:hint="cs"/>
          <w:rtl/>
          <w:lang w:bidi="ar"/>
        </w:rPr>
        <w:t>ج)</w:t>
      </w:r>
      <w:r w:rsidRPr="009A2EE7">
        <w:rPr>
          <w:rFonts w:ascii="Calibri" w:hAnsi="Calibri"/>
          <w:rtl/>
          <w:lang w:bidi="ar-EG"/>
        </w:rPr>
        <w:tab/>
      </w:r>
      <w:r w:rsidRPr="009A2EE7">
        <w:rPr>
          <w:rFonts w:ascii="Calibri" w:hAnsi="Calibri" w:hint="cs"/>
          <w:rtl/>
          <w:lang w:bidi="ar-EG"/>
        </w:rPr>
        <w:t xml:space="preserve">أن فقرة </w:t>
      </w:r>
      <w:r w:rsidRPr="009A2EE7">
        <w:rPr>
          <w:rFonts w:ascii="Calibri" w:hAnsi="Calibri" w:hint="cs"/>
          <w:i/>
          <w:iCs/>
          <w:rtl/>
          <w:lang w:bidi="ar-EG"/>
        </w:rPr>
        <w:t xml:space="preserve">يقرر </w:t>
      </w:r>
      <w:r w:rsidRPr="009A2EE7">
        <w:rPr>
          <w:rFonts w:ascii="Calibri" w:hAnsi="Calibri"/>
          <w:i/>
          <w:iCs/>
          <w:lang w:bidi="ar-EG"/>
        </w:rPr>
        <w:t>(2</w:t>
      </w:r>
      <w:r w:rsidRPr="009A2EE7">
        <w:rPr>
          <w:rFonts w:ascii="Calibri" w:hAnsi="Calibri" w:hint="cs"/>
          <w:i/>
          <w:iCs/>
          <w:rtl/>
          <w:lang w:bidi="ar-EG"/>
        </w:rPr>
        <w:t xml:space="preserve"> </w:t>
      </w:r>
      <w:r w:rsidRPr="009A2EE7">
        <w:rPr>
          <w:rFonts w:ascii="Calibri" w:hAnsi="Calibri" w:hint="cs"/>
          <w:rtl/>
          <w:lang w:bidi="ar-EG"/>
        </w:rPr>
        <w:t>من</w:t>
      </w:r>
      <w:r w:rsidRPr="009A2EE7">
        <w:rPr>
          <w:rFonts w:ascii="Calibri" w:hAnsi="Calibri" w:hint="cs"/>
          <w:rtl/>
          <w:lang w:bidi="ar"/>
        </w:rPr>
        <w:t xml:space="preserve"> القرار </w:t>
      </w:r>
      <w:r w:rsidRPr="009A2EE7">
        <w:rPr>
          <w:rFonts w:ascii="Calibri" w:hAnsi="Calibri"/>
          <w:lang w:bidi="ar"/>
        </w:rPr>
        <w:t>101</w:t>
      </w:r>
      <w:r w:rsidRPr="009A2EE7">
        <w:rPr>
          <w:rFonts w:ascii="Calibri" w:hAnsi="Calibri" w:hint="cs"/>
          <w:rtl/>
          <w:lang w:bidi="ar"/>
        </w:rPr>
        <w:t xml:space="preserve"> (المراجَع في غوادالاخارا، </w:t>
      </w:r>
      <w:r w:rsidRPr="009A2EE7">
        <w:rPr>
          <w:rFonts w:ascii="Calibri" w:hAnsi="Calibri"/>
          <w:lang w:bidi="ar"/>
        </w:rPr>
        <w:t>2010</w:t>
      </w:r>
      <w:r w:rsidRPr="009A2EE7">
        <w:rPr>
          <w:rFonts w:ascii="Calibri" w:hAnsi="Calibri" w:hint="cs"/>
          <w:rtl/>
          <w:lang w:bidi="ar"/>
        </w:rPr>
        <w:t>) تنص على</w:t>
      </w:r>
      <w:r w:rsidRPr="009A2EE7">
        <w:rPr>
          <w:rFonts w:ascii="Calibri" w:hAnsi="Calibri" w:hint="cs"/>
          <w:rtl/>
          <w:lang w:bidi="ar-EG"/>
        </w:rPr>
        <w:t xml:space="preserve"> </w:t>
      </w:r>
      <w:r w:rsidRPr="009A2EE7">
        <w:rPr>
          <w:rFonts w:ascii="Calibri" w:hAnsi="Calibri"/>
          <w:rtl/>
          <w:lang w:bidi="ar-EG"/>
        </w:rPr>
        <w:t>أن يستفيد الاتحاد الدولي للاتصالات على</w:t>
      </w:r>
      <w:r w:rsidR="00722D80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rtl/>
          <w:lang w:bidi="ar-EG"/>
        </w:rPr>
        <w:t>أكمل وجه من الفرص المتاحة لتنمية الاتصالات/تكنولوجيا المعلومات والاتصالات والناشئة عن</w:t>
      </w:r>
      <w:r w:rsidR="00DD156F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rtl/>
          <w:lang w:bidi="ar-EG"/>
        </w:rPr>
        <w:t>ن</w:t>
      </w:r>
      <w:r w:rsidR="00FB5BCD">
        <w:rPr>
          <w:rFonts w:ascii="Calibri" w:hAnsi="Calibri" w:hint="cs"/>
          <w:rtl/>
          <w:lang w:bidi="ar-EG"/>
        </w:rPr>
        <w:t>‍</w:t>
      </w:r>
      <w:r w:rsidRPr="009A2EE7">
        <w:rPr>
          <w:rFonts w:ascii="Calibri" w:hAnsi="Calibri"/>
          <w:rtl/>
          <w:lang w:bidi="ar-EG"/>
        </w:rPr>
        <w:t>مو</w:t>
      </w:r>
      <w:r w:rsidR="00DD156F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rtl/>
          <w:lang w:bidi="ar-EG"/>
        </w:rPr>
        <w:t>الخدمات القائمة على</w:t>
      </w:r>
      <w:r w:rsidR="00722D80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rtl/>
          <w:lang w:bidi="ar-EG"/>
        </w:rPr>
        <w:t>بروتوكول الإنترنت طبقاً لأهداف الاتحاد ولنتائج القمة العالمية لمجتمع المعلومات بمرحلتيها في</w:t>
      </w:r>
      <w:r w:rsidR="00DD156F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rtl/>
          <w:lang w:bidi="ar-EG"/>
        </w:rPr>
        <w:t>جنيف</w:t>
      </w:r>
      <w:r w:rsidR="00CB7FB5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lang w:bidi="ar-EG"/>
        </w:rPr>
        <w:t>(2003)</w:t>
      </w:r>
      <w:r w:rsidRPr="009A2EE7">
        <w:rPr>
          <w:rFonts w:ascii="Calibri" w:hAnsi="Calibri"/>
          <w:rtl/>
          <w:lang w:bidi="ar-EG"/>
        </w:rPr>
        <w:t xml:space="preserve"> وتونس</w:t>
      </w:r>
      <w:r w:rsidR="00E90A8A" w:rsidRPr="009A2EE7">
        <w:rPr>
          <w:rFonts w:ascii="Calibri" w:hAnsi="Calibri" w:hint="cs"/>
          <w:rtl/>
          <w:lang w:bidi="ar-EG"/>
        </w:rPr>
        <w:t> </w:t>
      </w:r>
      <w:r w:rsidRPr="009A2EE7">
        <w:rPr>
          <w:rFonts w:ascii="Calibri" w:hAnsi="Calibri"/>
          <w:lang w:bidi="ar-EG"/>
        </w:rPr>
        <w:t>(2005)</w:t>
      </w:r>
      <w:r w:rsidRPr="009A2EE7">
        <w:rPr>
          <w:rFonts w:ascii="Calibri" w:hAnsi="Calibri"/>
          <w:rtl/>
          <w:lang w:bidi="ar-EG"/>
        </w:rPr>
        <w:t>،</w:t>
      </w:r>
    </w:p>
    <w:p w:rsidR="00210518" w:rsidRDefault="00210518" w:rsidP="00210518">
      <w:pPr>
        <w:pStyle w:val="Call"/>
        <w:rPr>
          <w:noProof/>
          <w:rtl/>
          <w:lang w:bidi="ar-EG"/>
        </w:rPr>
      </w:pPr>
      <w:r w:rsidRPr="007A6E16">
        <w:rPr>
          <w:rFonts w:hint="cs"/>
          <w:rtl/>
          <w:lang w:bidi="ar"/>
        </w:rPr>
        <w:t>وإذ يضع في اعتباره</w:t>
      </w:r>
    </w:p>
    <w:p w:rsidR="00210518" w:rsidRDefault="00FA74CA" w:rsidP="002215D5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 xml:space="preserve"> </w:t>
      </w:r>
      <w:r w:rsidR="00854F69" w:rsidRPr="005F421E">
        <w:rPr>
          <w:rFonts w:ascii="Calibri" w:hAnsi="Calibri" w:hint="cs"/>
          <w:rtl/>
          <w:lang w:bidi="ar"/>
        </w:rPr>
        <w:t>أ )</w:t>
      </w:r>
      <w:r w:rsidR="00854F69">
        <w:rPr>
          <w:rFonts w:ascii="Calibri" w:hAnsi="Calibri"/>
          <w:rtl/>
          <w:lang w:bidi="ar"/>
        </w:rPr>
        <w:tab/>
      </w:r>
      <w:r w:rsidR="00854F69" w:rsidRPr="007A6E16">
        <w:rPr>
          <w:rFonts w:ascii="Calibri" w:hAnsi="Calibri" w:hint="cs"/>
          <w:rtl/>
          <w:lang w:bidi="ar"/>
        </w:rPr>
        <w:t>أن دراسة أجرتها جمعية الإنترنت</w:t>
      </w:r>
      <w:r w:rsidR="00CE641A">
        <w:rPr>
          <w:rFonts w:ascii="Calibri" w:hAnsi="Calibri" w:hint="eastAsia"/>
          <w:rtl/>
          <w:lang w:bidi="ar"/>
        </w:rPr>
        <w:t> </w:t>
      </w:r>
      <w:r w:rsidR="00854F69" w:rsidRPr="007A6E16">
        <w:rPr>
          <w:rFonts w:ascii="Calibri" w:hAnsi="Calibri"/>
          <w:lang w:bidi="ar"/>
        </w:rPr>
        <w:t>(</w:t>
      </w:r>
      <w:r w:rsidR="00854F69" w:rsidRPr="007A6E16">
        <w:rPr>
          <w:rFonts w:ascii="Calibri" w:hAnsi="Calibri"/>
        </w:rPr>
        <w:t>ISOC)</w:t>
      </w:r>
      <w:r w:rsidR="00854F69" w:rsidRPr="007A6E16">
        <w:rPr>
          <w:rFonts w:ascii="Calibri" w:hAnsi="Calibri" w:hint="cs"/>
          <w:rtl/>
          <w:lang w:bidi="ar"/>
        </w:rPr>
        <w:t xml:space="preserve"> و</w:t>
      </w:r>
      <w:r w:rsidR="00854F69" w:rsidRPr="007A6E16">
        <w:rPr>
          <w:rFonts w:ascii="Calibri" w:hAnsi="Calibri"/>
          <w:rtl/>
          <w:lang w:bidi="ar"/>
        </w:rPr>
        <w:t>منظمة التعاون والتنمية في الميدان الاقتصادي</w:t>
      </w:r>
      <w:r w:rsidR="002215D5">
        <w:rPr>
          <w:rFonts w:ascii="Calibri" w:hAnsi="Calibri" w:hint="cs"/>
          <w:rtl/>
          <w:lang w:bidi="ar"/>
        </w:rPr>
        <w:t> </w:t>
      </w:r>
      <w:r w:rsidR="00854F69" w:rsidRPr="007A6E16">
        <w:rPr>
          <w:rFonts w:ascii="Calibri" w:hAnsi="Calibri"/>
          <w:lang w:bidi="ar"/>
        </w:rPr>
        <w:t>(OECD)</w:t>
      </w:r>
      <w:r w:rsidR="00854F69" w:rsidRPr="007A6E16">
        <w:rPr>
          <w:rFonts w:ascii="Calibri" w:hAnsi="Calibri"/>
          <w:rtl/>
          <w:lang w:bidi="ar"/>
        </w:rPr>
        <w:t xml:space="preserve"> واليونسكو</w:t>
      </w:r>
      <w:r w:rsidR="00854F69" w:rsidRPr="0009105A">
        <w:rPr>
          <w:rStyle w:val="FootnoteReference"/>
          <w:rFonts w:ascii="Calibri" w:hAnsi="Calibri" w:cs="Calibri"/>
          <w:rtl/>
          <w:lang w:bidi="ar"/>
        </w:rPr>
        <w:footnoteReference w:id="1"/>
      </w:r>
      <w:r w:rsidR="00854F69" w:rsidRPr="007A6E16">
        <w:rPr>
          <w:rFonts w:ascii="Calibri" w:hAnsi="Calibri"/>
          <w:rtl/>
          <w:lang w:bidi="ar"/>
        </w:rPr>
        <w:t xml:space="preserve"> </w:t>
      </w:r>
      <w:r w:rsidR="00854F69" w:rsidRPr="007A6E16">
        <w:rPr>
          <w:rFonts w:ascii="Calibri" w:hAnsi="Calibri" w:hint="cs"/>
          <w:rtl/>
          <w:lang w:bidi="ar"/>
        </w:rPr>
        <w:t>تفيد بأن "هذا البحث يجد علاقة قوية بين تطور عرض النطاق الدولي وسعر النفاذ المحلي إلى الإنترنت</w:t>
      </w:r>
      <w:r w:rsidR="00722D80">
        <w:rPr>
          <w:rFonts w:ascii="Calibri" w:hAnsi="Calibri" w:hint="cs"/>
          <w:rtl/>
          <w:lang w:bidi="ar"/>
        </w:rPr>
        <w:t>"</w:t>
      </w:r>
      <w:r w:rsidR="00DD156F">
        <w:rPr>
          <w:rFonts w:ascii="Calibri" w:hAnsi="Calibri" w:hint="cs"/>
          <w:rtl/>
          <w:lang w:bidi="ar"/>
        </w:rPr>
        <w:t>؛</w:t>
      </w:r>
    </w:p>
    <w:p w:rsidR="00854F69" w:rsidRDefault="00854F69" w:rsidP="00CE641A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تقرير لجنة النطاق العريض المشتركة</w:t>
      </w:r>
      <w:r w:rsidR="00A84D53"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"/>
        </w:rPr>
        <w:t>بين الاتحاد واليونسكو</w:t>
      </w:r>
      <w:r w:rsidRPr="007A6E16">
        <w:rPr>
          <w:rStyle w:val="FootnoteReference"/>
          <w:rFonts w:ascii="Calibri" w:hAnsi="Calibri" w:cs="Traditional Arabic"/>
          <w:rtl/>
          <w:lang w:bidi="ar"/>
        </w:rPr>
        <w:footnoteReference w:id="2"/>
      </w:r>
      <w:r w:rsidRPr="007A6E16">
        <w:rPr>
          <w:rFonts w:ascii="Calibri" w:hAnsi="Calibri" w:hint="cs"/>
          <w:rtl/>
          <w:lang w:bidi="ar"/>
        </w:rPr>
        <w:t xml:space="preserve"> أقر بأن "التطورات القائمة على التكنولوجيا مثل شبكات توزيع المحتوى</w:t>
      </w:r>
      <w:r w:rsidR="00CE641A">
        <w:rPr>
          <w:rFonts w:ascii="Calibri" w:hAnsi="Calibri" w:hint="eastAsia"/>
          <w:rtl/>
          <w:lang w:bidi="ar"/>
        </w:rPr>
        <w:t> </w:t>
      </w:r>
      <w:r w:rsidRPr="007A6E16">
        <w:rPr>
          <w:rFonts w:ascii="Calibri" w:hAnsi="Calibri"/>
          <w:lang w:bidi="ar"/>
        </w:rPr>
        <w:t>(</w:t>
      </w:r>
      <w:r w:rsidRPr="007A6E16">
        <w:rPr>
          <w:rFonts w:ascii="Calibri" w:hAnsi="Calibri" w:hint="cs"/>
        </w:rPr>
        <w:t>CDN</w:t>
      </w:r>
      <w:r w:rsidRPr="007A6E16">
        <w:rPr>
          <w:rFonts w:ascii="Calibri" w:hAnsi="Calibri"/>
          <w:lang w:bidi="ar"/>
        </w:rPr>
        <w:t>)</w:t>
      </w:r>
      <w:r w:rsidRPr="007A6E16">
        <w:rPr>
          <w:rFonts w:ascii="Calibri" w:hAnsi="Calibri" w:hint="cs"/>
          <w:rtl/>
          <w:lang w:bidi="ar"/>
        </w:rPr>
        <w:t xml:space="preserve"> ونقاط تبادل الإنترنت الجديدة</w:t>
      </w:r>
      <w:r w:rsidR="00CE641A">
        <w:rPr>
          <w:rFonts w:ascii="Calibri" w:hAnsi="Calibri" w:hint="eastAsia"/>
          <w:rtl/>
          <w:lang w:bidi="ar"/>
        </w:rPr>
        <w:t> </w:t>
      </w:r>
      <w:r w:rsidRPr="007A6E16">
        <w:rPr>
          <w:rFonts w:ascii="Calibri" w:hAnsi="Calibri"/>
          <w:lang w:bidi="ar"/>
        </w:rPr>
        <w:t>(</w:t>
      </w:r>
      <w:r w:rsidRPr="007A6E16">
        <w:rPr>
          <w:rFonts w:ascii="Calibri" w:hAnsi="Calibri" w:hint="cs"/>
        </w:rPr>
        <w:t>IXP</w:t>
      </w:r>
      <w:r w:rsidRPr="007A6E16">
        <w:rPr>
          <w:rFonts w:ascii="Calibri" w:hAnsi="Calibri"/>
          <w:lang w:bidi="ar"/>
        </w:rPr>
        <w:t>)</w:t>
      </w:r>
      <w:r w:rsidRPr="007A6E16"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-EG"/>
        </w:rPr>
        <w:t>أنتجت</w:t>
      </w:r>
      <w:r w:rsidRPr="007A6E16">
        <w:rPr>
          <w:rFonts w:ascii="Calibri" w:hAnsi="Calibri" w:hint="cs"/>
          <w:rtl/>
          <w:lang w:bidi="ar"/>
        </w:rPr>
        <w:t xml:space="preserve"> بعض الكفاءات الاقتصادية وأثبتت فائدتها عموماً حيثما كانت البيئة التنظيمية </w:t>
      </w:r>
      <w:r>
        <w:rPr>
          <w:rFonts w:ascii="Calibri" w:hAnsi="Calibri" w:hint="cs"/>
          <w:rtl/>
          <w:lang w:bidi="ar"/>
        </w:rPr>
        <w:t>مؤ</w:t>
      </w:r>
      <w:r w:rsidRPr="007A6E16">
        <w:rPr>
          <w:rFonts w:ascii="Calibri" w:hAnsi="Calibri" w:hint="cs"/>
          <w:rtl/>
          <w:lang w:bidi="ar"/>
        </w:rPr>
        <w:t>اتية</w:t>
      </w:r>
      <w:r w:rsidR="00722D80">
        <w:rPr>
          <w:rFonts w:ascii="Calibri" w:hAnsi="Calibri" w:hint="cs"/>
          <w:rtl/>
          <w:lang w:bidi="ar"/>
        </w:rPr>
        <w:t>"</w:t>
      </w:r>
      <w:r w:rsidRPr="007A6E16">
        <w:rPr>
          <w:rFonts w:ascii="Calibri" w:hAnsi="Calibri" w:hint="cs"/>
          <w:rtl/>
          <w:lang w:bidi="ar"/>
        </w:rPr>
        <w:t>؛</w:t>
      </w:r>
    </w:p>
    <w:p w:rsidR="00854F69" w:rsidRDefault="00854F69" w:rsidP="00F6513F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ج)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زعماء المنطقة في قمة توصيل الأمريكتين</w:t>
      </w:r>
      <w:r w:rsidR="00F6513F">
        <w:rPr>
          <w:rFonts w:ascii="Calibri" w:hAnsi="Calibri" w:hint="eastAsia"/>
          <w:rtl/>
          <w:lang w:bidi="ar"/>
        </w:rPr>
        <w:t> </w:t>
      </w:r>
      <w:r w:rsidRPr="007A6E16">
        <w:rPr>
          <w:rFonts w:ascii="Calibri" w:hAnsi="Calibri"/>
          <w:lang w:bidi="ar"/>
        </w:rPr>
        <w:t>2012</w:t>
      </w:r>
      <w:r w:rsidRPr="007A6E16">
        <w:rPr>
          <w:rFonts w:ascii="Calibri" w:hAnsi="Calibri" w:hint="cs"/>
          <w:rtl/>
          <w:lang w:bidi="ar"/>
        </w:rPr>
        <w:t>، التزموا بتنمية نقاط تبادل الإنترنت على الصعيد المحلي والوطني والإقليمي لخفض تكاليف النفاذ إلى الإنترنت؛</w:t>
      </w:r>
    </w:p>
    <w:p w:rsidR="00854F69" w:rsidRDefault="00854F69" w:rsidP="00F12870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lastRenderedPageBreak/>
        <w:t>د</w:t>
      </w:r>
      <w:r w:rsidR="00F67B0E" w:rsidRPr="005F421E">
        <w:rPr>
          <w:rFonts w:ascii="Calibri" w:hAnsi="Calibri" w:hint="cs"/>
          <w:rtl/>
          <w:lang w:bidi="ar"/>
        </w:rPr>
        <w:t xml:space="preserve"> </w:t>
      </w:r>
      <w:r w:rsidRPr="005F421E">
        <w:rPr>
          <w:rFonts w:ascii="Calibri" w:hAnsi="Calibri" w:hint="cs"/>
          <w:rtl/>
          <w:lang w:bidi="ar"/>
        </w:rPr>
        <w:t>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نقاط تبادل الإنترنت ونقاط تبادل حركة الاتصالات ي</w:t>
      </w:r>
      <w:r w:rsidR="00742425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مكن أن تؤدي دوراً ذا صلة في نشر البنية التحتية للإنترنت وبلوغ الأهداف العامة الرامية ل</w:t>
      </w:r>
      <w:r w:rsidRPr="007A6E16">
        <w:rPr>
          <w:rFonts w:ascii="Calibri" w:hAnsi="Calibri"/>
          <w:rtl/>
        </w:rPr>
        <w:t xml:space="preserve">تحسين الجودة وزيادة توصيلية ومرونة الشبكات وتعزيز المنافسة وخفض تكاليف </w:t>
      </w:r>
      <w:r w:rsidRPr="007A6E16">
        <w:rPr>
          <w:rFonts w:ascii="Calibri" w:hAnsi="Calibri" w:hint="cs"/>
          <w:rtl/>
          <w:lang w:bidi="ar"/>
        </w:rPr>
        <w:t>التوصيلات</w:t>
      </w:r>
      <w:r w:rsidR="00F12870">
        <w:rPr>
          <w:rFonts w:ascii="Calibri" w:hAnsi="Calibri" w:hint="eastAsia"/>
          <w:rtl/>
          <w:lang w:bidi="ar"/>
        </w:rPr>
        <w:t> </w:t>
      </w:r>
      <w:r w:rsidRPr="007A6E16">
        <w:rPr>
          <w:rFonts w:ascii="Calibri" w:hAnsi="Calibri" w:hint="cs"/>
          <w:rtl/>
          <w:lang w:bidi="ar"/>
        </w:rPr>
        <w:t>البينية،</w:t>
      </w:r>
    </w:p>
    <w:p w:rsidR="00854F69" w:rsidRDefault="00854F69" w:rsidP="005F6044">
      <w:pPr>
        <w:pStyle w:val="Call"/>
        <w:rPr>
          <w:rtl/>
          <w:lang w:bidi="ar-EG"/>
        </w:rPr>
      </w:pPr>
      <w:r>
        <w:rPr>
          <w:rFonts w:hint="cs"/>
          <w:rtl/>
          <w:lang w:bidi="ar"/>
        </w:rPr>
        <w:t>يعرب عن الرأي التالي</w:t>
      </w:r>
    </w:p>
    <w:p w:rsidR="00854F69" w:rsidRDefault="0009105A" w:rsidP="005F6044">
      <w:pPr>
        <w:keepNext/>
        <w:keepLines/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 xml:space="preserve"> </w:t>
      </w:r>
      <w:r w:rsidR="00DC0EB7" w:rsidRPr="005F421E">
        <w:rPr>
          <w:rFonts w:ascii="Calibri" w:hAnsi="Calibri" w:hint="cs"/>
          <w:rtl/>
          <w:lang w:bidi="ar"/>
        </w:rPr>
        <w:t>أ )</w:t>
      </w:r>
      <w:r w:rsidR="00DC0EB7">
        <w:rPr>
          <w:rFonts w:ascii="Calibri" w:hAnsi="Calibri"/>
          <w:rtl/>
          <w:lang w:bidi="ar"/>
        </w:rPr>
        <w:tab/>
      </w:r>
      <w:r w:rsidR="00DC0EB7" w:rsidRPr="007A6E16">
        <w:rPr>
          <w:rFonts w:ascii="Calibri" w:hAnsi="Calibri" w:hint="cs"/>
          <w:rtl/>
          <w:lang w:bidi="ar"/>
        </w:rPr>
        <w:t>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</w:t>
      </w:r>
      <w:r w:rsidR="00A35F5D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مكين التوصيل البيني للشبكات الدولية والوطنية والإقليمية من خلال نقاط تبادل الإنترنت ي</w:t>
      </w:r>
      <w:r w:rsidR="00903D64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مكن أن يكون وسيلة فع</w:t>
      </w:r>
      <w:r w:rsidR="00CA2011">
        <w:rPr>
          <w:rFonts w:ascii="Calibri" w:hAnsi="Calibri" w:hint="cs"/>
          <w:rtl/>
          <w:lang w:bidi="ar"/>
        </w:rPr>
        <w:t>ّ</w:t>
      </w:r>
      <w:r w:rsidRPr="007A6E16">
        <w:rPr>
          <w:rFonts w:ascii="Calibri" w:hAnsi="Calibri" w:hint="cs"/>
          <w:rtl/>
          <w:lang w:bidi="ar"/>
        </w:rPr>
        <w:t>الة لتحسين توصيلية الإنترنت الدولية وخفض تكاليفها، مع عدم التنظيم إلا في حالة الضرورة لتعزيز المنافسة؛</w:t>
      </w:r>
    </w:p>
    <w:p w:rsidR="00DC0EB7" w:rsidRDefault="00DC0EB7" w:rsidP="00722D80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ج)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</w:t>
      </w:r>
      <w:r w:rsidRPr="007A6E16">
        <w:rPr>
          <w:rFonts w:ascii="Calibri" w:hAnsi="Calibri"/>
          <w:rtl/>
          <w:lang w:bidi="ar"/>
        </w:rPr>
        <w:t>برامج</w:t>
      </w:r>
      <w:r>
        <w:rPr>
          <w:rFonts w:ascii="Calibri" w:hAnsi="Calibri" w:hint="cs"/>
          <w:rtl/>
          <w:lang w:bidi="ar"/>
        </w:rPr>
        <w:t xml:space="preserve"> الجهات</w:t>
      </w:r>
      <w:r w:rsidRPr="007A6E16">
        <w:rPr>
          <w:rFonts w:ascii="Calibri" w:hAnsi="Calibri"/>
          <w:rtl/>
          <w:lang w:bidi="ar"/>
        </w:rPr>
        <w:t xml:space="preserve"> المانحة وآليات التمويل الإن</w:t>
      </w:r>
      <w:r w:rsidR="00BB42B0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/>
          <w:rtl/>
          <w:lang w:bidi="ar"/>
        </w:rPr>
        <w:t xml:space="preserve">مائي </w:t>
      </w:r>
      <w:r w:rsidRPr="007A6E16">
        <w:rPr>
          <w:rFonts w:ascii="Calibri" w:hAnsi="Calibri" w:hint="cs"/>
          <w:rtl/>
          <w:lang w:bidi="ar"/>
        </w:rPr>
        <w:t xml:space="preserve">ينبغي أن </w:t>
      </w:r>
      <w:r>
        <w:rPr>
          <w:rFonts w:ascii="Calibri" w:hAnsi="Calibri" w:hint="cs"/>
          <w:rtl/>
          <w:lang w:bidi="ar"/>
        </w:rPr>
        <w:t>تأخذ بعين الاعتبار</w:t>
      </w:r>
      <w:r w:rsidRPr="007A6E16">
        <w:rPr>
          <w:rFonts w:ascii="Calibri" w:hAnsi="Calibri"/>
          <w:rtl/>
          <w:lang w:bidi="ar"/>
        </w:rPr>
        <w:t xml:space="preserve"> ضرورة تقديم ت</w:t>
      </w:r>
      <w:r w:rsidR="00B26009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/>
          <w:rtl/>
          <w:lang w:bidi="ar"/>
        </w:rPr>
        <w:t>مويل للمبادرات التي</w:t>
      </w:r>
      <w:r w:rsidR="00722D80">
        <w:rPr>
          <w:rFonts w:ascii="Calibri" w:hAnsi="Calibri" w:hint="cs"/>
          <w:rtl/>
          <w:lang w:bidi="ar"/>
        </w:rPr>
        <w:t> </w:t>
      </w:r>
      <w:r w:rsidRPr="007A6E16">
        <w:rPr>
          <w:rFonts w:ascii="Calibri" w:hAnsi="Calibri"/>
          <w:rtl/>
          <w:lang w:bidi="ar"/>
        </w:rPr>
        <w:t xml:space="preserve">تشجع على تحسين التوصيلية ونقاط تبادل </w:t>
      </w:r>
      <w:r w:rsidRPr="007A6E16">
        <w:rPr>
          <w:rFonts w:ascii="Calibri" w:hAnsi="Calibri" w:hint="cs"/>
          <w:rtl/>
          <w:lang w:bidi="ar"/>
        </w:rPr>
        <w:t>ا</w:t>
      </w:r>
      <w:r w:rsidRPr="007A6E16">
        <w:rPr>
          <w:rFonts w:ascii="Calibri" w:hAnsi="Calibri"/>
          <w:rtl/>
          <w:lang w:bidi="ar"/>
        </w:rPr>
        <w:t xml:space="preserve">لإنترنت والمحتوى المحلي </w:t>
      </w:r>
      <w:r w:rsidRPr="007A6E16">
        <w:rPr>
          <w:rFonts w:ascii="Calibri" w:hAnsi="Calibri" w:hint="cs"/>
          <w:rtl/>
          <w:lang w:bidi="ar"/>
        </w:rPr>
        <w:t>في ا</w:t>
      </w:r>
      <w:r w:rsidRPr="007A6E16">
        <w:rPr>
          <w:rFonts w:ascii="Calibri" w:hAnsi="Calibri"/>
          <w:rtl/>
          <w:lang w:bidi="ar"/>
        </w:rPr>
        <w:t>لبلدان النامية</w:t>
      </w:r>
      <w:r w:rsidRPr="007A6E16">
        <w:rPr>
          <w:rFonts w:ascii="Calibri" w:hAnsi="Calibri" w:hint="cs"/>
          <w:rtl/>
          <w:lang w:bidi="ar"/>
        </w:rPr>
        <w:t>؛</w:t>
      </w:r>
    </w:p>
    <w:p w:rsidR="00DC0EB7" w:rsidRDefault="00DC0EB7" w:rsidP="00722D80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د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إنشاء نقاط تبادل الإنترنت يفعّل دورة حميدة: فه</w:t>
      </w:r>
      <w:r>
        <w:rPr>
          <w:rFonts w:ascii="Calibri" w:hAnsi="Calibri" w:hint="cs"/>
          <w:rtl/>
          <w:lang w:bidi="ar"/>
        </w:rPr>
        <w:t>ذه النقاط</w:t>
      </w:r>
      <w:r w:rsidRPr="007A6E16">
        <w:rPr>
          <w:rFonts w:ascii="Calibri" w:hAnsi="Calibri" w:hint="cs"/>
          <w:rtl/>
          <w:lang w:bidi="ar"/>
        </w:rPr>
        <w:t xml:space="preserve"> إذ </w:t>
      </w:r>
      <w:r>
        <w:rPr>
          <w:rFonts w:ascii="Calibri" w:hAnsi="Calibri" w:hint="cs"/>
          <w:rtl/>
          <w:lang w:bidi="ar"/>
        </w:rPr>
        <w:t>ت</w:t>
      </w:r>
      <w:r w:rsidRPr="007A6E16">
        <w:rPr>
          <w:rFonts w:ascii="Calibri" w:hAnsi="Calibri" w:hint="cs"/>
          <w:rtl/>
          <w:lang w:bidi="ar"/>
        </w:rPr>
        <w:t xml:space="preserve">جذب المزيد من مقدمي خدمات الإنترنت </w:t>
      </w:r>
      <w:r>
        <w:rPr>
          <w:rFonts w:ascii="Calibri" w:hAnsi="Calibri" w:hint="cs"/>
          <w:rtl/>
          <w:lang w:bidi="ar"/>
        </w:rPr>
        <w:t>ت</w:t>
      </w:r>
      <w:r w:rsidRPr="007A6E16">
        <w:rPr>
          <w:rFonts w:ascii="Calibri" w:hAnsi="Calibri" w:hint="cs"/>
          <w:rtl/>
          <w:lang w:bidi="ar"/>
        </w:rPr>
        <w:t>بدأ</w:t>
      </w:r>
      <w:r w:rsidR="00722D80">
        <w:rPr>
          <w:rFonts w:ascii="Calibri" w:hAnsi="Calibri" w:hint="eastAsia"/>
          <w:rtl/>
          <w:lang w:bidi="ar"/>
        </w:rPr>
        <w:t> </w:t>
      </w:r>
      <w:r>
        <w:rPr>
          <w:rFonts w:ascii="Calibri" w:hAnsi="Calibri" w:hint="cs"/>
          <w:rtl/>
          <w:lang w:bidi="ar"/>
        </w:rPr>
        <w:t>أيضاً</w:t>
      </w:r>
      <w:r w:rsidRPr="007A6E16">
        <w:rPr>
          <w:rFonts w:ascii="Calibri" w:hAnsi="Calibri" w:hint="cs"/>
          <w:rtl/>
          <w:lang w:bidi="ar"/>
        </w:rPr>
        <w:t xml:space="preserve"> في اجتذاب مقدمي المحتوى المحلي والوطني والدولي، إلى جانب المستخدمين التجاريين </w:t>
      </w:r>
      <w:proofErr w:type="spellStart"/>
      <w:r w:rsidRPr="007A6E16">
        <w:rPr>
          <w:rFonts w:ascii="Calibri" w:hAnsi="Calibri" w:hint="cs"/>
          <w:rtl/>
          <w:lang w:bidi="ar"/>
        </w:rPr>
        <w:t>والأكادي</w:t>
      </w:r>
      <w:r w:rsidR="001C6689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ميين</w:t>
      </w:r>
      <w:proofErr w:type="spellEnd"/>
      <w:r w:rsidRPr="007A6E16">
        <w:rPr>
          <w:rFonts w:ascii="Calibri" w:hAnsi="Calibri" w:hint="cs"/>
          <w:rtl/>
          <w:lang w:bidi="ar"/>
        </w:rPr>
        <w:t xml:space="preserve"> والحكوميين، الأمر الذي يجذب بدوره المزيد من مقدمي خدمات الإنترنت؛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ﻫ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قدرات المحتوى المحلي في البلدان النامية ينبغي أن تُستنهض وتُدعم في البيئة الم</w:t>
      </w:r>
      <w:r>
        <w:rPr>
          <w:rFonts w:ascii="Calibri" w:hAnsi="Calibri" w:hint="cs"/>
          <w:rtl/>
          <w:lang w:bidi="ar"/>
        </w:rPr>
        <w:t>ؤ</w:t>
      </w:r>
      <w:r w:rsidRPr="007A6E16">
        <w:rPr>
          <w:rFonts w:ascii="Calibri" w:hAnsi="Calibri" w:hint="cs"/>
          <w:rtl/>
          <w:lang w:bidi="ar"/>
        </w:rPr>
        <w:t>اتية التي توفرها نقاط تبادل الإنترنت المحلية/الإقليمية؛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و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نقاط تبادل الإنترنت الفع</w:t>
      </w:r>
      <w:r w:rsidR="00272C75">
        <w:rPr>
          <w:rFonts w:ascii="Calibri" w:hAnsi="Calibri" w:hint="cs"/>
          <w:rtl/>
          <w:lang w:bidi="ar"/>
        </w:rPr>
        <w:t>ّ</w:t>
      </w:r>
      <w:r w:rsidRPr="007A6E16">
        <w:rPr>
          <w:rFonts w:ascii="Calibri" w:hAnsi="Calibri" w:hint="cs"/>
          <w:rtl/>
          <w:lang w:bidi="ar"/>
        </w:rPr>
        <w:t>الة تظهر في كثير من الأحيان حيثما تعتمد الدول الأعضاء إجراءات سياسات</w:t>
      </w:r>
      <w:r>
        <w:rPr>
          <w:rFonts w:ascii="Calibri" w:hAnsi="Calibri" w:hint="cs"/>
          <w:rtl/>
          <w:lang w:bidi="ar"/>
        </w:rPr>
        <w:t xml:space="preserve"> تشمل</w:t>
      </w:r>
      <w:r w:rsidRPr="007A6E16">
        <w:rPr>
          <w:rFonts w:ascii="Calibri" w:hAnsi="Calibri" w:hint="cs"/>
          <w:rtl/>
          <w:lang w:bidi="ar"/>
        </w:rPr>
        <w:t xml:space="preserve"> أصحاب المصلحة المتعددين، لأن نقاط تبادل الإنترنت تعتمد على التعاون بين أصحاب المصلحة المعنيين؛</w:t>
      </w:r>
    </w:p>
    <w:p w:rsidR="00DC0EB7" w:rsidRDefault="00DC0EB7" w:rsidP="00117DF6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ز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التدابير التنظيمية ينبغي ألا تعرقل ترتيبات العبور والتبادل بين النظراء، لإيجاد بيئة ت</w:t>
      </w:r>
      <w:r w:rsidR="00916F4F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مكينية وتنافسية تُنشأ فيها نقاط تبادل</w:t>
      </w:r>
      <w:r w:rsidR="00117DF6">
        <w:rPr>
          <w:rFonts w:ascii="Calibri" w:hAnsi="Calibri" w:hint="eastAsia"/>
          <w:rtl/>
          <w:lang w:bidi="ar"/>
        </w:rPr>
        <w:t> </w:t>
      </w:r>
      <w:r w:rsidRPr="007A6E16">
        <w:rPr>
          <w:rFonts w:ascii="Calibri" w:hAnsi="Calibri" w:hint="cs"/>
          <w:rtl/>
          <w:lang w:bidi="ar"/>
        </w:rPr>
        <w:t>الإنترنت؛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5F421E">
        <w:rPr>
          <w:rFonts w:ascii="Calibri" w:hAnsi="Calibri" w:hint="cs"/>
          <w:rtl/>
          <w:lang w:bidi="ar"/>
        </w:rPr>
        <w:t>ح)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تحرير سوق الاتصالات الإلكترونية ي</w:t>
      </w:r>
      <w:r w:rsidR="003019C6">
        <w:rPr>
          <w:rFonts w:ascii="Calibri" w:hAnsi="Calibri" w:hint="cs"/>
          <w:rtl/>
          <w:lang w:bidi="ar"/>
        </w:rPr>
        <w:t>‍</w:t>
      </w:r>
      <w:r w:rsidRPr="007A6E16">
        <w:rPr>
          <w:rFonts w:ascii="Calibri" w:hAnsi="Calibri" w:hint="cs"/>
          <w:rtl/>
          <w:lang w:bidi="ar"/>
        </w:rPr>
        <w:t>مكن أن يؤدي دوراً هاماً في السماح بنشوء سوق تنافسية لدعم إدخال نقاط تبادل الإنترنت والقيام بالتوصيل البيني من خلالها؛</w:t>
      </w:r>
    </w:p>
    <w:p w:rsidR="00DC0EB7" w:rsidRDefault="00DC0EB7" w:rsidP="00722D80">
      <w:pPr>
        <w:rPr>
          <w:rFonts w:ascii="Calibri" w:hAnsi="Calibri"/>
          <w:lang w:bidi="ar"/>
        </w:rPr>
      </w:pPr>
      <w:bookmarkStart w:id="0" w:name="_GoBack"/>
      <w:r w:rsidRPr="005F421E">
        <w:rPr>
          <w:rFonts w:ascii="Calibri" w:hAnsi="Calibri" w:hint="cs"/>
          <w:rtl/>
          <w:lang w:bidi="ar"/>
        </w:rPr>
        <w:t>ط)</w:t>
      </w:r>
      <w:bookmarkEnd w:id="0"/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زيادة مستوى التوصيل البيني المتأتية من المشاركة في نقاط تبادل الإنترنت تساهم في تعزيز مستوى </w:t>
      </w:r>
      <w:r w:rsidRPr="00465FA8">
        <w:rPr>
          <w:rFonts w:ascii="Calibri" w:hAnsi="Calibri" w:hint="cs"/>
          <w:rtl/>
          <w:lang w:bidi="ar"/>
        </w:rPr>
        <w:t>المرونة</w:t>
      </w:r>
      <w:r w:rsidRPr="007A6E16">
        <w:rPr>
          <w:rFonts w:ascii="Calibri" w:hAnsi="Calibri" w:hint="cs"/>
          <w:rtl/>
          <w:lang w:bidi="ar"/>
        </w:rPr>
        <w:t xml:space="preserve"> في</w:t>
      </w:r>
      <w:r w:rsidR="00722D80">
        <w:rPr>
          <w:rFonts w:hint="eastAsia"/>
          <w:rtl/>
        </w:rPr>
        <w:t> </w:t>
      </w:r>
      <w:r w:rsidRPr="007A6E16">
        <w:rPr>
          <w:rFonts w:ascii="Calibri" w:hAnsi="Calibri" w:hint="cs"/>
          <w:rtl/>
          <w:lang w:bidi="ar"/>
        </w:rPr>
        <w:t>البنية التحتية للشبكة،</w:t>
      </w:r>
    </w:p>
    <w:p w:rsidR="00DC0EB7" w:rsidRDefault="00DC0EB7" w:rsidP="00DC0EB7">
      <w:pPr>
        <w:pStyle w:val="Call"/>
      </w:pPr>
      <w:r w:rsidRPr="007A6E16">
        <w:rPr>
          <w:rFonts w:hint="cs"/>
          <w:rtl/>
        </w:rPr>
        <w:t>يدعو</w:t>
      </w:r>
    </w:p>
    <w:p w:rsidR="00DC0EB7" w:rsidRDefault="00DC0EB7" w:rsidP="00E22C9B">
      <w:pPr>
        <w:rPr>
          <w:rFonts w:ascii="Calibri" w:hAnsi="Calibri"/>
        </w:rPr>
      </w:pPr>
      <w:r w:rsidRPr="007A6E16">
        <w:rPr>
          <w:rFonts w:ascii="Calibri" w:hAnsi="Calibri" w:hint="cs"/>
          <w:rtl/>
          <w:lang w:bidi="ar"/>
        </w:rPr>
        <w:t>الدول الأعضاء وأعضاء القطاع</w:t>
      </w:r>
      <w:r>
        <w:rPr>
          <w:rFonts w:ascii="Calibri" w:hAnsi="Calibri" w:hint="cs"/>
          <w:rtl/>
          <w:lang w:bidi="ar"/>
        </w:rPr>
        <w:t>ات</w:t>
      </w:r>
      <w:r w:rsidRPr="007A6E16">
        <w:rPr>
          <w:rFonts w:ascii="Calibri" w:hAnsi="Calibri" w:hint="cs"/>
          <w:rtl/>
          <w:lang w:bidi="ar"/>
        </w:rPr>
        <w:t xml:space="preserve"> إلى العمل بطريقة تعاونية من أجل:</w:t>
      </w:r>
    </w:p>
    <w:p w:rsidR="00DC0EB7" w:rsidRPr="007A6E16" w:rsidRDefault="00DC0EB7" w:rsidP="00DC0EB7">
      <w:pPr>
        <w:pStyle w:val="enumlev1"/>
        <w:rPr>
          <w:rtl/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تعزيز الشبكات ومواصلة تطويرها وتوسيعها على المستويات الوطنية ودون الإقليمية والإقليمية؛</w:t>
      </w:r>
    </w:p>
    <w:p w:rsidR="00DC0EB7" w:rsidRPr="007A6E16" w:rsidRDefault="00DC0EB7" w:rsidP="00DC0EB7">
      <w:pPr>
        <w:pStyle w:val="enumlev1"/>
        <w:rPr>
          <w:rtl/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</w:t>
      </w:r>
      <w:r w:rsidR="00AB7BE8">
        <w:rPr>
          <w:rFonts w:hint="cs"/>
          <w:rtl/>
          <w:lang w:bidi="ar"/>
        </w:rPr>
        <w:t>‍</w:t>
      </w:r>
      <w:r w:rsidRPr="007A6E16">
        <w:rPr>
          <w:rFonts w:hint="cs"/>
          <w:rtl/>
          <w:lang w:bidi="ar"/>
        </w:rPr>
        <w:t>مكين ظهور نقاط تبادل الإنترنت من خلال جملة أمور تتضمن تبادل الخبرات التقنية، وتعزيز بيئات سياساتية داعمة، عبر المشاورات</w:t>
      </w:r>
      <w:r>
        <w:rPr>
          <w:rFonts w:hint="cs"/>
          <w:rtl/>
          <w:lang w:bidi="ar"/>
        </w:rPr>
        <w:t xml:space="preserve"> المفتوحة</w:t>
      </w:r>
      <w:r w:rsidRPr="007A6E16">
        <w:rPr>
          <w:rFonts w:hint="cs"/>
          <w:rtl/>
          <w:lang w:bidi="ar"/>
        </w:rPr>
        <w:t xml:space="preserve"> بين أصحاب المصلحة المتعددين؛</w:t>
      </w:r>
    </w:p>
    <w:p w:rsidR="00DC0EB7" w:rsidRDefault="00DC0EB7" w:rsidP="00DC0EB7">
      <w:pPr>
        <w:pStyle w:val="enumlev1"/>
        <w:rPr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تعزيز السياسات العامة الرامية إلى السماح لمشغلي شبكة الإنترنت المحليين والإقليميين والدوليين بالتوصيل البيني من خلال نقاط تبادل الإنترنت.</w:t>
      </w:r>
    </w:p>
    <w:p w:rsidR="00DC0EB7" w:rsidRDefault="00BB561E" w:rsidP="00CA58A2">
      <w:pPr>
        <w:bidi w:val="0"/>
        <w:spacing w:before="600"/>
        <w:jc w:val="center"/>
      </w:pPr>
      <w:r>
        <w:rPr>
          <w:rFonts w:hint="cs"/>
          <w:rtl/>
        </w:rPr>
        <w:t>___________</w:t>
      </w:r>
    </w:p>
    <w:sectPr w:rsidR="00DC0EB7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B" w:rsidRDefault="002521CB" w:rsidP="002919E1">
      <w:r>
        <w:separator/>
      </w:r>
    </w:p>
    <w:p w:rsidR="002521CB" w:rsidRDefault="002521CB" w:rsidP="002919E1"/>
    <w:p w:rsidR="002521CB" w:rsidRDefault="002521CB" w:rsidP="002919E1"/>
    <w:p w:rsidR="002521CB" w:rsidRDefault="002521CB"/>
  </w:endnote>
  <w:end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4E" w:rsidRPr="00336C1A" w:rsidRDefault="00816D4E" w:rsidP="00816D4E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  <w:spacing w:before="0"/>
    </w:pPr>
    <w:r>
      <w:fldChar w:fldCharType="begin"/>
    </w:r>
    <w:r w:rsidRPr="00336C1A">
      <w:instrText xml:space="preserve"> FILENAME \p \* MERGEFORMAT </w:instrText>
    </w:r>
    <w:r>
      <w:fldChar w:fldCharType="separate"/>
    </w:r>
    <w:r>
      <w:rPr>
        <w:noProof/>
      </w:rPr>
      <w:t>P:\TRAD\A\SG\CONF-SG\WTPF-13\DT\001A.docx</w:t>
    </w:r>
    <w:r>
      <w:fldChar w:fldCharType="end"/>
    </w:r>
    <w:r w:rsidRPr="00336C1A">
      <w:t xml:space="preserve">   (</w:t>
    </w:r>
    <w:r>
      <w:rPr>
        <w:rFonts w:hint="cs"/>
        <w:rtl/>
      </w:rPr>
      <w:t>341923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F421E">
      <w:rPr>
        <w:noProof/>
      </w:rPr>
      <w:t>14.05.13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15.04.13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2D28A9" w:rsidP="00816D4E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  <w:spacing w:before="0"/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816D4E">
      <w:rPr>
        <w:noProof/>
      </w:rPr>
      <w:t>P:\TRAD\A\SG\CONF-SG\WTPF-13\DT\001A.docx</w:t>
    </w:r>
    <w:r>
      <w:fldChar w:fldCharType="end"/>
    </w:r>
    <w:r w:rsidRPr="00336C1A">
      <w:t xml:space="preserve">   (</w:t>
    </w:r>
    <w:r w:rsidR="00816D4E">
      <w:rPr>
        <w:rFonts w:hint="cs"/>
        <w:rtl/>
      </w:rPr>
      <w:t>341923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F421E">
      <w:rPr>
        <w:noProof/>
      </w:rPr>
      <w:t>14.05.13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16D4E">
      <w:rPr>
        <w:noProof/>
      </w:rPr>
      <w:t>15.04.13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B" w:rsidRDefault="002521CB" w:rsidP="002919E1">
      <w:r>
        <w:t>___________________</w:t>
      </w:r>
    </w:p>
  </w:footnote>
  <w:foot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footnote>
  <w:footnote w:id="1">
    <w:p w:rsidR="00854F69" w:rsidRPr="00987065" w:rsidRDefault="00854F69" w:rsidP="002A7F30">
      <w:pPr>
        <w:pStyle w:val="FootnoteText"/>
        <w:spacing w:before="80"/>
        <w:rPr>
          <w:rFonts w:ascii="Calibri" w:hAnsi="Calibri"/>
        </w:rPr>
      </w:pPr>
      <w:r w:rsidRPr="00987065">
        <w:rPr>
          <w:rStyle w:val="FootnoteReference"/>
          <w:rFonts w:ascii="Calibri" w:hAnsi="Calibri" w:cs="Traditional Arabic"/>
          <w:szCs w:val="24"/>
        </w:rPr>
        <w:footnoteRef/>
      </w:r>
      <w:r w:rsidR="00E90A8A" w:rsidRPr="00987065">
        <w:rPr>
          <w:rFonts w:ascii="Calibri" w:hAnsi="Calibri" w:hint="cs"/>
          <w:rtl/>
        </w:rPr>
        <w:tab/>
      </w:r>
      <w:r w:rsidRPr="00987065">
        <w:rPr>
          <w:rFonts w:ascii="Calibri" w:hAnsi="Calibri"/>
          <w:rtl/>
          <w:lang w:bidi="ar"/>
        </w:rPr>
        <w:t>العلاقة بين المحتوى المحلي وتطور الإنترنت وأسعار النفاذ</w:t>
      </w:r>
      <w:r w:rsidRPr="00987065">
        <w:rPr>
          <w:rFonts w:ascii="Calibri" w:hAnsi="Calibri" w:hint="cs"/>
          <w:rtl/>
          <w:lang w:bidi="ar"/>
        </w:rPr>
        <w:t xml:space="preserve"> (</w:t>
      </w:r>
      <w:r w:rsidRPr="00987065">
        <w:rPr>
          <w:rFonts w:ascii="Calibri" w:hAnsi="Calibri"/>
        </w:rPr>
        <w:t>OECD</w:t>
      </w:r>
      <w:r w:rsidRPr="00987065">
        <w:rPr>
          <w:rFonts w:ascii="Calibri" w:hAnsi="Calibri" w:hint="cs"/>
          <w:rtl/>
        </w:rPr>
        <w:t xml:space="preserve"> </w:t>
      </w:r>
      <w:r w:rsidRPr="00987065">
        <w:rPr>
          <w:rFonts w:ascii="Calibri" w:hAnsi="Calibri"/>
          <w:rtl/>
          <w:lang w:bidi="ar"/>
        </w:rPr>
        <w:t>واليونسكو</w:t>
      </w:r>
      <w:r w:rsidRPr="00987065">
        <w:rPr>
          <w:rFonts w:ascii="Calibri" w:hAnsi="Calibri" w:hint="cs"/>
          <w:rtl/>
        </w:rPr>
        <w:t xml:space="preserve"> وجمعية الإنترنت) </w:t>
      </w:r>
      <w:r w:rsidRPr="00987065">
        <w:rPr>
          <w:rFonts w:ascii="Calibri" w:hAnsi="Calibri"/>
        </w:rPr>
        <w:t>(2011)</w:t>
      </w:r>
    </w:p>
  </w:footnote>
  <w:footnote w:id="2">
    <w:p w:rsidR="00854F69" w:rsidRPr="00987065" w:rsidRDefault="00854F69" w:rsidP="002A7F30">
      <w:pPr>
        <w:pStyle w:val="FootnoteText"/>
        <w:spacing w:before="80"/>
        <w:rPr>
          <w:rFonts w:ascii="Calibri" w:hAnsi="Calibri"/>
        </w:rPr>
      </w:pPr>
      <w:r w:rsidRPr="00987065">
        <w:rPr>
          <w:rStyle w:val="FootnoteReference"/>
          <w:rFonts w:ascii="Calibri" w:hAnsi="Calibri" w:cs="Traditional Arabic"/>
          <w:szCs w:val="24"/>
        </w:rPr>
        <w:footnoteRef/>
      </w:r>
      <w:r w:rsidR="00E90A8A" w:rsidRPr="00987065">
        <w:rPr>
          <w:rFonts w:ascii="Calibri" w:hAnsi="Calibri" w:hint="cs"/>
          <w:rtl/>
        </w:rPr>
        <w:tab/>
      </w:r>
      <w:r w:rsidRPr="00987065">
        <w:rPr>
          <w:rFonts w:ascii="Calibri" w:hAnsi="Calibri"/>
          <w:rtl/>
        </w:rPr>
        <w:t>حالة النطاق العريض في</w:t>
      </w:r>
      <w:r w:rsidRPr="00987065">
        <w:rPr>
          <w:rFonts w:ascii="Calibri" w:hAnsi="Calibri" w:hint="cs"/>
          <w:rtl/>
        </w:rPr>
        <w:t xml:space="preserve"> عام</w:t>
      </w:r>
      <w:r w:rsidRPr="00987065">
        <w:rPr>
          <w:rFonts w:ascii="Calibri" w:hAnsi="Calibri"/>
          <w:rtl/>
        </w:rPr>
        <w:t xml:space="preserve"> </w:t>
      </w:r>
      <w:r w:rsidRPr="00987065">
        <w:rPr>
          <w:rFonts w:ascii="Calibri" w:hAnsi="Calibri"/>
        </w:rPr>
        <w:t>2012</w:t>
      </w:r>
      <w:r w:rsidRPr="00987065">
        <w:rPr>
          <w:rFonts w:ascii="Calibri" w:hAnsi="Calibri" w:hint="cs"/>
          <w:rtl/>
        </w:rPr>
        <w:t xml:space="preserve"> (</w:t>
      </w:r>
      <w:r w:rsidRPr="00987065">
        <w:rPr>
          <w:rFonts w:ascii="Calibri" w:hAnsi="Calibri" w:hint="cs"/>
          <w:rtl/>
          <w:lang w:bidi="ar"/>
        </w:rPr>
        <w:t>الاتحاد الدولي للاتصالات</w:t>
      </w:r>
      <w:r w:rsidRPr="00987065">
        <w:rPr>
          <w:rFonts w:ascii="Calibri" w:hAnsi="Calibri"/>
          <w:rtl/>
          <w:lang w:bidi="ar"/>
        </w:rPr>
        <w:t xml:space="preserve"> واليونسكو</w:t>
      </w:r>
      <w:r w:rsidRPr="00987065">
        <w:rPr>
          <w:rFonts w:ascii="Calibri" w:hAnsi="Calibri" w:hint="cs"/>
          <w:rtl/>
          <w:lang w:bidi="ar"/>
        </w:rPr>
        <w:t xml:space="preserve">، </w:t>
      </w:r>
      <w:r w:rsidRPr="00987065">
        <w:rPr>
          <w:rFonts w:ascii="Calibri" w:hAnsi="Calibri"/>
          <w:lang w:bidi="ar"/>
        </w:rPr>
        <w:t>2012</w:t>
      </w:r>
      <w:r w:rsidRPr="00987065">
        <w:rPr>
          <w:rFonts w:ascii="Calibri" w:hAnsi="Calibri" w:hint="cs"/>
          <w:rtl/>
          <w:lang w:bidi="ar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A40331" w:rsidRDefault="00A40331" w:rsidP="00A4033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F421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WTPF-13</w:t>
    </w:r>
    <w:r w:rsidRPr="0088384B">
      <w:rPr>
        <w:rStyle w:val="PageNumber"/>
      </w:rPr>
      <w:t>/</w:t>
    </w:r>
    <w:r>
      <w:rPr>
        <w:rStyle w:val="PageNumber"/>
      </w:rPr>
      <w:t>DT/1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0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C8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27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209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C0E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ar" w:vendorID="4" w:dllVersion="512" w:checkStyle="1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CB"/>
    <w:rsid w:val="00011021"/>
    <w:rsid w:val="000114EC"/>
    <w:rsid w:val="00011F8C"/>
    <w:rsid w:val="00015E3B"/>
    <w:rsid w:val="00040C94"/>
    <w:rsid w:val="000425FC"/>
    <w:rsid w:val="00044D43"/>
    <w:rsid w:val="00051907"/>
    <w:rsid w:val="00072A32"/>
    <w:rsid w:val="00075A3F"/>
    <w:rsid w:val="0009105A"/>
    <w:rsid w:val="000A1B16"/>
    <w:rsid w:val="000B1219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17DF6"/>
    <w:rsid w:val="00120831"/>
    <w:rsid w:val="00140B00"/>
    <w:rsid w:val="001464F2"/>
    <w:rsid w:val="00167364"/>
    <w:rsid w:val="001903B2"/>
    <w:rsid w:val="001C6689"/>
    <w:rsid w:val="001E190C"/>
    <w:rsid w:val="001E54F6"/>
    <w:rsid w:val="001E5A8C"/>
    <w:rsid w:val="002017B8"/>
    <w:rsid w:val="00201A0A"/>
    <w:rsid w:val="002075D4"/>
    <w:rsid w:val="00210518"/>
    <w:rsid w:val="00211B2A"/>
    <w:rsid w:val="002215D5"/>
    <w:rsid w:val="002333A0"/>
    <w:rsid w:val="002521CB"/>
    <w:rsid w:val="002543CF"/>
    <w:rsid w:val="0026062E"/>
    <w:rsid w:val="00260F50"/>
    <w:rsid w:val="00261EF7"/>
    <w:rsid w:val="0026774E"/>
    <w:rsid w:val="0027069F"/>
    <w:rsid w:val="00272C75"/>
    <w:rsid w:val="00280E04"/>
    <w:rsid w:val="00281F5F"/>
    <w:rsid w:val="002843E4"/>
    <w:rsid w:val="002919E1"/>
    <w:rsid w:val="00295917"/>
    <w:rsid w:val="00296071"/>
    <w:rsid w:val="002A4572"/>
    <w:rsid w:val="002A7E2E"/>
    <w:rsid w:val="002A7F30"/>
    <w:rsid w:val="002B1546"/>
    <w:rsid w:val="002B16D8"/>
    <w:rsid w:val="002B6965"/>
    <w:rsid w:val="002D0D6E"/>
    <w:rsid w:val="002D28A9"/>
    <w:rsid w:val="002D5F64"/>
    <w:rsid w:val="002D6FBF"/>
    <w:rsid w:val="002E48BF"/>
    <w:rsid w:val="002E61C2"/>
    <w:rsid w:val="002F589D"/>
    <w:rsid w:val="003019C6"/>
    <w:rsid w:val="00314867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65FA8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421E"/>
    <w:rsid w:val="005F6044"/>
    <w:rsid w:val="005F65DE"/>
    <w:rsid w:val="006315B5"/>
    <w:rsid w:val="0065562F"/>
    <w:rsid w:val="00674951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2D80"/>
    <w:rsid w:val="007248EC"/>
    <w:rsid w:val="00731150"/>
    <w:rsid w:val="00736DCC"/>
    <w:rsid w:val="00741855"/>
    <w:rsid w:val="0074242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6D4E"/>
    <w:rsid w:val="00817568"/>
    <w:rsid w:val="008204AC"/>
    <w:rsid w:val="008261C2"/>
    <w:rsid w:val="00830D96"/>
    <w:rsid w:val="008417E8"/>
    <w:rsid w:val="00854F69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3D64"/>
    <w:rsid w:val="00904AA5"/>
    <w:rsid w:val="00916F4F"/>
    <w:rsid w:val="00951718"/>
    <w:rsid w:val="00960962"/>
    <w:rsid w:val="00972CE0"/>
    <w:rsid w:val="00987065"/>
    <w:rsid w:val="009A2EE7"/>
    <w:rsid w:val="009A3D30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5F5D"/>
    <w:rsid w:val="00A36268"/>
    <w:rsid w:val="00A40331"/>
    <w:rsid w:val="00A40B2C"/>
    <w:rsid w:val="00A66D2B"/>
    <w:rsid w:val="00A84D53"/>
    <w:rsid w:val="00A870AD"/>
    <w:rsid w:val="00A9645C"/>
    <w:rsid w:val="00AB2A33"/>
    <w:rsid w:val="00AB7BE8"/>
    <w:rsid w:val="00AC1275"/>
    <w:rsid w:val="00AC7395"/>
    <w:rsid w:val="00AD690F"/>
    <w:rsid w:val="00AD69DD"/>
    <w:rsid w:val="00AE2F28"/>
    <w:rsid w:val="00AE40DC"/>
    <w:rsid w:val="00AF41D1"/>
    <w:rsid w:val="00B01623"/>
    <w:rsid w:val="00B033DF"/>
    <w:rsid w:val="00B07CEE"/>
    <w:rsid w:val="00B12661"/>
    <w:rsid w:val="00B126A2"/>
    <w:rsid w:val="00B1714C"/>
    <w:rsid w:val="00B26009"/>
    <w:rsid w:val="00B357E9"/>
    <w:rsid w:val="00B4164D"/>
    <w:rsid w:val="00B425C1"/>
    <w:rsid w:val="00B50180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B42B0"/>
    <w:rsid w:val="00BB561E"/>
    <w:rsid w:val="00BD1CAE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359A"/>
    <w:rsid w:val="00C84112"/>
    <w:rsid w:val="00C841EB"/>
    <w:rsid w:val="00C8665F"/>
    <w:rsid w:val="00C917B5"/>
    <w:rsid w:val="00C94DFA"/>
    <w:rsid w:val="00C976AE"/>
    <w:rsid w:val="00CA2011"/>
    <w:rsid w:val="00CA298C"/>
    <w:rsid w:val="00CA58A2"/>
    <w:rsid w:val="00CB2BF9"/>
    <w:rsid w:val="00CB4300"/>
    <w:rsid w:val="00CB454E"/>
    <w:rsid w:val="00CB7FB5"/>
    <w:rsid w:val="00CC030E"/>
    <w:rsid w:val="00CC68C4"/>
    <w:rsid w:val="00CC79A4"/>
    <w:rsid w:val="00CD0FDE"/>
    <w:rsid w:val="00CE0E68"/>
    <w:rsid w:val="00CE5BA4"/>
    <w:rsid w:val="00CE641A"/>
    <w:rsid w:val="00CE6BC5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0EB7"/>
    <w:rsid w:val="00DC29DD"/>
    <w:rsid w:val="00DC7C0E"/>
    <w:rsid w:val="00DD156F"/>
    <w:rsid w:val="00DD2837"/>
    <w:rsid w:val="00DF2A6A"/>
    <w:rsid w:val="00DF3B72"/>
    <w:rsid w:val="00E121BF"/>
    <w:rsid w:val="00E22C9B"/>
    <w:rsid w:val="00E2489D"/>
    <w:rsid w:val="00E26520"/>
    <w:rsid w:val="00E343A3"/>
    <w:rsid w:val="00E51BFA"/>
    <w:rsid w:val="00E621A3"/>
    <w:rsid w:val="00E833BC"/>
    <w:rsid w:val="00E8580E"/>
    <w:rsid w:val="00E90A8A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2870"/>
    <w:rsid w:val="00F14763"/>
    <w:rsid w:val="00F16212"/>
    <w:rsid w:val="00F16602"/>
    <w:rsid w:val="00F25B80"/>
    <w:rsid w:val="00F2685F"/>
    <w:rsid w:val="00F350C8"/>
    <w:rsid w:val="00F6513F"/>
    <w:rsid w:val="00F67B0E"/>
    <w:rsid w:val="00F8654D"/>
    <w:rsid w:val="00F900C9"/>
    <w:rsid w:val="00F92C96"/>
    <w:rsid w:val="00FA0D4E"/>
    <w:rsid w:val="00FA74CA"/>
    <w:rsid w:val="00FB0753"/>
    <w:rsid w:val="00FB5BCD"/>
    <w:rsid w:val="00FB5CC8"/>
    <w:rsid w:val="00FC2CD0"/>
    <w:rsid w:val="00FD0594"/>
    <w:rsid w:val="00FF4620"/>
    <w:rsid w:val="00FF4FF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WTPF13\WTPF13_A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942C-A5A6-421B-B1CA-F69FA545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WTPF13_A_Template.dotm</Template>
  <TotalTime>21</TotalTime>
  <Pages>2</Pages>
  <Words>610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Khalil, Magdy</dc:creator>
  <cp:keywords>WCIT12</cp:keywords>
  <cp:lastModifiedBy>Samy AWAD</cp:lastModifiedBy>
  <cp:revision>33</cp:revision>
  <cp:lastPrinted>2013-04-15T14:56:00Z</cp:lastPrinted>
  <dcterms:created xsi:type="dcterms:W3CDTF">2013-05-14T18:51:00Z</dcterms:created>
  <dcterms:modified xsi:type="dcterms:W3CDTF">2013-05-14T19:18:00Z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