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E22C9B" w:rsidRDefault="00E22C9B" w:rsidP="00D30B67">
            <w:pPr>
              <w:pStyle w:val="LOGO"/>
              <w:framePr w:hSpace="0" w:wrap="auto" w:xAlign="left" w:yAlign="inline"/>
              <w:rPr>
                <w:rtl/>
              </w:rPr>
            </w:pPr>
            <w:r w:rsidRPr="00E22C9B">
              <w:rPr>
                <w:rFonts w:ascii="Calibri" w:eastAsia="ヒラギノ角ゴ Pro W3" w:hAnsi="Calibri" w:hint="cs"/>
                <w:w w:val="110"/>
                <w:rtl/>
              </w:rPr>
              <w:t>المؤتمر العالمي للاتصالات الدولية</w:t>
            </w:r>
            <w:r w:rsidR="00D30B67">
              <w:rPr>
                <w:rFonts w:ascii="Calibri" w:eastAsia="ヒラギノ角ゴ Pro W3" w:hAnsi="Calibri"/>
                <w:w w:val="110"/>
                <w:rtl/>
              </w:rPr>
              <w:br/>
            </w:r>
            <w:r w:rsidRPr="00E22C9B">
              <w:rPr>
                <w:rFonts w:ascii="Calibri" w:eastAsia="ヒラギノ角ゴ Pro W3" w:hAnsi="Calibri" w:hint="cs"/>
                <w:w w:val="110"/>
                <w:rtl/>
              </w:rPr>
              <w:t xml:space="preserve">لعام </w:t>
            </w:r>
            <w:r w:rsidRPr="00E22C9B"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 w:rsidRPr="00E22C9B">
              <w:rPr>
                <w:rFonts w:ascii="Calibri" w:eastAsia="ヒラギノ角ゴ Pro W3" w:hAnsi="Calibri" w:hint="cs"/>
                <w:w w:val="110"/>
                <w:sz w:val="28"/>
                <w:szCs w:val="28"/>
                <w:rtl/>
              </w:rPr>
              <w:t xml:space="preserve"> </w:t>
            </w:r>
            <w:r w:rsidRPr="00E22C9B"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 w:rsidRPr="00E22C9B">
              <w:rPr>
                <w:rFonts w:ascii="Calibri" w:hAnsi="Calibri"/>
                <w:w w:val="110"/>
              </w:rPr>
              <w:br/>
            </w:r>
            <w:r w:rsidRPr="00E22C9B">
              <w:rPr>
                <w:rFonts w:hint="cs"/>
                <w:sz w:val="34"/>
                <w:szCs w:val="34"/>
                <w:rtl/>
              </w:rPr>
              <w:t>دبي،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 w:rsidRPr="00E22C9B">
              <w:rPr>
                <w:rFonts w:asciiTheme="minorHAnsi" w:hAnsiTheme="minorHAnsi" w:cstheme="minorHAnsi"/>
                <w:sz w:val="25"/>
                <w:szCs w:val="25"/>
                <w:rtl/>
              </w:rPr>
              <w:t xml:space="preserve"> </w:t>
            </w:r>
            <w:r w:rsidR="004E501D">
              <w:rPr>
                <w:rFonts w:hint="cs"/>
                <w:sz w:val="34"/>
                <w:szCs w:val="34"/>
                <w:rtl/>
              </w:rPr>
              <w:t>ديسمبر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0B324F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E236B8A" wp14:editId="6FE1701C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2D28A9" w:rsidRDefault="00280E04" w:rsidP="002D28A9">
            <w:pPr>
              <w:pStyle w:val="Adress"/>
              <w:framePr w:hSpace="0" w:wrap="auto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D28A9" w:rsidRDefault="00E37987" w:rsidP="002D28A9">
            <w:pPr>
              <w:pStyle w:val="Adress"/>
              <w:framePr w:hSpace="0" w:wrap="auto" w:yAlign="inline"/>
              <w:rPr>
                <w:rtl/>
              </w:rPr>
            </w:pPr>
            <w:r>
              <w:rPr>
                <w:rFonts w:hint="cs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2D28A9" w:rsidRDefault="009F3839" w:rsidP="00C13AD9">
            <w:pPr>
              <w:pStyle w:val="Adress"/>
              <w:framePr w:hSpace="0" w:wrap="auto" w:yAlign="inline"/>
              <w:rPr>
                <w:lang w:bidi="ar-SY"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E37987">
              <w:t>1</w:t>
            </w:r>
            <w:r w:rsidR="00E37987">
              <w:br/>
            </w:r>
            <w:r w:rsidR="00E37987">
              <w:rPr>
                <w:rFonts w:hint="cs"/>
                <w:rtl/>
                <w:lang w:bidi="ar-SY"/>
              </w:rPr>
              <w:t xml:space="preserve">للوثيقة </w:t>
            </w:r>
            <w:r w:rsidR="00E37987">
              <w:rPr>
                <w:lang w:bidi="ar-SY"/>
              </w:rPr>
              <w:t>19</w:t>
            </w:r>
            <w:r>
              <w:rPr>
                <w:lang w:bidi="ar-SY"/>
              </w:rPr>
              <w:t>(Add.1)</w:t>
            </w:r>
            <w:r w:rsidR="00E37987">
              <w:rPr>
                <w:lang w:bidi="ar-SY"/>
              </w:rPr>
              <w:t>-A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2D28A9" w:rsidRDefault="009F3839" w:rsidP="009F3839">
            <w:pPr>
              <w:pStyle w:val="Adress"/>
              <w:framePr w:hSpace="0" w:wrap="auto" w:yAlign="inline"/>
            </w:pPr>
            <w:r>
              <w:t>7</w:t>
            </w:r>
            <w:r w:rsidR="009D10DE">
              <w:rPr>
                <w:rFonts w:hint="cs"/>
                <w:rtl/>
              </w:rPr>
              <w:t xml:space="preserve"> ديسم</w:t>
            </w:r>
            <w:r>
              <w:rPr>
                <w:rFonts w:hint="cs"/>
                <w:rtl/>
              </w:rPr>
              <w:t xml:space="preserve">بر </w:t>
            </w:r>
            <w:r w:rsidR="00E37987"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Fonts w:eastAsia="SimSun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2D28A9" w:rsidRDefault="00280E04" w:rsidP="00E37987">
            <w:pPr>
              <w:pStyle w:val="Adress"/>
              <w:framePr w:hSpace="0" w:wrap="auto" w:yAlign="inline"/>
              <w:rPr>
                <w:rFonts w:eastAsia="SimSun"/>
              </w:rPr>
            </w:pPr>
            <w:r w:rsidRPr="002D28A9">
              <w:rPr>
                <w:rFonts w:eastAsia="SimSun"/>
                <w:rtl/>
              </w:rPr>
              <w:t xml:space="preserve">الأصل: </w:t>
            </w:r>
            <w:r w:rsidR="00E37987">
              <w:rPr>
                <w:rFonts w:eastAsia="SimSun" w:hint="cs"/>
                <w:rtl/>
              </w:rPr>
              <w:t>بالإنكليزية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E37987" w:rsidP="002D28A9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إدارات الاتحاد الإفريقي للاتصالات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E37987" w:rsidP="002D28A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المؤتمر</w:t>
            </w:r>
          </w:p>
        </w:tc>
      </w:tr>
    </w:tbl>
    <w:p w:rsidR="00E37987" w:rsidRDefault="00E37987" w:rsidP="00E37987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يعرض الجدول أدناه قائمة بإدارات الاتحاد الإفريقي للاتصالات التي تؤيد المقترحات الإفريقية المشتركة لمراجعة لوائح الاتصالات الدولية.</w:t>
      </w:r>
    </w:p>
    <w:p w:rsidR="00E37987" w:rsidRPr="00C03040" w:rsidRDefault="00E37987" w:rsidP="00E37987">
      <w:pPr>
        <w:spacing w:after="240"/>
        <w:jc w:val="center"/>
        <w:rPr>
          <w:b/>
          <w:bCs/>
          <w:sz w:val="36"/>
          <w:szCs w:val="36"/>
          <w:rtl/>
          <w:lang w:bidi="ar-EG"/>
        </w:rPr>
      </w:pPr>
      <w:r w:rsidRPr="00C03040">
        <w:rPr>
          <w:rFonts w:hint="cs"/>
          <w:b/>
          <w:bCs/>
          <w:sz w:val="36"/>
          <w:szCs w:val="36"/>
          <w:rtl/>
          <w:lang w:bidi="ar-EG"/>
        </w:rPr>
        <w:t>المقدمة من الدول الأعضاء التالية:</w:t>
      </w:r>
    </w:p>
    <w:tbl>
      <w:tblPr>
        <w:bidiVisual/>
        <w:tblW w:w="1059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6"/>
        <w:gridCol w:w="1758"/>
        <w:gridCol w:w="726"/>
        <w:gridCol w:w="517"/>
        <w:gridCol w:w="516"/>
        <w:gridCol w:w="454"/>
        <w:gridCol w:w="497"/>
        <w:gridCol w:w="567"/>
        <w:gridCol w:w="425"/>
        <w:gridCol w:w="426"/>
        <w:gridCol w:w="567"/>
        <w:gridCol w:w="567"/>
        <w:gridCol w:w="567"/>
        <w:gridCol w:w="567"/>
      </w:tblGrid>
      <w:tr w:rsidR="00DE3065" w:rsidRPr="00E37987" w:rsidTr="00876C21">
        <w:trPr>
          <w:trHeight w:val="283"/>
          <w:tblHeader/>
          <w:jc w:val="center"/>
        </w:trPr>
        <w:tc>
          <w:tcPr>
            <w:tcW w:w="243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E3065" w:rsidRPr="00E37987" w:rsidRDefault="00DE3065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رقم المقترح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E3065" w:rsidRPr="00E37987" w:rsidRDefault="00DE3065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الحكم</w:t>
            </w:r>
          </w:p>
        </w:tc>
        <w:tc>
          <w:tcPr>
            <w:tcW w:w="72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E3065" w:rsidRPr="00E37987" w:rsidRDefault="00DE3065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الإجراء</w:t>
            </w:r>
          </w:p>
        </w:tc>
        <w:tc>
          <w:tcPr>
            <w:tcW w:w="5670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DE3065" w:rsidRDefault="00DE3065" w:rsidP="00E37987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ascii="Calibri" w:hAnsi="Calibri"/>
                <w:b/>
                <w:bCs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b/>
                <w:bCs/>
                <w:sz w:val="20"/>
                <w:szCs w:val="26"/>
                <w:rtl/>
                <w:lang w:bidi="ar-SY"/>
              </w:rPr>
              <w:t>المصدر</w:t>
            </w:r>
          </w:p>
        </w:tc>
      </w:tr>
      <w:tr w:rsidR="009108CF" w:rsidRPr="00E37987" w:rsidTr="00CD2AED">
        <w:trPr>
          <w:trHeight w:val="283"/>
          <w:tblHeader/>
          <w:jc w:val="center"/>
        </w:trPr>
        <w:tc>
          <w:tcPr>
            <w:tcW w:w="2436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726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EGY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KEN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NGR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NIG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AFS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TZA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TGO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08CF" w:rsidRPr="009D10DE" w:rsidRDefault="009108CF" w:rsidP="009D10DE">
            <w:pPr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D10DE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SDN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08CF" w:rsidRPr="009108CF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108CF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UGA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08CF" w:rsidRPr="009108CF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</w:pPr>
            <w:r w:rsidRPr="009108CF">
              <w:rPr>
                <w:rFonts w:ascii="Calibri" w:hAnsi="Calibri"/>
                <w:b/>
                <w:bCs/>
                <w:spacing w:val="-4"/>
                <w:sz w:val="20"/>
                <w:szCs w:val="26"/>
              </w:rPr>
              <w:t>ZWE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>التمهيد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1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2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  <w:u w:val="single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14A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15A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9D10DE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</w:t>
            </w:r>
            <w:r>
              <w:rPr>
                <w:rFonts w:ascii="Calibri" w:hAnsi="Calibri"/>
                <w:sz w:val="20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/>
                <w:sz w:val="20"/>
                <w:szCs w:val="26"/>
              </w:rPr>
              <w:t>17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7E2635" w:rsidRDefault="009108CF" w:rsidP="009D10DE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7E2635">
              <w:rPr>
                <w:rFonts w:ascii="Calibri" w:hAnsi="Calibri"/>
                <w:sz w:val="20"/>
                <w:szCs w:val="26"/>
              </w:rPr>
              <w:t>AFCP/19/2</w:t>
            </w:r>
            <w:r>
              <w:rPr>
                <w:rFonts w:ascii="Calibri" w:hAnsi="Calibri"/>
                <w:sz w:val="20"/>
                <w:szCs w:val="26"/>
              </w:rPr>
              <w:t>3</w:t>
            </w:r>
            <w:r w:rsidRPr="007E2635">
              <w:rPr>
                <w:rFonts w:ascii="Calibri" w:hAnsi="Calibri" w:hint="cs"/>
                <w:sz w:val="20"/>
                <w:szCs w:val="26"/>
                <w:rtl/>
              </w:rPr>
              <w:t xml:space="preserve"> إلى </w:t>
            </w:r>
            <w:r w:rsidRPr="007E2635">
              <w:rPr>
                <w:rFonts w:ascii="Calibri" w:hAnsi="Calibri"/>
                <w:sz w:val="20"/>
                <w:szCs w:val="26"/>
              </w:rPr>
              <w:t>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18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19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20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lastRenderedPageBreak/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9D10DE">
            <w:pPr>
              <w:snapToGrid w:val="0"/>
              <w:spacing w:before="0"/>
              <w:rPr>
                <w:rFonts w:ascii="Calibri" w:hAnsi="Calibri"/>
                <w:sz w:val="20"/>
                <w:szCs w:val="26"/>
                <w:lang w:bidi="ar-EG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/>
                <w:sz w:val="20"/>
                <w:szCs w:val="26"/>
              </w:rPr>
              <w:t>24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E37987" w:rsidTr="005C2BF6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45484B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45484B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27B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27C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3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31A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31B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4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38A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5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39A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5A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41B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41C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41D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5B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41E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6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42.00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  <w:r>
              <w:rPr>
                <w:rFonts w:ascii="Calibri" w:hAnsi="Calibri"/>
                <w:sz w:val="20"/>
                <w:szCs w:val="26"/>
              </w:rPr>
              <w:t>,</w:t>
            </w:r>
            <w:r w:rsidRPr="00E37987">
              <w:rPr>
                <w:rFonts w:ascii="Calibri" w:hAnsi="Calibri"/>
                <w:sz w:val="20"/>
                <w:szCs w:val="26"/>
              </w:rPr>
              <w:t>06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lastRenderedPageBreak/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277971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AFCP/19/78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 إلى </w:t>
            </w:r>
            <w:r w:rsidRPr="00E37987">
              <w:rPr>
                <w:rFonts w:ascii="Calibri" w:hAnsi="Calibri"/>
                <w:sz w:val="20"/>
                <w:szCs w:val="26"/>
              </w:rPr>
              <w:t>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48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49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50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54A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54B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7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8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8A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57A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57B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9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59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المادة </w:t>
            </w:r>
            <w:r>
              <w:rPr>
                <w:rFonts w:ascii="Calibri" w:hAnsi="Calibri"/>
                <w:sz w:val="20"/>
                <w:szCs w:val="26"/>
              </w:rPr>
              <w:t>10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D33AE" w:rsidRDefault="009108CF" w:rsidP="003D33AE">
            <w:pPr>
              <w:snapToGrid w:val="0"/>
              <w:spacing w:before="0"/>
              <w:rPr>
                <w:rFonts w:ascii="Calibri" w:hAnsi="Calibri"/>
                <w:spacing w:val="-6"/>
                <w:sz w:val="20"/>
                <w:szCs w:val="26"/>
              </w:rPr>
            </w:pPr>
            <w:r w:rsidRPr="003D33AE">
              <w:rPr>
                <w:rFonts w:ascii="Calibri" w:hAnsi="Calibri"/>
                <w:spacing w:val="-6"/>
                <w:sz w:val="20"/>
                <w:szCs w:val="26"/>
              </w:rPr>
              <w:t>AFCP/19/101</w:t>
            </w:r>
            <w:r w:rsidRPr="003D33AE">
              <w:rPr>
                <w:rFonts w:ascii="Calibri" w:hAnsi="Calibri" w:hint="cs"/>
                <w:spacing w:val="-6"/>
                <w:sz w:val="20"/>
                <w:szCs w:val="26"/>
                <w:rtl/>
              </w:rPr>
              <w:t xml:space="preserve"> إلى </w:t>
            </w:r>
            <w:r w:rsidRPr="003D33AE">
              <w:rPr>
                <w:rFonts w:ascii="Calibri" w:hAnsi="Calibri"/>
                <w:spacing w:val="-6"/>
                <w:sz w:val="20"/>
                <w:szCs w:val="26"/>
              </w:rPr>
              <w:t>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3D33AE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62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63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64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>وإقراراً بالواقع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X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التذييل </w:t>
            </w:r>
            <w:r>
              <w:rPr>
                <w:rFonts w:ascii="Calibri" w:hAnsi="Calibri"/>
                <w:sz w:val="20"/>
                <w:szCs w:val="26"/>
              </w:rPr>
              <w:t>1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7E2635" w:rsidRDefault="009108CF" w:rsidP="007E2635">
            <w:pPr>
              <w:snapToGrid w:val="0"/>
              <w:spacing w:before="0"/>
              <w:rPr>
                <w:rFonts w:ascii="Calibri" w:hAnsi="Calibri"/>
                <w:spacing w:val="-6"/>
                <w:sz w:val="20"/>
                <w:szCs w:val="26"/>
              </w:rPr>
            </w:pPr>
            <w:r w:rsidRPr="007E2635">
              <w:rPr>
                <w:rFonts w:ascii="Calibri" w:hAnsi="Calibri"/>
                <w:spacing w:val="-6"/>
                <w:sz w:val="20"/>
                <w:szCs w:val="26"/>
              </w:rPr>
              <w:t>AFCP/19/112</w:t>
            </w:r>
            <w:r w:rsidRPr="007E2635">
              <w:rPr>
                <w:rFonts w:ascii="Calibri" w:hAnsi="Calibri" w:hint="cs"/>
                <w:spacing w:val="-6"/>
                <w:sz w:val="20"/>
                <w:szCs w:val="26"/>
                <w:rtl/>
              </w:rPr>
              <w:t xml:space="preserve"> إلى </w:t>
            </w:r>
            <w:r w:rsidRPr="007E2635">
              <w:rPr>
                <w:rFonts w:ascii="Calibri" w:hAnsi="Calibri"/>
                <w:spacing w:val="-6"/>
                <w:sz w:val="20"/>
                <w:szCs w:val="26"/>
              </w:rPr>
              <w:t>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1/7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1/8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1/9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1/10A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1/12B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1/12C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1/12D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lastRenderedPageBreak/>
              <w:t>AFCP/19/123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7E263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1/13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، </w:t>
            </w:r>
            <w:r w:rsidRPr="00E37987">
              <w:rPr>
                <w:rFonts w:ascii="Calibri" w:hAnsi="Calibri"/>
                <w:sz w:val="20"/>
                <w:szCs w:val="26"/>
              </w:rPr>
              <w:t>1/14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0F06A7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45484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45484B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1/19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1/20A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ADD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DC5765" w:rsidRDefault="009108CF" w:rsidP="00DC5765">
            <w:pPr>
              <w:snapToGrid w:val="0"/>
              <w:spacing w:before="0"/>
              <w:rPr>
                <w:rFonts w:ascii="Calibri" w:hAnsi="Calibri"/>
                <w:spacing w:val="-6"/>
                <w:sz w:val="20"/>
                <w:szCs w:val="26"/>
              </w:rPr>
            </w:pPr>
            <w:r w:rsidRPr="00DC5765">
              <w:rPr>
                <w:rFonts w:ascii="Calibri" w:hAnsi="Calibri"/>
                <w:spacing w:val="-6"/>
                <w:sz w:val="20"/>
                <w:szCs w:val="26"/>
              </w:rPr>
              <w:t>AFCP/19/132</w:t>
            </w:r>
            <w:r w:rsidRPr="00DC5765">
              <w:rPr>
                <w:rFonts w:ascii="Calibri" w:hAnsi="Calibri" w:hint="cs"/>
                <w:spacing w:val="-6"/>
                <w:sz w:val="20"/>
                <w:szCs w:val="26"/>
                <w:rtl/>
              </w:rPr>
              <w:t xml:space="preserve"> إلى </w:t>
            </w:r>
            <w:r w:rsidRPr="00DC5765">
              <w:rPr>
                <w:rFonts w:ascii="Calibri" w:hAnsi="Calibri"/>
                <w:spacing w:val="-6"/>
                <w:sz w:val="20"/>
                <w:szCs w:val="26"/>
              </w:rPr>
              <w:t>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DC576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1/21</w:t>
            </w:r>
            <w:r>
              <w:rPr>
                <w:rFonts w:ascii="Calibri" w:hAnsi="Calibri" w:hint="cs"/>
                <w:sz w:val="20"/>
                <w:szCs w:val="26"/>
                <w:rtl/>
              </w:rPr>
              <w:t xml:space="preserve"> إلى </w:t>
            </w:r>
            <w:r w:rsidRPr="00E37987">
              <w:rPr>
                <w:rFonts w:ascii="Calibri" w:hAnsi="Calibri"/>
                <w:sz w:val="20"/>
                <w:szCs w:val="26"/>
              </w:rPr>
              <w:t>1/37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SUP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DC576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التذييل </w:t>
            </w:r>
            <w:r>
              <w:rPr>
                <w:rFonts w:ascii="Calibri" w:hAnsi="Calibri"/>
                <w:sz w:val="20"/>
                <w:szCs w:val="26"/>
              </w:rPr>
              <w:t>2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2/9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2/10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2/16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2/17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2/18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DC5765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  <w:rtl/>
                <w:lang w:bidi="ar-SY"/>
              </w:rPr>
            </w:pPr>
            <w:r>
              <w:rPr>
                <w:rFonts w:ascii="Calibri" w:hAnsi="Calibri" w:hint="cs"/>
                <w:sz w:val="20"/>
                <w:szCs w:val="26"/>
                <w:rtl/>
              </w:rPr>
              <w:t xml:space="preserve">التذييل </w:t>
            </w:r>
            <w:r>
              <w:rPr>
                <w:rFonts w:ascii="Calibri" w:hAnsi="Calibri"/>
                <w:sz w:val="20"/>
                <w:szCs w:val="26"/>
              </w:rPr>
              <w:t>3</w:t>
            </w:r>
            <w:r>
              <w:rPr>
                <w:rFonts w:ascii="Calibri" w:hAnsi="Calibri" w:hint="cs"/>
                <w:sz w:val="20"/>
                <w:szCs w:val="26"/>
                <w:rtl/>
                <w:lang w:bidi="ar-SY"/>
              </w:rPr>
              <w:t xml:space="preserve"> (العنوان)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3/1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NOC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345FB5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3/2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3/3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3/4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  <w:tr w:rsidR="009108CF" w:rsidRPr="007C7AC0" w:rsidTr="00A25504">
        <w:trPr>
          <w:trHeight w:val="283"/>
          <w:jc w:val="center"/>
        </w:trPr>
        <w:tc>
          <w:tcPr>
            <w:tcW w:w="2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3/5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E37987" w:rsidRDefault="009108CF" w:rsidP="00E37987">
            <w:pPr>
              <w:tabs>
                <w:tab w:val="left" w:pos="426"/>
              </w:tabs>
              <w:snapToGrid w:val="0"/>
              <w:spacing w:before="0"/>
              <w:rPr>
                <w:rFonts w:ascii="Calibri" w:hAnsi="Calibri"/>
                <w:sz w:val="20"/>
                <w:szCs w:val="26"/>
              </w:rPr>
            </w:pPr>
            <w:r w:rsidRPr="00E37987">
              <w:rPr>
                <w:rFonts w:ascii="Calibri" w:hAnsi="Calibri"/>
                <w:sz w:val="20"/>
                <w:szCs w:val="26"/>
              </w:rPr>
              <w:t>MOD</w:t>
            </w: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345FB5" w:rsidRDefault="009108CF" w:rsidP="002707BC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345FB5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108CF" w:rsidRPr="009108CF" w:rsidRDefault="009108CF" w:rsidP="009108CF">
            <w:pPr>
              <w:snapToGrid w:val="0"/>
              <w:spacing w:before="0"/>
              <w:jc w:val="center"/>
              <w:rPr>
                <w:rFonts w:ascii="Calibri" w:hAnsi="Calibri"/>
                <w:sz w:val="20"/>
                <w:szCs w:val="26"/>
              </w:rPr>
            </w:pPr>
            <w:r w:rsidRPr="009108CF">
              <w:rPr>
                <w:rFonts w:ascii="Calibri" w:hAnsi="Calibri"/>
                <w:sz w:val="20"/>
                <w:szCs w:val="26"/>
              </w:rPr>
              <w:t>N</w:t>
            </w:r>
          </w:p>
        </w:tc>
      </w:tr>
    </w:tbl>
    <w:p w:rsidR="00E37987" w:rsidRPr="00AB597A" w:rsidRDefault="00DC5765" w:rsidP="004215FA">
      <w:pPr>
        <w:spacing w:before="360"/>
        <w:rPr>
          <w:i/>
          <w:iCs/>
          <w:rtl/>
          <w:lang w:bidi="ar-SY"/>
        </w:rPr>
      </w:pPr>
      <w:bookmarkStart w:id="1" w:name="_GoBack"/>
      <w:r w:rsidRPr="00AB597A">
        <w:rPr>
          <w:rFonts w:hint="cs"/>
          <w:i/>
          <w:iCs/>
          <w:rtl/>
          <w:lang w:bidi="ar-SY"/>
        </w:rPr>
        <w:t>يرجى العلم - بأن هذا الجدول سيحدث لاحقاً بإضافة بلدان أخرى مشاركة في التوقيع.</w:t>
      </w:r>
    </w:p>
    <w:bookmarkEnd w:id="1"/>
    <w:p w:rsidR="002919E1" w:rsidRDefault="002919E1" w:rsidP="00DC5765">
      <w:pPr>
        <w:pStyle w:val="Reasons"/>
        <w:rPr>
          <w:noProof/>
          <w:lang w:bidi="ar-SY"/>
        </w:rPr>
      </w:pPr>
    </w:p>
    <w:p w:rsidR="00DC5765" w:rsidRPr="00DC5765" w:rsidRDefault="00DC5765" w:rsidP="00DC5765">
      <w:pPr>
        <w:spacing w:line="24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DC5765" w:rsidRPr="00DC5765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4B" w:rsidRDefault="0045484B" w:rsidP="002919E1">
      <w:r>
        <w:separator/>
      </w:r>
    </w:p>
    <w:p w:rsidR="0045484B" w:rsidRDefault="0045484B" w:rsidP="002919E1"/>
    <w:p w:rsidR="0045484B" w:rsidRDefault="0045484B" w:rsidP="002919E1"/>
    <w:p w:rsidR="0045484B" w:rsidRDefault="0045484B"/>
  </w:endnote>
  <w:endnote w:type="continuationSeparator" w:id="0">
    <w:p w:rsidR="0045484B" w:rsidRDefault="0045484B" w:rsidP="002919E1">
      <w:r>
        <w:continuationSeparator/>
      </w:r>
    </w:p>
    <w:p w:rsidR="0045484B" w:rsidRDefault="0045484B" w:rsidP="002919E1"/>
    <w:p w:rsidR="0045484B" w:rsidRDefault="0045484B" w:rsidP="002919E1"/>
    <w:p w:rsidR="0045484B" w:rsidRDefault="00454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4B" w:rsidRPr="005C7AF0" w:rsidRDefault="0045484B" w:rsidP="005C7AF0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6C37F5">
      <w:rPr>
        <w:noProof/>
      </w:rPr>
      <w:t>P:\ARA\SG\CONF-SG\WCIT12\000\019ADD1REV1A.docx</w:t>
    </w:r>
    <w:r>
      <w:fldChar w:fldCharType="end"/>
    </w:r>
    <w:r w:rsidRPr="00336C1A">
      <w:t xml:space="preserve">   (</w:t>
    </w:r>
    <w:r>
      <w:t>337064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B597A">
      <w:rPr>
        <w:noProof/>
      </w:rPr>
      <w:t>09.12.12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C37F5">
      <w:rPr>
        <w:noProof/>
      </w:rPr>
      <w:t>09.12.12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4B" w:rsidRPr="00336C1A" w:rsidRDefault="0045484B" w:rsidP="005C7AF0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6C37F5">
      <w:rPr>
        <w:noProof/>
      </w:rPr>
      <w:t>P:\ARA\SG\CONF-SG\WCIT12\000\019ADD1REV1A.docx</w:t>
    </w:r>
    <w:r>
      <w:fldChar w:fldCharType="end"/>
    </w:r>
    <w:r w:rsidRPr="00336C1A">
      <w:t xml:space="preserve">   (</w:t>
    </w:r>
    <w:r>
      <w:t>337064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B597A">
      <w:rPr>
        <w:noProof/>
      </w:rPr>
      <w:t>09.12.12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C37F5">
      <w:rPr>
        <w:noProof/>
      </w:rPr>
      <w:t>09.12.12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4B" w:rsidRDefault="0045484B" w:rsidP="002919E1">
      <w:r>
        <w:t>___________________</w:t>
      </w:r>
    </w:p>
  </w:footnote>
  <w:footnote w:type="continuationSeparator" w:id="0">
    <w:p w:rsidR="0045484B" w:rsidRDefault="0045484B" w:rsidP="002919E1">
      <w:r>
        <w:continuationSeparator/>
      </w:r>
    </w:p>
    <w:p w:rsidR="0045484B" w:rsidRDefault="0045484B" w:rsidP="002919E1"/>
    <w:p w:rsidR="0045484B" w:rsidRDefault="0045484B" w:rsidP="002919E1"/>
    <w:p w:rsidR="0045484B" w:rsidRDefault="004548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4B" w:rsidRDefault="0045484B" w:rsidP="002919E1"/>
  <w:p w:rsidR="0045484B" w:rsidRDefault="0045484B" w:rsidP="002919E1"/>
  <w:p w:rsidR="0045484B" w:rsidRDefault="004548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4B" w:rsidRPr="0088384B" w:rsidRDefault="0045484B" w:rsidP="004215FA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B597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>
      <w:rPr>
        <w:rStyle w:val="PageNumber"/>
      </w:rPr>
      <w:t>19(Add.1)(Rev.1)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3C0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88F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884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FCC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983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C"/>
    <w:rsid w:val="00011021"/>
    <w:rsid w:val="000114EC"/>
    <w:rsid w:val="00011F8C"/>
    <w:rsid w:val="00040C94"/>
    <w:rsid w:val="000425FC"/>
    <w:rsid w:val="00044D43"/>
    <w:rsid w:val="00051907"/>
    <w:rsid w:val="00072A32"/>
    <w:rsid w:val="00075A3F"/>
    <w:rsid w:val="000A1B16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40B00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336C1A"/>
    <w:rsid w:val="00345FB5"/>
    <w:rsid w:val="003569E1"/>
    <w:rsid w:val="003815E2"/>
    <w:rsid w:val="00381FAD"/>
    <w:rsid w:val="003923B1"/>
    <w:rsid w:val="003965FE"/>
    <w:rsid w:val="003A1D9A"/>
    <w:rsid w:val="003B27AD"/>
    <w:rsid w:val="003B4F23"/>
    <w:rsid w:val="003C12F6"/>
    <w:rsid w:val="003C3A13"/>
    <w:rsid w:val="003D33AE"/>
    <w:rsid w:val="003E02EF"/>
    <w:rsid w:val="003E1D90"/>
    <w:rsid w:val="00400CD4"/>
    <w:rsid w:val="00402947"/>
    <w:rsid w:val="00407E3A"/>
    <w:rsid w:val="004147B9"/>
    <w:rsid w:val="004215FA"/>
    <w:rsid w:val="00422C04"/>
    <w:rsid w:val="00426144"/>
    <w:rsid w:val="0045484B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C7AF0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4B90"/>
    <w:rsid w:val="006B658C"/>
    <w:rsid w:val="006C37F5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2635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E3322"/>
    <w:rsid w:val="008F4626"/>
    <w:rsid w:val="009004DF"/>
    <w:rsid w:val="00904AA5"/>
    <w:rsid w:val="009108CF"/>
    <w:rsid w:val="00951718"/>
    <w:rsid w:val="00960962"/>
    <w:rsid w:val="00972CE0"/>
    <w:rsid w:val="009A3D30"/>
    <w:rsid w:val="009D10DE"/>
    <w:rsid w:val="009D6348"/>
    <w:rsid w:val="009E613F"/>
    <w:rsid w:val="009F042B"/>
    <w:rsid w:val="009F3839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70AD"/>
    <w:rsid w:val="00A9645C"/>
    <w:rsid w:val="00A96E1F"/>
    <w:rsid w:val="00AB2A33"/>
    <w:rsid w:val="00AB597A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3040"/>
    <w:rsid w:val="00C1165E"/>
    <w:rsid w:val="00C13AD9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5765"/>
    <w:rsid w:val="00DC7C0E"/>
    <w:rsid w:val="00DD2837"/>
    <w:rsid w:val="00DE3065"/>
    <w:rsid w:val="00DF2A6A"/>
    <w:rsid w:val="00DF3B72"/>
    <w:rsid w:val="00E22C9B"/>
    <w:rsid w:val="00E2489D"/>
    <w:rsid w:val="00E26520"/>
    <w:rsid w:val="00E343A3"/>
    <w:rsid w:val="00E37987"/>
    <w:rsid w:val="00E51BFA"/>
    <w:rsid w:val="00E621A3"/>
    <w:rsid w:val="00E833BC"/>
    <w:rsid w:val="00E8580E"/>
    <w:rsid w:val="00EA1B76"/>
    <w:rsid w:val="00EA523F"/>
    <w:rsid w:val="00EA77D7"/>
    <w:rsid w:val="00EC09B9"/>
    <w:rsid w:val="00ED048C"/>
    <w:rsid w:val="00EE755B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40BC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WCIT12\WCIT12_Template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6D5C-8801-4353-9BC0-1B7B4516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WCIT12_Template_A.dotm</Template>
  <TotalTime>28</TotalTime>
  <Pages>4</Pages>
  <Words>2180</Words>
  <Characters>5021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Bilani, Joumana</dc:creator>
  <cp:keywords>WCIT12</cp:keywords>
  <cp:lastModifiedBy>Elbahnassawy, Abdallah</cp:lastModifiedBy>
  <cp:revision>12</cp:revision>
  <cp:lastPrinted>2012-12-09T16:36:00Z</cp:lastPrinted>
  <dcterms:created xsi:type="dcterms:W3CDTF">2012-12-09T14:42:00Z</dcterms:created>
  <dcterms:modified xsi:type="dcterms:W3CDTF">2012-12-09T16:53:00Z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