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204"/>
        <w:gridCol w:w="3685"/>
      </w:tblGrid>
      <w:tr w:rsidR="0051782D" w:rsidTr="006C08D7">
        <w:trPr>
          <w:cantSplit/>
        </w:trPr>
        <w:tc>
          <w:tcPr>
            <w:tcW w:w="6204" w:type="dxa"/>
          </w:tcPr>
          <w:p w:rsidR="0051782D" w:rsidRPr="0051782D" w:rsidRDefault="0051782D" w:rsidP="004F0848">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4F0848">
              <w:rPr>
                <w:rFonts w:ascii="Verdana" w:hAnsi="Verdana" w:cs="Times New Roman Bold"/>
                <w:b/>
                <w:bCs/>
                <w:sz w:val="20"/>
              </w:rPr>
              <w:t>4</w:t>
            </w:r>
            <w:r>
              <w:rPr>
                <w:rFonts w:ascii="Verdana" w:hAnsi="Verdana" w:cs="Times New Roman Bold"/>
                <w:b/>
                <w:bCs/>
                <w:sz w:val="20"/>
              </w:rPr>
              <w:t>-</w:t>
            </w:r>
            <w:r w:rsidR="00D211BC">
              <w:rPr>
                <w:rFonts w:ascii="Verdana" w:hAnsi="Verdana" w:cs="Times New Roman Bold"/>
                <w:b/>
                <w:bCs/>
                <w:sz w:val="20"/>
              </w:rPr>
              <w:t>2</w:t>
            </w:r>
            <w:r w:rsidR="004F0848">
              <w:rPr>
                <w:rFonts w:ascii="Verdana" w:hAnsi="Verdana" w:cs="Times New Roman Bold"/>
                <w:b/>
                <w:bCs/>
                <w:sz w:val="20"/>
              </w:rPr>
              <w:t>7</w:t>
            </w:r>
            <w:r>
              <w:rPr>
                <w:rFonts w:ascii="Verdana" w:hAnsi="Verdana" w:cs="Times New Roman Bold"/>
                <w:b/>
                <w:bCs/>
                <w:sz w:val="20"/>
              </w:rPr>
              <w:t xml:space="preserve"> </w:t>
            </w:r>
            <w:r w:rsidR="004F0848">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4F0848">
              <w:rPr>
                <w:rFonts w:ascii="Verdana" w:hAnsi="Verdana" w:cs="Times New Roman Bold"/>
                <w:b/>
                <w:bCs/>
                <w:sz w:val="20"/>
              </w:rPr>
              <w:t>4</w:t>
            </w:r>
          </w:p>
        </w:tc>
        <w:tc>
          <w:tcPr>
            <w:tcW w:w="3685" w:type="dxa"/>
          </w:tcPr>
          <w:p w:rsidR="0051782D" w:rsidRDefault="00FC1E29" w:rsidP="00B35BE4">
            <w:pPr>
              <w:shd w:val="solid" w:color="FFFFFF" w:fill="FFFFFF"/>
              <w:spacing w:before="0" w:line="240" w:lineRule="atLeast"/>
            </w:pPr>
            <w:r>
              <w:rPr>
                <w:noProof/>
                <w:lang w:val="en-US" w:eastAsia="zh-CN"/>
              </w:rPr>
              <w:drawing>
                <wp:inline distT="0" distB="0" distL="0" distR="0" wp14:anchorId="59CF317F" wp14:editId="7CAACD05">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6C08D7">
        <w:trPr>
          <w:cantSplit/>
        </w:trPr>
        <w:tc>
          <w:tcPr>
            <w:tcW w:w="6204"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685"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6C08D7">
        <w:trPr>
          <w:cantSplit/>
        </w:trPr>
        <w:tc>
          <w:tcPr>
            <w:tcW w:w="6204"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685"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6C08D7">
        <w:trPr>
          <w:cantSplit/>
        </w:trPr>
        <w:tc>
          <w:tcPr>
            <w:tcW w:w="6204" w:type="dxa"/>
            <w:vMerge w:val="restart"/>
          </w:tcPr>
          <w:p w:rsidR="0051782D" w:rsidRDefault="0051782D" w:rsidP="00B35BE4">
            <w:pPr>
              <w:shd w:val="solid" w:color="FFFFFF" w:fill="FFFFFF"/>
              <w:spacing w:after="240"/>
              <w:rPr>
                <w:sz w:val="20"/>
              </w:rPr>
            </w:pPr>
            <w:bookmarkStart w:id="0" w:name="dnum" w:colFirst="1" w:colLast="1"/>
          </w:p>
        </w:tc>
        <w:tc>
          <w:tcPr>
            <w:tcW w:w="3685" w:type="dxa"/>
          </w:tcPr>
          <w:p w:rsidR="0051782D" w:rsidRPr="00783EC1" w:rsidRDefault="00783EC1" w:rsidP="00783EC1">
            <w:pPr>
              <w:shd w:val="solid" w:color="FFFFFF" w:fill="FFFFFF"/>
              <w:spacing w:before="0" w:line="240" w:lineRule="atLeast"/>
              <w:rPr>
                <w:rFonts w:ascii="Verdana" w:hAnsi="Verdana"/>
                <w:sz w:val="20"/>
              </w:rPr>
            </w:pPr>
            <w:r>
              <w:rPr>
                <w:rFonts w:ascii="Verdana" w:hAnsi="Verdana"/>
                <w:b/>
                <w:sz w:val="20"/>
              </w:rPr>
              <w:t>Document RAG14-1/INF</w:t>
            </w:r>
            <w:r w:rsidR="006C08D7">
              <w:rPr>
                <w:rFonts w:ascii="Verdana" w:hAnsi="Verdana"/>
                <w:b/>
                <w:sz w:val="20"/>
              </w:rPr>
              <w:t>O</w:t>
            </w:r>
            <w:bookmarkStart w:id="1" w:name="_GoBack"/>
            <w:bookmarkEnd w:id="1"/>
            <w:r>
              <w:rPr>
                <w:rFonts w:ascii="Verdana" w:hAnsi="Verdana"/>
                <w:b/>
                <w:sz w:val="20"/>
              </w:rPr>
              <w:t>/3-E</w:t>
            </w:r>
          </w:p>
        </w:tc>
      </w:tr>
      <w:tr w:rsidR="0051782D" w:rsidTr="006C08D7">
        <w:trPr>
          <w:cantSplit/>
        </w:trPr>
        <w:tc>
          <w:tcPr>
            <w:tcW w:w="6204" w:type="dxa"/>
            <w:vMerge/>
          </w:tcPr>
          <w:p w:rsidR="0051782D" w:rsidRDefault="0051782D" w:rsidP="00B35BE4">
            <w:pPr>
              <w:spacing w:before="60"/>
              <w:jc w:val="center"/>
              <w:rPr>
                <w:b/>
                <w:smallCaps/>
                <w:sz w:val="32"/>
              </w:rPr>
            </w:pPr>
            <w:bookmarkStart w:id="2" w:name="ddate" w:colFirst="1" w:colLast="1"/>
            <w:bookmarkEnd w:id="0"/>
          </w:p>
        </w:tc>
        <w:tc>
          <w:tcPr>
            <w:tcW w:w="3685" w:type="dxa"/>
          </w:tcPr>
          <w:p w:rsidR="0051782D" w:rsidRPr="00783EC1" w:rsidRDefault="00783EC1" w:rsidP="00783EC1">
            <w:pPr>
              <w:shd w:val="solid" w:color="FFFFFF" w:fill="FFFFFF"/>
              <w:spacing w:before="0" w:line="240" w:lineRule="atLeast"/>
              <w:rPr>
                <w:rFonts w:ascii="Verdana" w:hAnsi="Verdana"/>
                <w:sz w:val="20"/>
              </w:rPr>
            </w:pPr>
            <w:r>
              <w:rPr>
                <w:rFonts w:ascii="Verdana" w:hAnsi="Verdana"/>
                <w:b/>
                <w:sz w:val="20"/>
              </w:rPr>
              <w:t>23 June 2014</w:t>
            </w:r>
          </w:p>
        </w:tc>
      </w:tr>
      <w:tr w:rsidR="0051782D" w:rsidTr="006C08D7">
        <w:trPr>
          <w:cantSplit/>
        </w:trPr>
        <w:tc>
          <w:tcPr>
            <w:tcW w:w="6204" w:type="dxa"/>
            <w:vMerge/>
          </w:tcPr>
          <w:p w:rsidR="0051782D" w:rsidRDefault="0051782D" w:rsidP="00B35BE4">
            <w:pPr>
              <w:spacing w:before="60"/>
              <w:jc w:val="center"/>
              <w:rPr>
                <w:b/>
                <w:smallCaps/>
                <w:sz w:val="32"/>
              </w:rPr>
            </w:pPr>
            <w:bookmarkStart w:id="3" w:name="dorlang" w:colFirst="1" w:colLast="1"/>
            <w:bookmarkEnd w:id="2"/>
          </w:p>
        </w:tc>
        <w:tc>
          <w:tcPr>
            <w:tcW w:w="3685" w:type="dxa"/>
          </w:tcPr>
          <w:p w:rsidR="0051782D" w:rsidRPr="00783EC1" w:rsidRDefault="00783EC1" w:rsidP="00783EC1">
            <w:pPr>
              <w:shd w:val="solid" w:color="FFFFFF" w:fill="FFFFFF"/>
              <w:spacing w:before="0" w:after="120" w:line="240" w:lineRule="atLeast"/>
              <w:rPr>
                <w:rFonts w:ascii="Verdana" w:hAnsi="Verdana"/>
                <w:sz w:val="20"/>
              </w:rPr>
            </w:pPr>
            <w:r>
              <w:rPr>
                <w:rFonts w:ascii="Verdana" w:hAnsi="Verdana"/>
                <w:b/>
                <w:sz w:val="20"/>
              </w:rPr>
              <w:t>English only</w:t>
            </w:r>
          </w:p>
        </w:tc>
      </w:tr>
      <w:tr w:rsidR="006D02C0" w:rsidTr="00B35BE4">
        <w:trPr>
          <w:cantSplit/>
        </w:trPr>
        <w:tc>
          <w:tcPr>
            <w:tcW w:w="9889" w:type="dxa"/>
            <w:gridSpan w:val="2"/>
          </w:tcPr>
          <w:p w:rsidR="006D02C0" w:rsidRDefault="006D02C0" w:rsidP="006D02C0">
            <w:pPr>
              <w:pStyle w:val="Source"/>
            </w:pPr>
            <w:bookmarkStart w:id="4" w:name="dsource" w:colFirst="0" w:colLast="0"/>
            <w:bookmarkEnd w:id="3"/>
            <w:r>
              <w:t>Director, TSB</w:t>
            </w:r>
          </w:p>
        </w:tc>
      </w:tr>
      <w:tr w:rsidR="006D02C0" w:rsidTr="00B35BE4">
        <w:trPr>
          <w:cantSplit/>
        </w:trPr>
        <w:tc>
          <w:tcPr>
            <w:tcW w:w="9889" w:type="dxa"/>
            <w:gridSpan w:val="2"/>
          </w:tcPr>
          <w:p w:rsidR="006D02C0" w:rsidRDefault="006D02C0" w:rsidP="006D02C0">
            <w:pPr>
              <w:pStyle w:val="Title1"/>
            </w:pPr>
            <w:bookmarkStart w:id="5" w:name="dtitle1" w:colFirst="0" w:colLast="0"/>
            <w:bookmarkEnd w:id="4"/>
            <w:r>
              <w:t>Results of TSAG meeting, 17-20 June 2014, relevant to ITU-R</w:t>
            </w:r>
          </w:p>
        </w:tc>
      </w:tr>
    </w:tbl>
    <w:bookmarkEnd w:id="5"/>
    <w:p w:rsidR="006D02C0" w:rsidRDefault="006D02C0" w:rsidP="006D02C0">
      <w:pPr>
        <w:pStyle w:val="Heading1"/>
      </w:pPr>
      <w:r>
        <w:t>1</w:t>
      </w:r>
      <w:r>
        <w:tab/>
        <w:t>ITU-T Focus Group on Aviation Applications of Cloud Computing for Flight Data Monitoring</w:t>
      </w:r>
    </w:p>
    <w:p w:rsidR="006D02C0" w:rsidRDefault="006D02C0" w:rsidP="006D02C0">
      <w:pPr>
        <w:rPr>
          <w:lang w:val="en-US"/>
        </w:rPr>
      </w:pPr>
      <w:r>
        <w:rPr>
          <w:lang w:val="en-US"/>
        </w:rPr>
        <w:t xml:space="preserve">Malaysia </w:t>
      </w:r>
      <w:r w:rsidRPr="0014793F">
        <w:rPr>
          <w:lang w:val="en-US"/>
        </w:rPr>
        <w:t>propos</w:t>
      </w:r>
      <w:r>
        <w:rPr>
          <w:lang w:val="en-US"/>
        </w:rPr>
        <w:t xml:space="preserve">ed to establish </w:t>
      </w:r>
      <w:r w:rsidRPr="0014793F">
        <w:rPr>
          <w:lang w:val="en-US"/>
        </w:rPr>
        <w:t xml:space="preserve">a new </w:t>
      </w:r>
      <w:r>
        <w:rPr>
          <w:lang w:val="en-US"/>
        </w:rPr>
        <w:t xml:space="preserve">ITU-T Focus Group on </w:t>
      </w:r>
      <w:r>
        <w:t xml:space="preserve">Aviation Applications of Cloud Computing for Flight Data Monitoring. </w:t>
      </w:r>
    </w:p>
    <w:p w:rsidR="006D02C0" w:rsidRDefault="006D02C0" w:rsidP="006D02C0">
      <w:pPr>
        <w:rPr>
          <w:lang w:val="en-US"/>
        </w:rPr>
      </w:pPr>
      <w:r>
        <w:rPr>
          <w:lang w:val="en-US"/>
        </w:rPr>
        <w:t xml:space="preserve">TSAG approved the new Focus Group (FG-AC) with the terms of reference given in </w:t>
      </w:r>
      <w:hyperlink r:id="rId9" w:history="1">
        <w:r w:rsidRPr="000108AF">
          <w:rPr>
            <w:rStyle w:val="Hyperlink"/>
            <w:lang w:val="en-US"/>
          </w:rPr>
          <w:t>TSAG TD184</w:t>
        </w:r>
      </w:hyperlink>
      <w:r>
        <w:rPr>
          <w:lang w:val="en-US"/>
        </w:rPr>
        <w:t>.</w:t>
      </w:r>
    </w:p>
    <w:p w:rsidR="006D02C0" w:rsidRDefault="006D02C0" w:rsidP="006D02C0">
      <w:pPr>
        <w:rPr>
          <w:rFonts w:asciiTheme="majorBidi" w:hAnsiTheme="majorBidi" w:cstheme="majorBidi"/>
          <w:bCs/>
          <w:szCs w:val="24"/>
        </w:rPr>
      </w:pPr>
      <w:r>
        <w:rPr>
          <w:rFonts w:asciiTheme="majorBidi" w:hAnsiTheme="majorBidi" w:cstheme="majorBidi"/>
          <w:bCs/>
          <w:szCs w:val="24"/>
        </w:rPr>
        <w:t xml:space="preserve">Based on the operational requirements for real-time monitoring of flight data identified by the International Civil Aviation Organization (ICAO), the ITU-T FG-AC, in close collaboration with ICAO and </w:t>
      </w:r>
      <w:r>
        <w:rPr>
          <w:rFonts w:asciiTheme="majorBidi" w:hAnsiTheme="majorBidi" w:cstheme="majorBidi"/>
          <w:color w:val="000000"/>
          <w:szCs w:val="24"/>
          <w:lang w:eastAsia="zh-CN"/>
        </w:rPr>
        <w:t>other partners of the Focus Group</w:t>
      </w:r>
      <w:r>
        <w:rPr>
          <w:rFonts w:asciiTheme="majorBidi" w:hAnsiTheme="majorBidi" w:cstheme="majorBidi"/>
          <w:bCs/>
          <w:szCs w:val="24"/>
        </w:rPr>
        <w:t xml:space="preserve">, should identify the requirements for telecommunication standards for an aviation cloud for real-time monitoring of flight data. This will include the protection and security, data ownership and access to flight data. </w:t>
      </w:r>
    </w:p>
    <w:p w:rsidR="006D02C0" w:rsidRPr="002569D6" w:rsidRDefault="006D02C0" w:rsidP="006D02C0">
      <w:pPr>
        <w:rPr>
          <w:rFonts w:asciiTheme="majorBidi" w:hAnsiTheme="majorBidi" w:cstheme="majorBidi"/>
          <w:bCs/>
          <w:szCs w:val="24"/>
        </w:rPr>
      </w:pPr>
      <w:r w:rsidRPr="002569D6">
        <w:rPr>
          <w:rFonts w:asciiTheme="majorBidi" w:hAnsiTheme="majorBidi" w:cstheme="majorBidi"/>
          <w:bCs/>
          <w:szCs w:val="24"/>
        </w:rPr>
        <w:t xml:space="preserve">Substantive work will begin in early 2015. Malaysia offered to host a kick-off meeting in Malaysia end of 2014. ICAO will host the subsequent meeting. The TSB Director suggested </w:t>
      </w:r>
      <w:r>
        <w:rPr>
          <w:rFonts w:asciiTheme="majorBidi" w:hAnsiTheme="majorBidi" w:cstheme="majorBidi"/>
          <w:bCs/>
          <w:szCs w:val="24"/>
        </w:rPr>
        <w:t xml:space="preserve">that an intersector </w:t>
      </w:r>
      <w:r w:rsidRPr="002569D6">
        <w:rPr>
          <w:rFonts w:asciiTheme="majorBidi" w:hAnsiTheme="majorBidi" w:cstheme="majorBidi"/>
          <w:bCs/>
          <w:szCs w:val="24"/>
        </w:rPr>
        <w:t>rapporteur group should be considered at TSAG 2015 once the FG-AC begins work. It was emphasised that this work is a separate issue to the flight tracking considerations currently under way in ITU-R.</w:t>
      </w:r>
      <w:r w:rsidR="007C4FE0">
        <w:rPr>
          <w:rFonts w:asciiTheme="majorBidi" w:hAnsiTheme="majorBidi" w:cstheme="majorBidi"/>
          <w:bCs/>
          <w:szCs w:val="24"/>
        </w:rPr>
        <w:t xml:space="preserve"> </w:t>
      </w:r>
    </w:p>
    <w:p w:rsidR="006D02C0" w:rsidRDefault="006D02C0" w:rsidP="006D02C0">
      <w:pPr>
        <w:pStyle w:val="Heading1"/>
      </w:pPr>
      <w:r>
        <w:t>2</w:t>
      </w:r>
      <w:r>
        <w:tab/>
        <w:t>IPR (Intellectual Property Rights)</w:t>
      </w:r>
    </w:p>
    <w:p w:rsidR="006D02C0" w:rsidRPr="004C5690" w:rsidRDefault="006D02C0" w:rsidP="006D02C0">
      <w:pPr>
        <w:rPr>
          <w:lang w:val="en-US"/>
        </w:rPr>
      </w:pPr>
      <w:r w:rsidRPr="004C5690">
        <w:rPr>
          <w:lang w:val="en-US"/>
        </w:rPr>
        <w:t xml:space="preserve">Recent collaborative discussions within the TSB Director’s Ad Hoc Group on IPR issues reached unanimous agreement on one proposed amendment to paragraph 7 of the current Patent Guidelines, as well as addition of related text to the declaration form, to make it clear that RAND licensing commitments made to ITU are intended to bind both the current patent holder and subsequent purchasers of the patents. Those proposals were </w:t>
      </w:r>
      <w:r>
        <w:rPr>
          <w:lang w:val="en-US"/>
        </w:rPr>
        <w:t>endorsed by TSAG.</w:t>
      </w:r>
    </w:p>
    <w:p w:rsidR="006D02C0" w:rsidRDefault="006D02C0" w:rsidP="006D02C0">
      <w:pPr>
        <w:pStyle w:val="Heading1"/>
      </w:pPr>
      <w:r>
        <w:t>3</w:t>
      </w:r>
      <w:r>
        <w:tab/>
        <w:t>ITU Kaleidoscope 2014</w:t>
      </w:r>
    </w:p>
    <w:p w:rsidR="006D02C0" w:rsidRDefault="006D02C0" w:rsidP="006D02C0">
      <w:pPr>
        <w:rPr>
          <w:rFonts w:asciiTheme="majorBidi" w:hAnsiTheme="majorBidi" w:cstheme="majorBidi"/>
          <w:szCs w:val="24"/>
        </w:rPr>
      </w:pPr>
      <w:r w:rsidRPr="00BD60F6">
        <w:rPr>
          <w:rFonts w:asciiTheme="majorBidi" w:hAnsiTheme="majorBidi" w:cstheme="majorBidi"/>
          <w:szCs w:val="24"/>
        </w:rPr>
        <w:t xml:space="preserve">The </w:t>
      </w:r>
      <w:hyperlink r:id="rId10" w:history="1">
        <w:r w:rsidRPr="00BD60F6">
          <w:rPr>
            <w:rStyle w:val="Hyperlink"/>
            <w:rFonts w:asciiTheme="majorBidi" w:hAnsiTheme="majorBidi" w:cstheme="majorBidi"/>
            <w:szCs w:val="24"/>
          </w:rPr>
          <w:t>ITU Kaleidoscope conference 2014</w:t>
        </w:r>
      </w:hyperlink>
      <w:r w:rsidRPr="00BD60F6">
        <w:rPr>
          <w:rFonts w:asciiTheme="majorBidi" w:hAnsiTheme="majorBidi" w:cstheme="majorBidi"/>
          <w:szCs w:val="24"/>
        </w:rPr>
        <w:t xml:space="preserve"> (K-2014) was held at the kind invitation of the Ministry of Communications and Mass Media of the Russian Federation, and hosted by the Bonch-Bruevich Saint-Petersburg State University of Telecommunications (SPbSUT)</w:t>
      </w:r>
      <w:r>
        <w:rPr>
          <w:rFonts w:asciiTheme="majorBidi" w:hAnsiTheme="majorBidi" w:cstheme="majorBidi"/>
          <w:szCs w:val="24"/>
        </w:rPr>
        <w:t xml:space="preserve">. </w:t>
      </w:r>
      <w:r w:rsidRPr="000108AF">
        <w:rPr>
          <w:rFonts w:asciiTheme="majorBidi" w:hAnsiTheme="majorBidi" w:cstheme="majorBidi"/>
          <w:szCs w:val="24"/>
        </w:rPr>
        <w:t xml:space="preserve">Over 120 delegates from 28 countries participated in the conference. </w:t>
      </w:r>
    </w:p>
    <w:p w:rsidR="006D02C0" w:rsidRDefault="006D02C0" w:rsidP="006D02C0">
      <w:pPr>
        <w:rPr>
          <w:rFonts w:asciiTheme="majorBidi" w:hAnsiTheme="majorBidi" w:cstheme="majorBidi"/>
          <w:szCs w:val="24"/>
        </w:rPr>
      </w:pPr>
      <w:r>
        <w:rPr>
          <w:rFonts w:asciiTheme="majorBidi" w:hAnsiTheme="majorBidi" w:cstheme="majorBidi"/>
          <w:szCs w:val="24"/>
        </w:rPr>
        <w:t xml:space="preserve">Mr </w:t>
      </w:r>
      <w:r w:rsidRPr="00BD60F6">
        <w:rPr>
          <w:rFonts w:asciiTheme="majorBidi" w:hAnsiTheme="majorBidi" w:cstheme="majorBidi"/>
          <w:szCs w:val="24"/>
        </w:rPr>
        <w:t xml:space="preserve">Christoph Dosch (IRT GmbH, Germany and Chairman of ITU-R Study Group 6 (Broadcasting Service)) </w:t>
      </w:r>
      <w:r>
        <w:rPr>
          <w:rFonts w:asciiTheme="majorBidi" w:hAnsiTheme="majorBidi" w:cstheme="majorBidi"/>
          <w:szCs w:val="24"/>
        </w:rPr>
        <w:t xml:space="preserve">is on the Kaleidoscope Steering </w:t>
      </w:r>
      <w:r w:rsidRPr="00503DBB">
        <w:rPr>
          <w:rFonts w:asciiTheme="majorBidi" w:hAnsiTheme="majorBidi" w:cstheme="majorBidi"/>
          <w:szCs w:val="24"/>
          <w:lang w:val="en-US"/>
        </w:rPr>
        <w:t>Committee</w:t>
      </w:r>
      <w:r>
        <w:rPr>
          <w:rFonts w:asciiTheme="majorBidi" w:hAnsiTheme="majorBidi" w:cstheme="majorBidi"/>
          <w:szCs w:val="24"/>
        </w:rPr>
        <w:t>.</w:t>
      </w:r>
    </w:p>
    <w:p w:rsidR="006D02C0" w:rsidRDefault="006D02C0" w:rsidP="006D02C0">
      <w:pPr>
        <w:rPr>
          <w:rFonts w:asciiTheme="majorBidi" w:hAnsiTheme="majorBidi" w:cstheme="majorBidi"/>
          <w:szCs w:val="24"/>
        </w:rPr>
      </w:pPr>
      <w:r>
        <w:rPr>
          <w:rFonts w:asciiTheme="majorBidi" w:hAnsiTheme="majorBidi" w:cstheme="majorBidi"/>
          <w:szCs w:val="24"/>
        </w:rPr>
        <w:lastRenderedPageBreak/>
        <w:t>The “Evaluation of Kaleidoscope 2014 papers with respect to relevance in ITU activities” is published in Document RAG14-1/INFO/2-E and lists about a dozen papers with relevance to ITU</w:t>
      </w:r>
      <w:r>
        <w:rPr>
          <w:rFonts w:asciiTheme="majorBidi" w:hAnsiTheme="majorBidi" w:cstheme="majorBidi"/>
          <w:szCs w:val="24"/>
        </w:rPr>
        <w:noBreakHyphen/>
        <w:t>R.</w:t>
      </w:r>
    </w:p>
    <w:p w:rsidR="006D02C0" w:rsidRDefault="006D02C0" w:rsidP="006D02C0">
      <w:pPr>
        <w:pStyle w:val="Heading1"/>
        <w:tabs>
          <w:tab w:val="left" w:pos="435"/>
        </w:tabs>
      </w:pPr>
      <w:r>
        <w:t>4</w:t>
      </w:r>
      <w:r>
        <w:tab/>
      </w:r>
      <w:r>
        <w:tab/>
        <w:t>Collaboration on ITS (Intelligent Transport Systems) Communication Standards</w:t>
      </w:r>
    </w:p>
    <w:p w:rsidR="006D02C0" w:rsidRPr="00F1393D" w:rsidRDefault="006D02C0" w:rsidP="006D02C0">
      <w:r w:rsidRPr="003D27BA">
        <w:rPr>
          <w:rFonts w:asciiTheme="majorBidi" w:hAnsiTheme="majorBidi" w:cstheme="majorBidi"/>
          <w:szCs w:val="24"/>
        </w:rPr>
        <w:t xml:space="preserve">TSAG agreed that the Collaboration on ITS Communication Standards be continued as a pilot and that the Collaboration report back to the next TSAG meeting. </w:t>
      </w:r>
    </w:p>
    <w:p w:rsidR="006D02C0" w:rsidRDefault="006D02C0" w:rsidP="006D02C0">
      <w:pPr>
        <w:pStyle w:val="Heading1"/>
        <w:tabs>
          <w:tab w:val="left" w:pos="435"/>
        </w:tabs>
      </w:pPr>
      <w:r>
        <w:t>5</w:t>
      </w:r>
      <w:r>
        <w:tab/>
      </w:r>
      <w:r>
        <w:tab/>
        <w:t>Intra-ITU collaboration and coordination</w:t>
      </w:r>
    </w:p>
    <w:p w:rsidR="006D02C0" w:rsidRDefault="006D02C0" w:rsidP="006D02C0">
      <w:pPr>
        <w:rPr>
          <w:szCs w:val="24"/>
        </w:rPr>
      </w:pPr>
      <w:r w:rsidRPr="009133D8">
        <w:rPr>
          <w:lang w:val="en-US"/>
        </w:rPr>
        <w:t>TSAG approved the Te</w:t>
      </w:r>
      <w:r>
        <w:rPr>
          <w:lang w:val="en-US"/>
        </w:rPr>
        <w:t xml:space="preserve">rms of Reference of the TSAG </w:t>
      </w:r>
      <w:r w:rsidRPr="009133D8">
        <w:rPr>
          <w:lang w:val="en-US"/>
        </w:rPr>
        <w:t>group “</w:t>
      </w:r>
      <w:r>
        <w:rPr>
          <w:lang w:val="en-US"/>
        </w:rPr>
        <w:t>Intra-ITU c</w:t>
      </w:r>
      <w:r w:rsidRPr="009133D8">
        <w:rPr>
          <w:lang w:val="en-US"/>
        </w:rPr>
        <w:t>ollaboration</w:t>
      </w:r>
      <w:r>
        <w:rPr>
          <w:lang w:val="en-US"/>
        </w:rPr>
        <w:t xml:space="preserve"> and coordination</w:t>
      </w:r>
      <w:r w:rsidRPr="009133D8">
        <w:rPr>
          <w:lang w:val="en-US"/>
        </w:rPr>
        <w:t>”, with Mr Vladimir Minkin as its Chairman</w:t>
      </w:r>
      <w:r>
        <w:rPr>
          <w:lang w:val="en-US"/>
        </w:rPr>
        <w:t xml:space="preserve"> (</w:t>
      </w:r>
      <w:hyperlink r:id="rId11" w:history="1">
        <w:r w:rsidRPr="00E8337D">
          <w:rPr>
            <w:rStyle w:val="Hyperlink"/>
            <w:lang w:val="en-US"/>
          </w:rPr>
          <w:t>ToR in TSAG TD185</w:t>
        </w:r>
      </w:hyperlink>
      <w:r>
        <w:rPr>
          <w:lang w:val="en-US"/>
        </w:rPr>
        <w:t>)</w:t>
      </w:r>
      <w:r w:rsidRPr="009133D8">
        <w:rPr>
          <w:lang w:val="en-US"/>
        </w:rPr>
        <w:t xml:space="preserve">. </w:t>
      </w:r>
      <w:r>
        <w:rPr>
          <w:lang w:val="en-US"/>
        </w:rPr>
        <w:t xml:space="preserve">The group will examine </w:t>
      </w:r>
      <w:r>
        <w:rPr>
          <w:szCs w:val="24"/>
        </w:rPr>
        <w:t>existing methods and approaches to collaboration and/or cooperation with other Sectors.</w:t>
      </w:r>
    </w:p>
    <w:p w:rsidR="006D02C0" w:rsidRDefault="006D02C0" w:rsidP="006D02C0">
      <w:pPr>
        <w:rPr>
          <w:szCs w:val="24"/>
        </w:rPr>
      </w:pPr>
    </w:p>
    <w:p w:rsidR="006D02C0" w:rsidRDefault="006D02C0" w:rsidP="006D02C0">
      <w:pPr>
        <w:rPr>
          <w:szCs w:val="24"/>
        </w:rPr>
      </w:pPr>
    </w:p>
    <w:p w:rsidR="006D02C0" w:rsidRDefault="006D02C0" w:rsidP="006D02C0">
      <w:pPr>
        <w:jc w:val="center"/>
        <w:rPr>
          <w:rFonts w:asciiTheme="majorBidi" w:hAnsiTheme="majorBidi" w:cstheme="majorBidi"/>
          <w:szCs w:val="24"/>
        </w:rPr>
      </w:pPr>
      <w:r>
        <w:rPr>
          <w:rFonts w:asciiTheme="majorBidi" w:hAnsiTheme="majorBidi" w:cstheme="majorBidi"/>
          <w:szCs w:val="24"/>
        </w:rPr>
        <w:t>________________</w:t>
      </w:r>
    </w:p>
    <w:sectPr w:rsidR="006D02C0" w:rsidSect="00F749FF">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EC1" w:rsidRDefault="00783EC1">
      <w:r>
        <w:separator/>
      </w:r>
    </w:p>
  </w:endnote>
  <w:endnote w:type="continuationSeparator" w:id="0">
    <w:p w:rsidR="00783EC1" w:rsidRDefault="0078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6B2" w:rsidRPr="006C08D7" w:rsidRDefault="00A366B2" w:rsidP="00A366B2">
    <w:pPr>
      <w:pStyle w:val="Footer"/>
      <w:rPr>
        <w:lang w:val="de-CH"/>
      </w:rPr>
    </w:pPr>
    <w:r>
      <w:fldChar w:fldCharType="begin"/>
    </w:r>
    <w:r w:rsidRPr="006C08D7">
      <w:rPr>
        <w:lang w:val="de-CH"/>
      </w:rPr>
      <w:instrText xml:space="preserve"> FILENAME \p  \* MERGEFORMAT </w:instrText>
    </w:r>
    <w:r>
      <w:fldChar w:fldCharType="separate"/>
    </w:r>
    <w:r w:rsidR="007C4FE0" w:rsidRPr="006C08D7">
      <w:rPr>
        <w:lang w:val="de-CH"/>
      </w:rPr>
      <w:t>P:\ENG\ITU-R\AG\RAG\RAG14\INF\003E.docx</w:t>
    </w:r>
    <w:r>
      <w:fldChar w:fldCharType="end"/>
    </w:r>
    <w:r w:rsidRPr="006C08D7">
      <w:rPr>
        <w:lang w:val="de-CH"/>
      </w:rPr>
      <w:t xml:space="preserve"> (365366)</w:t>
    </w:r>
    <w:r w:rsidRPr="006C08D7">
      <w:rPr>
        <w:lang w:val="de-CH"/>
      </w:rPr>
      <w:tab/>
    </w:r>
    <w:r>
      <w:fldChar w:fldCharType="begin"/>
    </w:r>
    <w:r>
      <w:instrText xml:space="preserve"> SAVEDATE \@ DD.MM.YY </w:instrText>
    </w:r>
    <w:r>
      <w:fldChar w:fldCharType="separate"/>
    </w:r>
    <w:r w:rsidR="006C08D7">
      <w:t>24.06.14</w:t>
    </w:r>
    <w:r>
      <w:fldChar w:fldCharType="end"/>
    </w:r>
    <w:r w:rsidRPr="006C08D7">
      <w:rPr>
        <w:lang w:val="de-CH"/>
      </w:rPr>
      <w:tab/>
    </w:r>
    <w:r>
      <w:fldChar w:fldCharType="begin"/>
    </w:r>
    <w:r>
      <w:instrText xml:space="preserve"> PRINTDATE \@ DD.MM.YY </w:instrText>
    </w:r>
    <w:r>
      <w:fldChar w:fldCharType="separate"/>
    </w:r>
    <w:r w:rsidR="007C4FE0">
      <w:t>24.06.14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30" w:rsidRPr="006C08D7" w:rsidRDefault="007C4FE0">
    <w:pPr>
      <w:pStyle w:val="Footer"/>
      <w:rPr>
        <w:lang w:val="de-CH"/>
      </w:rPr>
    </w:pPr>
    <w:r>
      <w:fldChar w:fldCharType="begin"/>
    </w:r>
    <w:r w:rsidRPr="006C08D7">
      <w:rPr>
        <w:lang w:val="de-CH"/>
      </w:rPr>
      <w:instrText xml:space="preserve"> FILENAME \p  \* MERGEFORMAT </w:instrText>
    </w:r>
    <w:r>
      <w:fldChar w:fldCharType="separate"/>
    </w:r>
    <w:r w:rsidRPr="006C08D7">
      <w:rPr>
        <w:lang w:val="de-CH"/>
      </w:rPr>
      <w:t>P:\ENG\ITU-R\AG\RAG\RAG14\INF\003E.docx</w:t>
    </w:r>
    <w:r>
      <w:fldChar w:fldCharType="end"/>
    </w:r>
    <w:r w:rsidR="00A366B2" w:rsidRPr="006C08D7">
      <w:rPr>
        <w:lang w:val="de-CH"/>
      </w:rPr>
      <w:t xml:space="preserve"> (365366)</w:t>
    </w:r>
    <w:r w:rsidR="005B3530" w:rsidRPr="006C08D7">
      <w:rPr>
        <w:lang w:val="de-CH"/>
      </w:rPr>
      <w:tab/>
    </w:r>
    <w:r w:rsidR="005B3530">
      <w:fldChar w:fldCharType="begin"/>
    </w:r>
    <w:r w:rsidR="005B3530">
      <w:instrText xml:space="preserve"> SAVEDATE \@ DD.MM.YY </w:instrText>
    </w:r>
    <w:r w:rsidR="005B3530">
      <w:fldChar w:fldCharType="separate"/>
    </w:r>
    <w:r w:rsidR="006C08D7">
      <w:t>24.06.14</w:t>
    </w:r>
    <w:r w:rsidR="005B3530">
      <w:fldChar w:fldCharType="end"/>
    </w:r>
    <w:r w:rsidR="005B3530" w:rsidRPr="006C08D7">
      <w:rPr>
        <w:lang w:val="de-CH"/>
      </w:rPr>
      <w:tab/>
    </w:r>
    <w:r w:rsidR="005B3530">
      <w:fldChar w:fldCharType="begin"/>
    </w:r>
    <w:r w:rsidR="005B3530">
      <w:instrText xml:space="preserve"> PRINTDATE \@ DD.MM.YY </w:instrText>
    </w:r>
    <w:r w:rsidR="005B3530">
      <w:fldChar w:fldCharType="separate"/>
    </w:r>
    <w:r>
      <w:t>24.06.14</w:t>
    </w:r>
    <w:r w:rsidR="005B353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EC1" w:rsidRDefault="00783EC1">
      <w:r>
        <w:t>____________________</w:t>
      </w:r>
    </w:p>
  </w:footnote>
  <w:footnote w:type="continuationSeparator" w:id="0">
    <w:p w:rsidR="00783EC1" w:rsidRDefault="00783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6C08D7">
      <w:rPr>
        <w:noProof/>
      </w:rPr>
      <w:t>2</w:t>
    </w:r>
    <w:r>
      <w:rPr>
        <w:noProof/>
      </w:rPr>
      <w:fldChar w:fldCharType="end"/>
    </w:r>
  </w:p>
  <w:p w:rsidR="0095426A" w:rsidRDefault="00597657" w:rsidP="004F0848">
    <w:pPr>
      <w:pStyle w:val="Header"/>
      <w:rPr>
        <w:lang w:val="es-ES"/>
      </w:rPr>
    </w:pPr>
    <w:r>
      <w:rPr>
        <w:lang w:val="es-ES"/>
      </w:rPr>
      <w:t>RAG</w:t>
    </w:r>
    <w:r w:rsidR="00DD3BF8">
      <w:rPr>
        <w:lang w:val="es-ES"/>
      </w:rPr>
      <w:t>1</w:t>
    </w:r>
    <w:r w:rsidR="004F0848">
      <w:rPr>
        <w:lang w:val="es-ES"/>
      </w:rPr>
      <w:t>4</w:t>
    </w:r>
    <w:r w:rsidR="006D02C0">
      <w:rPr>
        <w:lang w:val="es-ES"/>
      </w:rPr>
      <w:t>-1/INF</w:t>
    </w:r>
    <w:r w:rsidR="006C08D7">
      <w:rPr>
        <w:lang w:val="es-ES"/>
      </w:rPr>
      <w:t>O</w:t>
    </w:r>
    <w:r w:rsidR="006D02C0">
      <w:rPr>
        <w:lang w:val="es-ES"/>
      </w:rPr>
      <w:t>/3</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C1"/>
    <w:rsid w:val="00093C73"/>
    <w:rsid w:val="000F5229"/>
    <w:rsid w:val="001377D6"/>
    <w:rsid w:val="001E41A0"/>
    <w:rsid w:val="002774E4"/>
    <w:rsid w:val="003D068D"/>
    <w:rsid w:val="004F0848"/>
    <w:rsid w:val="00507DA3"/>
    <w:rsid w:val="0051782D"/>
    <w:rsid w:val="00597657"/>
    <w:rsid w:val="005B2C58"/>
    <w:rsid w:val="005B3530"/>
    <w:rsid w:val="006C08D7"/>
    <w:rsid w:val="006D02C0"/>
    <w:rsid w:val="00746923"/>
    <w:rsid w:val="00783EC1"/>
    <w:rsid w:val="007C4FE0"/>
    <w:rsid w:val="00806E63"/>
    <w:rsid w:val="008B3F50"/>
    <w:rsid w:val="0095426A"/>
    <w:rsid w:val="00A16CB2"/>
    <w:rsid w:val="00A366B2"/>
    <w:rsid w:val="00B35BE4"/>
    <w:rsid w:val="00B52992"/>
    <w:rsid w:val="00CC1D49"/>
    <w:rsid w:val="00CD4D80"/>
    <w:rsid w:val="00D211BC"/>
    <w:rsid w:val="00DD3BF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6D02C0"/>
    <w:rPr>
      <w:rFonts w:ascii="Times New Roman" w:hAnsi="Times New Roman"/>
      <w:b/>
      <w:sz w:val="24"/>
      <w:lang w:val="en-GB" w:eastAsia="en-US"/>
    </w:rPr>
  </w:style>
  <w:style w:type="character" w:styleId="Hyperlink">
    <w:name w:val="Hyperlink"/>
    <w:basedOn w:val="DefaultParagraphFont"/>
    <w:unhideWhenUsed/>
    <w:rsid w:val="006D02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6D02C0"/>
    <w:rPr>
      <w:rFonts w:ascii="Times New Roman" w:hAnsi="Times New Roman"/>
      <w:b/>
      <w:sz w:val="24"/>
      <w:lang w:val="en-GB" w:eastAsia="en-US"/>
    </w:rPr>
  </w:style>
  <w:style w:type="character" w:styleId="Hyperlink">
    <w:name w:val="Hyperlink"/>
    <w:basedOn w:val="DefaultParagraphFont"/>
    <w:unhideWhenUsed/>
    <w:rsid w:val="006D02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T13-TSAG-140617-TD-GEN-0185/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ITU-T/uni/kaleidoscope/2014/index.html" TargetMode="External"/><Relationship Id="rId4" Type="http://schemas.openxmlformats.org/officeDocument/2006/relationships/settings" Target="settings.xml"/><Relationship Id="rId9" Type="http://schemas.openxmlformats.org/officeDocument/2006/relationships/hyperlink" Target="http://www.itu.int/md/T13-TSAG-140617-TD-GEN-0184/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PE_RAG14.dotm</Template>
  <TotalTime>7</TotalTime>
  <Pages>2</Pages>
  <Words>459</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PE_RAG10.dotm  For: _x000d_Document date: _x000d_Saved by TRA44246 at 12:32:17 on 12.02.2010</dc:description>
  <cp:lastModifiedBy>Jones, Jacqueline</cp:lastModifiedBy>
  <cp:revision>7</cp:revision>
  <cp:lastPrinted>2014-06-24T12:47:00Z</cp:lastPrinted>
  <dcterms:created xsi:type="dcterms:W3CDTF">2014-06-24T12:42:00Z</dcterms:created>
  <dcterms:modified xsi:type="dcterms:W3CDTF">2014-06-24T13:12:00Z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