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10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 w:rsidTr="000A4F34">
        <w:trPr>
          <w:cantSplit/>
        </w:trPr>
        <w:tc>
          <w:tcPr>
            <w:tcW w:w="6771" w:type="dxa"/>
          </w:tcPr>
          <w:p w:rsidR="0051782D" w:rsidRPr="00D872CB" w:rsidRDefault="006A7022" w:rsidP="00EC3125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="0051782D" w:rsidRPr="00D872CB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2013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22-24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18" w:type="dxa"/>
          </w:tcPr>
          <w:p w:rsidR="0051782D" w:rsidRPr="00432D7F" w:rsidRDefault="000A0059" w:rsidP="00EC3125">
            <w:pPr>
              <w:shd w:val="solid" w:color="FFFFFF" w:fill="FFFFFF"/>
              <w:spacing w:before="0"/>
              <w:rPr>
                <w:lang w:val="en-US"/>
              </w:rPr>
            </w:pPr>
            <w:r>
              <w:rPr>
                <w:b/>
                <w:bCs/>
                <w:noProof/>
                <w:lang w:val="en-US" w:eastAsia="zh-CN"/>
              </w:rPr>
              <w:drawing>
                <wp:inline distT="0" distB="0" distL="0" distR="0" wp14:anchorId="542E4881" wp14:editId="0EA05E0C">
                  <wp:extent cx="1666875" cy="695325"/>
                  <wp:effectExtent l="0" t="0" r="9525" b="9525"/>
                  <wp:docPr id="2" name="Picture 2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51782D" w:rsidP="00EC312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D872CB" w:rsidRDefault="0051782D" w:rsidP="00EC3125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EC312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D872CB" w:rsidRDefault="0051782D" w:rsidP="00EC3125">
            <w:pPr>
              <w:shd w:val="solid" w:color="FFFFFF" w:fill="FFFFFF"/>
              <w:spacing w:before="0" w:after="48"/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 w:val="restart"/>
          </w:tcPr>
          <w:p w:rsidR="0051782D" w:rsidRPr="00D872CB" w:rsidRDefault="0051782D" w:rsidP="00EC312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0A4F34" w:rsidRDefault="006A7022" w:rsidP="00EC3125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213AE0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B41DCB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-1/</w:t>
            </w:r>
            <w:r w:rsidR="007870E9">
              <w:rPr>
                <w:rFonts w:ascii="Verdana" w:hAnsi="Verdana" w:hint="eastAsia"/>
                <w:b/>
                <w:sz w:val="20"/>
                <w:lang w:eastAsia="zh-CN"/>
              </w:rPr>
              <w:t>11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D872CB" w:rsidRDefault="0051782D" w:rsidP="00EC3125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0A4F34" w:rsidRDefault="00BD7223" w:rsidP="00EC3125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5D4F78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B41DCB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74537E" w:rsidRPr="000A4F34">
              <w:rPr>
                <w:rFonts w:ascii="Verdana" w:hAnsi="Verdana" w:hint="eastAsia"/>
                <w:b/>
                <w:sz w:val="20"/>
                <w:lang w:eastAsia="zh-CN"/>
              </w:rPr>
              <w:t>4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7870E9">
              <w:rPr>
                <w:rFonts w:ascii="Verdana" w:hAnsi="Verdana" w:hint="eastAsia"/>
                <w:b/>
                <w:sz w:val="20"/>
                <w:lang w:eastAsia="zh-CN"/>
              </w:rPr>
              <w:t>30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D872CB" w:rsidRDefault="0051782D" w:rsidP="00EC3125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0A4F34" w:rsidRDefault="00426448" w:rsidP="00EC3125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426448" w:rsidRPr="00D872CB" w:rsidTr="000A4F34">
        <w:trPr>
          <w:cantSplit/>
        </w:trPr>
        <w:tc>
          <w:tcPr>
            <w:tcW w:w="9889" w:type="dxa"/>
            <w:gridSpan w:val="2"/>
          </w:tcPr>
          <w:p w:rsidR="00426448" w:rsidRPr="00D872CB" w:rsidRDefault="00E4374D" w:rsidP="00EC3125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巴西（联邦共和国）</w:t>
            </w:r>
          </w:p>
        </w:tc>
      </w:tr>
      <w:tr w:rsidR="00BC195C" w:rsidRPr="00D872CB" w:rsidTr="000A4F34">
        <w:trPr>
          <w:cantSplit/>
        </w:trPr>
        <w:tc>
          <w:tcPr>
            <w:tcW w:w="9889" w:type="dxa"/>
            <w:gridSpan w:val="2"/>
          </w:tcPr>
          <w:p w:rsidR="00E130B3" w:rsidRPr="00E130B3" w:rsidRDefault="00E4374D" w:rsidP="00EC3125">
            <w:pPr>
              <w:tabs>
                <w:tab w:val="left" w:pos="851"/>
                <w:tab w:val="left" w:pos="5670"/>
              </w:tabs>
              <w:spacing w:before="240" w:after="240"/>
              <w:jc w:val="center"/>
              <w:rPr>
                <w:sz w:val="28"/>
                <w:szCs w:val="28"/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sz w:val="28"/>
                <w:szCs w:val="28"/>
                <w:lang w:eastAsia="zh-CN"/>
              </w:rPr>
              <w:t>供审议的</w:t>
            </w:r>
            <w:r>
              <w:rPr>
                <w:sz w:val="28"/>
                <w:szCs w:val="28"/>
                <w:lang w:eastAsia="ko-KR"/>
              </w:rPr>
              <w:t>ITU-R</w:t>
            </w:r>
            <w:r>
              <w:rPr>
                <w:rFonts w:hint="eastAsia"/>
                <w:sz w:val="28"/>
                <w:szCs w:val="28"/>
                <w:lang w:eastAsia="zh-CN"/>
              </w:rPr>
              <w:t>新</w:t>
            </w:r>
            <w:r w:rsidR="00C57498" w:rsidRPr="00E4374D">
              <w:rPr>
                <w:rFonts w:hint="eastAsia"/>
                <w:sz w:val="28"/>
                <w:szCs w:val="28"/>
                <w:lang w:eastAsia="zh-CN"/>
              </w:rPr>
              <w:t>建议书数据库</w:t>
            </w:r>
            <w:r>
              <w:rPr>
                <w:rFonts w:hint="eastAsia"/>
                <w:sz w:val="28"/>
                <w:szCs w:val="28"/>
                <w:lang w:eastAsia="zh-CN"/>
              </w:rPr>
              <w:t>提案</w:t>
            </w:r>
          </w:p>
        </w:tc>
      </w:tr>
    </w:tbl>
    <w:bookmarkEnd w:id="4"/>
    <w:p w:rsidR="00E4374D" w:rsidRDefault="00E4374D" w:rsidP="00EC3125">
      <w:pPr>
        <w:ind w:firstLineChars="200" w:firstLine="480"/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在无线电通信局开发的、设计用于新</w:t>
      </w:r>
      <w:r>
        <w:rPr>
          <w:szCs w:val="24"/>
          <w:lang w:val="en-US" w:eastAsia="zh-CN"/>
        </w:rPr>
        <w:t>ITU-R</w:t>
      </w:r>
      <w:r w:rsidRPr="0020043B">
        <w:rPr>
          <w:szCs w:val="24"/>
          <w:lang w:val="en-US" w:eastAsia="zh-CN"/>
        </w:rPr>
        <w:t xml:space="preserve"> </w:t>
      </w:r>
      <w:r>
        <w:rPr>
          <w:rFonts w:hint="eastAsia"/>
          <w:lang w:eastAsia="zh-CN"/>
        </w:rPr>
        <w:t>建议书数据库</w:t>
      </w:r>
      <w:r>
        <w:rPr>
          <w:rFonts w:hint="eastAsia"/>
          <w:szCs w:val="24"/>
          <w:lang w:eastAsia="zh-CN"/>
        </w:rPr>
        <w:t>的</w:t>
      </w:r>
      <w:r>
        <w:rPr>
          <w:rFonts w:hint="eastAsia"/>
          <w:szCs w:val="24"/>
          <w:lang w:eastAsia="zh-CN"/>
        </w:rPr>
        <w:t>IT</w:t>
      </w:r>
      <w:r>
        <w:rPr>
          <w:rFonts w:hint="eastAsia"/>
          <w:szCs w:val="24"/>
          <w:lang w:eastAsia="zh-CN"/>
        </w:rPr>
        <w:t>项目范围内，巴西建议，在该数据库中可考虑插入（下标）标识该建议书是否在《无线电规则》中引证归并的符号。</w:t>
      </w:r>
    </w:p>
    <w:p w:rsidR="007870E9" w:rsidRDefault="00E4374D" w:rsidP="00EC3125">
      <w:pPr>
        <w:ind w:firstLineChars="200" w:firstLine="480"/>
        <w:jc w:val="both"/>
        <w:rPr>
          <w:szCs w:val="24"/>
          <w:lang w:val="en-US" w:eastAsia="zh-CN"/>
        </w:rPr>
      </w:pPr>
      <w:r>
        <w:rPr>
          <w:rFonts w:hint="eastAsia"/>
          <w:szCs w:val="24"/>
          <w:lang w:eastAsia="zh-CN"/>
        </w:rPr>
        <w:t>拟议的标识可告知该建议书是否为《无线电规则》所引证归并，《无线电规则》中哪一条款对其进行了参引及相关条款的案文。</w:t>
      </w:r>
    </w:p>
    <w:p w:rsidR="007870E9" w:rsidRDefault="00E4374D" w:rsidP="00EC3125">
      <w:pPr>
        <w:ind w:firstLineChars="200" w:firstLine="480"/>
        <w:jc w:val="both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如以下</w:t>
      </w:r>
      <w:r>
        <w:rPr>
          <w:rFonts w:hint="eastAsia"/>
          <w:szCs w:val="24"/>
          <w:lang w:eastAsia="zh-CN"/>
        </w:rPr>
        <w:t>《无线电规则》（</w:t>
      </w:r>
      <w:r>
        <w:rPr>
          <w:rFonts w:hint="eastAsia"/>
          <w:szCs w:val="24"/>
          <w:lang w:val="en-US" w:eastAsia="zh-CN"/>
        </w:rPr>
        <w:t>第</w:t>
      </w:r>
      <w:r>
        <w:rPr>
          <w:rFonts w:hint="eastAsia"/>
          <w:szCs w:val="24"/>
          <w:lang w:val="en-US" w:eastAsia="zh-CN"/>
        </w:rPr>
        <w:t>27</w:t>
      </w:r>
      <w:r>
        <w:rPr>
          <w:rFonts w:hint="eastAsia"/>
          <w:szCs w:val="24"/>
          <w:lang w:val="en-US" w:eastAsia="zh-CN"/>
        </w:rPr>
        <w:t>号决议附件</w:t>
      </w:r>
      <w:r>
        <w:rPr>
          <w:rFonts w:hint="eastAsia"/>
          <w:szCs w:val="24"/>
          <w:lang w:val="en-US" w:eastAsia="zh-CN"/>
        </w:rPr>
        <w:t>3</w:t>
      </w:r>
      <w:r>
        <w:rPr>
          <w:rFonts w:hint="eastAsia"/>
          <w:szCs w:val="24"/>
          <w:lang w:eastAsia="zh-CN"/>
        </w:rPr>
        <w:t>）的摘录所示，</w:t>
      </w:r>
      <w:r>
        <w:rPr>
          <w:rFonts w:hint="eastAsia"/>
          <w:szCs w:val="24"/>
          <w:lang w:val="en-US" w:eastAsia="zh-CN"/>
        </w:rPr>
        <w:t>一旦</w:t>
      </w:r>
      <w:r>
        <w:rPr>
          <w:rFonts w:hint="eastAsia"/>
          <w:szCs w:val="24"/>
          <w:lang w:val="en-US" w:eastAsia="zh-CN"/>
        </w:rPr>
        <w:t>WRC-12</w:t>
      </w:r>
      <w:r>
        <w:rPr>
          <w:rFonts w:hint="eastAsia"/>
          <w:szCs w:val="24"/>
          <w:lang w:val="en-US" w:eastAsia="zh-CN"/>
        </w:rPr>
        <w:t>修订了第</w:t>
      </w:r>
      <w:r>
        <w:rPr>
          <w:rFonts w:hint="eastAsia"/>
          <w:szCs w:val="24"/>
          <w:lang w:val="en-US" w:eastAsia="zh-CN"/>
        </w:rPr>
        <w:t>27</w:t>
      </w:r>
      <w:r>
        <w:rPr>
          <w:rFonts w:hint="eastAsia"/>
          <w:szCs w:val="24"/>
          <w:lang w:val="en-US" w:eastAsia="zh-CN"/>
        </w:rPr>
        <w:t>号决议附件</w:t>
      </w:r>
      <w:r>
        <w:rPr>
          <w:rFonts w:hint="eastAsia"/>
          <w:szCs w:val="24"/>
          <w:lang w:val="en-US" w:eastAsia="zh-CN"/>
        </w:rPr>
        <w:t>3</w:t>
      </w:r>
      <w:r>
        <w:rPr>
          <w:rFonts w:hint="eastAsia"/>
          <w:szCs w:val="24"/>
          <w:lang w:val="en-US" w:eastAsia="zh-CN"/>
        </w:rPr>
        <w:t>，为引证归并的建议书创建一个交叉</w:t>
      </w:r>
      <w:r w:rsidR="00EC3125">
        <w:rPr>
          <w:rFonts w:hint="eastAsia"/>
          <w:szCs w:val="24"/>
          <w:lang w:val="en-US" w:eastAsia="zh-CN"/>
        </w:rPr>
        <w:t>引证</w:t>
      </w:r>
      <w:r>
        <w:rPr>
          <w:rFonts w:hint="eastAsia"/>
          <w:szCs w:val="24"/>
          <w:lang w:val="en-US" w:eastAsia="zh-CN"/>
        </w:rPr>
        <w:t>表以及与其相关的</w:t>
      </w:r>
      <w:r>
        <w:rPr>
          <w:rFonts w:hint="eastAsia"/>
          <w:szCs w:val="24"/>
          <w:lang w:eastAsia="zh-CN"/>
        </w:rPr>
        <w:t>《无线电规则》条款和脚注，则</w:t>
      </w:r>
      <w:r>
        <w:rPr>
          <w:rFonts w:hint="eastAsia"/>
          <w:szCs w:val="24"/>
          <w:lang w:val="en-US" w:eastAsia="zh-CN"/>
        </w:rPr>
        <w:t>此处建议的功能可很容易地进行管理。</w:t>
      </w:r>
    </w:p>
    <w:p w:rsidR="007870E9" w:rsidRDefault="007870E9" w:rsidP="009274BA">
      <w:pPr>
        <w:rPr>
          <w:i/>
          <w:szCs w:val="24"/>
          <w:lang w:val="en-US" w:eastAsia="zh-CN"/>
        </w:rPr>
      </w:pPr>
      <w:r>
        <w:rPr>
          <w:i/>
          <w:szCs w:val="24"/>
          <w:lang w:val="en-US" w:eastAsia="zh-CN"/>
        </w:rPr>
        <w:t>“..</w:t>
      </w:r>
    </w:p>
    <w:p w:rsidR="00C57498" w:rsidRPr="00C57498" w:rsidRDefault="00C57498" w:rsidP="00EC3125">
      <w:pPr>
        <w:pStyle w:val="AnnexNo"/>
        <w:rPr>
          <w:rFonts w:ascii="STKaiti" w:eastAsia="STKaiti" w:hAnsi="STKaiti"/>
          <w:lang w:eastAsia="zh-CN"/>
        </w:rPr>
      </w:pPr>
      <w:r w:rsidRPr="00C57498">
        <w:rPr>
          <w:rFonts w:ascii="STKaiti" w:eastAsia="STKaiti" w:hAnsi="STKaiti" w:hint="eastAsia"/>
          <w:lang w:eastAsia="zh-CN"/>
        </w:rPr>
        <w:t>第27号决议</w:t>
      </w:r>
      <w:r w:rsidRPr="00C57498">
        <w:rPr>
          <w:rFonts w:ascii="STKaiti" w:eastAsia="STKaiti" w:hAnsi="STKaiti"/>
          <w:lang w:eastAsia="zh-CN"/>
        </w:rPr>
        <w:t>（WRC-</w:t>
      </w:r>
      <w:r w:rsidRPr="00C57498">
        <w:rPr>
          <w:rFonts w:ascii="STKaiti" w:eastAsia="STKaiti" w:hAnsi="STKaiti" w:hint="eastAsia"/>
          <w:lang w:eastAsia="zh-CN"/>
        </w:rPr>
        <w:t>12</w:t>
      </w:r>
      <w:r w:rsidRPr="00C57498">
        <w:rPr>
          <w:rFonts w:ascii="STKaiti" w:eastAsia="STKaiti" w:hAnsi="STKaiti" w:hint="eastAsia"/>
          <w:lang w:val="en-US" w:eastAsia="zh-CN"/>
        </w:rPr>
        <w:t>，</w:t>
      </w:r>
      <w:r w:rsidRPr="00C57498">
        <w:rPr>
          <w:rFonts w:ascii="STKaiti" w:eastAsia="STKaiti" w:hAnsi="STKaiti"/>
          <w:lang w:eastAsia="zh-CN"/>
        </w:rPr>
        <w:t>修订版）</w:t>
      </w:r>
      <w:r w:rsidRPr="00C57498">
        <w:rPr>
          <w:rFonts w:ascii="STKaiti" w:eastAsia="STKaiti" w:hAnsi="STKaiti" w:hint="eastAsia"/>
          <w:lang w:eastAsia="zh-CN"/>
        </w:rPr>
        <w:t>附件</w:t>
      </w:r>
      <w:r w:rsidRPr="00C57498">
        <w:rPr>
          <w:rFonts w:ascii="STKaiti" w:eastAsia="STKaiti" w:hAnsi="STKaiti"/>
          <w:lang w:eastAsia="zh-CN"/>
        </w:rPr>
        <w:t>3</w:t>
      </w:r>
    </w:p>
    <w:p w:rsidR="00C57498" w:rsidRPr="00C57498" w:rsidRDefault="00C57498" w:rsidP="00EC3125">
      <w:pPr>
        <w:pStyle w:val="Annextitle"/>
        <w:spacing w:before="320" w:after="160"/>
        <w:rPr>
          <w:rFonts w:ascii="STKaiti" w:eastAsia="STKaiti" w:hAnsi="STKaiti"/>
          <w:color w:val="000000"/>
          <w:sz w:val="22"/>
          <w:szCs w:val="22"/>
          <w:lang w:eastAsia="zh-CN"/>
        </w:rPr>
      </w:pPr>
      <w:r w:rsidRPr="00C57498">
        <w:rPr>
          <w:rFonts w:ascii="STKaiti" w:eastAsia="STKaiti" w:hAnsi="STKaiti" w:hint="eastAsia"/>
          <w:bCs/>
          <w:lang w:eastAsia="zh-CN"/>
        </w:rPr>
        <w:t>世界无线电通信大会</w:t>
      </w:r>
      <w:r w:rsidRPr="00C57498">
        <w:rPr>
          <w:rFonts w:ascii="STKaiti" w:eastAsia="STKaiti" w:hAnsi="STKaiti"/>
          <w:lang w:eastAsia="zh-CN"/>
        </w:rPr>
        <w:t>在批准引证归并</w:t>
      </w:r>
      <w:r w:rsidRPr="00C57498">
        <w:rPr>
          <w:rFonts w:ascii="STKaiti" w:eastAsia="STKaiti" w:hAnsi="STKaiti"/>
          <w:bCs/>
          <w:lang w:eastAsia="zh-CN"/>
        </w:rPr>
        <w:t>ITU-R</w:t>
      </w:r>
      <w:r w:rsidRPr="00C57498">
        <w:rPr>
          <w:rFonts w:ascii="STKaiti" w:eastAsia="STKaiti" w:hAnsi="STKaiti"/>
          <w:lang w:eastAsia="zh-CN"/>
        </w:rPr>
        <w:t>建议书</w:t>
      </w:r>
      <w:r w:rsidRPr="00C57498">
        <w:rPr>
          <w:rFonts w:ascii="STKaiti" w:eastAsia="STKaiti" w:hAnsi="STKaiti" w:hint="eastAsia"/>
          <w:lang w:eastAsia="zh-CN"/>
        </w:rPr>
        <w:br/>
      </w:r>
      <w:r w:rsidRPr="00C57498">
        <w:rPr>
          <w:rFonts w:ascii="STKaiti" w:eastAsia="STKaiti" w:hAnsi="STKaiti"/>
          <w:lang w:eastAsia="zh-CN"/>
        </w:rPr>
        <w:t>或建议书的部分</w:t>
      </w:r>
      <w:r w:rsidRPr="00C57498">
        <w:rPr>
          <w:rFonts w:ascii="STKaiti" w:eastAsia="STKaiti" w:hAnsi="STKaiti" w:hint="eastAsia"/>
          <w:lang w:eastAsia="zh-CN"/>
        </w:rPr>
        <w:t>内容</w:t>
      </w:r>
      <w:r w:rsidRPr="00C57498">
        <w:rPr>
          <w:rFonts w:ascii="STKaiti" w:eastAsia="STKaiti" w:hAnsi="STKaiti"/>
          <w:lang w:eastAsia="zh-CN"/>
        </w:rPr>
        <w:t>时采用的程序</w:t>
      </w:r>
    </w:p>
    <w:p w:rsidR="00C57498" w:rsidRPr="00C57498" w:rsidRDefault="00C57498" w:rsidP="00EC3125">
      <w:pPr>
        <w:pStyle w:val="Normalaftertitle0"/>
        <w:ind w:firstLineChars="200" w:firstLine="480"/>
        <w:rPr>
          <w:rFonts w:ascii="STKaiti" w:eastAsia="STKaiti" w:hAnsi="STKaiti"/>
          <w:lang w:eastAsia="zh-CN"/>
        </w:rPr>
      </w:pPr>
      <w:r w:rsidRPr="00C57498">
        <w:rPr>
          <w:rFonts w:ascii="STKaiti" w:eastAsia="STKaiti" w:hAnsi="STKaiti" w:hint="eastAsia"/>
          <w:lang w:eastAsia="zh-CN"/>
        </w:rPr>
        <w:t>引证的文本须尽量提前提供给各代表团，以便所有主管部门均可用国际电联的语文对其进行查阅。文本的一份副本须作为大会文件向各主管部门提供。</w:t>
      </w:r>
    </w:p>
    <w:p w:rsidR="00C57498" w:rsidRPr="00C57498" w:rsidRDefault="00C57498" w:rsidP="00EC3125">
      <w:pPr>
        <w:ind w:firstLineChars="200" w:firstLine="480"/>
        <w:rPr>
          <w:rFonts w:ascii="STKaiti" w:eastAsia="STKaiti" w:hAnsi="STKaiti"/>
          <w:color w:val="000000"/>
          <w:sz w:val="22"/>
          <w:szCs w:val="22"/>
          <w:lang w:eastAsia="zh-CN"/>
        </w:rPr>
      </w:pPr>
      <w:r w:rsidRPr="00C57498">
        <w:rPr>
          <w:rFonts w:ascii="STKaiti" w:eastAsia="STKaiti" w:hAnsi="STKaiti" w:hint="eastAsia"/>
          <w:lang w:eastAsia="zh-CN"/>
        </w:rPr>
        <w:t>在每届世界无线电通信大会期间，各委员会须起草并更新引证归并的文本一览表</w:t>
      </w:r>
      <w:r w:rsidRPr="00C57498">
        <w:rPr>
          <w:rFonts w:ascii="STKaiti" w:eastAsia="STKaiti" w:hAnsi="STKaiti" w:hint="eastAsia"/>
          <w:szCs w:val="24"/>
          <w:lang w:val="en-US" w:eastAsia="zh-CN"/>
        </w:rPr>
        <w:t>以及含有引证归并此类ITU-R建议</w:t>
      </w:r>
      <w:bookmarkStart w:id="5" w:name="_GoBack"/>
      <w:bookmarkEnd w:id="5"/>
      <w:r w:rsidRPr="00C57498">
        <w:rPr>
          <w:rFonts w:ascii="STKaiti" w:eastAsia="STKaiti" w:hAnsi="STKaiti" w:hint="eastAsia"/>
          <w:szCs w:val="24"/>
          <w:lang w:val="en-US" w:eastAsia="zh-CN"/>
        </w:rPr>
        <w:t>书的</w:t>
      </w:r>
      <w:r w:rsidRPr="00EC3125">
        <w:rPr>
          <w:rFonts w:ascii="STKaiti" w:eastAsia="STKaiti" w:hAnsi="STKaiti" w:hint="eastAsia"/>
          <w:szCs w:val="24"/>
          <w:u w:val="single"/>
          <w:lang w:val="en-US" w:eastAsia="zh-CN"/>
        </w:rPr>
        <w:t>规则条款（包括脚注和决议）的交叉引证列表</w:t>
      </w:r>
      <w:r w:rsidRPr="00C57498">
        <w:rPr>
          <w:rFonts w:ascii="STKaiti" w:eastAsia="STKaiti" w:hAnsi="STKaiti" w:hint="eastAsia"/>
          <w:lang w:eastAsia="zh-CN"/>
        </w:rPr>
        <w:t>。这些列表须根据大会的进展情况作为大会文件出版。</w:t>
      </w:r>
    </w:p>
    <w:p w:rsidR="007870E9" w:rsidRPr="00EC3125" w:rsidRDefault="00C57498" w:rsidP="00EC3125">
      <w:pPr>
        <w:ind w:firstLineChars="200" w:firstLine="480"/>
        <w:rPr>
          <w:rFonts w:ascii="STKaiti" w:eastAsia="STKaiti" w:hAnsi="STKaiti"/>
          <w:i/>
          <w:szCs w:val="24"/>
          <w:lang w:val="en-US" w:eastAsia="zh-CN"/>
        </w:rPr>
      </w:pPr>
      <w:r w:rsidRPr="00EC3125">
        <w:rPr>
          <w:rFonts w:ascii="STKaiti" w:eastAsia="STKaiti" w:hAnsi="STKaiti" w:hint="eastAsia"/>
          <w:lang w:eastAsia="zh-CN"/>
        </w:rPr>
        <w:t>在每届世界无线电通信大会结束之后，无线电通信局和总秘书处将根据上述文件中所记录的大会进展情况，更新《无线电规则》此卷，将其作为引证归并的归档文本。</w:t>
      </w:r>
    </w:p>
    <w:p w:rsidR="007870E9" w:rsidRDefault="007870E9" w:rsidP="009274BA">
      <w:pPr>
        <w:jc w:val="both"/>
        <w:rPr>
          <w:szCs w:val="24"/>
          <w:lang w:val="en-US" w:eastAsia="zh-CN"/>
        </w:rPr>
      </w:pPr>
      <w:r>
        <w:rPr>
          <w:i/>
          <w:szCs w:val="24"/>
          <w:lang w:val="en-US" w:eastAsia="zh-CN"/>
        </w:rPr>
        <w:t>..”</w:t>
      </w:r>
    </w:p>
    <w:p w:rsidR="007870E9" w:rsidRPr="0020043B" w:rsidRDefault="00336417" w:rsidP="00EC3125">
      <w:pPr>
        <w:keepNext/>
        <w:ind w:firstLineChars="200" w:firstLine="480"/>
        <w:jc w:val="both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lastRenderedPageBreak/>
        <w:t>根据从《无线电规则》第</w:t>
      </w:r>
      <w:r>
        <w:rPr>
          <w:rFonts w:hint="eastAsia"/>
          <w:szCs w:val="24"/>
          <w:lang w:val="en-US" w:eastAsia="zh-CN"/>
        </w:rPr>
        <w:t>4</w:t>
      </w:r>
      <w:r>
        <w:rPr>
          <w:rFonts w:hint="eastAsia"/>
          <w:szCs w:val="24"/>
          <w:lang w:val="en-US" w:eastAsia="zh-CN"/>
        </w:rPr>
        <w:t>卷交叉</w:t>
      </w:r>
      <w:r w:rsidR="00EC3125">
        <w:rPr>
          <w:rFonts w:hint="eastAsia"/>
          <w:szCs w:val="24"/>
          <w:lang w:val="en-US" w:eastAsia="zh-CN"/>
        </w:rPr>
        <w:t>引证</w:t>
      </w:r>
      <w:r>
        <w:rPr>
          <w:rFonts w:hint="eastAsia"/>
          <w:szCs w:val="24"/>
          <w:lang w:val="en-US" w:eastAsia="zh-CN"/>
        </w:rPr>
        <w:t>列表中摘录的信息，每届</w:t>
      </w:r>
      <w:r>
        <w:rPr>
          <w:rFonts w:hint="eastAsia"/>
          <w:szCs w:val="24"/>
          <w:lang w:val="en-US" w:eastAsia="zh-CN"/>
        </w:rPr>
        <w:t>WRC</w:t>
      </w:r>
      <w:r>
        <w:rPr>
          <w:rFonts w:hint="eastAsia"/>
          <w:szCs w:val="24"/>
          <w:lang w:val="en-US" w:eastAsia="zh-CN"/>
        </w:rPr>
        <w:t>之后，无线电通信局可轻易地在</w:t>
      </w:r>
      <w:r>
        <w:rPr>
          <w:szCs w:val="24"/>
          <w:lang w:val="en-US" w:eastAsia="zh-CN"/>
        </w:rPr>
        <w:t>ITU-R</w:t>
      </w:r>
      <w:r w:rsidRPr="0020043B">
        <w:rPr>
          <w:szCs w:val="24"/>
          <w:lang w:val="en-US" w:eastAsia="zh-CN"/>
        </w:rPr>
        <w:t xml:space="preserve"> </w:t>
      </w:r>
      <w:r>
        <w:rPr>
          <w:rFonts w:hint="eastAsia"/>
          <w:lang w:eastAsia="zh-CN"/>
        </w:rPr>
        <w:t>建议书数据库中更新此标识信息。此外，一旦其可为引证的案文和相关条款提供便利，该功能将可在未来的</w:t>
      </w:r>
      <w:r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期间更加容易地更新《无线电规则》。</w:t>
      </w:r>
    </w:p>
    <w:p w:rsidR="00B41DCB" w:rsidRDefault="00B41DCB" w:rsidP="00EC3125">
      <w:pPr>
        <w:keepNext/>
        <w:rPr>
          <w:lang w:val="en-US" w:eastAsia="zh-CN"/>
        </w:rPr>
      </w:pPr>
    </w:p>
    <w:p w:rsidR="00C57498" w:rsidRDefault="00C57498" w:rsidP="00EC3125">
      <w:pPr>
        <w:pStyle w:val="Reasons"/>
        <w:keepNext/>
        <w:rPr>
          <w:lang w:eastAsia="zh-CN"/>
        </w:rPr>
      </w:pPr>
    </w:p>
    <w:p w:rsidR="00C57498" w:rsidRDefault="00C57498" w:rsidP="00EC3125">
      <w:pPr>
        <w:jc w:val="center"/>
      </w:pPr>
      <w:r>
        <w:t>______________</w:t>
      </w:r>
    </w:p>
    <w:p w:rsidR="00C57498" w:rsidRDefault="00C57498" w:rsidP="00EC3125">
      <w:pPr>
        <w:rPr>
          <w:lang w:val="en-US" w:eastAsia="zh-CN"/>
        </w:rPr>
      </w:pPr>
    </w:p>
    <w:sectPr w:rsidR="00C57498" w:rsidSect="00A5181E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E9" w:rsidRDefault="007870E9">
      <w:r>
        <w:separator/>
      </w:r>
    </w:p>
  </w:endnote>
  <w:endnote w:type="continuationSeparator" w:id="0">
    <w:p w:rsidR="007870E9" w:rsidRDefault="0078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TKaiti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91" w:rsidRPr="006F31AB" w:rsidRDefault="009274BA" w:rsidP="00C57498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C57498">
      <w:t>P:\TRAD\C\ITU-R\AG\RAG13\RAG-1\000\011C.docx</w:t>
    </w:r>
    <w:r>
      <w:fldChar w:fldCharType="end"/>
    </w:r>
    <w:r w:rsidR="005E6891">
      <w:rPr>
        <w:rFonts w:hint="eastAsia"/>
        <w:lang w:eastAsia="zh-CN"/>
      </w:rPr>
      <w:t xml:space="preserve"> (</w:t>
    </w:r>
    <w:r w:rsidR="00C57498">
      <w:rPr>
        <w:rFonts w:hint="eastAsia"/>
        <w:lang w:eastAsia="zh-CN"/>
      </w:rPr>
      <w:t>343620</w:t>
    </w:r>
    <w:r w:rsidR="005E6891">
      <w:rPr>
        <w:rFonts w:hint="eastAsia"/>
        <w:lang w:eastAsia="zh-CN"/>
      </w:rPr>
      <w:t>)</w:t>
    </w:r>
    <w:r w:rsidR="005E6891">
      <w:tab/>
    </w:r>
    <w:r w:rsidR="005E6891">
      <w:fldChar w:fldCharType="begin"/>
    </w:r>
    <w:r w:rsidR="005E6891">
      <w:instrText xml:space="preserve"> SAVEDATE \@ DD.MM.YY </w:instrText>
    </w:r>
    <w:r w:rsidR="005E6891">
      <w:fldChar w:fldCharType="separate"/>
    </w:r>
    <w:r w:rsidR="00102A49">
      <w:t>09.05.13</w:t>
    </w:r>
    <w:r w:rsidR="005E6891">
      <w:fldChar w:fldCharType="end"/>
    </w:r>
    <w:r w:rsidR="005E6891">
      <w:tab/>
    </w:r>
    <w:r w:rsidR="005E6891">
      <w:fldChar w:fldCharType="begin"/>
    </w:r>
    <w:r w:rsidR="005E6891">
      <w:instrText xml:space="preserve"> PRINTDATE \@ DD.MM.YY </w:instrText>
    </w:r>
    <w:r w:rsidR="005E6891">
      <w:fldChar w:fldCharType="separate"/>
    </w:r>
    <w:r w:rsidR="00C57498">
      <w:t>01.05.13</w:t>
    </w:r>
    <w:r w:rsidR="005E689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91" w:rsidRDefault="009274BA" w:rsidP="00C5749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57498">
      <w:t>P:\TRAD\C\ITU-R\AG\RAG13\RAG-1\000\011C.docx</w:t>
    </w:r>
    <w:r>
      <w:fldChar w:fldCharType="end"/>
    </w:r>
    <w:r w:rsidR="005E6891">
      <w:rPr>
        <w:rFonts w:hint="eastAsia"/>
        <w:lang w:eastAsia="zh-CN"/>
      </w:rPr>
      <w:t xml:space="preserve"> (</w:t>
    </w:r>
    <w:r w:rsidR="00C57498">
      <w:rPr>
        <w:rFonts w:hint="eastAsia"/>
        <w:lang w:eastAsia="zh-CN"/>
      </w:rPr>
      <w:t>343620</w:t>
    </w:r>
    <w:r w:rsidR="005E6891">
      <w:rPr>
        <w:rFonts w:hint="eastAsia"/>
        <w:lang w:eastAsia="zh-CN"/>
      </w:rPr>
      <w:t>)</w:t>
    </w:r>
    <w:r w:rsidR="005E6891">
      <w:tab/>
    </w:r>
    <w:r w:rsidR="005E6891">
      <w:fldChar w:fldCharType="begin"/>
    </w:r>
    <w:r w:rsidR="005E6891">
      <w:instrText xml:space="preserve"> SAVEDATE \@ DD.MM.YY </w:instrText>
    </w:r>
    <w:r w:rsidR="005E6891">
      <w:fldChar w:fldCharType="separate"/>
    </w:r>
    <w:r w:rsidR="00102A49">
      <w:t>09.05.13</w:t>
    </w:r>
    <w:r w:rsidR="005E6891">
      <w:fldChar w:fldCharType="end"/>
    </w:r>
    <w:r w:rsidR="005E6891">
      <w:tab/>
    </w:r>
    <w:r w:rsidR="005E6891">
      <w:fldChar w:fldCharType="begin"/>
    </w:r>
    <w:r w:rsidR="005E6891">
      <w:instrText xml:space="preserve"> PRINTDATE \@ DD.MM.YY </w:instrText>
    </w:r>
    <w:r w:rsidR="005E6891">
      <w:fldChar w:fldCharType="separate"/>
    </w:r>
    <w:r w:rsidR="00C57498">
      <w:t>01.05.13</w:t>
    </w:r>
    <w:r w:rsidR="005E689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E9" w:rsidRDefault="007870E9">
      <w:r>
        <w:t>____________________</w:t>
      </w:r>
    </w:p>
  </w:footnote>
  <w:footnote w:type="continuationSeparator" w:id="0">
    <w:p w:rsidR="007870E9" w:rsidRDefault="0078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274BA">
      <w:rPr>
        <w:noProof/>
      </w:rPr>
      <w:t>2</w:t>
    </w:r>
    <w:r>
      <w:fldChar w:fldCharType="end"/>
    </w:r>
  </w:p>
  <w:p w:rsidR="005E6891" w:rsidRPr="00AF0B82" w:rsidRDefault="005E6891" w:rsidP="00C57498">
    <w:pPr>
      <w:pStyle w:val="Header"/>
      <w:rPr>
        <w:lang w:eastAsia="zh-CN"/>
      </w:rPr>
    </w:pPr>
    <w:r w:rsidRPr="00AF0B82">
      <w:t>RAG</w:t>
    </w:r>
    <w:r w:rsidRPr="00AF0B82">
      <w:rPr>
        <w:rFonts w:hint="eastAsia"/>
        <w:lang w:eastAsia="zh-CN"/>
      </w:rPr>
      <w:t>1</w:t>
    </w:r>
    <w:r w:rsidR="00B41DCB">
      <w:rPr>
        <w:lang w:eastAsia="zh-CN"/>
      </w:rPr>
      <w:t>3</w:t>
    </w:r>
    <w:r w:rsidRPr="00AF0B82">
      <w:t>-1/</w:t>
    </w:r>
    <w:r w:rsidR="00C57498">
      <w:rPr>
        <w:rFonts w:hint="eastAsia"/>
        <w:lang w:eastAsia="zh-CN"/>
      </w:rPr>
      <w:t>11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6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7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E9"/>
    <w:rsid w:val="00020106"/>
    <w:rsid w:val="00021007"/>
    <w:rsid w:val="00034C59"/>
    <w:rsid w:val="00062FA4"/>
    <w:rsid w:val="0006614B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F275A"/>
    <w:rsid w:val="000F3718"/>
    <w:rsid w:val="00102A49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D2334"/>
    <w:rsid w:val="001D6E77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4613"/>
    <w:rsid w:val="00252B08"/>
    <w:rsid w:val="00271619"/>
    <w:rsid w:val="00271C4F"/>
    <w:rsid w:val="0029544B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36417"/>
    <w:rsid w:val="00342405"/>
    <w:rsid w:val="00342659"/>
    <w:rsid w:val="0034529C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1D13"/>
    <w:rsid w:val="00492483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3462E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30A2A"/>
    <w:rsid w:val="0074537E"/>
    <w:rsid w:val="0075704C"/>
    <w:rsid w:val="00757BB1"/>
    <w:rsid w:val="007669B2"/>
    <w:rsid w:val="007870E9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903039"/>
    <w:rsid w:val="0091120B"/>
    <w:rsid w:val="00915949"/>
    <w:rsid w:val="00920D5A"/>
    <w:rsid w:val="0092390D"/>
    <w:rsid w:val="00924B9F"/>
    <w:rsid w:val="009274BA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5A3A"/>
    <w:rsid w:val="00B41DCB"/>
    <w:rsid w:val="00B523C6"/>
    <w:rsid w:val="00B52992"/>
    <w:rsid w:val="00B57898"/>
    <w:rsid w:val="00B62CF3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53641"/>
    <w:rsid w:val="00C57498"/>
    <w:rsid w:val="00C60AC9"/>
    <w:rsid w:val="00C77784"/>
    <w:rsid w:val="00C94697"/>
    <w:rsid w:val="00CB2BE8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4374D"/>
    <w:rsid w:val="00E55989"/>
    <w:rsid w:val="00E56657"/>
    <w:rsid w:val="00E62C6E"/>
    <w:rsid w:val="00E91301"/>
    <w:rsid w:val="00E96E00"/>
    <w:rsid w:val="00E979BD"/>
    <w:rsid w:val="00EA1892"/>
    <w:rsid w:val="00EB0ED5"/>
    <w:rsid w:val="00EC312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link w:val="ResrefChar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customStyle="1" w:styleId="AnnexNo">
    <w:name w:val="Annex_No"/>
    <w:basedOn w:val="Normal"/>
    <w:next w:val="Normal"/>
    <w:rsid w:val="00C5749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C5749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Reasons">
    <w:name w:val="Reasons"/>
    <w:basedOn w:val="Normal"/>
    <w:qFormat/>
    <w:rsid w:val="00C5749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link w:val="ResrefChar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customStyle="1" w:styleId="AnnexNo">
    <w:name w:val="Annex_No"/>
    <w:basedOn w:val="Normal"/>
    <w:next w:val="Normal"/>
    <w:rsid w:val="00C5749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C5749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Reasons">
    <w:name w:val="Reasons"/>
    <w:basedOn w:val="Normal"/>
    <w:qFormat/>
    <w:rsid w:val="00C5749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RAG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PC_RAG13</Template>
  <TotalTime>7</TotalTime>
  <Pages>2</Pages>
  <Words>679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798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chenm</dc:creator>
  <cp:keywords>RAG03-1</cp:keywords>
  <dc:description>Document RAG08-1/1-E  For: _x000d_Document date: 12 December 2007_x000d_Saved by JJF44233 at 15:38:46 on 18/12/2007</dc:description>
  <cp:lastModifiedBy>mchen</cp:lastModifiedBy>
  <cp:revision>4</cp:revision>
  <cp:lastPrinted>2013-05-09T15:10:00Z</cp:lastPrinted>
  <dcterms:created xsi:type="dcterms:W3CDTF">2013-05-09T15:06:00Z</dcterms:created>
  <dcterms:modified xsi:type="dcterms:W3CDTF">2013-05-09T15:13:00Z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