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D238A">
        <w:trPr>
          <w:cantSplit/>
        </w:trPr>
        <w:tc>
          <w:tcPr>
            <w:tcW w:w="6771" w:type="dxa"/>
          </w:tcPr>
          <w:p w:rsidR="002D238A" w:rsidRPr="002D238A" w:rsidRDefault="002D238A" w:rsidP="003511D1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  <w:r w:rsidR="00BA0C7B">
              <w:rPr>
                <w:rFonts w:ascii="Verdana" w:hAnsi="Verdana"/>
                <w:b/>
                <w:bCs/>
                <w:sz w:val="20"/>
              </w:rPr>
              <w:t>2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  <w:r w:rsidR="00BA0C7B">
              <w:rPr>
                <w:rFonts w:ascii="Verdana" w:hAnsi="Verdana"/>
                <w:b/>
                <w:bCs/>
                <w:sz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BA0C7B">
              <w:rPr>
                <w:rFonts w:ascii="Verdana" w:hAnsi="Verdana"/>
                <w:b/>
                <w:bCs/>
                <w:sz w:val="20"/>
              </w:rPr>
              <w:t>mai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 w:rsidR="00925627">
              <w:rPr>
                <w:rFonts w:ascii="Verdana" w:hAnsi="Verdana"/>
                <w:b/>
                <w:bCs/>
                <w:sz w:val="20"/>
              </w:rPr>
              <w:t>1</w:t>
            </w:r>
            <w:r w:rsidR="00BA0C7B"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2D238A" w:rsidRDefault="005430E4" w:rsidP="003511D1">
            <w:pPr>
              <w:shd w:val="solid" w:color="FFFFFF" w:fill="FFFFFF"/>
              <w:spacing w:before="0"/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8B836BD" wp14:editId="4E18FAAD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51782D" w:rsidRDefault="002D238A" w:rsidP="003511D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51782D" w:rsidRDefault="002D238A" w:rsidP="003511D1">
            <w:pPr>
              <w:shd w:val="solid" w:color="FFFFFF" w:fill="FFFFFF"/>
              <w:spacing w:before="0" w:after="48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51782D" w:rsidRDefault="002D238A" w:rsidP="003511D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2D238A" w:rsidRDefault="002D238A" w:rsidP="003511D1">
            <w:pPr>
              <w:shd w:val="solid" w:color="FFFFFF" w:fill="FFFFFF"/>
              <w:spacing w:before="0" w:after="48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vMerge w:val="restart"/>
          </w:tcPr>
          <w:p w:rsidR="002D238A" w:rsidRDefault="002D238A" w:rsidP="003511D1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</w:tcPr>
          <w:p w:rsidR="002D238A" w:rsidRPr="002F006E" w:rsidRDefault="002F006E" w:rsidP="003511D1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RAG13-1/6-F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3511D1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118" w:type="dxa"/>
          </w:tcPr>
          <w:p w:rsidR="002D238A" w:rsidRPr="002F006E" w:rsidRDefault="002F006E" w:rsidP="003511D1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23 avril 2013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3511D1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118" w:type="dxa"/>
          </w:tcPr>
          <w:p w:rsidR="002D238A" w:rsidRPr="002F006E" w:rsidRDefault="002F006E" w:rsidP="003511D1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3511D1" w:rsidP="003511D1">
            <w:pPr>
              <w:pStyle w:val="Source"/>
            </w:pPr>
            <w:bookmarkStart w:id="4" w:name="dsource" w:colFirst="0" w:colLast="0"/>
            <w:bookmarkEnd w:id="3"/>
            <w:r w:rsidRPr="00F45056">
              <w:t>Coordonnateur du Groupe de travail par correspondance du GCR</w:t>
            </w:r>
            <w:r w:rsidRPr="00F45056">
              <w:br/>
              <w:t>sur le traitement électronique des documents (EDH)</w:t>
            </w:r>
            <w:r w:rsidRPr="00F45056">
              <w:rPr>
                <w:rStyle w:val="FootnoteReference"/>
              </w:rPr>
              <w:footnoteReference w:id="1"/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040629" w:rsidP="003511D1">
            <w:pPr>
              <w:pStyle w:val="Title1"/>
            </w:pPr>
            <w:bookmarkStart w:id="5" w:name="dtitle1" w:colFirst="0" w:colLast="0"/>
            <w:bookmarkEnd w:id="4"/>
            <w:r>
              <w:t>é</w:t>
            </w:r>
            <w:r w:rsidR="003511D1" w:rsidRPr="00F45056">
              <w:t>tat d</w:t>
            </w:r>
            <w:r w:rsidR="00FE5EC5">
              <w:t>'</w:t>
            </w:r>
            <w:r w:rsidR="003511D1" w:rsidRPr="00F45056">
              <w:t>avancement des activités sur le traitement électronique des documents</w:t>
            </w:r>
            <w:r w:rsidR="003511D1">
              <w:t xml:space="preserve"> </w:t>
            </w:r>
          </w:p>
        </w:tc>
      </w:tr>
    </w:tbl>
    <w:bookmarkEnd w:id="5"/>
    <w:p w:rsidR="00AC39EE" w:rsidRDefault="003511D1" w:rsidP="003511D1">
      <w:pPr>
        <w:pStyle w:val="Heading1"/>
      </w:pPr>
      <w:r>
        <w:t>1</w:t>
      </w:r>
      <w:r>
        <w:tab/>
        <w:t>Introduction</w:t>
      </w:r>
    </w:p>
    <w:p w:rsidR="003511D1" w:rsidRPr="00F45056" w:rsidRDefault="003511D1" w:rsidP="003511D1">
      <w:r w:rsidRPr="00F45056">
        <w:t xml:space="preserve">L'Assemblée des radiocommunications a créé le Groupe de travail par correspondance chargé d'examiner la question du traitement électronique des documents (EDH) qui doit faire rapport au GCR, comme indiqué dans la </w:t>
      </w:r>
      <w:hyperlink r:id="rId9" w:history="1">
        <w:r w:rsidRPr="00F45056">
          <w:rPr>
            <w:rStyle w:val="Hyperlink"/>
            <w:szCs w:val="24"/>
          </w:rPr>
          <w:t>Circulaire administrative CA/130</w:t>
        </w:r>
      </w:hyperlink>
      <w:r>
        <w:t>.</w:t>
      </w:r>
    </w:p>
    <w:p w:rsidR="003511D1" w:rsidRPr="00F45056" w:rsidRDefault="003511D1" w:rsidP="003511D1">
      <w:r w:rsidRPr="00F45056">
        <w:t>Depuis la réunion du GCR en 2012, ce groupe n</w:t>
      </w:r>
      <w:r w:rsidR="00FE5EC5">
        <w:t>'</w:t>
      </w:r>
      <w:r w:rsidRPr="00F45056">
        <w:t xml:space="preserve">a </w:t>
      </w:r>
      <w:r>
        <w:t>eu</w:t>
      </w:r>
      <w:r w:rsidRPr="00F45056">
        <w:t xml:space="preserve"> aucune activité, ce qui peut </w:t>
      </w:r>
      <w:r>
        <w:t xml:space="preserve">vouloir dire que les choses </w:t>
      </w:r>
      <w:r w:rsidRPr="00F45056">
        <w:t xml:space="preserve">avancent bien pour ce qui est de l'utilisation des moyens électroniques à l'UIT-R. Les courriers antérieurs sont disponibles dans le fichier </w:t>
      </w:r>
      <w:hyperlink r:id="rId10" w:tgtFrame="_new" w:history="1">
        <w:r w:rsidRPr="00F45056">
          <w:rPr>
            <w:rStyle w:val="Hyperlink"/>
            <w:szCs w:val="24"/>
          </w:rPr>
          <w:t>Archives</w:t>
        </w:r>
      </w:hyperlink>
      <w:r w:rsidRPr="00F45056">
        <w:rPr>
          <w:rStyle w:val="FootnoteReference"/>
        </w:rPr>
        <w:footnoteReference w:id="2"/>
      </w:r>
      <w:r w:rsidRPr="00F45056">
        <w:t xml:space="preserve"> de la liste de diffusion électronique </w:t>
      </w:r>
      <w:hyperlink r:id="rId11" w:history="1">
        <w:r w:rsidRPr="00F45056">
          <w:rPr>
            <w:rStyle w:val="Hyperlink"/>
            <w:szCs w:val="24"/>
          </w:rPr>
          <w:t>rag-edh@itu.int</w:t>
        </w:r>
      </w:hyperlink>
      <w:r w:rsidRPr="00F45056">
        <w:t xml:space="preserve">. </w:t>
      </w:r>
      <w:r>
        <w:t>C</w:t>
      </w:r>
      <w:r w:rsidRPr="00F45056">
        <w:t xml:space="preserve">ertains </w:t>
      </w:r>
      <w:r>
        <w:t xml:space="preserve">points discutés informellement et </w:t>
      </w:r>
      <w:r w:rsidRPr="00F45056">
        <w:t xml:space="preserve">suggestions </w:t>
      </w:r>
      <w:r>
        <w:t>d</w:t>
      </w:r>
      <w:r w:rsidRPr="00F45056">
        <w:t xml:space="preserve">es délégués et </w:t>
      </w:r>
      <w:r>
        <w:t>du</w:t>
      </w:r>
      <w:r w:rsidRPr="00F45056">
        <w:t xml:space="preserve"> Coordonnateur du Groupe EDH</w:t>
      </w:r>
      <w:r>
        <w:t xml:space="preserve"> ont été traités avec le BR</w:t>
      </w:r>
      <w:r w:rsidRPr="00F45056">
        <w:t>.</w:t>
      </w:r>
    </w:p>
    <w:p w:rsidR="003511D1" w:rsidRDefault="003511D1" w:rsidP="003511D1">
      <w:r>
        <w:t xml:space="preserve">Il convient en outre de prendre note des activités du Secteur de la normalisation des télécommunications, en particulier de celles qui sont menées au titre de la </w:t>
      </w:r>
      <w:hyperlink r:id="rId12" w:history="1">
        <w:r w:rsidRPr="00CD0301">
          <w:rPr>
            <w:rStyle w:val="Hyperlink"/>
          </w:rPr>
          <w:t>Résolution 32 de l</w:t>
        </w:r>
        <w:r w:rsidR="00FE5EC5" w:rsidRPr="00CD0301">
          <w:rPr>
            <w:rStyle w:val="Hyperlink"/>
          </w:rPr>
          <w:t>'</w:t>
        </w:r>
        <w:r w:rsidRPr="00CD0301">
          <w:rPr>
            <w:rStyle w:val="Hyperlink"/>
          </w:rPr>
          <w:t>AMNT, «Renforcement des méthodes de travail électroniques pour les travau</w:t>
        </w:r>
        <w:r w:rsidRPr="00CD0301">
          <w:rPr>
            <w:rStyle w:val="Hyperlink"/>
          </w:rPr>
          <w:t>x</w:t>
        </w:r>
        <w:r w:rsidRPr="00CD0301">
          <w:rPr>
            <w:rStyle w:val="Hyperlink"/>
          </w:rPr>
          <w:t xml:space="preserve"> </w:t>
        </w:r>
        <w:r w:rsidRPr="00CD0301">
          <w:rPr>
            <w:rStyle w:val="Hyperlink"/>
          </w:rPr>
          <w:t>d</w:t>
        </w:r>
        <w:r w:rsidRPr="00CD0301">
          <w:rPr>
            <w:rStyle w:val="Hyperlink"/>
          </w:rPr>
          <w:t>e l'UIT-T»</w:t>
        </w:r>
      </w:hyperlink>
      <w:r w:rsidRPr="003511D1">
        <w:t>.</w:t>
      </w:r>
    </w:p>
    <w:p w:rsidR="003511D1" w:rsidRPr="00D10FEF" w:rsidRDefault="003511D1" w:rsidP="003511D1">
      <w:r>
        <w:t>Le rapport précédent sur l</w:t>
      </w:r>
      <w:r w:rsidR="00FE5EC5">
        <w:t>'</w:t>
      </w:r>
      <w:r>
        <w:t>état d</w:t>
      </w:r>
      <w:r w:rsidR="00FE5EC5">
        <w:t>'</w:t>
      </w:r>
      <w:r>
        <w:t xml:space="preserve">avancement des activités figure dans le </w:t>
      </w:r>
      <w:hyperlink r:id="rId13" w:history="1">
        <w:r w:rsidRPr="00110915">
          <w:rPr>
            <w:rStyle w:val="Hyperlink"/>
          </w:rPr>
          <w:t>Document RAG12-1/6</w:t>
        </w:r>
      </w:hyperlink>
      <w:r>
        <w:rPr>
          <w:rStyle w:val="FootnoteReference"/>
        </w:rPr>
        <w:footnoteReference w:id="3"/>
      </w:r>
      <w:r>
        <w:t>; il portait notamment sur les dernières mises à jour du site web de l</w:t>
      </w:r>
      <w:r w:rsidR="00FE5EC5">
        <w:t>'</w:t>
      </w:r>
      <w:r>
        <w:t>UIT-R.</w:t>
      </w:r>
    </w:p>
    <w:p w:rsidR="003511D1" w:rsidRDefault="003511D1" w:rsidP="003511D1">
      <w:pPr>
        <w:pStyle w:val="Heading1"/>
      </w:pPr>
      <w:r>
        <w:t>2</w:t>
      </w:r>
      <w:r>
        <w:tab/>
      </w:r>
      <w:r w:rsidRPr="00F45056">
        <w:t>Inscription des délégués</w:t>
      </w:r>
    </w:p>
    <w:p w:rsidR="003511D1" w:rsidRPr="003511D1" w:rsidRDefault="003511D1" w:rsidP="003511D1">
      <w:pPr>
        <w:rPr>
          <w:rFonts w:eastAsia="SimSun"/>
          <w:lang w:eastAsia="zh-CN"/>
        </w:rPr>
      </w:pPr>
      <w:r w:rsidRPr="003511D1">
        <w:t>Le système EDRS (</w:t>
      </w:r>
      <w:r w:rsidRPr="003511D1">
        <w:rPr>
          <w:rFonts w:eastAsia="SimSun"/>
          <w:lang w:eastAsia="zh-CN"/>
        </w:rPr>
        <w:t>Event Delegate Registration System), système d'inscription en ligne des délégués aux réunions, est actuellement utilisé pour toutes les réunions de l'UIT-R.</w:t>
      </w:r>
    </w:p>
    <w:p w:rsidR="003511D1" w:rsidRDefault="003511D1" w:rsidP="003511D1">
      <w:pPr>
        <w:rPr>
          <w:rFonts w:eastAsia="SimSun"/>
        </w:rPr>
      </w:pPr>
      <w:r>
        <w:rPr>
          <w:rFonts w:eastAsia="SimSun"/>
        </w:rPr>
        <w:t>Une plate-forme CRM (Customer Relationship Management), unique et intégrée, de gestion des relations avec les clients, des membres et des événements est en train d'être déployée à l'UIT. Ce nouveau système devrait être disponible d</w:t>
      </w:r>
      <w:r w:rsidR="00FE5EC5">
        <w:rPr>
          <w:rFonts w:eastAsia="SimSun"/>
        </w:rPr>
        <w:t>'</w:t>
      </w:r>
      <w:r>
        <w:rPr>
          <w:rFonts w:eastAsia="SimSun"/>
        </w:rPr>
        <w:t xml:space="preserve">ici à décembre 2013 et comporter des </w:t>
      </w:r>
      <w:r w:rsidRPr="002B19FB">
        <w:rPr>
          <w:rFonts w:eastAsia="SimSun"/>
        </w:rPr>
        <w:t>fonctions</w:t>
      </w:r>
      <w:r>
        <w:rPr>
          <w:rFonts w:eastAsia="SimSun"/>
        </w:rPr>
        <w:t xml:space="preserve"> d</w:t>
      </w:r>
      <w:r w:rsidR="00FE5EC5">
        <w:rPr>
          <w:rFonts w:eastAsia="SimSun"/>
        </w:rPr>
        <w:t>'</w:t>
      </w:r>
      <w:r>
        <w:rPr>
          <w:rFonts w:eastAsia="SimSun"/>
        </w:rPr>
        <w:t>inscription des délégués supplémentaires par rapport au système EDRS.</w:t>
      </w:r>
    </w:p>
    <w:p w:rsidR="003511D1" w:rsidRPr="003511D1" w:rsidRDefault="003511D1" w:rsidP="00CD0301">
      <w:pPr>
        <w:rPr>
          <w:rFonts w:eastAsia="SimSun"/>
        </w:rPr>
      </w:pPr>
      <w:r>
        <w:rPr>
          <w:rFonts w:eastAsia="SimSun"/>
        </w:rPr>
        <w:lastRenderedPageBreak/>
        <w:t xml:space="preserve">Comme </w:t>
      </w:r>
      <w:r w:rsidRPr="0027791F">
        <w:rPr>
          <w:rFonts w:eastAsia="SimSun"/>
        </w:rPr>
        <w:t xml:space="preserve">indiqué dans le </w:t>
      </w:r>
      <w:r>
        <w:rPr>
          <w:rFonts w:eastAsia="SimSun"/>
        </w:rPr>
        <w:t>paragraphe </w:t>
      </w:r>
      <w:r w:rsidRPr="0027791F">
        <w:rPr>
          <w:rFonts w:eastAsia="SimSun"/>
        </w:rPr>
        <w:t>3.4 de l</w:t>
      </w:r>
      <w:r w:rsidR="00FE5EC5">
        <w:rPr>
          <w:rFonts w:eastAsia="SimSun"/>
        </w:rPr>
        <w:t>'</w:t>
      </w:r>
      <w:hyperlink r:id="rId14" w:history="1">
        <w:r w:rsidR="00CD0301" w:rsidRPr="00357FA9">
          <w:rPr>
            <w:rStyle w:val="Hyperlink"/>
          </w:rPr>
          <w:t>Add</w:t>
        </w:r>
        <w:r w:rsidR="00CD0301" w:rsidRPr="00357FA9">
          <w:rPr>
            <w:rStyle w:val="Hyperlink"/>
          </w:rPr>
          <w:t>e</w:t>
        </w:r>
        <w:r w:rsidR="00CD0301" w:rsidRPr="00357FA9">
          <w:rPr>
            <w:rStyle w:val="Hyperlink"/>
          </w:rPr>
          <w:t>ndum 1</w:t>
        </w:r>
      </w:hyperlink>
      <w:r w:rsidRPr="0027791F">
        <w:rPr>
          <w:rFonts w:eastAsia="SimSun"/>
        </w:rPr>
        <w:t xml:space="preserve"> au </w:t>
      </w:r>
      <w:hyperlink r:id="rId15" w:history="1">
        <w:r w:rsidRPr="00357FA9">
          <w:rPr>
            <w:rStyle w:val="Hyperlink"/>
          </w:rPr>
          <w:t>Doc</w:t>
        </w:r>
        <w:r>
          <w:rPr>
            <w:rStyle w:val="Hyperlink"/>
          </w:rPr>
          <w:t>ument</w:t>
        </w:r>
        <w:r w:rsidRPr="00357FA9">
          <w:rPr>
            <w:rStyle w:val="Hyperlink"/>
          </w:rPr>
          <w:t xml:space="preserve"> RAG13-1/1</w:t>
        </w:r>
      </w:hyperlink>
      <w:r w:rsidRPr="003511D1">
        <w:rPr>
          <w:rFonts w:eastAsia="SimSun"/>
        </w:rPr>
        <w:t>, une version en ligne de la liste des participants à la 13</w:t>
      </w:r>
      <w:r w:rsidRPr="004B3FD6">
        <w:rPr>
          <w:rFonts w:eastAsia="SimSun"/>
        </w:rPr>
        <w:t>ème</w:t>
      </w:r>
      <w:r w:rsidRPr="003511D1">
        <w:rPr>
          <w:rFonts w:eastAsia="SimSun"/>
        </w:rPr>
        <w:t xml:space="preserve"> réunion du GCR (GCR-13) sera mise en place début ma</w:t>
      </w:r>
      <w:r w:rsidR="004B3FD6">
        <w:rPr>
          <w:rFonts w:eastAsia="SimSun"/>
        </w:rPr>
        <w:t>i </w:t>
      </w:r>
      <w:r w:rsidRPr="003511D1">
        <w:rPr>
          <w:rFonts w:eastAsia="SimSun"/>
        </w:rPr>
        <w:t>2013. L</w:t>
      </w:r>
      <w:r w:rsidR="00FE5EC5">
        <w:rPr>
          <w:rFonts w:eastAsia="SimSun"/>
        </w:rPr>
        <w:t>'</w:t>
      </w:r>
      <w:r w:rsidRPr="003511D1">
        <w:rPr>
          <w:rFonts w:eastAsia="SimSun"/>
        </w:rPr>
        <w:t xml:space="preserve">accès à cette version en ligne sera réservé aux utilisateurs du système TIES. Il sera possible de faire des recherches dans cette liste dynamique à partir de paramètres comme le nom, le membre et le rang dans la délégation. La version en ligne de la liste des participants au GCR-13 sera accessible depuis la </w:t>
      </w:r>
      <w:hyperlink r:id="rId16" w:history="1">
        <w:r w:rsidRPr="003511D1">
          <w:rPr>
            <w:rStyle w:val="Hyperlink"/>
            <w:lang w:val="fr-CH"/>
          </w:rPr>
          <w:t>page</w:t>
        </w:r>
      </w:hyperlink>
      <w:r w:rsidRPr="003511D1">
        <w:rPr>
          <w:rStyle w:val="Hyperlink"/>
          <w:lang w:val="fr-CH"/>
        </w:rPr>
        <w:t xml:space="preserve"> web du GCR-13</w:t>
      </w:r>
      <w:r w:rsidRPr="003511D1">
        <w:rPr>
          <w:rFonts w:eastAsia="SimSun"/>
        </w:rPr>
        <w:t>. Après la réunion du GCR-13, il est prévu de mettre en place des listes de participants en ligne pour toutes les manifestations relatives aux commissions d</w:t>
      </w:r>
      <w:r w:rsidR="00FE5EC5">
        <w:rPr>
          <w:rFonts w:eastAsia="SimSun"/>
        </w:rPr>
        <w:t>'</w:t>
      </w:r>
      <w:r w:rsidRPr="003511D1">
        <w:rPr>
          <w:rFonts w:eastAsia="SimSun"/>
        </w:rPr>
        <w:t>études de l</w:t>
      </w:r>
      <w:r w:rsidR="00FE5EC5">
        <w:rPr>
          <w:rFonts w:eastAsia="SimSun"/>
        </w:rPr>
        <w:t>'</w:t>
      </w:r>
      <w:r w:rsidRPr="003511D1">
        <w:rPr>
          <w:rFonts w:eastAsia="SimSun"/>
        </w:rPr>
        <w:t>UIT-R.</w:t>
      </w:r>
    </w:p>
    <w:p w:rsidR="003511D1" w:rsidRPr="00D10FEF" w:rsidRDefault="003511D1" w:rsidP="004B3FD6">
      <w:pPr>
        <w:pStyle w:val="Heading1"/>
      </w:pPr>
      <w:r>
        <w:t>3</w:t>
      </w:r>
      <w:r w:rsidRPr="00D10FEF">
        <w:tab/>
      </w:r>
      <w:r>
        <w:t>Publication des contributions «telles qu</w:t>
      </w:r>
      <w:r w:rsidR="00FE5EC5">
        <w:t>'</w:t>
      </w:r>
      <w:r>
        <w:t>elles ont été reçues» («As Received» ou «AR»)</w:t>
      </w:r>
    </w:p>
    <w:p w:rsidR="003511D1" w:rsidRDefault="004B3FD6" w:rsidP="004B3FD6">
      <w:r>
        <w:t>Se</w:t>
      </w:r>
      <w:r w:rsidR="003511D1">
        <w:t xml:space="preserve"> reporter au paragraphe 3 du </w:t>
      </w:r>
      <w:hyperlink r:id="rId17" w:history="1">
        <w:r w:rsidR="003511D1" w:rsidRPr="00110915">
          <w:rPr>
            <w:rStyle w:val="Hyperlink"/>
          </w:rPr>
          <w:t>Document RAG12-1/6</w:t>
        </w:r>
      </w:hyperlink>
      <w:r w:rsidR="003511D1">
        <w:t xml:space="preserve"> pour des informations générales. Le fait que les contributions soient publiées deux fois </w:t>
      </w:r>
      <w:r w:rsidR="003511D1" w:rsidRPr="004B3FD6">
        <w:t>avec des numéros différents</w:t>
      </w:r>
      <w:r w:rsidR="003511D1">
        <w:t xml:space="preserve"> continue de prêter à confusion, car la différence entre la page des documents «tels qu</w:t>
      </w:r>
      <w:r w:rsidR="00FE5EC5">
        <w:t>'</w:t>
      </w:r>
      <w:r w:rsidR="003511D1">
        <w:t>ils ont été reçus» et la page des «contributions» n</w:t>
      </w:r>
      <w:r w:rsidR="00FE5EC5">
        <w:t>'</w:t>
      </w:r>
      <w:r w:rsidR="003511D1">
        <w:t>est pas évidente, étant donné que seules les lettres «AR» ou «C», indiquées sur le haut de chaque page, les distinguent. Il conviendrait de remédier à ce problème. Peut-être qu</w:t>
      </w:r>
      <w:r w:rsidR="00FE5EC5">
        <w:t>'</w:t>
      </w:r>
      <w:r w:rsidR="003511D1">
        <w:t>une couleur de fond différente pour chaque page et/ou une inscription en filigrane sur la page des documents «AR» permettraient de réduire la confusion. Changer l</w:t>
      </w:r>
      <w:r w:rsidR="00FE5EC5">
        <w:t>'</w:t>
      </w:r>
      <w:r w:rsidR="003511D1">
        <w:t>ordre du menu des pages web des groupes afin que les contributions «C» apparaissent avant les contributions «AR» pourrait également s</w:t>
      </w:r>
      <w:r w:rsidR="00FE5EC5">
        <w:t>'</w:t>
      </w:r>
      <w:r w:rsidR="003511D1">
        <w:t>avérer utile.</w:t>
      </w:r>
    </w:p>
    <w:p w:rsidR="003511D1" w:rsidRPr="004B3FD6" w:rsidRDefault="004B3FD6" w:rsidP="00CD0301">
      <w:r>
        <w:t>Le BR continue d</w:t>
      </w:r>
      <w:r w:rsidR="00FE5EC5">
        <w:t>'</w:t>
      </w:r>
      <w:r>
        <w:t xml:space="preserve">étudier la possibilité pour </w:t>
      </w:r>
      <w:r w:rsidR="003511D1">
        <w:t xml:space="preserve">les membres </w:t>
      </w:r>
      <w:r>
        <w:t xml:space="preserve">de </w:t>
      </w:r>
      <w:r w:rsidR="003511D1">
        <w:t>télécharge</w:t>
      </w:r>
      <w:r>
        <w:t>r</w:t>
      </w:r>
      <w:r w:rsidR="003511D1">
        <w:t xml:space="preserve"> leurs contributions directement dans le dossier des documents «tels qu</w:t>
      </w:r>
      <w:r w:rsidR="00FE5EC5">
        <w:t>'</w:t>
      </w:r>
      <w:r w:rsidR="003511D1">
        <w:t xml:space="preserve">ils ont été reçus». Comme </w:t>
      </w:r>
      <w:r>
        <w:t>annoncé d</w:t>
      </w:r>
      <w:r w:rsidR="003511D1">
        <w:t>ans le paragraphe 3.1 de l</w:t>
      </w:r>
      <w:r w:rsidR="00FE5EC5">
        <w:t>'</w:t>
      </w:r>
      <w:hyperlink r:id="rId18" w:history="1">
        <w:r w:rsidR="00CD0301" w:rsidRPr="00357FA9">
          <w:rPr>
            <w:rStyle w:val="Hyperlink"/>
          </w:rPr>
          <w:t>Addend</w:t>
        </w:r>
        <w:r w:rsidR="00CD0301" w:rsidRPr="00357FA9">
          <w:rPr>
            <w:rStyle w:val="Hyperlink"/>
          </w:rPr>
          <w:t>u</w:t>
        </w:r>
        <w:r w:rsidR="00CD0301" w:rsidRPr="00357FA9">
          <w:rPr>
            <w:rStyle w:val="Hyperlink"/>
          </w:rPr>
          <w:t>m 1</w:t>
        </w:r>
      </w:hyperlink>
      <w:r w:rsidR="003511D1">
        <w:t xml:space="preserve"> au </w:t>
      </w:r>
      <w:hyperlink r:id="rId19" w:history="1">
        <w:r w:rsidR="003511D1" w:rsidRPr="00357FA9">
          <w:rPr>
            <w:rStyle w:val="Hyperlink"/>
          </w:rPr>
          <w:t>Doc</w:t>
        </w:r>
        <w:r w:rsidR="003511D1">
          <w:rPr>
            <w:rStyle w:val="Hyperlink"/>
          </w:rPr>
          <w:t>ument</w:t>
        </w:r>
        <w:r w:rsidR="003511D1" w:rsidRPr="00357FA9">
          <w:rPr>
            <w:rStyle w:val="Hyperlink"/>
          </w:rPr>
          <w:t xml:space="preserve"> RAG13-1/1</w:t>
        </w:r>
      </w:hyperlink>
      <w:r w:rsidR="003511D1">
        <w:t xml:space="preserve">, </w:t>
      </w:r>
      <w:r w:rsidR="003511D1" w:rsidRPr="004B3FD6">
        <w:t>un système visant à permettre aux auteurs des contributions de télécharger leurs contributions directement sur la page web donnant accès aux documents «tels qu</w:t>
      </w:r>
      <w:r w:rsidR="00FE5EC5">
        <w:t>'</w:t>
      </w:r>
      <w:r w:rsidR="003511D1" w:rsidRPr="004B3FD6">
        <w:t>ils ont été reçus» sera mis en place ultérieurement dans le courant de l</w:t>
      </w:r>
      <w:r w:rsidR="00FE5EC5">
        <w:t>'</w:t>
      </w:r>
      <w:r w:rsidR="003511D1" w:rsidRPr="004B3FD6">
        <w:t>année.</w:t>
      </w:r>
    </w:p>
    <w:p w:rsidR="003511D1" w:rsidRPr="00D10FEF" w:rsidRDefault="003511D1" w:rsidP="003511D1">
      <w:pPr>
        <w:pStyle w:val="Heading1"/>
      </w:pPr>
      <w:r>
        <w:t>4</w:t>
      </w:r>
      <w:r w:rsidRPr="00D10FEF">
        <w:tab/>
      </w:r>
      <w:r>
        <w:t>Manuel sur l</w:t>
      </w:r>
      <w:r w:rsidR="00FE5EC5">
        <w:t>'</w:t>
      </w:r>
      <w:r>
        <w:t>utilisation des outils logiciels</w:t>
      </w:r>
    </w:p>
    <w:p w:rsidR="003511D1" w:rsidRPr="004B3FD6" w:rsidRDefault="004B3FD6" w:rsidP="00CD0301">
      <w:pPr>
        <w:rPr>
          <w:szCs w:val="24"/>
        </w:rPr>
      </w:pPr>
      <w:r w:rsidRPr="004B3FD6">
        <w:t>L</w:t>
      </w:r>
      <w:r w:rsidR="003511D1" w:rsidRPr="004B3FD6">
        <w:t xml:space="preserve">e BR </w:t>
      </w:r>
      <w:r w:rsidRPr="004B3FD6">
        <w:t xml:space="preserve">devrait </w:t>
      </w:r>
      <w:r w:rsidR="003511D1" w:rsidRPr="004B3FD6">
        <w:t>envisage</w:t>
      </w:r>
      <w:r w:rsidRPr="004B3FD6">
        <w:t>r</w:t>
      </w:r>
      <w:r w:rsidR="003511D1" w:rsidRPr="004B3FD6">
        <w:t xml:space="preserve"> de mettre</w:t>
      </w:r>
      <w:r w:rsidR="00FF6501">
        <w:t xml:space="preserve"> </w:t>
      </w:r>
      <w:r w:rsidRPr="004B3FD6">
        <w:t xml:space="preserve">en ligne </w:t>
      </w:r>
      <w:r w:rsidR="003511D1" w:rsidRPr="004B3FD6">
        <w:t>un manuel et des lignes directrices concernant l</w:t>
      </w:r>
      <w:r w:rsidRPr="004B3FD6">
        <w:t xml:space="preserve">es outils </w:t>
      </w:r>
      <w:r w:rsidR="003511D1" w:rsidRPr="004B3FD6">
        <w:t>logiciels disponibles</w:t>
      </w:r>
      <w:r w:rsidR="003511D1" w:rsidRPr="004B3FD6">
        <w:rPr>
          <w:szCs w:val="24"/>
        </w:rPr>
        <w:t>, comme SharePoint, l</w:t>
      </w:r>
      <w:r w:rsidR="00FE5EC5">
        <w:rPr>
          <w:szCs w:val="24"/>
        </w:rPr>
        <w:t>'</w:t>
      </w:r>
      <w:r w:rsidR="003511D1" w:rsidRPr="004B3FD6">
        <w:rPr>
          <w:szCs w:val="24"/>
        </w:rPr>
        <w:t xml:space="preserve">outil de synchronisation </w:t>
      </w:r>
      <w:r w:rsidRPr="004B3FD6">
        <w:rPr>
          <w:szCs w:val="24"/>
        </w:rPr>
        <w:t>Sync Tool,</w:t>
      </w:r>
      <w:r w:rsidR="003511D1" w:rsidRPr="004B3FD6">
        <w:rPr>
          <w:szCs w:val="24"/>
        </w:rPr>
        <w:t xml:space="preserve"> la participation à distance</w:t>
      </w:r>
      <w:r w:rsidR="00CD0301">
        <w:rPr>
          <w:szCs w:val="24"/>
        </w:rPr>
        <w:t>,</w:t>
      </w:r>
      <w:r w:rsidRPr="004B3FD6">
        <w:rPr>
          <w:szCs w:val="24"/>
        </w:rPr>
        <w:t xml:space="preserve"> ou autre</w:t>
      </w:r>
      <w:r w:rsidR="003511D1" w:rsidRPr="004B3FD6">
        <w:rPr>
          <w:szCs w:val="24"/>
        </w:rPr>
        <w:t>.</w:t>
      </w:r>
    </w:p>
    <w:p w:rsidR="003511D1" w:rsidRDefault="003511D1" w:rsidP="003511D1">
      <w:pPr>
        <w:pStyle w:val="Heading1"/>
      </w:pPr>
      <w:r>
        <w:t>5</w:t>
      </w:r>
      <w:r w:rsidRPr="00D10FEF">
        <w:tab/>
      </w:r>
      <w:r>
        <w:t>Participation à distance</w:t>
      </w:r>
    </w:p>
    <w:p w:rsidR="003511D1" w:rsidRPr="004B3FD6" w:rsidRDefault="003511D1" w:rsidP="003511D1">
      <w:r w:rsidRPr="004B3FD6">
        <w:t xml:space="preserve">Conformément à la </w:t>
      </w:r>
      <w:hyperlink r:id="rId20" w:anchor="res167" w:history="1">
        <w:r w:rsidRPr="00CD0301">
          <w:rPr>
            <w:rStyle w:val="Hyperlink"/>
          </w:rPr>
          <w:t>Résolution 167 (Guad</w:t>
        </w:r>
        <w:r w:rsidRPr="00CD0301">
          <w:rPr>
            <w:rStyle w:val="Hyperlink"/>
          </w:rPr>
          <w:t>a</w:t>
        </w:r>
        <w:r w:rsidRPr="00CD0301">
          <w:rPr>
            <w:rStyle w:val="Hyperlink"/>
          </w:rPr>
          <w:t>l</w:t>
        </w:r>
        <w:r w:rsidRPr="00CD0301">
          <w:rPr>
            <w:rStyle w:val="Hyperlink"/>
          </w:rPr>
          <w:t>a</w:t>
        </w:r>
        <w:r w:rsidRPr="00CD0301">
          <w:rPr>
            <w:rStyle w:val="Hyperlink"/>
          </w:rPr>
          <w:t>jara, 2010)</w:t>
        </w:r>
      </w:hyperlink>
      <w:r w:rsidRPr="004B3FD6">
        <w:t xml:space="preserve"> de la Conférence de plénipotentiaires, les documents du Conseil </w:t>
      </w:r>
      <w:hyperlink r:id="rId21" w:history="1">
        <w:r w:rsidRPr="004B3FD6">
          <w:rPr>
            <w:rStyle w:val="Hyperlink"/>
          </w:rPr>
          <w:t>C12/21(Rév.1)</w:t>
        </w:r>
      </w:hyperlink>
      <w:r w:rsidRPr="004B3FD6">
        <w:rPr>
          <w:rStyle w:val="Hyperlink"/>
        </w:rPr>
        <w:t xml:space="preserve"> et</w:t>
      </w:r>
      <w:hyperlink r:id="rId22" w:history="1">
        <w:r w:rsidRPr="004B3FD6">
          <w:rPr>
            <w:rStyle w:val="Hyperlink"/>
          </w:rPr>
          <w:t xml:space="preserve"> C13/20</w:t>
        </w:r>
      </w:hyperlink>
      <w:r w:rsidRPr="004B3FD6">
        <w:t xml:space="preserve"> contiennent des rapports du Secrétaire général sur l</w:t>
      </w:r>
      <w:r w:rsidR="00FE5EC5">
        <w:t>'</w:t>
      </w:r>
      <w:r w:rsidRPr="004B3FD6">
        <w:t>expérience de l'UIT en matière de participation à distance et sur les activités prévues pour 2013 et au-delà.</w:t>
      </w:r>
    </w:p>
    <w:p w:rsidR="003511D1" w:rsidRDefault="003511D1" w:rsidP="003511D1">
      <w:r>
        <w:t>Le paragraphe 3.5 de l</w:t>
      </w:r>
      <w:r w:rsidR="00FE5EC5">
        <w:t>'</w:t>
      </w:r>
      <w:hyperlink r:id="rId23" w:history="1">
        <w:r w:rsidRPr="00357FA9">
          <w:rPr>
            <w:rStyle w:val="Hyperlink"/>
          </w:rPr>
          <w:t>Addendum 1</w:t>
        </w:r>
      </w:hyperlink>
      <w:r>
        <w:t xml:space="preserve"> au </w:t>
      </w:r>
      <w:hyperlink r:id="rId24" w:history="1">
        <w:r w:rsidRPr="00357FA9">
          <w:rPr>
            <w:rStyle w:val="Hyperlink"/>
          </w:rPr>
          <w:t>Doc</w:t>
        </w:r>
        <w:r>
          <w:rPr>
            <w:rStyle w:val="Hyperlink"/>
          </w:rPr>
          <w:t>ument</w:t>
        </w:r>
        <w:r w:rsidRPr="00357FA9">
          <w:rPr>
            <w:rStyle w:val="Hyperlink"/>
          </w:rPr>
          <w:t xml:space="preserve"> RAG13-1/1</w:t>
        </w:r>
      </w:hyperlink>
      <w:r>
        <w:rPr>
          <w:rStyle w:val="Hyperlink"/>
        </w:rPr>
        <w:t xml:space="preserve"> </w:t>
      </w:r>
      <w:r>
        <w:t>et le paragraphe 6 de l</w:t>
      </w:r>
      <w:r w:rsidR="00FE5EC5">
        <w:t>'</w:t>
      </w:r>
      <w:hyperlink r:id="rId25" w:history="1">
        <w:r w:rsidRPr="00D735ED">
          <w:rPr>
            <w:rStyle w:val="Hyperlink"/>
          </w:rPr>
          <w:t>Addendum 2</w:t>
        </w:r>
      </w:hyperlink>
      <w:r>
        <w:t xml:space="preserve"> au </w:t>
      </w:r>
      <w:hyperlink r:id="rId26" w:history="1">
        <w:r w:rsidRPr="00D735ED">
          <w:rPr>
            <w:rStyle w:val="Hyperlink"/>
          </w:rPr>
          <w:t>Doc</w:t>
        </w:r>
        <w:r>
          <w:rPr>
            <w:rStyle w:val="Hyperlink"/>
          </w:rPr>
          <w:t>ument</w:t>
        </w:r>
        <w:r w:rsidRPr="00D735ED">
          <w:rPr>
            <w:rStyle w:val="Hyperlink"/>
          </w:rPr>
          <w:t xml:space="preserve"> RAG12-1/1</w:t>
        </w:r>
      </w:hyperlink>
      <w:r>
        <w:rPr>
          <w:rStyle w:val="Hyperlink"/>
        </w:rPr>
        <w:t xml:space="preserve"> </w:t>
      </w:r>
      <w:r>
        <w:t>contiennent des comptes rendus détaillés du Bureau des radiocommunications concernant la participation à distance mise en place pendant les réunions de l</w:t>
      </w:r>
      <w:r w:rsidR="00FE5EC5">
        <w:t>'</w:t>
      </w:r>
      <w:r>
        <w:t>UIT-R.</w:t>
      </w:r>
    </w:p>
    <w:p w:rsidR="003511D1" w:rsidRDefault="003511D1" w:rsidP="004B3FD6">
      <w:r>
        <w:t>L</w:t>
      </w:r>
      <w:r w:rsidR="004B3FD6">
        <w:t xml:space="preserve">'expérience </w:t>
      </w:r>
      <w:r>
        <w:t>des sous-groupes de la Commission d</w:t>
      </w:r>
      <w:r w:rsidR="00FE5EC5">
        <w:t>'</w:t>
      </w:r>
      <w:r>
        <w:t xml:space="preserve">études 5 </w:t>
      </w:r>
      <w:r w:rsidR="004B3FD6">
        <w:t xml:space="preserve">a montré </w:t>
      </w:r>
      <w:r>
        <w:t>que la participation à distance était concluante lorsqu</w:t>
      </w:r>
      <w:r w:rsidR="00FE5EC5">
        <w:t>'</w:t>
      </w:r>
      <w:r>
        <w:t xml:space="preserve">elle concernait un ou deux délégués. </w:t>
      </w:r>
      <w:r w:rsidR="004B3FD6">
        <w:t xml:space="preserve">Faute de </w:t>
      </w:r>
      <w:r>
        <w:t xml:space="preserve">demande </w:t>
      </w:r>
      <w:r w:rsidR="004B3FD6">
        <w:t>de</w:t>
      </w:r>
      <w:r>
        <w:t xml:space="preserve"> participation à distance de plus de deux délégués </w:t>
      </w:r>
      <w:r w:rsidR="004B3FD6">
        <w:t>pour</w:t>
      </w:r>
      <w:r>
        <w:t xml:space="preserve"> la même réunion, il n</w:t>
      </w:r>
      <w:r w:rsidR="00FE5EC5">
        <w:t>'</w:t>
      </w:r>
      <w:r>
        <w:t>y a pas de données d</w:t>
      </w:r>
      <w:r w:rsidR="00FE5EC5">
        <w:t>'</w:t>
      </w:r>
      <w:r>
        <w:t xml:space="preserve">expérience </w:t>
      </w:r>
      <w:r w:rsidR="004B3FD6">
        <w:t>sur cette pratique</w:t>
      </w:r>
      <w:r>
        <w:t>. Il est toutefois facile d</w:t>
      </w:r>
      <w:r w:rsidR="00FE5EC5">
        <w:t>'</w:t>
      </w:r>
      <w:r>
        <w:t>identifier les deux difficultés suivantes:</w:t>
      </w:r>
    </w:p>
    <w:p w:rsidR="003511D1" w:rsidRDefault="004B3FD6" w:rsidP="004B3FD6">
      <w:pPr>
        <w:pStyle w:val="enumlev1"/>
      </w:pPr>
      <w:r>
        <w:t>1)</w:t>
      </w:r>
      <w:r>
        <w:tab/>
      </w:r>
      <w:r w:rsidR="003511D1">
        <w:t>La participation à distance ralentit le rythme de la discussion.</w:t>
      </w:r>
    </w:p>
    <w:p w:rsidR="003511D1" w:rsidRDefault="004B3FD6" w:rsidP="004B3FD6">
      <w:pPr>
        <w:pStyle w:val="enumlev1"/>
      </w:pPr>
      <w:r>
        <w:lastRenderedPageBreak/>
        <w:t>2)</w:t>
      </w:r>
      <w:r>
        <w:tab/>
      </w:r>
      <w:r w:rsidR="003511D1">
        <w:t>Il n</w:t>
      </w:r>
      <w:r w:rsidR="00FE5EC5">
        <w:t>'</w:t>
      </w:r>
      <w:r w:rsidR="003511D1">
        <w:t>est pas toujours possible de mettre en place la participation à distance lorsque les réunions se tiennent ailleurs qu</w:t>
      </w:r>
      <w:r w:rsidR="00FE5EC5">
        <w:t>'</w:t>
      </w:r>
      <w:r w:rsidR="003511D1">
        <w:t>à Genève (ce qui arrive de plus en plus souvent).</w:t>
      </w:r>
    </w:p>
    <w:p w:rsidR="003511D1" w:rsidRDefault="003511D1" w:rsidP="003511D1">
      <w:pPr>
        <w:pStyle w:val="Heading1"/>
      </w:pPr>
      <w:r>
        <w:t>6</w:t>
      </w:r>
      <w:r w:rsidRPr="00D10FEF">
        <w:tab/>
      </w:r>
      <w:r>
        <w:t>Migration et remaniement du site web de l</w:t>
      </w:r>
      <w:r w:rsidR="00FE5EC5">
        <w:t>'</w:t>
      </w:r>
      <w:r>
        <w:t>UIT</w:t>
      </w:r>
    </w:p>
    <w:p w:rsidR="003511D1" w:rsidRDefault="003511D1" w:rsidP="003511D1">
      <w:r>
        <w:t>L</w:t>
      </w:r>
      <w:r w:rsidR="00FE5EC5">
        <w:t>'</w:t>
      </w:r>
      <w:r>
        <w:t>UIT a décidé de mettre son site web à jour en menant les deux actions suivantes:</w:t>
      </w:r>
    </w:p>
    <w:p w:rsidR="003511D1" w:rsidRDefault="004B3FD6" w:rsidP="004B3FD6">
      <w:pPr>
        <w:pStyle w:val="enumlev1"/>
      </w:pPr>
      <w:r>
        <w:t>i)</w:t>
      </w:r>
      <w:r>
        <w:tab/>
      </w:r>
      <w:r w:rsidR="003511D1">
        <w:t xml:space="preserve">Migration du site web vers un serveur web plus robuste et </w:t>
      </w:r>
      <w:r>
        <w:t xml:space="preserve">plus </w:t>
      </w:r>
      <w:r w:rsidR="003511D1">
        <w:t>sûr: ce processus est en cours et progresse de façon satisfaisante, si bien que la plupart des pages web de l</w:t>
      </w:r>
      <w:r w:rsidR="00FE5EC5">
        <w:t>'</w:t>
      </w:r>
      <w:r w:rsidR="003511D1">
        <w:t xml:space="preserve">UIT-R </w:t>
      </w:r>
      <w:r>
        <w:t>au</w:t>
      </w:r>
      <w:r w:rsidR="003511D1">
        <w:t xml:space="preserve">ront </w:t>
      </w:r>
      <w:r>
        <w:t>été transféré</w:t>
      </w:r>
      <w:r w:rsidR="003511D1">
        <w:t xml:space="preserve">es en 2013; à </w:t>
      </w:r>
      <w:r>
        <w:t>terme, le site web de l</w:t>
      </w:r>
      <w:r w:rsidR="00FE5EC5">
        <w:t>'</w:t>
      </w:r>
      <w:r>
        <w:t>UIT n'utilisera</w:t>
      </w:r>
      <w:r w:rsidR="003511D1">
        <w:t xml:space="preserve"> plus MS FrontPage</w:t>
      </w:r>
      <w:r>
        <w:t>.</w:t>
      </w:r>
    </w:p>
    <w:p w:rsidR="003511D1" w:rsidRDefault="004B3FD6" w:rsidP="004B3FD6">
      <w:pPr>
        <w:pStyle w:val="enumlev1"/>
      </w:pPr>
      <w:r>
        <w:t>ii)</w:t>
      </w:r>
      <w:r>
        <w:tab/>
      </w:r>
      <w:r w:rsidR="003511D1">
        <w:t>Re</w:t>
      </w:r>
      <w:r>
        <w:t xml:space="preserve">fonte </w:t>
      </w:r>
      <w:r w:rsidR="003511D1">
        <w:t xml:space="preserve">des pages web: cette action est en cours et vise à donner un aspect </w:t>
      </w:r>
      <w:r>
        <w:t xml:space="preserve">et un comportement («look and feel») </w:t>
      </w:r>
      <w:r w:rsidR="003511D1">
        <w:t>plus moderne</w:t>
      </w:r>
      <w:r>
        <w:t>s</w:t>
      </w:r>
      <w:r w:rsidR="003511D1">
        <w:t xml:space="preserve"> et uniforme</w:t>
      </w:r>
      <w:r>
        <w:t>s</w:t>
      </w:r>
      <w:r w:rsidR="003511D1">
        <w:t xml:space="preserve"> aux différentes pages du site web; il est prévu que les nouvelles pages web de l</w:t>
      </w:r>
      <w:r w:rsidR="00FE5EC5">
        <w:t>'</w:t>
      </w:r>
      <w:r w:rsidR="003511D1">
        <w:t>UIT-R soient mises en ligne d</w:t>
      </w:r>
      <w:r w:rsidR="00FE5EC5">
        <w:t>'</w:t>
      </w:r>
      <w:r w:rsidR="003511D1">
        <w:t>ici à la fin du troisième trimestre de 2013.</w:t>
      </w:r>
    </w:p>
    <w:p w:rsidR="003511D1" w:rsidRDefault="003511D1" w:rsidP="004B3FD6">
      <w:pPr>
        <w:tabs>
          <w:tab w:val="clear" w:pos="1191"/>
          <w:tab w:val="left" w:pos="851"/>
        </w:tabs>
      </w:pPr>
      <w:r>
        <w:t>Il est important qu</w:t>
      </w:r>
      <w:r w:rsidR="00FE5EC5">
        <w:t>'</w:t>
      </w:r>
      <w:r>
        <w:t>avec toutes ces mises à jour, les pages web de l</w:t>
      </w:r>
      <w:r w:rsidR="00FE5EC5">
        <w:t>'</w:t>
      </w:r>
      <w:r>
        <w:t>UIT restent accessibles au moyen de liens permanents</w:t>
      </w:r>
      <w:r w:rsidR="004B3FD6">
        <w:t xml:space="preserve"> et que si les </w:t>
      </w:r>
      <w:r>
        <w:t xml:space="preserve">nouvelles structures de répertoires </w:t>
      </w:r>
      <w:r w:rsidR="004B3FD6">
        <w:t xml:space="preserve">entraînent </w:t>
      </w:r>
      <w:r>
        <w:t>la modification de certains emplacements</w:t>
      </w:r>
      <w:r w:rsidR="004B3FD6">
        <w:t xml:space="preserve">, </w:t>
      </w:r>
      <w:r>
        <w:t>une fonction de mappage ou de redirection automatique soit mise en place pour les anciennes URL. Il a été pris note du fait que certaines pages web ont été déplacées ou ont disparu, bien qu</w:t>
      </w:r>
      <w:r w:rsidR="00FE5EC5">
        <w:t>'</w:t>
      </w:r>
      <w:r>
        <w:t xml:space="preserve">elles soient mentionnées dans des Lettres circulaires officielles; il conviendrait que davantage de stabilité soit assurée. Certaines erreurs </w:t>
      </w:r>
      <w:r w:rsidR="004B3FD6">
        <w:t>s</w:t>
      </w:r>
      <w:r>
        <w:t xml:space="preserve">ont </w:t>
      </w:r>
      <w:r w:rsidR="004B3FD6">
        <w:t xml:space="preserve">signalées </w:t>
      </w:r>
      <w:r>
        <w:t xml:space="preserve">dans le paragraphe 11 du </w:t>
      </w:r>
      <w:hyperlink r:id="rId27" w:history="1">
        <w:r w:rsidRPr="00110915">
          <w:rPr>
            <w:rStyle w:val="Hyperlink"/>
          </w:rPr>
          <w:t>Document RAG12-1/6</w:t>
        </w:r>
      </w:hyperlink>
      <w:r>
        <w:t>.</w:t>
      </w:r>
    </w:p>
    <w:p w:rsidR="003511D1" w:rsidRPr="00152CA5" w:rsidRDefault="004B3FD6" w:rsidP="004B3FD6">
      <w:pPr>
        <w:tabs>
          <w:tab w:val="clear" w:pos="1191"/>
          <w:tab w:val="left" w:pos="851"/>
        </w:tabs>
      </w:pPr>
      <w:r>
        <w:t xml:space="preserve">En déplaçant </w:t>
      </w:r>
      <w:r w:rsidR="003511D1">
        <w:t>toutes les pages web vers la nouvelle plate-forme, il est important que toutes les URL utilisées a</w:t>
      </w:r>
      <w:r>
        <w:t xml:space="preserve">ntérieurement </w:t>
      </w:r>
      <w:r w:rsidR="003511D1">
        <w:t>restent val</w:t>
      </w:r>
      <w:r>
        <w:t>id</w:t>
      </w:r>
      <w:r w:rsidR="003511D1">
        <w:t>es.</w:t>
      </w:r>
    </w:p>
    <w:p w:rsidR="003511D1" w:rsidRDefault="003511D1" w:rsidP="003511D1">
      <w:pPr>
        <w:pStyle w:val="Heading1"/>
      </w:pPr>
      <w:r>
        <w:t>7</w:t>
      </w:r>
      <w:r w:rsidRPr="00D10FEF">
        <w:tab/>
      </w:r>
      <w:r>
        <w:t>Distribution des Lettres circulaires par courrier électronique</w:t>
      </w:r>
    </w:p>
    <w:p w:rsidR="003511D1" w:rsidRDefault="004B3FD6" w:rsidP="00FF6501">
      <w:r>
        <w:t xml:space="preserve">Se </w:t>
      </w:r>
      <w:r w:rsidR="003511D1">
        <w:t xml:space="preserve">reporter au paragraphe 12 du </w:t>
      </w:r>
      <w:hyperlink r:id="rId28" w:history="1">
        <w:r w:rsidR="003511D1" w:rsidRPr="00110915">
          <w:rPr>
            <w:rStyle w:val="Hyperlink"/>
          </w:rPr>
          <w:t>Document RAG12-1/6</w:t>
        </w:r>
      </w:hyperlink>
      <w:r w:rsidR="003511D1">
        <w:t xml:space="preserve"> pour des informations générales. </w:t>
      </w:r>
      <w:r>
        <w:t>Alors que, c</w:t>
      </w:r>
      <w:r w:rsidR="003511D1">
        <w:t>omme indiqué dans le paragraphe 3.2 de l</w:t>
      </w:r>
      <w:r w:rsidR="00FE5EC5">
        <w:t>'</w:t>
      </w:r>
      <w:hyperlink r:id="rId29" w:history="1">
        <w:r w:rsidR="003511D1" w:rsidRPr="00357FA9">
          <w:rPr>
            <w:rStyle w:val="Hyperlink"/>
          </w:rPr>
          <w:t>Addendum 1</w:t>
        </w:r>
      </w:hyperlink>
      <w:r w:rsidR="003511D1">
        <w:t xml:space="preserve"> au </w:t>
      </w:r>
      <w:hyperlink r:id="rId30" w:history="1">
        <w:r w:rsidR="003511D1" w:rsidRPr="00357FA9">
          <w:rPr>
            <w:rStyle w:val="Hyperlink"/>
          </w:rPr>
          <w:t>Doc</w:t>
        </w:r>
        <w:r w:rsidR="003511D1">
          <w:rPr>
            <w:rStyle w:val="Hyperlink"/>
          </w:rPr>
          <w:t>ument</w:t>
        </w:r>
        <w:r w:rsidR="003511D1" w:rsidRPr="00357FA9">
          <w:rPr>
            <w:rStyle w:val="Hyperlink"/>
          </w:rPr>
          <w:t xml:space="preserve"> RAG13-1/1</w:t>
        </w:r>
      </w:hyperlink>
      <w:r w:rsidR="003511D1">
        <w:t>,</w:t>
      </w:r>
      <w:r w:rsidR="003511D1" w:rsidRPr="004B3FD6">
        <w:t xml:space="preserve"> toutes les réunions des commissions d</w:t>
      </w:r>
      <w:r w:rsidR="00FE5EC5">
        <w:t>'</w:t>
      </w:r>
      <w:r w:rsidR="003511D1" w:rsidRPr="004B3FD6">
        <w:t>études et des groupes de travail se déroulent désormais sans aucun document papier,</w:t>
      </w:r>
      <w:r w:rsidR="00FF6501" w:rsidRPr="004B3FD6">
        <w:t xml:space="preserve"> </w:t>
      </w:r>
      <w:r w:rsidR="003511D1" w:rsidRPr="004B3FD6">
        <w:t>les Lettres circulaires continuent d</w:t>
      </w:r>
      <w:r w:rsidR="00FE5EC5">
        <w:t>'</w:t>
      </w:r>
      <w:r w:rsidR="003511D1" w:rsidRPr="004B3FD6">
        <w:t>être distribuées en v</w:t>
      </w:r>
      <w:r w:rsidR="003511D1">
        <w:t>ersion papier à certaines</w:t>
      </w:r>
      <w:r w:rsidR="003511D1" w:rsidRPr="004D3EAB">
        <w:t xml:space="preserve"> listes de distribution</w:t>
      </w:r>
      <w:r w:rsidR="003511D1">
        <w:t xml:space="preserve">, y compris aux destinataires qui soumettent leurs travaux par courrier électronique. Le paragraphe 12 du </w:t>
      </w:r>
      <w:hyperlink r:id="rId31" w:history="1">
        <w:r w:rsidR="003511D1" w:rsidRPr="00110915">
          <w:rPr>
            <w:rStyle w:val="Hyperlink"/>
          </w:rPr>
          <w:t>Document RAG12-1/6</w:t>
        </w:r>
      </w:hyperlink>
      <w:r w:rsidR="003511D1">
        <w:t xml:space="preserve"> contient des suggestions visant à établir une liste de distribution mixte pour les envois papier et électroniques.</w:t>
      </w:r>
    </w:p>
    <w:p w:rsidR="003511D1" w:rsidRDefault="003511D1" w:rsidP="003511D1">
      <w:pPr>
        <w:pStyle w:val="Heading1"/>
      </w:pPr>
      <w:r>
        <w:t>8</w:t>
      </w:r>
      <w:r w:rsidRPr="00D10FEF">
        <w:tab/>
      </w:r>
      <w:r>
        <w:t>Suppression des pages web personnelles des délégués de l</w:t>
      </w:r>
      <w:r w:rsidR="00FE5EC5">
        <w:t>'</w:t>
      </w:r>
      <w:r>
        <w:t>UIT</w:t>
      </w:r>
    </w:p>
    <w:p w:rsidR="003511D1" w:rsidRDefault="003511D1" w:rsidP="00CD0301">
      <w:r>
        <w:t>Depuis que l</w:t>
      </w:r>
      <w:r w:rsidR="00FE5EC5">
        <w:t>'</w:t>
      </w:r>
      <w:r>
        <w:t>Internet a commencé à être utilisé, l</w:t>
      </w:r>
      <w:r w:rsidR="00FE5EC5">
        <w:t>'</w:t>
      </w:r>
      <w:r>
        <w:t>UIT a gracieusement mis à la disposition de son personnel et des utilisateurs du système TIES de l</w:t>
      </w:r>
      <w:r w:rsidR="00FE5EC5">
        <w:t>'</w:t>
      </w:r>
      <w:r>
        <w:t xml:space="preserve">espace sur son serveur web (voir la page: </w:t>
      </w:r>
      <w:hyperlink r:id="rId32" w:history="1">
        <w:r w:rsidR="00CD0301" w:rsidRPr="00CD0301">
          <w:rPr>
            <w:rStyle w:val="Hyperlink"/>
            <w:color w:val="000000"/>
            <w:lang w:val="fr-CH"/>
          </w:rPr>
          <w:t>http://people.</w:t>
        </w:r>
        <w:r w:rsidR="00CD0301" w:rsidRPr="00CD0301">
          <w:rPr>
            <w:rStyle w:val="Hyperlink"/>
            <w:color w:val="000000"/>
            <w:lang w:val="fr-CH"/>
          </w:rPr>
          <w:t>i</w:t>
        </w:r>
        <w:r w:rsidR="00CD0301" w:rsidRPr="00CD0301">
          <w:rPr>
            <w:rStyle w:val="Hyperlink"/>
            <w:color w:val="000000"/>
            <w:lang w:val="fr-CH"/>
          </w:rPr>
          <w:t>tu.int</w:t>
        </w:r>
      </w:hyperlink>
      <w:r>
        <w:t>). Il a été mis fin à ce service en janvier 2013. Les délégués concernés doivent chercher une autre solution pour l</w:t>
      </w:r>
      <w:r w:rsidR="00FE5EC5">
        <w:t>'</w:t>
      </w:r>
      <w:r>
        <w:t>hébergement de leur site web.</w:t>
      </w:r>
    </w:p>
    <w:p w:rsidR="003511D1" w:rsidRDefault="003511D1" w:rsidP="003511D1">
      <w:pPr>
        <w:pStyle w:val="Heading1"/>
      </w:pPr>
      <w:r>
        <w:t>9</w:t>
      </w:r>
      <w:r w:rsidRPr="00D10FEF">
        <w:tab/>
      </w:r>
      <w:r>
        <w:t>Proposition</w:t>
      </w:r>
    </w:p>
    <w:p w:rsidR="003511D1" w:rsidRPr="00FF6501" w:rsidRDefault="003511D1" w:rsidP="00FF6501">
      <w:pPr>
        <w:rPr>
          <w:szCs w:val="24"/>
        </w:rPr>
      </w:pPr>
      <w:r w:rsidRPr="00FF6501">
        <w:t xml:space="preserve">Il </w:t>
      </w:r>
      <w:r w:rsidR="00FF6501">
        <w:t xml:space="preserve">est proposé </w:t>
      </w:r>
      <w:r w:rsidRPr="00FF6501">
        <w:t xml:space="preserve">qu'un plus grand nombre de groupes fassent l'essai des diverses </w:t>
      </w:r>
      <w:r w:rsidR="00FF6501">
        <w:t xml:space="preserve">solutions offertes à l'UIT-R pour le </w:t>
      </w:r>
      <w:r w:rsidRPr="00FF6501">
        <w:t xml:space="preserve">traitement électronique des documents </w:t>
      </w:r>
      <w:r w:rsidR="00FF6501">
        <w:t xml:space="preserve">(EDH), l'objectif étant de faciliter le </w:t>
      </w:r>
      <w:r w:rsidRPr="00FF6501">
        <w:t xml:space="preserve">travail </w:t>
      </w:r>
      <w:r w:rsidR="00FF6501">
        <w:t xml:space="preserve">de l'UIT-R et de le rendre </w:t>
      </w:r>
      <w:r w:rsidRPr="00FF6501">
        <w:t xml:space="preserve">plus productif. Les données d'expérience et les </w:t>
      </w:r>
      <w:r w:rsidR="00FF6501">
        <w:t>propo</w:t>
      </w:r>
      <w:r w:rsidRPr="00FF6501">
        <w:t>s</w:t>
      </w:r>
      <w:r w:rsidR="00FF6501">
        <w:t>i</w:t>
      </w:r>
      <w:r w:rsidRPr="00FF6501">
        <w:t xml:space="preserve">tions </w:t>
      </w:r>
      <w:r w:rsidR="00FF6501">
        <w:t>d'</w:t>
      </w:r>
      <w:r w:rsidRPr="00FF6501">
        <w:t xml:space="preserve">amélioration </w:t>
      </w:r>
      <w:r w:rsidR="00FF6501">
        <w:t xml:space="preserve">doivent être envoyées </w:t>
      </w:r>
      <w:r w:rsidRPr="00FF6501">
        <w:t xml:space="preserve">au </w:t>
      </w:r>
      <w:r w:rsidR="00FF6501">
        <w:t>G</w:t>
      </w:r>
      <w:r w:rsidRPr="00FF6501">
        <w:t xml:space="preserve">roupe de travail par correspondance du GCR sur le traitement électronique des documents à l'adresse </w:t>
      </w:r>
      <w:hyperlink r:id="rId33" w:history="1">
        <w:r w:rsidRPr="00FF6501">
          <w:rPr>
            <w:rStyle w:val="Hyperlink"/>
            <w:szCs w:val="24"/>
          </w:rPr>
          <w:t>rag-edh@itu.int</w:t>
        </w:r>
      </w:hyperlink>
      <w:r w:rsidRPr="00FF6501">
        <w:rPr>
          <w:szCs w:val="24"/>
        </w:rPr>
        <w:t>.</w:t>
      </w:r>
    </w:p>
    <w:p w:rsidR="003511D1" w:rsidRDefault="003511D1" w:rsidP="003511D1"/>
    <w:p w:rsidR="00FF6501" w:rsidRPr="003511D1" w:rsidRDefault="00FF6501" w:rsidP="00FF6501">
      <w:pPr>
        <w:jc w:val="center"/>
      </w:pPr>
      <w:r>
        <w:t>______________</w:t>
      </w:r>
    </w:p>
    <w:sectPr w:rsidR="00FF6501" w:rsidRPr="003511D1">
      <w:headerReference w:type="even" r:id="rId34"/>
      <w:headerReference w:type="default" r:id="rId35"/>
      <w:footerReference w:type="even" r:id="rId36"/>
      <w:footerReference w:type="default" r:id="rId37"/>
      <w:footerReference w:type="first" r:id="rId3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6E" w:rsidRDefault="002F006E">
      <w:r>
        <w:separator/>
      </w:r>
    </w:p>
  </w:endnote>
  <w:endnote w:type="continuationSeparator" w:id="0">
    <w:p w:rsidR="002F006E" w:rsidRDefault="002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2F006E">
      <w:rPr>
        <w:lang w:val="en-US"/>
      </w:rPr>
      <w:t>Document2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040629">
      <w:t>07.05.13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2F006E">
      <w:t>11.10.99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FF6501">
      <w:rPr>
        <w:lang w:val="en-US"/>
      </w:rPr>
      <w:t>P:\FRA\ITU-R\AG\RAG13\RAG-1\000\006F.DOCX</w:t>
    </w:r>
    <w:r>
      <w:rPr>
        <w:lang w:val="en-US"/>
      </w:rPr>
      <w:fldChar w:fldCharType="end"/>
    </w:r>
    <w:r w:rsidR="00FF6501">
      <w:rPr>
        <w:lang w:val="en-US"/>
      </w:rPr>
      <w:t xml:space="preserve"> (343131)</w:t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040629">
      <w:t>07.05.13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FF6501">
      <w:t>11.10.99</w:t>
    </w:r>
    <w:r w:rsidR="00847A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Pr="00FF6501" w:rsidRDefault="00FF6501" w:rsidP="00FF6501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P:\FRA\ITU-R\AG\RAG13\RAG-1\000\006F.DOCX</w:t>
    </w:r>
    <w:r>
      <w:rPr>
        <w:lang w:val="en-US"/>
      </w:rPr>
      <w:fldChar w:fldCharType="end"/>
    </w:r>
    <w:r>
      <w:rPr>
        <w:lang w:val="en-US"/>
      </w:rPr>
      <w:t xml:space="preserve"> (343131)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0629">
      <w:t>07.05.13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11.10.99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6E" w:rsidRDefault="002F006E">
      <w:r>
        <w:t>____________________</w:t>
      </w:r>
    </w:p>
  </w:footnote>
  <w:footnote w:type="continuationSeparator" w:id="0">
    <w:p w:rsidR="002F006E" w:rsidRDefault="002F006E">
      <w:r>
        <w:continuationSeparator/>
      </w:r>
    </w:p>
  </w:footnote>
  <w:footnote w:id="1">
    <w:p w:rsidR="003511D1" w:rsidRPr="00F22FB5" w:rsidRDefault="003511D1" w:rsidP="003511D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22FB5">
        <w:rPr>
          <w:lang w:val="es-ES"/>
        </w:rPr>
        <w:t xml:space="preserve"> </w:t>
      </w:r>
      <w:r w:rsidRPr="00F22FB5">
        <w:rPr>
          <w:lang w:val="es-ES"/>
        </w:rPr>
        <w:tab/>
      </w:r>
      <w:r w:rsidRPr="00F22FB5">
        <w:rPr>
          <w:szCs w:val="24"/>
          <w:lang w:val="es-ES"/>
        </w:rPr>
        <w:t>Jos</w:t>
      </w:r>
      <w:r>
        <w:rPr>
          <w:szCs w:val="24"/>
          <w:lang w:val="es-ES"/>
        </w:rPr>
        <w:t>é</w:t>
      </w:r>
      <w:r w:rsidRPr="00F22FB5">
        <w:rPr>
          <w:szCs w:val="24"/>
          <w:lang w:val="es-ES"/>
        </w:rPr>
        <w:t xml:space="preserve"> Costa (</w:t>
      </w:r>
      <w:r>
        <w:rPr>
          <w:szCs w:val="24"/>
          <w:lang w:val="es-ES"/>
        </w:rPr>
        <w:t>Ericsson Canada Inc.</w:t>
      </w:r>
      <w:r w:rsidRPr="00F22FB5">
        <w:rPr>
          <w:szCs w:val="24"/>
          <w:lang w:val="pt-BR"/>
        </w:rPr>
        <w:t xml:space="preserve">, Canada), Tél.: +1 613 </w:t>
      </w:r>
      <w:r>
        <w:rPr>
          <w:szCs w:val="24"/>
          <w:lang w:val="pt-BR"/>
        </w:rPr>
        <w:t>963</w:t>
      </w:r>
      <w:r w:rsidRPr="00F22FB5">
        <w:rPr>
          <w:szCs w:val="24"/>
          <w:lang w:val="pt-BR"/>
        </w:rPr>
        <w:t>-</w:t>
      </w:r>
      <w:r>
        <w:rPr>
          <w:szCs w:val="24"/>
          <w:lang w:val="pt-BR"/>
        </w:rPr>
        <w:t>8288</w:t>
      </w:r>
      <w:r w:rsidRPr="00F22FB5">
        <w:rPr>
          <w:szCs w:val="24"/>
          <w:lang w:val="pt-BR"/>
        </w:rPr>
        <w:t xml:space="preserve">, E-mail: </w:t>
      </w:r>
      <w:hyperlink r:id="rId1" w:history="1">
        <w:r w:rsidRPr="002E05BE">
          <w:rPr>
            <w:rStyle w:val="Hyperlink"/>
            <w:szCs w:val="24"/>
            <w:lang w:val="pt-BR"/>
          </w:rPr>
          <w:t>jose. costa@ericsson.com</w:t>
        </w:r>
      </w:hyperlink>
      <w:r w:rsidRPr="00F22FB5">
        <w:rPr>
          <w:szCs w:val="24"/>
          <w:lang w:val="pt-BR"/>
        </w:rPr>
        <w:t>.</w:t>
      </w:r>
    </w:p>
  </w:footnote>
  <w:footnote w:id="2">
    <w:p w:rsidR="003511D1" w:rsidRPr="00BB18B1" w:rsidRDefault="003511D1" w:rsidP="003511D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B18B1">
        <w:rPr>
          <w:lang w:val="es-ES"/>
        </w:rPr>
        <w:t xml:space="preserve"> </w:t>
      </w:r>
      <w:r>
        <w:rPr>
          <w:lang w:val="es-ES"/>
        </w:rPr>
        <w:tab/>
      </w:r>
      <w:r>
        <w:fldChar w:fldCharType="begin"/>
      </w:r>
      <w:r w:rsidRPr="00E63193">
        <w:rPr>
          <w:lang w:val="es-ES_tradnl"/>
          <w:rPrChange w:id="6" w:author="millet" w:date="2013-04-24T14:41:00Z">
            <w:rPr/>
          </w:rPrChange>
        </w:rPr>
        <w:instrText>HYPERLINK "http://ties.itu.int/listarchives/rag-edh"</w:instrText>
      </w:r>
      <w:r>
        <w:fldChar w:fldCharType="separate"/>
      </w:r>
      <w:r w:rsidRPr="00666967">
        <w:rPr>
          <w:rStyle w:val="Hyperlink"/>
          <w:sz w:val="22"/>
          <w:szCs w:val="22"/>
          <w:lang w:val="pt-BR"/>
        </w:rPr>
        <w:t>http://ties.itu.int/listarchives/rag-edh</w:t>
      </w:r>
      <w:r>
        <w:fldChar w:fldCharType="end"/>
      </w:r>
    </w:p>
  </w:footnote>
  <w:footnote w:id="3">
    <w:p w:rsidR="003511D1" w:rsidRPr="00110915" w:rsidRDefault="003511D1" w:rsidP="003511D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fr-CH"/>
        </w:rPr>
        <w:t xml:space="preserve">Les rapports précédents figurent dans les </w:t>
      </w:r>
      <w:r w:rsidR="00FE5EC5">
        <w:rPr>
          <w:lang w:val="fr-CH"/>
        </w:rPr>
        <w:t>D</w:t>
      </w:r>
      <w:r>
        <w:rPr>
          <w:lang w:val="fr-CH"/>
        </w:rPr>
        <w:t xml:space="preserve">ocuments </w:t>
      </w:r>
      <w:hyperlink r:id="rId2" w:history="1">
        <w:r w:rsidRPr="00B606D0">
          <w:rPr>
            <w:rStyle w:val="Hyperlink"/>
            <w:sz w:val="22"/>
            <w:szCs w:val="22"/>
          </w:rPr>
          <w:t>RAG11-1/5</w:t>
        </w:r>
      </w:hyperlink>
      <w:r w:rsidRPr="00110915">
        <w:rPr>
          <w:sz w:val="22"/>
          <w:szCs w:val="22"/>
          <w:lang w:val="fr-CH"/>
        </w:rPr>
        <w:t xml:space="preserve">, </w:t>
      </w:r>
      <w:hyperlink r:id="rId3" w:history="1">
        <w:r w:rsidRPr="00666967">
          <w:rPr>
            <w:rStyle w:val="Hyperlink"/>
            <w:sz w:val="22"/>
            <w:szCs w:val="22"/>
            <w:lang w:val="sv-SE"/>
          </w:rPr>
          <w:t>RAG10-1/4</w:t>
        </w:r>
      </w:hyperlink>
      <w:r w:rsidRPr="00666967">
        <w:rPr>
          <w:sz w:val="22"/>
          <w:szCs w:val="22"/>
          <w:lang w:val="sv-SE"/>
        </w:rPr>
        <w:t xml:space="preserve">, </w:t>
      </w:r>
      <w:hyperlink r:id="rId4" w:history="1">
        <w:r w:rsidRPr="00666967">
          <w:rPr>
            <w:rStyle w:val="Hyperlink"/>
            <w:sz w:val="22"/>
            <w:szCs w:val="22"/>
            <w:lang w:val="sv-SE"/>
          </w:rPr>
          <w:t>RAG09-1/4</w:t>
        </w:r>
      </w:hyperlink>
      <w:r w:rsidRPr="00666967">
        <w:rPr>
          <w:sz w:val="22"/>
          <w:szCs w:val="22"/>
          <w:lang w:val="sv-SE"/>
        </w:rPr>
        <w:t xml:space="preserve">, </w:t>
      </w:r>
      <w:hyperlink r:id="rId5" w:history="1">
        <w:r w:rsidRPr="00666967">
          <w:rPr>
            <w:rStyle w:val="Hyperlink"/>
            <w:sz w:val="22"/>
            <w:szCs w:val="22"/>
            <w:lang w:val="sv-SE"/>
          </w:rPr>
          <w:t>RAG08</w:t>
        </w:r>
        <w:r>
          <w:rPr>
            <w:rStyle w:val="Hyperlink"/>
            <w:sz w:val="22"/>
            <w:szCs w:val="22"/>
            <w:lang w:val="sv-SE"/>
          </w:rPr>
          <w:noBreakHyphen/>
        </w:r>
        <w:r w:rsidRPr="00666967">
          <w:rPr>
            <w:rStyle w:val="Hyperlink"/>
            <w:sz w:val="22"/>
            <w:szCs w:val="22"/>
            <w:lang w:val="sv-SE"/>
          </w:rPr>
          <w:t>1/4</w:t>
        </w:r>
      </w:hyperlink>
      <w:r w:rsidRPr="00666967">
        <w:rPr>
          <w:sz w:val="22"/>
          <w:szCs w:val="22"/>
          <w:lang w:val="sv-SE"/>
        </w:rPr>
        <w:t xml:space="preserve">, </w:t>
      </w:r>
      <w:hyperlink r:id="rId6" w:history="1">
        <w:r w:rsidRPr="00666967">
          <w:rPr>
            <w:rStyle w:val="Hyperlink"/>
            <w:sz w:val="22"/>
            <w:szCs w:val="22"/>
            <w:lang w:val="sv-SE"/>
          </w:rPr>
          <w:t>RAG07-1/2</w:t>
        </w:r>
      </w:hyperlink>
      <w:r w:rsidRPr="00666967">
        <w:rPr>
          <w:sz w:val="22"/>
          <w:szCs w:val="22"/>
          <w:lang w:val="sv-SE"/>
        </w:rPr>
        <w:t xml:space="preserve">, </w:t>
      </w:r>
      <w:hyperlink r:id="rId7" w:history="1">
        <w:r w:rsidRPr="00666967">
          <w:rPr>
            <w:rStyle w:val="Hyperlink"/>
            <w:sz w:val="22"/>
            <w:szCs w:val="22"/>
            <w:lang w:val="sv-SE"/>
          </w:rPr>
          <w:t>RAG05-1/5</w:t>
        </w:r>
      </w:hyperlink>
      <w:r w:rsidRPr="00666967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et</w:t>
      </w:r>
      <w:r w:rsidRPr="00666967">
        <w:rPr>
          <w:sz w:val="22"/>
          <w:szCs w:val="22"/>
          <w:lang w:val="sv-SE"/>
        </w:rPr>
        <w:t xml:space="preserve"> </w:t>
      </w:r>
      <w:hyperlink r:id="rId8" w:history="1">
        <w:r w:rsidRPr="00666967">
          <w:rPr>
            <w:rStyle w:val="Hyperlink"/>
            <w:sz w:val="22"/>
            <w:szCs w:val="22"/>
            <w:lang w:val="sv-SE"/>
          </w:rPr>
          <w:t>RAG04-1/15</w:t>
        </w:r>
      </w:hyperlink>
      <w:r w:rsidRPr="00666967">
        <w:rPr>
          <w:sz w:val="22"/>
          <w:szCs w:val="22"/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CD0301">
      <w:rPr>
        <w:noProof/>
      </w:rPr>
      <w:t>3</w:t>
    </w:r>
    <w:r>
      <w:rPr>
        <w:noProof/>
      </w:rPr>
      <w:fldChar w:fldCharType="end"/>
    </w:r>
  </w:p>
  <w:p w:rsidR="00847AAC" w:rsidRDefault="0097156E" w:rsidP="00FF6501">
    <w:pPr>
      <w:pStyle w:val="Header"/>
      <w:rPr>
        <w:lang w:val="es-ES"/>
      </w:rPr>
    </w:pPr>
    <w:r>
      <w:rPr>
        <w:lang w:val="es-ES"/>
      </w:rPr>
      <w:t>RAG</w:t>
    </w:r>
    <w:r w:rsidR="00925627">
      <w:rPr>
        <w:lang w:val="es-ES"/>
      </w:rPr>
      <w:t>1</w:t>
    </w:r>
    <w:r w:rsidR="00BA0C7B">
      <w:rPr>
        <w:lang w:val="es-ES"/>
      </w:rPr>
      <w:t>3</w:t>
    </w:r>
    <w:r w:rsidR="00847AAC">
      <w:rPr>
        <w:lang w:val="es-ES"/>
      </w:rPr>
      <w:t>-1/</w:t>
    </w:r>
    <w:r w:rsidR="00FF6501">
      <w:rPr>
        <w:lang w:val="es-ES"/>
      </w:rPr>
      <w:t>6</w:t>
    </w:r>
    <w:r w:rsidR="00847AAC">
      <w:rPr>
        <w:lang w:val="es-ES"/>
      </w:rP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286"/>
    <w:multiLevelType w:val="hybridMultilevel"/>
    <w:tmpl w:val="8E90B650"/>
    <w:lvl w:ilvl="0" w:tplc="AFF246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16CD"/>
    <w:multiLevelType w:val="hybridMultilevel"/>
    <w:tmpl w:val="132CD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E"/>
    <w:rsid w:val="00040629"/>
    <w:rsid w:val="00140AE6"/>
    <w:rsid w:val="002D238A"/>
    <w:rsid w:val="002F006E"/>
    <w:rsid w:val="003511D1"/>
    <w:rsid w:val="004B3FD6"/>
    <w:rsid w:val="005430E4"/>
    <w:rsid w:val="0067019B"/>
    <w:rsid w:val="00773E5E"/>
    <w:rsid w:val="00847AAC"/>
    <w:rsid w:val="00883C35"/>
    <w:rsid w:val="009115AF"/>
    <w:rsid w:val="00925627"/>
    <w:rsid w:val="0093101F"/>
    <w:rsid w:val="0097156E"/>
    <w:rsid w:val="00A9055C"/>
    <w:rsid w:val="00AB7F92"/>
    <w:rsid w:val="00AC39EE"/>
    <w:rsid w:val="00BA0C7B"/>
    <w:rsid w:val="00CC5B9E"/>
    <w:rsid w:val="00CC7208"/>
    <w:rsid w:val="00CD0301"/>
    <w:rsid w:val="00D228F7"/>
    <w:rsid w:val="00FE5EC5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A0C7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C7B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rsid w:val="003511D1"/>
    <w:rPr>
      <w:color w:val="0000FF"/>
      <w:u w:val="single"/>
    </w:rPr>
  </w:style>
  <w:style w:type="paragraph" w:customStyle="1" w:styleId="Reasons">
    <w:name w:val="Reasons"/>
    <w:basedOn w:val="Normal"/>
    <w:qFormat/>
    <w:rsid w:val="00FF65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040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A0C7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C7B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rsid w:val="003511D1"/>
    <w:rPr>
      <w:color w:val="0000FF"/>
      <w:u w:val="single"/>
    </w:rPr>
  </w:style>
  <w:style w:type="paragraph" w:customStyle="1" w:styleId="Reasons">
    <w:name w:val="Reasons"/>
    <w:basedOn w:val="Normal"/>
    <w:qFormat/>
    <w:rsid w:val="00FF65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040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R12-RAG-C-0006/en" TargetMode="External"/><Relationship Id="rId18" Type="http://schemas.openxmlformats.org/officeDocument/2006/relationships/hyperlink" Target="http://www.itu.int/md/R13-RAG13-C-0001/en" TargetMode="External"/><Relationship Id="rId26" Type="http://schemas.openxmlformats.org/officeDocument/2006/relationships/hyperlink" Target="http://www.itu.int/md/R12-RAG-C-0001/e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S12-CL-C-0021/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T-RES/en" TargetMode="External"/><Relationship Id="rId17" Type="http://schemas.openxmlformats.org/officeDocument/2006/relationships/hyperlink" Target="http://www.itu.int/md/R12-RAG-C-0006/en" TargetMode="External"/><Relationship Id="rId25" Type="http://schemas.openxmlformats.org/officeDocument/2006/relationships/hyperlink" Target="http://www.itu.int/md/R12-RAG-C-0001/en" TargetMode="External"/><Relationship Id="rId33" Type="http://schemas.openxmlformats.org/officeDocument/2006/relationships/hyperlink" Target="mailto:rag-edh@itu.int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tu.int/en/ITU-R/conferences/rag/Pages/default.aspx" TargetMode="External"/><Relationship Id="rId20" Type="http://schemas.openxmlformats.org/officeDocument/2006/relationships/hyperlink" Target="http://www.itu.int/council/Basic-Texts/ResDecRec-PP10-f.docx" TargetMode="External"/><Relationship Id="rId29" Type="http://schemas.openxmlformats.org/officeDocument/2006/relationships/hyperlink" Target="http://www.itu.int/md/R13-RAG13-C-0001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g-edh@itu.int" TargetMode="External"/><Relationship Id="rId24" Type="http://schemas.openxmlformats.org/officeDocument/2006/relationships/hyperlink" Target="http://www.itu.int/md/R13-RAG13-C-0001/en" TargetMode="External"/><Relationship Id="rId32" Type="http://schemas.openxmlformats.org/officeDocument/2006/relationships/hyperlink" Target="http://people.itu.int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3-RAG13-C-0001/en" TargetMode="External"/><Relationship Id="rId23" Type="http://schemas.openxmlformats.org/officeDocument/2006/relationships/hyperlink" Target="http://www.itu.int/md/R13-RAG13-C-0001/en" TargetMode="External"/><Relationship Id="rId28" Type="http://schemas.openxmlformats.org/officeDocument/2006/relationships/hyperlink" Target="http://www.itu.int/md/R12-RAG-C-0006/e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ties.itu.int/listarchives/rag-edh" TargetMode="External"/><Relationship Id="rId19" Type="http://schemas.openxmlformats.org/officeDocument/2006/relationships/hyperlink" Target="http://www.itu.int/md/R13-RAG13-C-0001/en" TargetMode="External"/><Relationship Id="rId31" Type="http://schemas.openxmlformats.org/officeDocument/2006/relationships/hyperlink" Target="http://www.itu.int/md/R12-RAG-C-000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meetingdoc.asp?type=sitems&amp;lang=e&amp;parent=R00-CA-CIR-0130" TargetMode="External"/><Relationship Id="rId14" Type="http://schemas.openxmlformats.org/officeDocument/2006/relationships/hyperlink" Target="http://www.itu.int/md/R13-RAG13-C-0001/en" TargetMode="External"/><Relationship Id="rId22" Type="http://schemas.openxmlformats.org/officeDocument/2006/relationships/hyperlink" Target="http://www.itu.int/md/S13-CL-C-0020/en" TargetMode="External"/><Relationship Id="rId27" Type="http://schemas.openxmlformats.org/officeDocument/2006/relationships/hyperlink" Target="http://www.itu.int/md/R12-RAG-C-0006/en" TargetMode="External"/><Relationship Id="rId30" Type="http://schemas.openxmlformats.org/officeDocument/2006/relationships/hyperlink" Target="http://www.itu.int/md/R13-RAG13-C-0001/en" TargetMode="External"/><Relationship Id="rId35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4-RAG-C-0015/e" TargetMode="External"/><Relationship Id="rId3" Type="http://schemas.openxmlformats.org/officeDocument/2006/relationships/hyperlink" Target="http://www.itu.int/md/R10-RAG-C-0004/en" TargetMode="External"/><Relationship Id="rId7" Type="http://schemas.openxmlformats.org/officeDocument/2006/relationships/hyperlink" Target="http://www.itu.int/md/R05-RAG-C-0005/e" TargetMode="External"/><Relationship Id="rId2" Type="http://schemas.openxmlformats.org/officeDocument/2006/relationships/hyperlink" Target="http://www.itu.int/md/R11-RAG2011-C-0005/en" TargetMode="External"/><Relationship Id="rId1" Type="http://schemas.openxmlformats.org/officeDocument/2006/relationships/hyperlink" Target="mailto:jose.%20costa@ericsson.com" TargetMode="External"/><Relationship Id="rId6" Type="http://schemas.openxmlformats.org/officeDocument/2006/relationships/hyperlink" Target="http://www.itu.int/md/R07-RAG-C-0002/e" TargetMode="External"/><Relationship Id="rId5" Type="http://schemas.openxmlformats.org/officeDocument/2006/relationships/hyperlink" Target="http://www.itu.int/md/R08-RAG-C-0004/en" TargetMode="External"/><Relationship Id="rId4" Type="http://schemas.openxmlformats.org/officeDocument/2006/relationships/hyperlink" Target="http://www.itu.int/md/R09-RAG-C-000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.ITU_USERS\Application%20Data\Microsoft\Templates\POOL%20F%20-%20ITU\PF_RAG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PF_RAG13.dotm</Template>
  <TotalTime>76</TotalTime>
  <Pages>3</Pages>
  <Words>1338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ETAT D'AVANCEMENT DES ACTIVITÉS SUR LE TRAITEMENT ÉLECTRONIQUE DES DOCUMENTS</vt:lpstr>
    </vt:vector>
  </TitlesOfParts>
  <Manager>General Secretariat - Pool</Manager>
  <Company>International Telecommunication Union (ITU)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D'AVANCEMENT DES ACTIVITÉS SUR LE TRAITEMENT ÉLECTRONIQUE DES DOCUMENTS</dc:title>
  <dc:subject>GROUPE CONSULTATIF DES RADIOCOMMUNICATIONS</dc:subject>
  <dc:creator>Coordonnateur du Groupe de travail par correspondance du GCR sur le traitement électronique des documents (EDH)</dc:creator>
  <cp:keywords>RAG03-1</cp:keywords>
  <dc:description>Document RAG13-1/6-F  For: _x000d_Document date: 23 avril 2013_x000d_Saved by PCREMOTE1 at 16:25:45 on 07.05.2013</dc:description>
  <cp:lastModifiedBy>Jones, Jacqueline</cp:lastModifiedBy>
  <cp:revision>6</cp:revision>
  <cp:lastPrinted>1999-10-11T14:58:00Z</cp:lastPrinted>
  <dcterms:created xsi:type="dcterms:W3CDTF">2013-05-07T13:58:00Z</dcterms:created>
  <dcterms:modified xsi:type="dcterms:W3CDTF">2013-05-08T14:42:00Z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RAG13-1/6-F</vt:lpwstr>
  </property>
  <property fmtid="{D5CDD505-2E9C-101B-9397-08002B2CF9AE}" pid="3" name="Docdate">
    <vt:lpwstr>23 avril 2013</vt:lpwstr>
  </property>
  <property fmtid="{D5CDD505-2E9C-101B-9397-08002B2CF9AE}" pid="4" name="Docorlang">
    <vt:lpwstr>Original: anglais</vt:lpwstr>
  </property>
  <property fmtid="{D5CDD505-2E9C-101B-9397-08002B2CF9AE}" pid="5" name="Docauthor">
    <vt:lpwstr>Coordonnateur du Groupe de travail par correspondance du GCR sur le traitement électronique des documents (EDH)</vt:lpwstr>
  </property>
</Properties>
</file>