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31432E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31432E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1432E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87D2D67" wp14:editId="7543B822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8A2FAD" w:rsidRDefault="008A2FAD" w:rsidP="008A2F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RAG13-1/4-S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8A2FAD" w:rsidRDefault="008A2FAD" w:rsidP="008A2F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 de abril de 2013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8A2FAD" w:rsidRDefault="008A2FAD" w:rsidP="008A2FA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8A2FAD" w:rsidP="00605EEE">
            <w:pPr>
              <w:pStyle w:val="Source"/>
            </w:pPr>
            <w:bookmarkStart w:id="3" w:name="dsource" w:colFirst="0" w:colLast="0"/>
            <w:bookmarkEnd w:id="2"/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orea (Rep. </w:t>
            </w:r>
            <w:r w:rsidR="00605EEE">
              <w:rPr>
                <w:lang w:eastAsia="ko-KR"/>
              </w:rPr>
              <w:t>de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6E291F" w:rsidRPr="00605EEE">
        <w:trPr>
          <w:cantSplit/>
        </w:trPr>
        <w:tc>
          <w:tcPr>
            <w:tcW w:w="9889" w:type="dxa"/>
            <w:gridSpan w:val="2"/>
          </w:tcPr>
          <w:p w:rsidR="006E291F" w:rsidRPr="00605EEE" w:rsidRDefault="00605EEE" w:rsidP="00605EEE">
            <w:pPr>
              <w:pStyle w:val="Title1"/>
            </w:pPr>
            <w:bookmarkStart w:id="4" w:name="dtitle1" w:colFirst="0" w:colLast="0"/>
            <w:bookmarkEnd w:id="3"/>
            <w:r>
              <w:t>PROPUESTAS PARA aCTUALIZAR LAS «DIRECTRICES SOBRE LOS MéTODOS DE TRABAJO DE LA ASAMBLEA DE RADIOCOMUNICACIONES, DE LAS COMISIONES DE ESTUDIO DE RADIOCOMUNICACIONES</w:t>
            </w:r>
            <w:r>
              <w:br/>
              <w:t>Y DE LOS GRUPOS CORRESPONDIENTES» Y MEJORA DE LA ACCESIBILIDAD A LA INFORMACIóN</w:t>
            </w:r>
          </w:p>
        </w:tc>
      </w:tr>
      <w:bookmarkEnd w:id="4"/>
    </w:tbl>
    <w:p w:rsidR="00605EEE" w:rsidRDefault="00605EEE" w:rsidP="00605EEE"/>
    <w:p w:rsidR="008A2FAD" w:rsidRPr="00605EEE" w:rsidRDefault="008A2FAD" w:rsidP="00605EEE">
      <w:pPr>
        <w:pStyle w:val="Heading1"/>
      </w:pPr>
      <w:r w:rsidRPr="00605EEE">
        <w:t>1</w:t>
      </w:r>
      <w:r w:rsidRPr="00605EEE">
        <w:tab/>
      </w:r>
      <w:r w:rsidR="00605EEE" w:rsidRPr="00605EEE">
        <w:t>Introducción</w:t>
      </w:r>
    </w:p>
    <w:p w:rsidR="00605EEE" w:rsidRDefault="00605EEE" w:rsidP="00605EEE">
      <w:r>
        <w:t xml:space="preserve">La Asamblea de Radiocomunicaciones se </w:t>
      </w:r>
      <w:r>
        <w:t>celebró</w:t>
      </w:r>
      <w:r>
        <w:t xml:space="preserve"> en enero de 2012 y se necesita tomar las medidas correspondiente en las directrices de los métodos de trabajo para beneficio de los delegados en las reuniones del UIT-R.</w:t>
      </w:r>
    </w:p>
    <w:p w:rsidR="008A2FAD" w:rsidRPr="00605EEE" w:rsidRDefault="00605EEE" w:rsidP="00605EEE">
      <w:pPr>
        <w:rPr>
          <w:lang w:eastAsia="ko-KR"/>
        </w:rPr>
      </w:pPr>
      <w:r>
        <w:t xml:space="preserve">Cabe señalar que en diversas partes de las </w:t>
      </w:r>
      <w:r>
        <w:t>páginas</w:t>
      </w:r>
      <w:r>
        <w:t xml:space="preserve"> web del UIT-R figura </w:t>
      </w:r>
      <w:r>
        <w:t>información</w:t>
      </w:r>
      <w:r>
        <w:t xml:space="preserve"> </w:t>
      </w:r>
      <w:r>
        <w:t>útil</w:t>
      </w:r>
      <w:r>
        <w:t xml:space="preserve"> relativa a las reuniones</w:t>
      </w:r>
      <w:r w:rsidR="008D5B3D">
        <w:t>,</w:t>
      </w:r>
      <w:r>
        <w:t xml:space="preserve"> que no es fácil de encontrar por los delegados.</w:t>
      </w:r>
    </w:p>
    <w:p w:rsidR="008A2FAD" w:rsidRPr="00605EEE" w:rsidRDefault="008A2FAD" w:rsidP="00605EEE">
      <w:pPr>
        <w:pStyle w:val="Heading1"/>
      </w:pPr>
      <w:r w:rsidRPr="00605EEE">
        <w:rPr>
          <w:rFonts w:hint="eastAsia"/>
        </w:rPr>
        <w:t>2</w:t>
      </w:r>
      <w:r w:rsidRPr="00605EEE">
        <w:rPr>
          <w:rFonts w:hint="eastAsia"/>
        </w:rPr>
        <w:tab/>
      </w:r>
      <w:r w:rsidR="00605EEE" w:rsidRPr="00605EEE">
        <w:t>Actualización de las directrices sobre los métodos de trabajo</w:t>
      </w:r>
    </w:p>
    <w:p w:rsidR="00605EEE" w:rsidRDefault="00605EEE" w:rsidP="008D5B3D">
      <w:r>
        <w:t>Los métodos de trabajo de la Asamblea de Radiocomunicaciones (AR) y de las Comisiones de Estudio de Radiocomunicaciones están contenid</w:t>
      </w:r>
      <w:r w:rsidR="008D5B3D">
        <w:t>o</w:t>
      </w:r>
      <w:r>
        <w:t xml:space="preserve">s en la </w:t>
      </w:r>
      <w:r>
        <w:t>Resolución</w:t>
      </w:r>
      <w:r>
        <w:t xml:space="preserve"> UIT-R 1-6 que se refiere a las directrices publicadas por el Director. Dichas directrices </w:t>
      </w:r>
      <w:r>
        <w:t>proporcionan</w:t>
      </w:r>
      <w:r>
        <w:t xml:space="preserve"> </w:t>
      </w:r>
      <w:r>
        <w:t>información</w:t>
      </w:r>
      <w:r>
        <w:t xml:space="preserve"> adicional detallada sobre los </w:t>
      </w:r>
      <w:r>
        <w:t>procedimientos</w:t>
      </w:r>
      <w:r>
        <w:t xml:space="preserve"> de trabajo.</w:t>
      </w:r>
    </w:p>
    <w:p w:rsidR="008A2FAD" w:rsidRDefault="00605EEE" w:rsidP="008D5B3D">
      <w:pPr>
        <w:spacing w:after="120"/>
      </w:pPr>
      <w:r>
        <w:t>De a</w:t>
      </w:r>
      <w:r>
        <w:t>cuer</w:t>
      </w:r>
      <w:r>
        <w:t>d</w:t>
      </w:r>
      <w:r>
        <w:t>o</w:t>
      </w:r>
      <w:r>
        <w:t xml:space="preserve"> con la </w:t>
      </w:r>
      <w:r>
        <w:t>Resolución</w:t>
      </w:r>
      <w:r>
        <w:t xml:space="preserve">, se autoriza al </w:t>
      </w:r>
      <w:r w:rsidR="008D5B3D">
        <w:t>D</w:t>
      </w:r>
      <w:r>
        <w:t xml:space="preserve">irector de la </w:t>
      </w:r>
      <w:r w:rsidR="008D5B3D">
        <w:t>O</w:t>
      </w:r>
      <w:r>
        <w:t xml:space="preserve">ficina de Radiocomunicaciones a revisar las </w:t>
      </w:r>
      <w:r w:rsidR="008D5B3D">
        <w:t>d</w:t>
      </w:r>
      <w:r>
        <w:t>irectrices</w:t>
      </w:r>
      <w:r>
        <w:t xml:space="preserve"> periódicamente en estrecha cooperación con el GAR cuando sea necesario.</w:t>
      </w:r>
    </w:p>
    <w:p w:rsidR="00605EEE" w:rsidRPr="00605EEE" w:rsidRDefault="00605EEE" w:rsidP="008D5B3D">
      <w:pPr>
        <w:spacing w:after="120"/>
        <w:rPr>
          <w:szCs w:val="24"/>
          <w:lang w:eastAsia="ko-KR"/>
        </w:rPr>
      </w:pPr>
      <w:r>
        <w:t>A este respecto, la actual edición de «D</w:t>
      </w:r>
      <w:r>
        <w:t>irectrices</w:t>
      </w:r>
      <w:r>
        <w:t xml:space="preserve"> sobre los métodos de trabajo de la Asamblea de Radiocomunicaciones, de las Comisiones de Estudio de Radiocomunicaciones y de los Grupos correspondientes» </w:t>
      </w:r>
      <w:hyperlink r:id="rId9" w:history="1">
        <w:r w:rsidRPr="00605EEE">
          <w:t>(</w:t>
        </w:r>
        <w:r>
          <w:rPr>
            <w:rStyle w:val="Hyperlink"/>
            <w:szCs w:val="24"/>
            <w:lang w:eastAsia="ko-KR"/>
          </w:rPr>
          <w:t>Circular A</w:t>
        </w:r>
        <w:r w:rsidRPr="00605EEE">
          <w:rPr>
            <w:rStyle w:val="Hyperlink"/>
            <w:rFonts w:hint="eastAsia"/>
            <w:szCs w:val="24"/>
            <w:lang w:eastAsia="ko-KR"/>
          </w:rPr>
          <w:t>dministrativ</w:t>
        </w:r>
        <w:r>
          <w:rPr>
            <w:rStyle w:val="Hyperlink"/>
            <w:szCs w:val="24"/>
            <w:lang w:eastAsia="ko-KR"/>
          </w:rPr>
          <w:t>a</w:t>
        </w:r>
        <w:r w:rsidRPr="00605EEE">
          <w:rPr>
            <w:rStyle w:val="Hyperlink"/>
            <w:rFonts w:hint="eastAsia"/>
            <w:szCs w:val="24"/>
            <w:lang w:eastAsia="ko-KR"/>
          </w:rPr>
          <w:t xml:space="preserve"> CA/177</w:t>
        </w:r>
      </w:hyperlink>
      <w:r w:rsidRPr="00605EEE">
        <w:rPr>
          <w:rFonts w:hint="eastAsia"/>
          <w:szCs w:val="24"/>
          <w:lang w:eastAsia="ko-KR"/>
        </w:rPr>
        <w:t>)</w:t>
      </w:r>
      <w:r>
        <w:t xml:space="preserve">, 2008) debe revisarlas la BR para que reflejen los resultados de la AR-12; por ejemplo, la </w:t>
      </w:r>
      <w:r>
        <w:t>Resolución</w:t>
      </w:r>
      <w:r>
        <w:t xml:space="preserve"> UIT-R 45 (</w:t>
      </w:r>
      <w:r w:rsidR="004A42AE">
        <w:t>Aplicación</w:t>
      </w:r>
      <w:r>
        <w:t xml:space="preserve"> de un procedimiento de aprobación alternativo (AAP) para las </w:t>
      </w:r>
      <w:r>
        <w:t>Recomendaciones</w:t>
      </w:r>
      <w:r>
        <w:t xml:space="preserve">) fue </w:t>
      </w:r>
      <w:r>
        <w:t>suprimida</w:t>
      </w:r>
      <w:r>
        <w:t xml:space="preserve"> por la AR-12 y las </w:t>
      </w:r>
      <w:r w:rsidR="008D5B3D">
        <w:t>d</w:t>
      </w:r>
      <w:r>
        <w:t xml:space="preserve">irectrices hacen referencia a dicha </w:t>
      </w:r>
      <w:r>
        <w:t>Resolución</w:t>
      </w:r>
      <w:r>
        <w:t>.</w:t>
      </w:r>
    </w:p>
    <w:p w:rsidR="008A2FAD" w:rsidRPr="00605EEE" w:rsidRDefault="008A2FAD" w:rsidP="00605EEE">
      <w:pPr>
        <w:pStyle w:val="Heading1"/>
      </w:pPr>
      <w:r w:rsidRPr="00605EEE">
        <w:rPr>
          <w:rFonts w:hint="eastAsia"/>
        </w:rPr>
        <w:t>3</w:t>
      </w:r>
      <w:r w:rsidRPr="00605EEE">
        <w:rPr>
          <w:rFonts w:hint="eastAsia"/>
        </w:rPr>
        <w:tab/>
      </w:r>
      <w:r w:rsidR="00605EEE">
        <w:t xml:space="preserve">Mejora de la accesibilidad de la web a </w:t>
      </w:r>
      <w:r w:rsidR="00605EEE">
        <w:t>información</w:t>
      </w:r>
      <w:r w:rsidR="00605EEE">
        <w:t xml:space="preserve"> útil, </w:t>
      </w:r>
      <w:r w:rsidR="00605EEE">
        <w:t>incluidas</w:t>
      </w:r>
      <w:r w:rsidR="00605EEE">
        <w:t xml:space="preserve"> las directrices sobre los </w:t>
      </w:r>
      <w:r w:rsidR="00605EEE">
        <w:t>métodos</w:t>
      </w:r>
      <w:r w:rsidR="00605EEE">
        <w:t xml:space="preserve"> de trabajo</w:t>
      </w:r>
    </w:p>
    <w:p w:rsidR="008A2FAD" w:rsidRPr="00605EEE" w:rsidRDefault="00605EEE" w:rsidP="008D5B3D">
      <w:pPr>
        <w:spacing w:after="120"/>
        <w:rPr>
          <w:lang w:eastAsia="ko-KR"/>
        </w:rPr>
      </w:pPr>
      <w:r>
        <w:t>S</w:t>
      </w:r>
      <w:r>
        <w:t>iguiendo</w:t>
      </w:r>
      <w:r>
        <w:t xml:space="preserve"> la historia de las </w:t>
      </w:r>
      <w:r w:rsidR="008D5B3D">
        <w:t>d</w:t>
      </w:r>
      <w:r>
        <w:t xml:space="preserve">irectrices (véase el Anexo), se observa que la 2ª edición de las mismas (Circular Administrativa CA/13, 1995) </w:t>
      </w:r>
      <w:r>
        <w:t>contenía</w:t>
      </w:r>
      <w:r>
        <w:t xml:space="preserve"> Anexos útiles tales como «Formato de las contribuciones», «Formato de las Recomendaciones UIT-R», etc. Estos Anexos se suprimieron en </w:t>
      </w:r>
      <w:r>
        <w:lastRenderedPageBreak/>
        <w:t xml:space="preserve">la 3ª edición de las </w:t>
      </w:r>
      <w:r w:rsidR="008D5B3D">
        <w:t>d</w:t>
      </w:r>
      <w:r>
        <w:t xml:space="preserve">irectrices (Circular Administrativa CA/106, 2001) y la </w:t>
      </w:r>
      <w:r>
        <w:t>última</w:t>
      </w:r>
      <w:r>
        <w:t xml:space="preserve"> edición se </w:t>
      </w:r>
      <w:r>
        <w:t>publicó</w:t>
      </w:r>
      <w:r>
        <w:t xml:space="preserve">, además, sin los Anexos. Sin embargo, el «Formato de las contribuciones» y el «Formato de las Recomendaciones UIT-R» sigue siendo </w:t>
      </w:r>
      <w:r>
        <w:t>información</w:t>
      </w:r>
      <w:r>
        <w:t xml:space="preserve"> útil para los nuevos delegados a la hora de preparar sus </w:t>
      </w:r>
      <w:r>
        <w:t>contribuciones</w:t>
      </w:r>
      <w:r>
        <w:t xml:space="preserve"> a las reuniones del UIT-R, por consiguiente debe </w:t>
      </w:r>
      <w:r>
        <w:t>considerar</w:t>
      </w:r>
      <w:r w:rsidR="00E36452">
        <w:t>se</w:t>
      </w:r>
      <w:r>
        <w:t xml:space="preserve"> </w:t>
      </w:r>
      <w:r w:rsidR="00E36452">
        <w:t>compartir</w:t>
      </w:r>
      <w:r>
        <w:t xml:space="preserve"> dicha </w:t>
      </w:r>
      <w:r>
        <w:t>información</w:t>
      </w:r>
      <w:r>
        <w:t xml:space="preserve"> con los delegados en esas </w:t>
      </w:r>
      <w:r>
        <w:t>reuniones</w:t>
      </w:r>
      <w:r>
        <w:t>.</w:t>
      </w:r>
    </w:p>
    <w:p w:rsidR="008A2FAD" w:rsidRDefault="00E36452" w:rsidP="008D5B3D">
      <w:pPr>
        <w:pStyle w:val="enumlev1"/>
        <w:rPr>
          <w:lang w:eastAsia="ko-KR"/>
        </w:rPr>
      </w:pPr>
      <w:r w:rsidRPr="00E36452">
        <w:rPr>
          <w:lang w:eastAsia="ko-KR"/>
        </w:rPr>
        <w:t>–</w:t>
      </w:r>
      <w:r w:rsidRPr="00E36452">
        <w:rPr>
          <w:lang w:eastAsia="ko-KR"/>
        </w:rPr>
        <w:tab/>
      </w:r>
      <w:r>
        <w:t xml:space="preserve">Parece que </w:t>
      </w:r>
      <w:r>
        <w:t>el</w:t>
      </w:r>
      <w:r>
        <w:t xml:space="preserve"> formato de las contribuciones se simplifica en la </w:t>
      </w:r>
      <w:r>
        <w:t>plantilla</w:t>
      </w:r>
      <w:r>
        <w:t xml:space="preserve"> de contribuciones que no puede encontrarse fácilmente en la </w:t>
      </w:r>
      <w:r>
        <w:t>página</w:t>
      </w:r>
      <w:r>
        <w:t xml:space="preserve"> web del UIT-R. </w:t>
      </w:r>
      <w:r>
        <w:t>Sería</w:t>
      </w:r>
      <w:r>
        <w:t xml:space="preserve"> conveniente que dicha plantilla de contribuciones también proporcionase un </w:t>
      </w:r>
      <w:r>
        <w:t>ejemplo</w:t>
      </w:r>
      <w:r>
        <w:t xml:space="preserve"> del formato de las contribuciones similar al de la 2ª edición de las </w:t>
      </w:r>
      <w:r w:rsidR="008D5B3D">
        <w:t>d</w:t>
      </w:r>
      <w:r>
        <w:t>irectrices.</w:t>
      </w:r>
    </w:p>
    <w:p w:rsidR="0050711E" w:rsidRDefault="00E36452" w:rsidP="0050711E">
      <w:pPr>
        <w:pStyle w:val="enumlev1"/>
      </w:pPr>
      <w:r w:rsidRPr="00E36452">
        <w:rPr>
          <w:lang w:eastAsia="ko-KR"/>
        </w:rPr>
        <w:t>–</w:t>
      </w:r>
      <w:r w:rsidRPr="00E36452">
        <w:rPr>
          <w:lang w:eastAsia="ko-KR"/>
        </w:rPr>
        <w:tab/>
      </w:r>
      <w:r>
        <w:t xml:space="preserve">El formato de las </w:t>
      </w:r>
      <w:r>
        <w:t>Recomendaciones</w:t>
      </w:r>
      <w:r>
        <w:t xml:space="preserve"> UIT-R </w:t>
      </w:r>
      <w:r>
        <w:t>está</w:t>
      </w:r>
      <w:r>
        <w:t xml:space="preserve"> siendo objeto de debate en el GC del GAR. Una vez que se </w:t>
      </w:r>
      <w:r>
        <w:t>llegue</w:t>
      </w:r>
      <w:r>
        <w:t xml:space="preserve"> a una conclusión en estos debates, </w:t>
      </w:r>
      <w:r>
        <w:t>sería</w:t>
      </w:r>
      <w:r>
        <w:t xml:space="preserve"> útil compartir con los futuros participantes la forma definitiva del formato de las </w:t>
      </w:r>
      <w:r w:rsidR="0050711E">
        <w:t>R</w:t>
      </w:r>
      <w:r>
        <w:t>ecomendaciones.</w:t>
      </w:r>
    </w:p>
    <w:p w:rsidR="0050711E" w:rsidRPr="00304AB0" w:rsidRDefault="0050711E" w:rsidP="008D5B3D">
      <w:r>
        <w:t xml:space="preserve">Las propias </w:t>
      </w:r>
      <w:r w:rsidR="008D5B3D">
        <w:t>d</w:t>
      </w:r>
      <w:r>
        <w:t xml:space="preserve">irectrices también ofrecen </w:t>
      </w:r>
      <w:r>
        <w:t>información</w:t>
      </w:r>
      <w:r>
        <w:t xml:space="preserve"> esencial y muy útil para la Asamblea de Radiocomunicaciones (AR), las </w:t>
      </w:r>
      <w:r w:rsidR="00BE037E">
        <w:t>C</w:t>
      </w:r>
      <w:r>
        <w:t>omisiones</w:t>
      </w:r>
      <w:r>
        <w:t xml:space="preserve"> de Estudio de Radiocomunicaciones y </w:t>
      </w:r>
      <w:r w:rsidR="00BE037E">
        <w:t xml:space="preserve">a </w:t>
      </w:r>
      <w:r>
        <w:t>los Grupos correspondientes. Actualmente, s</w:t>
      </w:r>
      <w:r w:rsidR="00BE037E">
        <w:t>ó</w:t>
      </w:r>
      <w:r>
        <w:t xml:space="preserve">lo en la </w:t>
      </w:r>
      <w:r>
        <w:t>página</w:t>
      </w:r>
      <w:r>
        <w:t xml:space="preserve"> web principal </w:t>
      </w:r>
      <w:r w:rsidR="00BE037E" w:rsidRPr="00BE037E">
        <w:rPr>
          <w:rFonts w:hint="eastAsia"/>
        </w:rPr>
        <w:t>(</w:t>
      </w:r>
      <w:hyperlink r:id="rId10" w:history="1">
        <w:r w:rsidR="00BE037E" w:rsidRPr="00BE037E">
          <w:t>http://www.itu.int/ITU-R/index.asp?category=study-groups&amp;rlink=rsg&amp;lang=en</w:t>
        </w:r>
      </w:hyperlink>
      <w:r w:rsidR="00BE037E" w:rsidRPr="00BE037E">
        <w:rPr>
          <w:rFonts w:hint="eastAsia"/>
        </w:rPr>
        <w:t>)</w:t>
      </w:r>
      <w:r>
        <w:t xml:space="preserve"> de las </w:t>
      </w:r>
      <w:r w:rsidR="00BE037E">
        <w:t>C</w:t>
      </w:r>
      <w:r>
        <w:t xml:space="preserve">omisiones del Estudio del UIT-R aparecen enlaces </w:t>
      </w:r>
      <w:r>
        <w:t>rápidos</w:t>
      </w:r>
      <w:r>
        <w:t xml:space="preserve"> para acceder a las versiones </w:t>
      </w:r>
      <w:r>
        <w:t>más</w:t>
      </w:r>
      <w:r>
        <w:t xml:space="preserve"> recientes de las </w:t>
      </w:r>
      <w:r w:rsidR="008D5B3D">
        <w:t>d</w:t>
      </w:r>
      <w:r>
        <w:t xml:space="preserve">irectrices bajo el epígrafe </w:t>
      </w:r>
      <w:r w:rsidR="00BE037E">
        <w:t>«</w:t>
      </w:r>
      <w:r>
        <w:t>métodos de trabajo y coordinación con otras organizaciones</w:t>
      </w:r>
      <w:r w:rsidR="00BE037E">
        <w:t>»,</w:t>
      </w:r>
      <w:r>
        <w:t xml:space="preserve"> </w:t>
      </w:r>
      <w:r>
        <w:t>mientras</w:t>
      </w:r>
      <w:r>
        <w:t xml:space="preserve"> que en las </w:t>
      </w:r>
      <w:r>
        <w:t>páginas</w:t>
      </w:r>
      <w:r>
        <w:t xml:space="preserve"> web principales de las </w:t>
      </w:r>
      <w:r w:rsidR="00BE037E">
        <w:t>C</w:t>
      </w:r>
      <w:r>
        <w:t xml:space="preserve">omisiones de Estudio y sus Grupos subordinados, dicho enlace no aparece. Para que los participantes, en particular los nuevos participantes en las </w:t>
      </w:r>
      <w:r>
        <w:t>reuniones</w:t>
      </w:r>
      <w:r>
        <w:t xml:space="preserve"> del UIT-R, </w:t>
      </w:r>
      <w:r>
        <w:t>pued</w:t>
      </w:r>
      <w:r w:rsidR="00BE037E">
        <w:t>a</w:t>
      </w:r>
      <w:r>
        <w:t>n</w:t>
      </w:r>
      <w:r>
        <w:t xml:space="preserve"> encontrarlo fácilmente, </w:t>
      </w:r>
      <w:r>
        <w:t>sería</w:t>
      </w:r>
      <w:r>
        <w:t xml:space="preserve"> conveniente que figurase dicho enlace </w:t>
      </w:r>
      <w:r>
        <w:t>rápido</w:t>
      </w:r>
      <w:r>
        <w:t xml:space="preserve"> en las </w:t>
      </w:r>
      <w:r>
        <w:t>páginas</w:t>
      </w:r>
      <w:r>
        <w:t xml:space="preserve"> web principales de cada una de las </w:t>
      </w:r>
      <w:r w:rsidR="00BE037E">
        <w:t>C</w:t>
      </w:r>
      <w:r>
        <w:t>omisiones</w:t>
      </w:r>
      <w:r>
        <w:t xml:space="preserve"> de Estudio y sus Grupos subordinados, como </w:t>
      </w:r>
      <w:r>
        <w:t>información</w:t>
      </w:r>
      <w:r>
        <w:t xml:space="preserve"> general. </w:t>
      </w:r>
      <w:r>
        <w:t>Además</w:t>
      </w:r>
      <w:r>
        <w:t>, el enlace rápido debe mostrar no s</w:t>
      </w:r>
      <w:r w:rsidR="00BE037E">
        <w:t>ó</w:t>
      </w:r>
      <w:r>
        <w:t xml:space="preserve">lo la versión </w:t>
      </w:r>
      <w:r>
        <w:t>más</w:t>
      </w:r>
      <w:r>
        <w:t xml:space="preserve"> reciente sino también la versión previa de las directrices como otros documentos resultantes del UIT-R. </w:t>
      </w:r>
      <w:r w:rsidR="00BE037E">
        <w:t>E</w:t>
      </w:r>
      <w:r>
        <w:t xml:space="preserve">l Anexo al presente documento es un ejemplo de lo que debería aparecer en la </w:t>
      </w:r>
      <w:r>
        <w:t>página</w:t>
      </w:r>
      <w:r>
        <w:t xml:space="preserve"> </w:t>
      </w:r>
      <w:r w:rsidR="00BE037E">
        <w:t>w</w:t>
      </w:r>
      <w:r>
        <w:t>eb.</w:t>
      </w:r>
    </w:p>
    <w:p w:rsidR="008A2FAD" w:rsidRPr="00BE037E" w:rsidRDefault="00BE037E" w:rsidP="00BE037E">
      <w:pPr>
        <w:spacing w:after="120"/>
      </w:pPr>
      <w:r>
        <w:t>Bajo la sección «</w:t>
      </w:r>
      <w:r>
        <w:t>información</w:t>
      </w:r>
      <w:r>
        <w:t xml:space="preserve"> general» de la </w:t>
      </w:r>
      <w:r>
        <w:t>página</w:t>
      </w:r>
      <w:r>
        <w:t xml:space="preserve"> principal de cada Grupo de Trabajo, </w:t>
      </w:r>
      <w:r>
        <w:t>sería</w:t>
      </w:r>
      <w:r>
        <w:t xml:space="preserve"> muy útil y conveniente para los nuevos participantes en la reunión del Grupo de Trabajo que </w:t>
      </w:r>
      <w:r>
        <w:t>también</w:t>
      </w:r>
      <w:r>
        <w:t xml:space="preserve"> figurasen las directrices de los métodos de trabajo, la plantilla de las contribuciones y el formato de las Recomendaciones.</w:t>
      </w:r>
    </w:p>
    <w:p w:rsidR="008A2FAD" w:rsidRPr="00BE037E" w:rsidRDefault="008A2FAD" w:rsidP="00BE037E">
      <w:pPr>
        <w:pStyle w:val="Heading1"/>
      </w:pPr>
      <w:r w:rsidRPr="00BE037E">
        <w:rPr>
          <w:rFonts w:hint="eastAsia"/>
        </w:rPr>
        <w:t>4</w:t>
      </w:r>
      <w:r w:rsidRPr="00BE037E">
        <w:tab/>
        <w:t>Prop</w:t>
      </w:r>
      <w:r w:rsidR="00BE037E">
        <w:t>uestas</w:t>
      </w:r>
    </w:p>
    <w:p w:rsidR="008A2FAD" w:rsidRPr="00BE037E" w:rsidRDefault="00BE037E" w:rsidP="00BE037E">
      <w:pPr>
        <w:spacing w:after="120"/>
        <w:rPr>
          <w:szCs w:val="24"/>
          <w:lang w:eastAsia="ko-KR"/>
        </w:rPr>
      </w:pPr>
      <w:r>
        <w:t>La República de Corea presenta las siguiente</w:t>
      </w:r>
      <w:r w:rsidR="008D5B3D">
        <w:t>s</w:t>
      </w:r>
      <w:r>
        <w:t xml:space="preserve"> propuestas para su consideración en la reunión.</w:t>
      </w:r>
    </w:p>
    <w:p w:rsidR="008A2FAD" w:rsidRPr="00BE037E" w:rsidRDefault="00BE037E" w:rsidP="008D5B3D">
      <w:pPr>
        <w:pStyle w:val="enumlev1"/>
        <w:rPr>
          <w:lang w:eastAsia="ko-KR"/>
        </w:rPr>
      </w:pPr>
      <w:r w:rsidRPr="00BE037E">
        <w:rPr>
          <w:lang w:eastAsia="ko-KR"/>
        </w:rPr>
        <w:t>•</w:t>
      </w:r>
      <w:r w:rsidRPr="00BE037E">
        <w:rPr>
          <w:lang w:eastAsia="ko-KR"/>
        </w:rPr>
        <w:tab/>
      </w:r>
      <w:r>
        <w:t xml:space="preserve">El GAR-13 invita al Director a que examine y actualice las directrices actualmente contenidas en la </w:t>
      </w:r>
      <w:hyperlink r:id="rId11" w:history="1">
        <w:r>
          <w:rPr>
            <w:rStyle w:val="Hyperlink"/>
            <w:szCs w:val="24"/>
            <w:lang w:eastAsia="ko-KR"/>
          </w:rPr>
          <w:t>Circular A</w:t>
        </w:r>
        <w:r w:rsidR="008A2FAD" w:rsidRPr="00BE037E">
          <w:rPr>
            <w:rStyle w:val="Hyperlink"/>
            <w:rFonts w:hint="eastAsia"/>
            <w:szCs w:val="24"/>
            <w:lang w:eastAsia="ko-KR"/>
          </w:rPr>
          <w:t>dministrativ</w:t>
        </w:r>
        <w:r>
          <w:rPr>
            <w:rStyle w:val="Hyperlink"/>
            <w:szCs w:val="24"/>
            <w:lang w:eastAsia="ko-KR"/>
          </w:rPr>
          <w:t xml:space="preserve">a </w:t>
        </w:r>
        <w:r w:rsidR="008A2FAD" w:rsidRPr="00BE037E">
          <w:rPr>
            <w:rStyle w:val="Hyperlink"/>
            <w:rFonts w:hint="eastAsia"/>
            <w:szCs w:val="24"/>
            <w:lang w:eastAsia="ko-KR"/>
          </w:rPr>
          <w:t>CA/177</w:t>
        </w:r>
      </w:hyperlink>
      <w:r w:rsidR="008D5B3D" w:rsidRPr="008D5B3D">
        <w:t>,</w:t>
      </w:r>
      <w:r w:rsidR="008A2FAD" w:rsidRPr="00BE037E">
        <w:rPr>
          <w:lang w:eastAsia="ko-KR"/>
        </w:rPr>
        <w:t xml:space="preserve"> (</w:t>
      </w:r>
      <w:r w:rsidR="008A2FAD" w:rsidRPr="00BE037E">
        <w:rPr>
          <w:rFonts w:hint="eastAsia"/>
          <w:lang w:eastAsia="ko-KR"/>
        </w:rPr>
        <w:t>2008</w:t>
      </w:r>
      <w:r w:rsidR="008A2FAD" w:rsidRPr="00BE037E">
        <w:rPr>
          <w:lang w:eastAsia="ko-KR"/>
        </w:rPr>
        <w:t>).</w:t>
      </w:r>
    </w:p>
    <w:p w:rsidR="008A2FAD" w:rsidRPr="00BE037E" w:rsidRDefault="00BE037E" w:rsidP="00BE037E">
      <w:pPr>
        <w:pStyle w:val="enumlev1"/>
        <w:rPr>
          <w:lang w:eastAsia="ko-KR"/>
        </w:rPr>
      </w:pPr>
      <w:r w:rsidRPr="00BE037E">
        <w:rPr>
          <w:lang w:eastAsia="ko-KR"/>
        </w:rPr>
        <w:t>•</w:t>
      </w:r>
      <w:r w:rsidRPr="00BE037E">
        <w:rPr>
          <w:lang w:eastAsia="ko-KR"/>
        </w:rPr>
        <w:tab/>
      </w:r>
      <w:r>
        <w:t xml:space="preserve">El GAR invita al Director a que </w:t>
      </w:r>
      <w:r>
        <w:t>proporcione</w:t>
      </w:r>
      <w:r>
        <w:t xml:space="preserve"> enlaces </w:t>
      </w:r>
      <w:r>
        <w:t>rápidos</w:t>
      </w:r>
      <w:r>
        <w:t xml:space="preserve"> con las directrices, incluida una revisión de su </w:t>
      </w:r>
      <w:r>
        <w:t>historia</w:t>
      </w:r>
      <w:r w:rsidR="008D5B3D">
        <w:t>,</w:t>
      </w:r>
      <w:r>
        <w:t xml:space="preserve"> como aparece en el Anexo, </w:t>
      </w:r>
      <w:r>
        <w:t>así</w:t>
      </w:r>
      <w:r>
        <w:t xml:space="preserve"> como la plantilla de las contribuciones y el formato de las Recomendaciones bajo la sección «</w:t>
      </w:r>
      <w:r>
        <w:t>información</w:t>
      </w:r>
      <w:r>
        <w:t xml:space="preserve"> general» en la </w:t>
      </w:r>
      <w:r>
        <w:t>página</w:t>
      </w:r>
      <w:r>
        <w:t xml:space="preserve"> web de </w:t>
      </w:r>
      <w:r>
        <w:t>cada</w:t>
      </w:r>
      <w:r>
        <w:t xml:space="preserve"> Grupo de Trabajo, Comisión de Estudio a fin de mejorar la accesibilidad a la </w:t>
      </w:r>
      <w:r>
        <w:t>información</w:t>
      </w:r>
      <w:r>
        <w:t xml:space="preserve"> útil.</w:t>
      </w:r>
    </w:p>
    <w:p w:rsidR="008A2FAD" w:rsidRDefault="008A2FAD" w:rsidP="008A2F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bCs/>
          <w:szCs w:val="24"/>
        </w:rPr>
      </w:pPr>
    </w:p>
    <w:p w:rsidR="00BE037E" w:rsidRPr="00BE037E" w:rsidRDefault="00BE037E" w:rsidP="008A2F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bCs/>
          <w:szCs w:val="24"/>
        </w:rPr>
      </w:pPr>
    </w:p>
    <w:p w:rsidR="008A2FAD" w:rsidRPr="008A2FAD" w:rsidRDefault="008A2FAD" w:rsidP="00BE037E">
      <w:pPr>
        <w:tabs>
          <w:tab w:val="clear" w:pos="1191"/>
        </w:tabs>
        <w:jc w:val="both"/>
        <w:rPr>
          <w:b/>
          <w:lang w:val="en-US" w:eastAsia="ko-KR"/>
        </w:rPr>
      </w:pPr>
      <w:r w:rsidRPr="008A2FAD">
        <w:rPr>
          <w:rFonts w:hint="eastAsia"/>
          <w:b/>
          <w:lang w:val="en-US" w:eastAsia="ko-KR"/>
        </w:rPr>
        <w:t>Anex</w:t>
      </w:r>
      <w:r w:rsidR="00BE037E">
        <w:rPr>
          <w:b/>
          <w:lang w:val="en-US" w:eastAsia="ko-KR"/>
        </w:rPr>
        <w:t>o</w:t>
      </w:r>
      <w:r w:rsidRPr="008A2FAD">
        <w:rPr>
          <w:rFonts w:hint="eastAsia"/>
          <w:b/>
          <w:lang w:val="en-US" w:eastAsia="ko-KR"/>
        </w:rPr>
        <w:t>: 1</w:t>
      </w:r>
    </w:p>
    <w:p w:rsidR="008A2FAD" w:rsidRPr="008A2FAD" w:rsidRDefault="008A2FAD" w:rsidP="008A2F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 w:eastAsia="ko-KR"/>
        </w:rPr>
      </w:pPr>
      <w:r w:rsidRPr="008A2FAD">
        <w:rPr>
          <w:b/>
          <w:lang w:val="en-US" w:eastAsia="ko-KR"/>
        </w:rPr>
        <w:br w:type="page"/>
      </w:r>
    </w:p>
    <w:p w:rsidR="008A2FAD" w:rsidRPr="00BE037E" w:rsidRDefault="008A2FAD" w:rsidP="008D5B3D">
      <w:pPr>
        <w:pStyle w:val="AnnexNotitle"/>
        <w:rPr>
          <w:b w:val="0"/>
          <w:lang w:eastAsia="ko-KR"/>
        </w:rPr>
      </w:pPr>
      <w:r w:rsidRPr="00BE037E">
        <w:rPr>
          <w:rFonts w:hint="eastAsia"/>
          <w:lang w:eastAsia="ko-KR"/>
        </w:rPr>
        <w:lastRenderedPageBreak/>
        <w:t>A</w:t>
      </w:r>
      <w:r w:rsidR="00BE037E" w:rsidRPr="00BE037E">
        <w:rPr>
          <w:lang w:eastAsia="ko-KR"/>
        </w:rPr>
        <w:t>nexo</w:t>
      </w:r>
      <w:r w:rsidR="00BE037E" w:rsidRPr="00BE037E">
        <w:rPr>
          <w:lang w:eastAsia="ko-KR"/>
        </w:rPr>
        <w:br/>
      </w:r>
      <w:r w:rsidR="00BE037E" w:rsidRPr="00BE037E">
        <w:rPr>
          <w:lang w:eastAsia="ko-KR"/>
        </w:rPr>
        <w:br/>
      </w:r>
      <w:r w:rsidR="00BE037E">
        <w:t xml:space="preserve">Ejemplo de lo </w:t>
      </w:r>
      <w:r w:rsidR="00BE037E">
        <w:t>que</w:t>
      </w:r>
      <w:r w:rsidR="00BE037E">
        <w:t xml:space="preserve"> debe aparecer en una página web de las</w:t>
      </w:r>
      <w:r w:rsidR="00BE037E">
        <w:br/>
      </w:r>
      <w:r w:rsidR="008D5B3D">
        <w:t>d</w:t>
      </w:r>
      <w:r w:rsidR="00BE037E">
        <w:t xml:space="preserve">irectrices sobre los métodos de </w:t>
      </w:r>
      <w:r w:rsidR="00BE037E">
        <w:t>t</w:t>
      </w:r>
      <w:r w:rsidR="00BE037E">
        <w:t>rabajo</w:t>
      </w:r>
    </w:p>
    <w:p w:rsidR="008A2FAD" w:rsidRPr="00BE037E" w:rsidRDefault="008A2FAD" w:rsidP="008A2FAD">
      <w:pPr>
        <w:tabs>
          <w:tab w:val="clear" w:pos="1191"/>
        </w:tabs>
        <w:jc w:val="center"/>
        <w:rPr>
          <w:lang w:eastAsia="ko-KR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5011"/>
        <w:gridCol w:w="1266"/>
      </w:tblGrid>
      <w:tr w:rsidR="001E368A" w:rsidRPr="0005788D" w:rsidTr="004A42AE">
        <w:trPr>
          <w:trHeight w:val="226"/>
        </w:trPr>
        <w:tc>
          <w:tcPr>
            <w:tcW w:w="1134" w:type="dxa"/>
            <w:shd w:val="pct10" w:color="auto" w:fill="FFFFFF"/>
            <w:vAlign w:val="center"/>
          </w:tcPr>
          <w:p w:rsidR="008A2FAD" w:rsidRPr="0005788D" w:rsidRDefault="00BE037E" w:rsidP="00BE037E">
            <w:pPr>
              <w:pStyle w:val="Tablehead"/>
            </w:pPr>
            <w:r>
              <w:t>Fecha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8A2FAD" w:rsidRPr="0005788D" w:rsidRDefault="00BE037E" w:rsidP="00BE037E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Nº de documento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8A2FAD" w:rsidRDefault="00BE037E" w:rsidP="00BE037E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Origen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8A2FAD" w:rsidRPr="0005788D" w:rsidRDefault="00BE037E" w:rsidP="00BE037E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Título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8A2FAD" w:rsidRPr="0005788D" w:rsidRDefault="00BE037E" w:rsidP="00BE037E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Observación</w:t>
            </w:r>
          </w:p>
        </w:tc>
      </w:tr>
      <w:tr w:rsidR="001E368A" w:rsidRPr="00BE037E" w:rsidTr="004A42AE">
        <w:tc>
          <w:tcPr>
            <w:tcW w:w="1134" w:type="dxa"/>
            <w:shd w:val="solid" w:color="FFFFFF" w:fill="auto"/>
          </w:tcPr>
          <w:p w:rsidR="008A2FAD" w:rsidRPr="0005788D" w:rsidRDefault="00BE037E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16.03.</w:t>
            </w:r>
            <w:r>
              <w:rPr>
                <w:rFonts w:hint="eastAsia"/>
                <w:snapToGrid w:val="0"/>
                <w:lang w:val="en-AU" w:eastAsia="ko-KR"/>
              </w:rPr>
              <w:t>1992</w:t>
            </w:r>
          </w:p>
        </w:tc>
        <w:tc>
          <w:tcPr>
            <w:tcW w:w="1134" w:type="dxa"/>
            <w:shd w:val="solid" w:color="FFFFFF" w:fill="auto"/>
          </w:tcPr>
          <w:p w:rsidR="008A2FAD" w:rsidRPr="00BE037E" w:rsidRDefault="008A2FA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/>
              </w:rPr>
            </w:pPr>
            <w:r w:rsidRPr="00BE037E"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  <w:t>AC/360</w:t>
            </w:r>
          </w:p>
        </w:tc>
        <w:tc>
          <w:tcPr>
            <w:tcW w:w="1134" w:type="dxa"/>
            <w:shd w:val="solid" w:color="FFFFFF" w:fill="auto"/>
          </w:tcPr>
          <w:p w:rsidR="008A2FAD" w:rsidRPr="00BE037E" w:rsidRDefault="008A2FAD" w:rsidP="008D5B3D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Director</w:t>
            </w:r>
            <w:r w:rsidR="008D5B3D">
              <w:rPr>
                <w:snapToGrid w:val="0"/>
                <w:lang w:val="en-AU" w:eastAsia="ko-KR"/>
              </w:rPr>
              <w:br/>
            </w:r>
            <w:r w:rsidR="001E368A">
              <w:rPr>
                <w:snapToGrid w:val="0"/>
                <w:lang w:val="en-AU" w:eastAsia="ko-KR"/>
              </w:rPr>
              <w:t>de la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A2FAD" w:rsidRPr="001E368A" w:rsidRDefault="001E368A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1E368A">
              <w:rPr>
                <w:snapToGrid w:val="0"/>
                <w:lang w:eastAsia="ko-KR"/>
              </w:rPr>
              <w:t>Directrices de trabajo para las reuniones y la documentación de la Asamblea Mundial de Radiocomunicaciones y las Comisiones de Estudio de Radiocomunicaciones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A2FAD" w:rsidRPr="00BE037E" w:rsidRDefault="008A2FA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1</w:t>
            </w:r>
            <w:r w:rsidR="001E368A"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 w:rsidR="001E368A"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24.02.</w:t>
            </w:r>
            <w:r>
              <w:rPr>
                <w:rFonts w:hint="eastAsia"/>
                <w:snapToGrid w:val="0"/>
                <w:lang w:val="en-AU" w:eastAsia="ko-KR"/>
              </w:rPr>
              <w:t>1995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2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CA/13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1E368A">
              <w:rPr>
                <w:snapToGrid w:val="0"/>
                <w:lang w:eastAsia="ko-KR"/>
              </w:rPr>
              <w:t>Directrices de trabajo para las reuniones y la documentación de la Asamblea Mundial de Radiocomunicaciones y las Comisiones de Estudio de Radiocomunicaciones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2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Pr="0005788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rFonts w:hint="eastAsia"/>
                <w:snapToGrid w:val="0"/>
                <w:lang w:val="en-AU" w:eastAsia="ko-KR"/>
              </w:rPr>
              <w:t>10</w:t>
            </w:r>
            <w:r>
              <w:rPr>
                <w:snapToGrid w:val="0"/>
                <w:lang w:val="en-AU" w:eastAsia="ko-KR"/>
              </w:rPr>
              <w:t>.</w:t>
            </w:r>
            <w:r>
              <w:rPr>
                <w:rFonts w:hint="eastAsia"/>
                <w:snapToGrid w:val="0"/>
                <w:lang w:val="en-AU" w:eastAsia="ko-KR"/>
              </w:rPr>
              <w:t>10</w:t>
            </w:r>
            <w:r>
              <w:rPr>
                <w:snapToGrid w:val="0"/>
                <w:lang w:val="en-AU" w:eastAsia="ko-KR"/>
              </w:rPr>
              <w:t>.2001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3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CA/106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1E368A">
              <w:rPr>
                <w:snapToGrid w:val="0"/>
                <w:lang w:eastAsia="ko-KR"/>
              </w:rPr>
              <w:t>Proyecto de directrices sobre los m</w:t>
            </w:r>
            <w:r>
              <w:rPr>
                <w:snapToGrid w:val="0"/>
                <w:lang w:eastAsia="ko-KR"/>
              </w:rPr>
              <w:t>étodos de trabajo de la Asamblea Mundial de Radiocomunicaciones, las Comisiones de Estudio y los Grupos correspondientes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3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01.05.</w:t>
            </w:r>
            <w:r>
              <w:rPr>
                <w:rFonts w:hint="eastAsia"/>
                <w:snapToGrid w:val="0"/>
                <w:lang w:val="en-AU" w:eastAsia="ko-KR"/>
              </w:rPr>
              <w:t>2002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4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CA/117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1E368A">
              <w:rPr>
                <w:snapToGrid w:val="0"/>
                <w:lang w:eastAsia="ko-KR"/>
              </w:rPr>
              <w:t xml:space="preserve">Directrices revisadas </w:t>
            </w:r>
            <w:r w:rsidRPr="001E368A">
              <w:rPr>
                <w:snapToGrid w:val="0"/>
                <w:lang w:eastAsia="ko-KR"/>
              </w:rPr>
              <w:t>sobre los m</w:t>
            </w:r>
            <w:r>
              <w:rPr>
                <w:snapToGrid w:val="0"/>
                <w:lang w:eastAsia="ko-KR"/>
              </w:rPr>
              <w:t>étodos de trabajo de la Asamblea Mundial de Radiocomunicaciones, las Comisiones de Estudio y los Grupos correspondientes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4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30.06.</w:t>
            </w:r>
            <w:r>
              <w:rPr>
                <w:rFonts w:hint="eastAsia"/>
                <w:snapToGrid w:val="0"/>
                <w:lang w:val="en-AU" w:eastAsia="ko-KR"/>
              </w:rPr>
              <w:t>2004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5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CA/140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Revisión de las directrices</w:t>
            </w:r>
            <w:r w:rsidRPr="001E368A">
              <w:rPr>
                <w:snapToGrid w:val="0"/>
                <w:lang w:eastAsia="ko-KR"/>
              </w:rPr>
              <w:t xml:space="preserve"> sobre los m</w:t>
            </w:r>
            <w:r>
              <w:rPr>
                <w:snapToGrid w:val="0"/>
                <w:lang w:eastAsia="ko-KR"/>
              </w:rPr>
              <w:t>étodos de trabajo de la Asamblea Mundial de Radiocomunicaciones, las Comisiones de Estudio y los Grupos correspondientes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5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21.12.</w:t>
            </w:r>
            <w:r>
              <w:rPr>
                <w:rFonts w:hint="eastAsia"/>
                <w:snapToGrid w:val="0"/>
                <w:lang w:val="en-AU" w:eastAsia="ko-KR"/>
              </w:rPr>
              <w:t>2005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6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CA/155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E41627">
              <w:rPr>
                <w:snapToGrid w:val="0"/>
                <w:lang w:eastAsia="ko-KR"/>
              </w:rPr>
              <w:t>Revisión de las directrices sobre los métodos de trabajo de la Asamblea Mundial de Radiocomunicaciones, las Comisiones de Estudio y los Grupos correspondientes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6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  <w:tr w:rsidR="008D5B3D" w:rsidRPr="0005788D" w:rsidTr="004A42AE">
        <w:tc>
          <w:tcPr>
            <w:tcW w:w="1134" w:type="dxa"/>
            <w:shd w:val="solid" w:color="FFFFFF" w:fill="auto"/>
          </w:tcPr>
          <w:p w:rsidR="008D5B3D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26.11.</w:t>
            </w:r>
            <w:r>
              <w:rPr>
                <w:rFonts w:hint="eastAsia"/>
                <w:snapToGrid w:val="0"/>
                <w:lang w:val="en-AU" w:eastAsia="ko-KR"/>
              </w:rPr>
              <w:t>2008</w:t>
            </w:r>
          </w:p>
        </w:tc>
        <w:tc>
          <w:tcPr>
            <w:tcW w:w="1134" w:type="dxa"/>
            <w:shd w:val="solid" w:color="FFFFFF" w:fill="auto"/>
          </w:tcPr>
          <w:p w:rsidR="008D5B3D" w:rsidRPr="00BE037E" w:rsidRDefault="008D5B3D" w:rsidP="004A42AE">
            <w:pPr>
              <w:spacing w:before="60" w:after="60"/>
              <w:jc w:val="center"/>
              <w:rPr>
                <w:rFonts w:asciiTheme="majorBidi" w:hAnsiTheme="majorBidi" w:cstheme="majorBidi"/>
                <w:snapToGrid w:val="0"/>
                <w:color w:val="000000"/>
                <w:sz w:val="22"/>
                <w:szCs w:val="22"/>
                <w:lang w:val="en-AU" w:eastAsia="ko-KR"/>
              </w:rPr>
            </w:pPr>
            <w:hyperlink r:id="rId17" w:history="1">
              <w:r w:rsidRPr="00BE037E">
                <w:rPr>
                  <w:rStyle w:val="Hyperlink"/>
                  <w:rFonts w:asciiTheme="majorBidi" w:hAnsiTheme="majorBidi" w:cstheme="majorBidi"/>
                  <w:snapToGrid w:val="0"/>
                  <w:sz w:val="22"/>
                  <w:szCs w:val="22"/>
                  <w:lang w:val="en-AU" w:eastAsia="ko-KR"/>
                </w:rPr>
                <w:t>CA/177</w:t>
              </w:r>
            </w:hyperlink>
          </w:p>
        </w:tc>
        <w:tc>
          <w:tcPr>
            <w:tcW w:w="1134" w:type="dxa"/>
            <w:shd w:val="solid" w:color="FFFFFF" w:fill="auto"/>
          </w:tcPr>
          <w:p w:rsidR="008D5B3D" w:rsidRDefault="008D5B3D"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>Director</w:t>
            </w:r>
            <w:r w:rsidRPr="00311CF7">
              <w:rPr>
                <w:snapToGrid w:val="0"/>
                <w:lang w:val="en-AU" w:eastAsia="ko-KR"/>
              </w:rPr>
              <w:br/>
              <w:t>de la</w:t>
            </w:r>
            <w:r w:rsidRPr="00311CF7">
              <w:rPr>
                <w:rFonts w:hint="eastAsia"/>
                <w:snapToGrid w:val="0"/>
                <w:sz w:val="22"/>
                <w:lang w:val="en-AU" w:eastAsia="ko-KR"/>
              </w:rPr>
              <w:t xml:space="preserve"> BR</w:t>
            </w:r>
          </w:p>
        </w:tc>
        <w:tc>
          <w:tcPr>
            <w:tcW w:w="5011" w:type="dxa"/>
            <w:tcBorders>
              <w:right w:val="single" w:sz="4" w:space="0" w:color="auto"/>
            </w:tcBorders>
            <w:shd w:val="solid" w:color="FFFFFF" w:fill="auto"/>
          </w:tcPr>
          <w:p w:rsidR="008D5B3D" w:rsidRPr="001E368A" w:rsidRDefault="008D5B3D" w:rsidP="001E368A">
            <w:pPr>
              <w:pStyle w:val="Tabletext"/>
              <w:spacing w:before="60" w:after="60"/>
              <w:rPr>
                <w:snapToGrid w:val="0"/>
                <w:lang w:eastAsia="ko-KR"/>
              </w:rPr>
            </w:pPr>
            <w:r w:rsidRPr="00E41627">
              <w:rPr>
                <w:snapToGrid w:val="0"/>
                <w:lang w:eastAsia="ko-KR"/>
              </w:rPr>
              <w:t>Revisión de las directrices sobre los métodos de trabajo de la Asamblea Mundial de Radiocomunicaciones, las Comisiones de Estudio y los Grupos correspondientes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solid" w:color="FFFFFF" w:fill="auto"/>
          </w:tcPr>
          <w:p w:rsidR="008D5B3D" w:rsidRPr="00BE037E" w:rsidRDefault="008D5B3D" w:rsidP="001E368A">
            <w:pPr>
              <w:pStyle w:val="Tabletext"/>
              <w:spacing w:before="60" w:after="60"/>
              <w:rPr>
                <w:snapToGrid w:val="0"/>
                <w:lang w:val="en-AU" w:eastAsia="ko-KR"/>
              </w:rPr>
            </w:pPr>
            <w:r w:rsidRPr="00BE037E">
              <w:rPr>
                <w:rFonts w:hint="eastAsia"/>
                <w:snapToGrid w:val="0"/>
                <w:lang w:val="en-AU" w:eastAsia="ko-KR"/>
              </w:rPr>
              <w:t>7</w:t>
            </w:r>
            <w:r>
              <w:rPr>
                <w:snapToGrid w:val="0"/>
                <w:lang w:val="en-AU" w:eastAsia="ko-KR"/>
              </w:rPr>
              <w:t>ª</w:t>
            </w:r>
            <w:r w:rsidRPr="00BE037E">
              <w:rPr>
                <w:rFonts w:hint="eastAsia"/>
                <w:snapToGrid w:val="0"/>
                <w:lang w:val="en-AU" w:eastAsia="ko-KR"/>
              </w:rPr>
              <w:t xml:space="preserve"> </w:t>
            </w:r>
            <w:r>
              <w:rPr>
                <w:rFonts w:hint="eastAsia"/>
                <w:snapToGrid w:val="0"/>
                <w:lang w:val="en-AU" w:eastAsia="ko-KR"/>
              </w:rPr>
              <w:t>edición</w:t>
            </w:r>
          </w:p>
        </w:tc>
      </w:tr>
    </w:tbl>
    <w:p w:rsidR="008A2FAD" w:rsidRDefault="008A2FAD" w:rsidP="008A2FAD">
      <w:pPr>
        <w:tabs>
          <w:tab w:val="clear" w:pos="1191"/>
        </w:tabs>
        <w:rPr>
          <w:lang w:eastAsia="ko-KR"/>
        </w:rPr>
      </w:pPr>
    </w:p>
    <w:p w:rsidR="001E368A" w:rsidRDefault="001E368A">
      <w:pPr>
        <w:jc w:val="center"/>
      </w:pPr>
      <w:r>
        <w:t>______________</w:t>
      </w:r>
    </w:p>
    <w:p w:rsidR="001E368A" w:rsidRPr="00E5654F" w:rsidRDefault="001E368A" w:rsidP="008A2FAD">
      <w:pPr>
        <w:tabs>
          <w:tab w:val="clear" w:pos="1191"/>
        </w:tabs>
        <w:rPr>
          <w:lang w:eastAsia="ko-KR"/>
        </w:rPr>
      </w:pPr>
      <w:bookmarkStart w:id="5" w:name="_GoBack"/>
      <w:bookmarkEnd w:id="5"/>
    </w:p>
    <w:sectPr w:rsidR="001E368A" w:rsidRPr="00E5654F" w:rsidSect="004D6C09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AD" w:rsidRDefault="008A2FAD">
      <w:r>
        <w:separator/>
      </w:r>
    </w:p>
  </w:endnote>
  <w:endnote w:type="continuationSeparator" w:id="0">
    <w:p w:rsidR="008A2FAD" w:rsidRDefault="008A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Pr="001E368A" w:rsidRDefault="001E368A" w:rsidP="001E368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D5B3D">
      <w:t>P:\ESP\ITU-R\AG\RAG13\RAG-1\000\004S.docx</w:t>
    </w:r>
    <w:r>
      <w:fldChar w:fldCharType="end"/>
    </w:r>
    <w:r>
      <w:t xml:space="preserve"> (342793)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D5B3D">
      <w:t>01.05.13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D5B3D">
      <w:t>01.05.13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1E368A" w:rsidP="001E368A">
    <w:pPr>
      <w:pStyle w:val="Footer"/>
      <w:rPr>
        <w:lang w:val="en-US"/>
      </w:rPr>
    </w:pPr>
    <w:fldSimple w:instr=" FILENAME \p  \* MERGEFORMAT ">
      <w:r w:rsidR="008D5B3D">
        <w:t>P:\ESP\ITU-R\AG\RAG13\RAG-1\000\004S.docx</w:t>
      </w:r>
    </w:fldSimple>
    <w:r>
      <w:t xml:space="preserve"> (342793)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D5B3D">
      <w:t>01.05.13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D5B3D">
      <w:t>01.05.13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AD" w:rsidRDefault="008A2FAD">
      <w:r>
        <w:t>____________________</w:t>
      </w:r>
    </w:p>
  </w:footnote>
  <w:footnote w:type="continuationSeparator" w:id="0">
    <w:p w:rsidR="008A2FAD" w:rsidRDefault="008A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215A">
      <w:rPr>
        <w:rStyle w:val="PageNumber"/>
        <w:noProof/>
      </w:rPr>
      <w:t>3</w:t>
    </w:r>
    <w:r>
      <w:rPr>
        <w:rStyle w:val="PageNumber"/>
      </w:rPr>
      <w:fldChar w:fldCharType="end"/>
    </w:r>
  </w:p>
  <w:p w:rsidR="00616601" w:rsidRDefault="0034043B" w:rsidP="001E368A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31432E">
      <w:rPr>
        <w:lang w:val="es-ES"/>
      </w:rPr>
      <w:t>3</w:t>
    </w:r>
    <w:r w:rsidR="00616601">
      <w:rPr>
        <w:lang w:val="es-ES"/>
      </w:rPr>
      <w:t>-1/</w:t>
    </w:r>
    <w:r w:rsidR="001E368A">
      <w:rPr>
        <w:lang w:val="es-ES"/>
      </w:rPr>
      <w:t>4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7F4"/>
    <w:multiLevelType w:val="hybridMultilevel"/>
    <w:tmpl w:val="F5D0F7E0"/>
    <w:lvl w:ilvl="0" w:tplc="D422C4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AD"/>
    <w:rsid w:val="0012592F"/>
    <w:rsid w:val="001D7086"/>
    <w:rsid w:val="001E368A"/>
    <w:rsid w:val="0031432E"/>
    <w:rsid w:val="0034043B"/>
    <w:rsid w:val="00414D8B"/>
    <w:rsid w:val="00482905"/>
    <w:rsid w:val="004A42AE"/>
    <w:rsid w:val="004D6C09"/>
    <w:rsid w:val="0050711E"/>
    <w:rsid w:val="005D3E02"/>
    <w:rsid w:val="00605EEE"/>
    <w:rsid w:val="00610642"/>
    <w:rsid w:val="00616601"/>
    <w:rsid w:val="006A42AB"/>
    <w:rsid w:val="006B215A"/>
    <w:rsid w:val="006E291F"/>
    <w:rsid w:val="008A2FAD"/>
    <w:rsid w:val="008D5B3D"/>
    <w:rsid w:val="00B32E51"/>
    <w:rsid w:val="00BE037E"/>
    <w:rsid w:val="00CB7A43"/>
    <w:rsid w:val="00E36452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A2FAD"/>
    <w:rPr>
      <w:rFonts w:ascii="Times New Roman" w:hAnsi="Times New Roman"/>
      <w:b/>
      <w:sz w:val="24"/>
      <w:lang w:val="es-ES_tradnl" w:eastAsia="en-US"/>
    </w:rPr>
  </w:style>
  <w:style w:type="character" w:styleId="Hyperlink">
    <w:name w:val="Hyperlink"/>
    <w:basedOn w:val="DefaultParagraphFont"/>
    <w:rsid w:val="008A2F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FAD"/>
    <w:pPr>
      <w:ind w:left="720"/>
      <w:contextualSpacing/>
      <w:jc w:val="both"/>
      <w:textAlignment w:val="auto"/>
    </w:pPr>
    <w:rPr>
      <w:rFonts w:eastAsia="Batang"/>
      <w:lang w:val="en-GB"/>
    </w:rPr>
  </w:style>
  <w:style w:type="paragraph" w:customStyle="1" w:styleId="TAL">
    <w:name w:val="TAL"/>
    <w:basedOn w:val="Normal"/>
    <w:rsid w:val="008A2FA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  <w:lang w:val="en-GB"/>
    </w:rPr>
  </w:style>
  <w:style w:type="paragraph" w:customStyle="1" w:styleId="Reasons">
    <w:name w:val="Reasons"/>
    <w:basedOn w:val="Normal"/>
    <w:qFormat/>
    <w:rsid w:val="001E36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A2FAD"/>
    <w:rPr>
      <w:rFonts w:ascii="Times New Roman" w:hAnsi="Times New Roman"/>
      <w:b/>
      <w:sz w:val="24"/>
      <w:lang w:val="es-ES_tradnl" w:eastAsia="en-US"/>
    </w:rPr>
  </w:style>
  <w:style w:type="character" w:styleId="Hyperlink">
    <w:name w:val="Hyperlink"/>
    <w:basedOn w:val="DefaultParagraphFont"/>
    <w:rsid w:val="008A2F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FAD"/>
    <w:pPr>
      <w:ind w:left="720"/>
      <w:contextualSpacing/>
      <w:jc w:val="both"/>
      <w:textAlignment w:val="auto"/>
    </w:pPr>
    <w:rPr>
      <w:rFonts w:eastAsia="Batang"/>
      <w:lang w:val="en-GB"/>
    </w:rPr>
  </w:style>
  <w:style w:type="paragraph" w:customStyle="1" w:styleId="TAL">
    <w:name w:val="TAL"/>
    <w:basedOn w:val="Normal"/>
    <w:rsid w:val="008A2FA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  <w:lang w:val="en-GB"/>
    </w:rPr>
  </w:style>
  <w:style w:type="paragraph" w:customStyle="1" w:styleId="Reasons">
    <w:name w:val="Reasons"/>
    <w:basedOn w:val="Normal"/>
    <w:qFormat/>
    <w:rsid w:val="001E36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meetingdoc.asp?lang=en&amp;parent=R00-CA-CIR-010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R00-CA-CIR-0013" TargetMode="External"/><Relationship Id="rId17" Type="http://schemas.openxmlformats.org/officeDocument/2006/relationships/hyperlink" Target="http://www.itu.int/md/meetingdoc.asp?lang=en&amp;parent=R00-CA-CIR-017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meetingdoc.asp?lang=en&amp;parent=R00-CA-CIR-015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R00-CA-CIR-0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R00-CA-CIR-0140" TargetMode="External"/><Relationship Id="rId10" Type="http://schemas.openxmlformats.org/officeDocument/2006/relationships/hyperlink" Target="http://www.itu.int/ITU-R/index.asp?category=study-groups&amp;rlink=rsg&amp;lang=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lang=en&amp;parent=R00-CA-CIR-0177" TargetMode="External"/><Relationship Id="rId14" Type="http://schemas.openxmlformats.org/officeDocument/2006/relationships/hyperlink" Target="http://www.itu.int/md/meetingdoc.asp?lang=en&amp;parent=R00-CA-CIR-011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PS_RAG13.dotm</Template>
  <TotalTime>50</TotalTime>
  <Pages>3</Pages>
  <Words>1067</Words>
  <Characters>6004</Characters>
  <Application>Microsoft Office Word</Application>
  <DocSecurity>0</DocSecurity>
  <Lines>157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ACTUALIZAR LAS «DIRECTRICES SOBRE LOS MÉTODOS DE TRABAJO DE LA ASAMBLEA DE RADIOCOMUNICACIONES, DE LAS COMISIONES DE ESTUDIO DE RADIOCOMUNICACIONES Y DE LOS GRUPOS CORRESPONDIENTES» Y MEJORA DE LA ACCESIBILIDAD A LA INFORMACIÓN</dc:title>
  <dc:subject>GRUPO ASESOR DE RADIOCOMUNICACIONES</dc:subject>
  <dc:creator>Corea (Rep. de)</dc:creator>
  <cp:keywords>RAG03-1</cp:keywords>
  <dc:description>Documento RAG13-1/4-S  For: _x000d_Document date: 19 de abril de 2013_x000d_Saved by ITU51007810 at 10:18:08 on 01.05.2013</dc:description>
  <cp:lastModifiedBy>tello</cp:lastModifiedBy>
  <cp:revision>7</cp:revision>
  <cp:lastPrinted>2013-05-01T08:17:00Z</cp:lastPrinted>
  <dcterms:created xsi:type="dcterms:W3CDTF">2013-05-01T07:25:00Z</dcterms:created>
  <dcterms:modified xsi:type="dcterms:W3CDTF">2013-05-01T08:18:00Z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RAG13-1/4-S</vt:lpwstr>
  </property>
  <property fmtid="{D5CDD505-2E9C-101B-9397-08002B2CF9AE}" pid="3" name="Docdate">
    <vt:lpwstr>19 de abril de 2013</vt:lpwstr>
  </property>
  <property fmtid="{D5CDD505-2E9C-101B-9397-08002B2CF9AE}" pid="4" name="Docorlang">
    <vt:lpwstr>Original: inglés</vt:lpwstr>
  </property>
  <property fmtid="{D5CDD505-2E9C-101B-9397-08002B2CF9AE}" pid="5" name="Docauthor">
    <vt:lpwstr>Corea (Rep. de)</vt:lpwstr>
  </property>
</Properties>
</file>