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trPr>
          <w:cantSplit/>
        </w:trPr>
        <w:tc>
          <w:tcPr>
            <w:tcW w:w="6771" w:type="dxa"/>
          </w:tcPr>
          <w:p w:rsidR="002D238A" w:rsidRPr="002D238A" w:rsidRDefault="002D238A" w:rsidP="00BA0C7B">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sidR="00AC39EE">
              <w:rPr>
                <w:rFonts w:ascii="Verdana" w:hAnsi="Verdana"/>
                <w:b/>
                <w:bCs/>
                <w:sz w:val="20"/>
              </w:rPr>
              <w:t>2</w:t>
            </w:r>
            <w:r w:rsidR="00BA0C7B">
              <w:rPr>
                <w:rFonts w:ascii="Verdana" w:hAnsi="Verdana"/>
                <w:b/>
                <w:bCs/>
                <w:sz w:val="20"/>
              </w:rPr>
              <w:t>2</w:t>
            </w:r>
            <w:r w:rsidRPr="002D238A">
              <w:rPr>
                <w:rFonts w:ascii="Verdana" w:hAnsi="Verdana"/>
                <w:b/>
                <w:bCs/>
                <w:sz w:val="20"/>
              </w:rPr>
              <w:t>-</w:t>
            </w:r>
            <w:r w:rsidR="00AC39EE">
              <w:rPr>
                <w:rFonts w:ascii="Verdana" w:hAnsi="Verdana"/>
                <w:b/>
                <w:bCs/>
                <w:sz w:val="20"/>
              </w:rPr>
              <w:t>2</w:t>
            </w:r>
            <w:r w:rsidR="00BA0C7B">
              <w:rPr>
                <w:rFonts w:ascii="Verdana" w:hAnsi="Verdana"/>
                <w:b/>
                <w:bCs/>
                <w:sz w:val="20"/>
              </w:rPr>
              <w:t>4</w:t>
            </w:r>
            <w:r>
              <w:rPr>
                <w:rFonts w:ascii="Verdana" w:hAnsi="Verdana"/>
                <w:b/>
                <w:bCs/>
                <w:sz w:val="20"/>
              </w:rPr>
              <w:t xml:space="preserve"> </w:t>
            </w:r>
            <w:r w:rsidR="00BA0C7B">
              <w:rPr>
                <w:rFonts w:ascii="Verdana" w:hAnsi="Verdana"/>
                <w:b/>
                <w:bCs/>
                <w:sz w:val="20"/>
              </w:rPr>
              <w:t>mai</w:t>
            </w:r>
            <w:r>
              <w:rPr>
                <w:rFonts w:ascii="Verdana" w:hAnsi="Verdana"/>
                <w:b/>
                <w:bCs/>
                <w:sz w:val="20"/>
              </w:rPr>
              <w:t xml:space="preserve"> </w:t>
            </w:r>
            <w:r w:rsidRPr="002D238A">
              <w:rPr>
                <w:rFonts w:ascii="Verdana" w:hAnsi="Verdana"/>
                <w:b/>
                <w:bCs/>
                <w:sz w:val="20"/>
              </w:rPr>
              <w:t>20</w:t>
            </w:r>
            <w:r w:rsidR="00925627">
              <w:rPr>
                <w:rFonts w:ascii="Verdana" w:hAnsi="Verdana"/>
                <w:b/>
                <w:bCs/>
                <w:sz w:val="20"/>
              </w:rPr>
              <w:t>1</w:t>
            </w:r>
            <w:r w:rsidR="00BA0C7B">
              <w:rPr>
                <w:rFonts w:ascii="Verdana" w:hAnsi="Verdana"/>
                <w:b/>
                <w:bCs/>
                <w:sz w:val="20"/>
              </w:rPr>
              <w:t>3</w:t>
            </w:r>
          </w:p>
        </w:tc>
        <w:tc>
          <w:tcPr>
            <w:tcW w:w="3118" w:type="dxa"/>
          </w:tcPr>
          <w:p w:rsidR="002D238A" w:rsidRDefault="005430E4" w:rsidP="00773E5E">
            <w:pPr>
              <w:shd w:val="solid" w:color="FFFFFF" w:fill="FFFFFF"/>
              <w:spacing w:before="0" w:line="240" w:lineRule="atLeast"/>
            </w:pPr>
            <w:r>
              <w:rPr>
                <w:rFonts w:ascii="Verdana" w:hAnsi="Verdana"/>
                <w:b/>
                <w:bCs/>
                <w:noProof/>
                <w:lang w:val="en-US" w:eastAsia="zh-CN"/>
              </w:rPr>
              <w:drawing>
                <wp:inline distT="0" distB="0" distL="0" distR="0" wp14:anchorId="00E75876" wp14:editId="4639625C">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2D238A" w:rsidRPr="0051782D">
        <w:trPr>
          <w:cantSplit/>
        </w:trPr>
        <w:tc>
          <w:tcPr>
            <w:tcW w:w="6771" w:type="dxa"/>
            <w:tcBorders>
              <w:bottom w:val="single" w:sz="12" w:space="0" w:color="auto"/>
            </w:tcBorders>
          </w:tcPr>
          <w:p w:rsidR="002D238A" w:rsidRPr="0051782D"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51782D" w:rsidRDefault="002D238A" w:rsidP="00773E5E">
            <w:pPr>
              <w:shd w:val="solid" w:color="FFFFFF" w:fill="FFFFFF"/>
              <w:spacing w:before="0" w:after="48" w:line="240" w:lineRule="atLeast"/>
              <w:rPr>
                <w:sz w:val="22"/>
                <w:szCs w:val="22"/>
                <w:lang w:val="en-US"/>
              </w:rPr>
            </w:pPr>
          </w:p>
        </w:tc>
      </w:tr>
      <w:tr w:rsidR="002D238A" w:rsidRPr="00710D66">
        <w:trPr>
          <w:cantSplit/>
        </w:trPr>
        <w:tc>
          <w:tcPr>
            <w:tcW w:w="6771" w:type="dxa"/>
            <w:tcBorders>
              <w:top w:val="single" w:sz="12" w:space="0" w:color="auto"/>
            </w:tcBorders>
          </w:tcPr>
          <w:p w:rsidR="002D238A" w:rsidRPr="0051782D"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2D238A" w:rsidRDefault="002D238A" w:rsidP="00773E5E">
            <w:pPr>
              <w:shd w:val="solid" w:color="FFFFFF" w:fill="FFFFFF"/>
              <w:spacing w:before="0" w:after="48" w:line="240" w:lineRule="atLeast"/>
              <w:rPr>
                <w:rFonts w:ascii="Verdana" w:hAnsi="Verdana"/>
                <w:sz w:val="22"/>
                <w:szCs w:val="22"/>
                <w:lang w:val="en-US"/>
              </w:rPr>
            </w:pPr>
          </w:p>
        </w:tc>
      </w:tr>
      <w:tr w:rsidR="002D238A" w:rsidRPr="002A127E">
        <w:trPr>
          <w:cantSplit/>
        </w:trPr>
        <w:tc>
          <w:tcPr>
            <w:tcW w:w="6771" w:type="dxa"/>
            <w:vMerge w:val="restart"/>
          </w:tcPr>
          <w:p w:rsidR="002D238A" w:rsidRDefault="002D238A" w:rsidP="00773E5E">
            <w:pPr>
              <w:shd w:val="solid" w:color="FFFFFF" w:fill="FFFFFF"/>
              <w:spacing w:after="240"/>
              <w:rPr>
                <w:sz w:val="20"/>
              </w:rPr>
            </w:pPr>
            <w:bookmarkStart w:id="0" w:name="dnum" w:colFirst="1" w:colLast="1"/>
          </w:p>
        </w:tc>
        <w:tc>
          <w:tcPr>
            <w:tcW w:w="3118" w:type="dxa"/>
          </w:tcPr>
          <w:p w:rsidR="002D238A" w:rsidRPr="00C20F09" w:rsidRDefault="00BA7363" w:rsidP="00C20F09">
            <w:pPr>
              <w:shd w:val="solid" w:color="FFFFFF" w:fill="FFFFFF"/>
              <w:spacing w:before="0" w:line="240" w:lineRule="atLeast"/>
              <w:rPr>
                <w:rFonts w:ascii="Verdana" w:hAnsi="Verdana"/>
                <w:sz w:val="20"/>
              </w:rPr>
            </w:pPr>
            <w:r>
              <w:rPr>
                <w:rFonts w:ascii="Verdana" w:hAnsi="Verdana"/>
                <w:b/>
                <w:sz w:val="20"/>
              </w:rPr>
              <w:t>Document RAG13-1/</w:t>
            </w:r>
            <w:r w:rsidR="00C20F09">
              <w:rPr>
                <w:rFonts w:ascii="Verdana" w:hAnsi="Verdana"/>
                <w:b/>
                <w:sz w:val="20"/>
              </w:rPr>
              <w:t>1-F</w:t>
            </w:r>
          </w:p>
        </w:tc>
      </w:tr>
      <w:tr w:rsidR="002D238A" w:rsidRPr="002A127E">
        <w:trPr>
          <w:cantSplit/>
        </w:trPr>
        <w:tc>
          <w:tcPr>
            <w:tcW w:w="6771" w:type="dxa"/>
            <w:vMerge/>
          </w:tcPr>
          <w:p w:rsidR="002D238A" w:rsidRDefault="002D238A" w:rsidP="00773E5E">
            <w:pPr>
              <w:spacing w:before="60"/>
              <w:jc w:val="center"/>
              <w:rPr>
                <w:b/>
                <w:smallCaps/>
                <w:sz w:val="32"/>
              </w:rPr>
            </w:pPr>
            <w:bookmarkStart w:id="1" w:name="ddate" w:colFirst="1" w:colLast="1"/>
            <w:bookmarkEnd w:id="0"/>
          </w:p>
        </w:tc>
        <w:tc>
          <w:tcPr>
            <w:tcW w:w="3118" w:type="dxa"/>
          </w:tcPr>
          <w:p w:rsidR="002D238A" w:rsidRPr="00C20F09" w:rsidRDefault="00C20F09" w:rsidP="00C20F09">
            <w:pPr>
              <w:shd w:val="solid" w:color="FFFFFF" w:fill="FFFFFF"/>
              <w:spacing w:before="0" w:line="240" w:lineRule="atLeast"/>
              <w:rPr>
                <w:rFonts w:ascii="Verdana" w:hAnsi="Verdana"/>
                <w:sz w:val="20"/>
              </w:rPr>
            </w:pPr>
            <w:r>
              <w:rPr>
                <w:rFonts w:ascii="Verdana" w:hAnsi="Verdana"/>
                <w:b/>
                <w:sz w:val="20"/>
              </w:rPr>
              <w:t>20 mars 2013</w:t>
            </w:r>
          </w:p>
        </w:tc>
      </w:tr>
      <w:tr w:rsidR="002D238A" w:rsidRPr="002A127E">
        <w:trPr>
          <w:cantSplit/>
        </w:trPr>
        <w:tc>
          <w:tcPr>
            <w:tcW w:w="6771" w:type="dxa"/>
            <w:vMerge/>
          </w:tcPr>
          <w:p w:rsidR="002D238A" w:rsidRDefault="002D238A" w:rsidP="00773E5E">
            <w:pPr>
              <w:spacing w:before="60"/>
              <w:jc w:val="center"/>
              <w:rPr>
                <w:b/>
                <w:smallCaps/>
                <w:sz w:val="32"/>
              </w:rPr>
            </w:pPr>
            <w:bookmarkStart w:id="2" w:name="dorlang" w:colFirst="1" w:colLast="1"/>
            <w:bookmarkEnd w:id="1"/>
          </w:p>
        </w:tc>
        <w:tc>
          <w:tcPr>
            <w:tcW w:w="3118" w:type="dxa"/>
          </w:tcPr>
          <w:p w:rsidR="002D238A" w:rsidRPr="00C20F09" w:rsidRDefault="00C20F09" w:rsidP="00C20F09">
            <w:pPr>
              <w:shd w:val="solid" w:color="FFFFFF" w:fill="FFFFFF"/>
              <w:spacing w:before="0" w:after="120" w:line="240" w:lineRule="atLeast"/>
              <w:rPr>
                <w:rFonts w:ascii="Verdana" w:hAnsi="Verdana"/>
                <w:sz w:val="20"/>
              </w:rPr>
            </w:pPr>
            <w:r>
              <w:rPr>
                <w:rFonts w:ascii="Verdana" w:hAnsi="Verdana"/>
                <w:b/>
                <w:sz w:val="20"/>
              </w:rPr>
              <w:t>Original: anglais</w:t>
            </w:r>
          </w:p>
        </w:tc>
      </w:tr>
      <w:tr w:rsidR="002D238A">
        <w:trPr>
          <w:cantSplit/>
        </w:trPr>
        <w:tc>
          <w:tcPr>
            <w:tcW w:w="9889" w:type="dxa"/>
            <w:gridSpan w:val="2"/>
          </w:tcPr>
          <w:p w:rsidR="002D238A" w:rsidRDefault="00C20F09" w:rsidP="00BA7363">
            <w:pPr>
              <w:pStyle w:val="Source"/>
              <w:spacing w:before="720"/>
            </w:pPr>
            <w:bookmarkStart w:id="3" w:name="dsource" w:colFirst="0" w:colLast="0"/>
            <w:bookmarkEnd w:id="2"/>
            <w:r>
              <w:t>Directeur du Bureau</w:t>
            </w:r>
            <w:r w:rsidR="00BA7363">
              <w:t xml:space="preserve"> des radiocommunications</w:t>
            </w:r>
          </w:p>
        </w:tc>
      </w:tr>
      <w:tr w:rsidR="002D238A">
        <w:trPr>
          <w:cantSplit/>
        </w:trPr>
        <w:tc>
          <w:tcPr>
            <w:tcW w:w="9889" w:type="dxa"/>
            <w:gridSpan w:val="2"/>
          </w:tcPr>
          <w:p w:rsidR="002D238A" w:rsidRDefault="00BA7363" w:rsidP="00773E5E">
            <w:pPr>
              <w:pStyle w:val="Title1"/>
            </w:pPr>
            <w:bookmarkStart w:id="4" w:name="dtitle1" w:colFirst="0" w:colLast="0"/>
            <w:bookmarkEnd w:id="3"/>
            <w:r>
              <w:rPr>
                <w:lang w:val="fr-CH"/>
              </w:rPr>
              <w:t>rapport à la vingt</w:t>
            </w:r>
            <w:r w:rsidRPr="00B650EE">
              <w:rPr>
                <w:lang w:val="fr-CH"/>
              </w:rPr>
              <w:t xml:space="preserve">ième réunion du groupe consultatif </w:t>
            </w:r>
            <w:r>
              <w:rPr>
                <w:lang w:val="fr-CH"/>
              </w:rPr>
              <w:br/>
            </w:r>
            <w:r w:rsidRPr="00B650EE">
              <w:rPr>
                <w:lang w:val="fr-CH"/>
              </w:rPr>
              <w:t>des radiocommunications</w:t>
            </w:r>
          </w:p>
        </w:tc>
      </w:tr>
    </w:tbl>
    <w:bookmarkEnd w:id="4"/>
    <w:p w:rsidR="00BA7363" w:rsidRPr="00035DCD" w:rsidRDefault="00BA7363" w:rsidP="00BA7363">
      <w:pPr>
        <w:pStyle w:val="Heading1"/>
        <w:rPr>
          <w:lang w:val="fr-CH"/>
        </w:rPr>
      </w:pPr>
      <w:r w:rsidRPr="00035DCD">
        <w:rPr>
          <w:lang w:val="fr-CH"/>
        </w:rPr>
        <w:t>1</w:t>
      </w:r>
      <w:r w:rsidRPr="00035DCD">
        <w:rPr>
          <w:lang w:val="fr-CH"/>
        </w:rPr>
        <w:tab/>
        <w:t>Introduction</w:t>
      </w:r>
    </w:p>
    <w:p w:rsidR="00BA7363" w:rsidRPr="0015111C" w:rsidRDefault="00BA7363" w:rsidP="00BA7363">
      <w:r w:rsidRPr="0015111C">
        <w:t>Le présent rapport vise à faire le point et à donner des informations générales sur certaines questions inscrites à l'ordre du jour provisoire de la 20ème réunion du GCR (voir la Circulaire </w:t>
      </w:r>
      <w:hyperlink r:id="rId9" w:history="1">
        <w:r w:rsidRPr="0015111C">
          <w:rPr>
            <w:rStyle w:val="Hyperlink"/>
          </w:rPr>
          <w:t>CA/207</w:t>
        </w:r>
      </w:hyperlink>
      <w:r w:rsidRPr="0015111C">
        <w:t xml:space="preserve"> du 18 janvier 2013), afin d'aider les participants lorsqu'</w:t>
      </w:r>
      <w:r>
        <w:t>ils examineront les points </w:t>
      </w:r>
      <w:r w:rsidRPr="0015111C">
        <w:t>correspondants de l'ordre du jour.</w:t>
      </w:r>
    </w:p>
    <w:p w:rsidR="00BA7363" w:rsidRPr="00F55714" w:rsidRDefault="00BA7363" w:rsidP="00BA7363">
      <w:pPr>
        <w:rPr>
          <w:lang w:val="fr-CH"/>
        </w:rPr>
      </w:pPr>
      <w:r w:rsidRPr="002B237C">
        <w:rPr>
          <w:lang w:val="fr-CH"/>
        </w:rPr>
        <w:t>Des rapports distincts seront soumis pour certains points de l</w:t>
      </w:r>
      <w:r>
        <w:rPr>
          <w:lang w:val="fr-CH"/>
        </w:rPr>
        <w:t>'</w:t>
      </w:r>
      <w:r w:rsidRPr="002B237C">
        <w:rPr>
          <w:lang w:val="fr-CH"/>
        </w:rPr>
        <w:t xml:space="preserve">ordre du jour. </w:t>
      </w:r>
    </w:p>
    <w:p w:rsidR="00BA7363" w:rsidRPr="00B650EE" w:rsidRDefault="00BA7363" w:rsidP="00BA7363">
      <w:pPr>
        <w:pStyle w:val="Heading1"/>
        <w:rPr>
          <w:lang w:val="fr-CH"/>
        </w:rPr>
      </w:pPr>
      <w:r>
        <w:rPr>
          <w:lang w:val="fr-CH"/>
        </w:rPr>
        <w:t>2</w:t>
      </w:r>
      <w:r>
        <w:rPr>
          <w:lang w:val="fr-CH"/>
        </w:rPr>
        <w:tab/>
        <w:t>Questions relatives au</w:t>
      </w:r>
      <w:r w:rsidRPr="002B237C">
        <w:rPr>
          <w:lang w:val="fr-CH"/>
        </w:rPr>
        <w:t xml:space="preserve"> Conseil</w:t>
      </w:r>
      <w:r>
        <w:rPr>
          <w:lang w:val="fr-CH"/>
        </w:rPr>
        <w:t xml:space="preserve"> </w:t>
      </w:r>
    </w:p>
    <w:p w:rsidR="00BA7363" w:rsidRPr="00B650EE" w:rsidRDefault="00BA7363" w:rsidP="00D16078">
      <w:pPr>
        <w:rPr>
          <w:lang w:val="fr-CH"/>
        </w:rPr>
      </w:pPr>
      <w:r>
        <w:rPr>
          <w:lang w:val="fr-CH"/>
        </w:rPr>
        <w:t xml:space="preserve">La présente section traite des questions pertinentes examinées par le Conseil à ses sessions de </w:t>
      </w:r>
      <w:r w:rsidRPr="00B650EE">
        <w:rPr>
          <w:lang w:val="fr-CH"/>
        </w:rPr>
        <w:t>2012</w:t>
      </w:r>
      <w:r>
        <w:rPr>
          <w:lang w:val="fr-CH"/>
        </w:rPr>
        <w:t xml:space="preserve"> et </w:t>
      </w:r>
      <w:r w:rsidRPr="00B650EE">
        <w:rPr>
          <w:lang w:val="fr-CH"/>
        </w:rPr>
        <w:t>2013</w:t>
      </w:r>
      <w:r>
        <w:rPr>
          <w:lang w:val="fr-CH"/>
        </w:rPr>
        <w:t xml:space="preserve"> (voir le lien: </w:t>
      </w:r>
      <w:hyperlink r:id="rId10" w:history="1">
        <w:r w:rsidR="00D16078" w:rsidRPr="00D16078">
          <w:rPr>
            <w:rStyle w:val="Hyperlink"/>
            <w:lang w:val="fr-CH"/>
          </w:rPr>
          <w:t>http://www.itu.int/council/</w:t>
        </w:r>
      </w:hyperlink>
      <w:r w:rsidR="00D16078" w:rsidRPr="00D16078">
        <w:rPr>
          <w:rStyle w:val="Hyperlink"/>
          <w:color w:val="auto"/>
          <w:u w:val="none"/>
          <w:lang w:val="fr-CH"/>
        </w:rPr>
        <w:t>)</w:t>
      </w:r>
      <w:r w:rsidRPr="00D16078">
        <w:rPr>
          <w:lang w:val="fr-CH"/>
        </w:rPr>
        <w:t>.</w:t>
      </w:r>
    </w:p>
    <w:p w:rsidR="00BA7363" w:rsidRPr="00F54B2E" w:rsidRDefault="00BA7363" w:rsidP="00BA7363">
      <w:pPr>
        <w:pStyle w:val="Heading2"/>
        <w:rPr>
          <w:lang w:val="fr-CH"/>
        </w:rPr>
      </w:pPr>
      <w:r w:rsidRPr="00F54B2E">
        <w:rPr>
          <w:lang w:val="fr-CH"/>
        </w:rPr>
        <w:t>2.1</w:t>
      </w:r>
      <w:r w:rsidRPr="00F54B2E">
        <w:rPr>
          <w:lang w:val="fr-CH"/>
        </w:rPr>
        <w:tab/>
        <w:t xml:space="preserve">Mise en </w:t>
      </w:r>
      <w:r>
        <w:rPr>
          <w:lang w:val="fr-CH"/>
        </w:rPr>
        <w:t>oe</w:t>
      </w:r>
      <w:r w:rsidRPr="00F54B2E">
        <w:rPr>
          <w:lang w:val="fr-CH"/>
        </w:rPr>
        <w:t>uvre des décisions de la CMR-12</w:t>
      </w:r>
      <w:r>
        <w:rPr>
          <w:lang w:val="fr-CH"/>
        </w:rPr>
        <w:t xml:space="preserve"> </w:t>
      </w:r>
      <w:r w:rsidRPr="0015111C">
        <w:rPr>
          <w:lang w:val="fr-CH"/>
        </w:rPr>
        <w:t>–</w:t>
      </w:r>
      <w:r>
        <w:rPr>
          <w:lang w:val="fr-CH"/>
        </w:rPr>
        <w:t xml:space="preserve"> Ordre du jour, dates et lieu de l'AR-15 et de la CMR-15 </w:t>
      </w:r>
    </w:p>
    <w:p w:rsidR="00BA7363" w:rsidRDefault="00BA7363" w:rsidP="00BA7363">
      <w:pPr>
        <w:rPr>
          <w:lang w:val="fr-CH"/>
        </w:rPr>
      </w:pPr>
      <w:r w:rsidRPr="00F54B2E">
        <w:rPr>
          <w:lang w:val="fr-CH"/>
        </w:rPr>
        <w:t xml:space="preserve">Le Conseil a pris note du fait que les incidences financières des décisions de la </w:t>
      </w:r>
      <w:r>
        <w:rPr>
          <w:lang w:val="fr-CH"/>
        </w:rPr>
        <w:t>CMR-</w:t>
      </w:r>
      <w:r w:rsidRPr="00F54B2E">
        <w:rPr>
          <w:lang w:val="fr-CH"/>
        </w:rPr>
        <w:t xml:space="preserve">12 </w:t>
      </w:r>
      <w:r>
        <w:rPr>
          <w:lang w:val="fr-CH"/>
        </w:rPr>
        <w:t xml:space="preserve">se chiffraient à </w:t>
      </w:r>
      <w:r w:rsidRPr="00F54B2E">
        <w:rPr>
          <w:lang w:val="fr-CH"/>
        </w:rPr>
        <w:t>1</w:t>
      </w:r>
      <w:r>
        <w:rPr>
          <w:lang w:val="fr-CH"/>
        </w:rPr>
        <w:t>,</w:t>
      </w:r>
      <w:r w:rsidRPr="00F54B2E">
        <w:rPr>
          <w:lang w:val="fr-CH"/>
        </w:rPr>
        <w:t xml:space="preserve">1 million CHF </w:t>
      </w:r>
      <w:r>
        <w:rPr>
          <w:lang w:val="fr-CH"/>
        </w:rPr>
        <w:t xml:space="preserve">et est convenu qu'il conviendrait de financer les coûts correspondants grâce à des </w:t>
      </w:r>
      <w:r w:rsidRPr="00F54B2E">
        <w:rPr>
          <w:lang w:val="fr-CH"/>
        </w:rPr>
        <w:t>mesures visant à renforcer l'efficacité</w:t>
      </w:r>
      <w:r>
        <w:rPr>
          <w:lang w:val="fr-CH"/>
        </w:rPr>
        <w:t xml:space="preserve"> et à la réalisation d'économies au BR. En outre, il a été noté que le recours à des méthodes de communication électroniques fondées sur les Résolutions 907 et 908 de la CMR-12 permettraient d'améliorer l'efficacité.</w:t>
      </w:r>
    </w:p>
    <w:p w:rsidR="00BA7363" w:rsidRPr="004025C7" w:rsidRDefault="00BA7363" w:rsidP="00BA7363">
      <w:pPr>
        <w:rPr>
          <w:rFonts w:eastAsia="SimSun"/>
          <w:szCs w:val="24"/>
          <w:lang w:val="fr-CH" w:eastAsia="zh-CN"/>
        </w:rPr>
      </w:pPr>
      <w:r w:rsidRPr="004025C7">
        <w:rPr>
          <w:rFonts w:asciiTheme="majorBidi" w:hAnsiTheme="majorBidi" w:cstheme="majorBidi"/>
          <w:szCs w:val="24"/>
          <w:lang w:val="fr-CH"/>
        </w:rPr>
        <w:t xml:space="preserve">Lors des discussions relatives à la durée de la CMR-15, </w:t>
      </w:r>
      <w:r>
        <w:rPr>
          <w:rFonts w:asciiTheme="majorBidi" w:hAnsiTheme="majorBidi" w:cstheme="majorBidi"/>
          <w:szCs w:val="24"/>
          <w:lang w:val="fr-CH"/>
        </w:rPr>
        <w:t>les</w:t>
      </w:r>
      <w:r w:rsidRPr="004025C7">
        <w:rPr>
          <w:rFonts w:asciiTheme="majorBidi" w:hAnsiTheme="majorBidi" w:cstheme="majorBidi"/>
          <w:szCs w:val="24"/>
          <w:lang w:val="fr-CH"/>
        </w:rPr>
        <w:t xml:space="preserve"> participant</w:t>
      </w:r>
      <w:r>
        <w:rPr>
          <w:rFonts w:asciiTheme="majorBidi" w:hAnsiTheme="majorBidi" w:cstheme="majorBidi"/>
          <w:szCs w:val="24"/>
          <w:lang w:val="fr-CH"/>
        </w:rPr>
        <w:t>s</w:t>
      </w:r>
      <w:r w:rsidRPr="004025C7">
        <w:rPr>
          <w:rFonts w:asciiTheme="majorBidi" w:hAnsiTheme="majorBidi" w:cstheme="majorBidi"/>
          <w:szCs w:val="24"/>
          <w:lang w:val="fr-CH"/>
        </w:rPr>
        <w:t xml:space="preserve"> n</w:t>
      </w:r>
      <w:r>
        <w:rPr>
          <w:rFonts w:asciiTheme="majorBidi" w:hAnsiTheme="majorBidi" w:cstheme="majorBidi"/>
          <w:szCs w:val="24"/>
          <w:lang w:val="fr-CH"/>
        </w:rPr>
        <w:t xml:space="preserve">'ont formulé aucune opposition concernant une durée </w:t>
      </w:r>
      <w:r w:rsidRPr="004025C7">
        <w:rPr>
          <w:rFonts w:asciiTheme="majorBidi" w:hAnsiTheme="majorBidi" w:cstheme="majorBidi"/>
          <w:szCs w:val="24"/>
          <w:lang w:val="fr-CH"/>
        </w:rPr>
        <w:t>de quatre semaines. Le Conseil a approuvé la Résolution 1343</w:t>
      </w:r>
      <w:r w:rsidRPr="004025C7">
        <w:rPr>
          <w:rFonts w:eastAsia="SimSun"/>
          <w:szCs w:val="24"/>
          <w:lang w:val="fr-CH" w:eastAsia="zh-CN"/>
        </w:rPr>
        <w:t xml:space="preserve"> (</w:t>
      </w:r>
      <w:bookmarkStart w:id="5" w:name="_Hlk351970741"/>
      <w:r>
        <w:rPr>
          <w:rFonts w:eastAsia="SimSun"/>
          <w:szCs w:val="24"/>
          <w:lang w:val="en-US" w:eastAsia="zh-CN"/>
        </w:rPr>
        <w:fldChar w:fldCharType="begin"/>
      </w:r>
      <w:r w:rsidRPr="004025C7">
        <w:rPr>
          <w:rFonts w:eastAsia="SimSun"/>
          <w:szCs w:val="24"/>
          <w:lang w:val="fr-CH" w:eastAsia="zh-CN"/>
        </w:rPr>
        <w:instrText xml:space="preserve"> HYPERLINK "http://web.itu.int/dms_ties/itu-s/md/12/cl/c/S12-CL-C-0085!R1!MSW-E.docx" </w:instrText>
      </w:r>
      <w:r>
        <w:rPr>
          <w:rFonts w:eastAsia="SimSun"/>
          <w:szCs w:val="24"/>
          <w:lang w:val="en-US" w:eastAsia="zh-CN"/>
        </w:rPr>
        <w:fldChar w:fldCharType="separate"/>
      </w:r>
      <w:r w:rsidRPr="004025C7">
        <w:rPr>
          <w:rStyle w:val="Hyperlink"/>
          <w:rFonts w:eastAsia="SimSun"/>
          <w:szCs w:val="24"/>
          <w:lang w:val="fr-CH" w:eastAsia="zh-CN"/>
        </w:rPr>
        <w:t>Document C12/85(R</w:t>
      </w:r>
      <w:r>
        <w:rPr>
          <w:rStyle w:val="Hyperlink"/>
          <w:rFonts w:eastAsia="SimSun"/>
          <w:szCs w:val="24"/>
          <w:lang w:val="fr-CH" w:eastAsia="zh-CN"/>
        </w:rPr>
        <w:t>é</w:t>
      </w:r>
      <w:r w:rsidRPr="004025C7">
        <w:rPr>
          <w:rStyle w:val="Hyperlink"/>
          <w:rFonts w:eastAsia="SimSun"/>
          <w:szCs w:val="24"/>
          <w:lang w:val="fr-CH" w:eastAsia="zh-CN"/>
        </w:rPr>
        <w:t>v.1</w:t>
      </w:r>
      <w:bookmarkEnd w:id="5"/>
      <w:r>
        <w:rPr>
          <w:rFonts w:eastAsia="SimSun"/>
          <w:szCs w:val="24"/>
          <w:lang w:val="en-US" w:eastAsia="zh-CN"/>
        </w:rPr>
        <w:fldChar w:fldCharType="end"/>
      </w:r>
      <w:r w:rsidRPr="004025C7">
        <w:rPr>
          <w:rFonts w:eastAsia="SimSun"/>
          <w:szCs w:val="24"/>
          <w:lang w:val="fr-CH" w:eastAsia="zh-CN"/>
        </w:rPr>
        <w:t>))</w:t>
      </w:r>
      <w:r>
        <w:rPr>
          <w:rFonts w:eastAsia="SimSun"/>
          <w:szCs w:val="24"/>
          <w:lang w:val="fr-CH" w:eastAsia="zh-CN"/>
        </w:rPr>
        <w:t xml:space="preserve"> </w:t>
      </w:r>
      <w:r w:rsidRPr="004025C7">
        <w:rPr>
          <w:rFonts w:asciiTheme="majorBidi" w:hAnsiTheme="majorBidi" w:cstheme="majorBidi"/>
          <w:szCs w:val="24"/>
          <w:lang w:val="fr-CH"/>
        </w:rPr>
        <w:t>qui contient l'ordre du jour de la CMR</w:t>
      </w:r>
      <w:r>
        <w:rPr>
          <w:rFonts w:asciiTheme="majorBidi" w:hAnsiTheme="majorBidi" w:cstheme="majorBidi"/>
          <w:szCs w:val="24"/>
          <w:lang w:val="fr-CH"/>
        </w:rPr>
        <w:t>-15 ainsi que les dates et lieu</w:t>
      </w:r>
      <w:r w:rsidRPr="004025C7">
        <w:rPr>
          <w:rFonts w:asciiTheme="majorBidi" w:hAnsiTheme="majorBidi" w:cstheme="majorBidi"/>
          <w:szCs w:val="24"/>
          <w:lang w:val="fr-CH"/>
        </w:rPr>
        <w:t xml:space="preserve"> </w:t>
      </w:r>
      <w:r>
        <w:rPr>
          <w:rFonts w:asciiTheme="majorBidi" w:hAnsiTheme="majorBidi" w:cstheme="majorBidi"/>
          <w:szCs w:val="24"/>
          <w:lang w:val="fr-CH"/>
        </w:rPr>
        <w:t>de cette Conférence (Genève</w:t>
      </w:r>
      <w:r w:rsidR="007D6DBA">
        <w:rPr>
          <w:rFonts w:asciiTheme="majorBidi" w:hAnsiTheme="majorBidi" w:cstheme="majorBidi"/>
          <w:szCs w:val="24"/>
          <w:lang w:val="fr-CH"/>
        </w:rPr>
        <w:t>,</w:t>
      </w:r>
      <w:r w:rsidRPr="004025C7">
        <w:rPr>
          <w:rFonts w:eastAsia="SimSun"/>
          <w:szCs w:val="24"/>
          <w:lang w:val="fr-CH" w:eastAsia="zh-CN"/>
        </w:rPr>
        <w:t xml:space="preserve"> 2-27 </w:t>
      </w:r>
      <w:r>
        <w:rPr>
          <w:rFonts w:eastAsia="SimSun"/>
          <w:szCs w:val="24"/>
          <w:lang w:val="fr-CH" w:eastAsia="zh-CN"/>
        </w:rPr>
        <w:t>n</w:t>
      </w:r>
      <w:r w:rsidRPr="004025C7">
        <w:rPr>
          <w:rFonts w:eastAsia="SimSun"/>
          <w:szCs w:val="24"/>
          <w:lang w:val="fr-CH" w:eastAsia="zh-CN"/>
        </w:rPr>
        <w:t>ovemb</w:t>
      </w:r>
      <w:r>
        <w:rPr>
          <w:rFonts w:eastAsia="SimSun"/>
          <w:szCs w:val="24"/>
          <w:lang w:val="fr-CH" w:eastAsia="zh-CN"/>
        </w:rPr>
        <w:t xml:space="preserve">re </w:t>
      </w:r>
      <w:r w:rsidRPr="004025C7">
        <w:rPr>
          <w:rFonts w:eastAsia="SimSun"/>
          <w:szCs w:val="24"/>
          <w:lang w:val="fr-CH" w:eastAsia="zh-CN"/>
        </w:rPr>
        <w:t>2015)</w:t>
      </w:r>
      <w:r>
        <w:rPr>
          <w:rFonts w:eastAsia="SimSun"/>
          <w:szCs w:val="24"/>
          <w:lang w:val="fr-CH" w:eastAsia="zh-CN"/>
        </w:rPr>
        <w:t xml:space="preserve"> </w:t>
      </w:r>
      <w:r>
        <w:rPr>
          <w:rFonts w:asciiTheme="majorBidi" w:hAnsiTheme="majorBidi" w:cstheme="majorBidi"/>
          <w:szCs w:val="24"/>
          <w:lang w:val="fr-CH"/>
        </w:rPr>
        <w:t>et de l'AR-15</w:t>
      </w:r>
      <w:r w:rsidR="007D6DBA">
        <w:rPr>
          <w:rFonts w:asciiTheme="majorBidi" w:hAnsiTheme="majorBidi" w:cstheme="majorBidi"/>
          <w:szCs w:val="24"/>
          <w:lang w:val="fr-CH"/>
        </w:rPr>
        <w:t xml:space="preserve"> </w:t>
      </w:r>
      <w:r w:rsidRPr="004025C7">
        <w:rPr>
          <w:rFonts w:eastAsia="SimSun"/>
          <w:szCs w:val="24"/>
          <w:lang w:val="fr-CH" w:eastAsia="zh-CN"/>
        </w:rPr>
        <w:t>(Genèv</w:t>
      </w:r>
      <w:r>
        <w:rPr>
          <w:rFonts w:eastAsia="SimSun"/>
          <w:szCs w:val="24"/>
          <w:lang w:val="fr-CH" w:eastAsia="zh-CN"/>
        </w:rPr>
        <w:t>e</w:t>
      </w:r>
      <w:r w:rsidRPr="004025C7">
        <w:rPr>
          <w:rFonts w:eastAsia="SimSun"/>
          <w:szCs w:val="24"/>
          <w:lang w:val="fr-CH" w:eastAsia="zh-CN"/>
        </w:rPr>
        <w:t>, 26</w:t>
      </w:r>
      <w:r w:rsidRPr="004025C7">
        <w:rPr>
          <w:rFonts w:eastAsia="SimSun"/>
          <w:szCs w:val="24"/>
          <w:lang w:val="fr-CH" w:eastAsia="zh-CN"/>
        </w:rPr>
        <w:noBreakHyphen/>
        <w:t>30 </w:t>
      </w:r>
      <w:r>
        <w:rPr>
          <w:rFonts w:eastAsia="SimSun"/>
          <w:szCs w:val="24"/>
          <w:lang w:val="fr-CH" w:eastAsia="zh-CN"/>
        </w:rPr>
        <w:t>o</w:t>
      </w:r>
      <w:r w:rsidRPr="004025C7">
        <w:rPr>
          <w:rFonts w:eastAsia="SimSun"/>
          <w:szCs w:val="24"/>
          <w:lang w:val="fr-CH" w:eastAsia="zh-CN"/>
        </w:rPr>
        <w:t>ctob</w:t>
      </w:r>
      <w:r>
        <w:rPr>
          <w:rFonts w:eastAsia="SimSun"/>
          <w:szCs w:val="24"/>
          <w:lang w:val="fr-CH" w:eastAsia="zh-CN"/>
        </w:rPr>
        <w:t xml:space="preserve">re </w:t>
      </w:r>
      <w:r w:rsidRPr="004025C7">
        <w:rPr>
          <w:rFonts w:eastAsia="SimSun"/>
          <w:szCs w:val="24"/>
          <w:lang w:val="fr-CH" w:eastAsia="zh-CN"/>
        </w:rPr>
        <w:t>2015).</w:t>
      </w:r>
      <w:r w:rsidRPr="004025C7">
        <w:rPr>
          <w:rFonts w:asciiTheme="majorBidi" w:hAnsiTheme="majorBidi" w:cstheme="majorBidi"/>
          <w:szCs w:val="24"/>
          <w:lang w:val="fr-CH"/>
        </w:rPr>
        <w:t xml:space="preserve"> </w:t>
      </w:r>
      <w:r>
        <w:rPr>
          <w:rFonts w:asciiTheme="majorBidi" w:hAnsiTheme="majorBidi" w:cstheme="majorBidi"/>
          <w:szCs w:val="24"/>
          <w:lang w:val="fr-CH"/>
        </w:rPr>
        <w:t>Cette Résolution du Conseil a par la suite été approuvée</w:t>
      </w:r>
      <w:r w:rsidRPr="004025C7">
        <w:rPr>
          <w:rFonts w:asciiTheme="majorBidi" w:hAnsiTheme="majorBidi" w:cstheme="majorBidi"/>
          <w:szCs w:val="24"/>
          <w:lang w:val="fr-CH"/>
        </w:rPr>
        <w:t xml:space="preserve"> </w:t>
      </w:r>
      <w:r>
        <w:rPr>
          <w:rFonts w:asciiTheme="majorBidi" w:hAnsiTheme="majorBidi" w:cstheme="majorBidi"/>
          <w:szCs w:val="24"/>
          <w:lang w:val="fr-CH"/>
        </w:rPr>
        <w:t xml:space="preserve">par correspondance par les Etats Membres de l'UIT. </w:t>
      </w:r>
      <w:r w:rsidRPr="004025C7">
        <w:rPr>
          <w:rFonts w:asciiTheme="majorBidi" w:hAnsiTheme="majorBidi" w:cstheme="majorBidi"/>
          <w:szCs w:val="24"/>
          <w:lang w:val="fr-CH"/>
        </w:rPr>
        <w:t>Le Conseil a pris note des dates et du lieu proposé</w:t>
      </w:r>
      <w:r>
        <w:rPr>
          <w:rFonts w:asciiTheme="majorBidi" w:hAnsiTheme="majorBidi" w:cstheme="majorBidi"/>
          <w:szCs w:val="24"/>
          <w:lang w:val="fr-CH"/>
        </w:rPr>
        <w:t>s</w:t>
      </w:r>
      <w:r w:rsidRPr="004025C7">
        <w:rPr>
          <w:rFonts w:asciiTheme="majorBidi" w:hAnsiTheme="majorBidi" w:cstheme="majorBidi"/>
          <w:szCs w:val="24"/>
          <w:lang w:val="fr-CH"/>
        </w:rPr>
        <w:t xml:space="preserve"> pour la </w:t>
      </w:r>
      <w:r>
        <w:rPr>
          <w:rFonts w:asciiTheme="majorBidi" w:hAnsiTheme="majorBidi" w:cstheme="majorBidi"/>
          <w:szCs w:val="24"/>
          <w:lang w:val="fr-CH"/>
        </w:rPr>
        <w:t>seconde s</w:t>
      </w:r>
      <w:r w:rsidRPr="004025C7">
        <w:rPr>
          <w:rFonts w:asciiTheme="majorBidi" w:hAnsiTheme="majorBidi" w:cstheme="majorBidi"/>
          <w:szCs w:val="24"/>
          <w:lang w:val="fr-CH"/>
        </w:rPr>
        <w:t xml:space="preserve">ession de la RPC </w:t>
      </w:r>
      <w:r>
        <w:rPr>
          <w:rFonts w:asciiTheme="majorBidi" w:hAnsiTheme="majorBidi" w:cstheme="majorBidi"/>
          <w:szCs w:val="24"/>
          <w:lang w:val="fr-CH"/>
        </w:rPr>
        <w:t xml:space="preserve">en vue de la CMR-15 </w:t>
      </w:r>
      <w:r w:rsidRPr="004025C7">
        <w:rPr>
          <w:rFonts w:eastAsia="SimSun"/>
          <w:szCs w:val="24"/>
          <w:lang w:val="fr-CH" w:eastAsia="zh-CN"/>
        </w:rPr>
        <w:t>(</w:t>
      </w:r>
      <w:r w:rsidRPr="004025C7">
        <w:rPr>
          <w:rFonts w:asciiTheme="majorBidi" w:hAnsiTheme="majorBidi" w:cstheme="majorBidi"/>
          <w:szCs w:val="24"/>
          <w:lang w:val="fr-CH"/>
        </w:rPr>
        <w:t>RPC</w:t>
      </w:r>
      <w:r w:rsidRPr="004025C7">
        <w:rPr>
          <w:rFonts w:eastAsia="SimSun"/>
          <w:szCs w:val="24"/>
          <w:lang w:val="fr-CH" w:eastAsia="zh-CN"/>
        </w:rPr>
        <w:t xml:space="preserve">15-2, </w:t>
      </w:r>
      <w:r w:rsidRPr="004025C7">
        <w:rPr>
          <w:lang w:val="fr-CH"/>
        </w:rPr>
        <w:t>Genèv</w:t>
      </w:r>
      <w:r>
        <w:rPr>
          <w:lang w:val="fr-CH"/>
        </w:rPr>
        <w:t>e</w:t>
      </w:r>
      <w:r w:rsidRPr="004025C7">
        <w:rPr>
          <w:lang w:val="fr-CH"/>
        </w:rPr>
        <w:t xml:space="preserve">, 23 </w:t>
      </w:r>
      <w:r>
        <w:rPr>
          <w:lang w:val="fr-CH"/>
        </w:rPr>
        <w:t>m</w:t>
      </w:r>
      <w:r w:rsidRPr="004025C7">
        <w:rPr>
          <w:lang w:val="fr-CH"/>
        </w:rPr>
        <w:t>ar</w:t>
      </w:r>
      <w:r>
        <w:rPr>
          <w:lang w:val="fr-CH"/>
        </w:rPr>
        <w:t xml:space="preserve">s </w:t>
      </w:r>
      <w:r w:rsidRPr="0015111C">
        <w:rPr>
          <w:lang w:val="fr-CH"/>
        </w:rPr>
        <w:t>–</w:t>
      </w:r>
      <w:r>
        <w:rPr>
          <w:lang w:val="fr-CH"/>
        </w:rPr>
        <w:t xml:space="preserve"> 2 av</w:t>
      </w:r>
      <w:r w:rsidRPr="004025C7">
        <w:rPr>
          <w:lang w:val="fr-CH"/>
        </w:rPr>
        <w:t>ril 2015)</w:t>
      </w:r>
      <w:r w:rsidRPr="004025C7">
        <w:rPr>
          <w:rFonts w:eastAsia="SimSun"/>
          <w:szCs w:val="24"/>
          <w:lang w:val="fr-CH" w:eastAsia="zh-CN"/>
        </w:rPr>
        <w:t>.</w:t>
      </w:r>
    </w:p>
    <w:p w:rsidR="00BA7363" w:rsidRDefault="00BA7363" w:rsidP="00BA7363">
      <w:pPr>
        <w:rPr>
          <w:rFonts w:asciiTheme="majorBidi" w:hAnsiTheme="majorBidi" w:cstheme="majorBidi"/>
          <w:szCs w:val="24"/>
          <w:lang w:val="fr-CH"/>
        </w:rPr>
      </w:pPr>
      <w:r w:rsidRPr="00113CF3">
        <w:rPr>
          <w:rFonts w:asciiTheme="majorBidi" w:hAnsiTheme="majorBidi" w:cstheme="majorBidi"/>
          <w:szCs w:val="24"/>
          <w:lang w:val="fr-CH"/>
        </w:rPr>
        <w:t>Il a été suggéré que, pour gagner du temps, la première session de la RPC</w:t>
      </w:r>
      <w:r>
        <w:rPr>
          <w:rFonts w:asciiTheme="majorBidi" w:hAnsiTheme="majorBidi" w:cstheme="majorBidi"/>
          <w:szCs w:val="24"/>
          <w:lang w:val="fr-CH"/>
        </w:rPr>
        <w:t xml:space="preserve"> </w:t>
      </w:r>
      <w:r w:rsidRPr="00113CF3">
        <w:rPr>
          <w:rFonts w:asciiTheme="majorBidi" w:hAnsiTheme="majorBidi" w:cstheme="majorBidi"/>
          <w:szCs w:val="24"/>
          <w:lang w:val="fr-CH"/>
        </w:rPr>
        <w:t>(RPC-1) se tienne immédiatement après la cérémonie de signature de la CMR</w:t>
      </w:r>
      <w:r>
        <w:rPr>
          <w:rFonts w:asciiTheme="majorBidi" w:hAnsiTheme="majorBidi" w:cstheme="majorBidi"/>
          <w:szCs w:val="24"/>
          <w:lang w:val="fr-CH"/>
        </w:rPr>
        <w:t xml:space="preserve"> </w:t>
      </w:r>
      <w:r w:rsidRPr="00113CF3">
        <w:rPr>
          <w:rFonts w:asciiTheme="majorBidi" w:hAnsiTheme="majorBidi" w:cstheme="majorBidi"/>
          <w:szCs w:val="24"/>
          <w:lang w:val="fr-CH"/>
        </w:rPr>
        <w:t xml:space="preserve">et se poursuivre le samedi suivant la fin de la conférence, de façon que </w:t>
      </w:r>
      <w:r>
        <w:rPr>
          <w:rFonts w:asciiTheme="majorBidi" w:hAnsiTheme="majorBidi" w:cstheme="majorBidi"/>
          <w:szCs w:val="24"/>
          <w:lang w:val="fr-CH"/>
        </w:rPr>
        <w:t>les délégations n'aient</w:t>
      </w:r>
      <w:r w:rsidRPr="00113CF3">
        <w:rPr>
          <w:rFonts w:asciiTheme="majorBidi" w:hAnsiTheme="majorBidi" w:cstheme="majorBidi"/>
          <w:szCs w:val="24"/>
          <w:lang w:val="fr-CH"/>
        </w:rPr>
        <w:t xml:space="preserve"> pas à passer </w:t>
      </w:r>
      <w:r>
        <w:rPr>
          <w:rFonts w:asciiTheme="majorBidi" w:hAnsiTheme="majorBidi" w:cstheme="majorBidi"/>
          <w:szCs w:val="24"/>
          <w:lang w:val="fr-CH"/>
        </w:rPr>
        <w:t>t</w:t>
      </w:r>
      <w:r w:rsidRPr="00113CF3">
        <w:rPr>
          <w:rFonts w:asciiTheme="majorBidi" w:hAnsiTheme="majorBidi" w:cstheme="majorBidi"/>
          <w:szCs w:val="24"/>
          <w:lang w:val="fr-CH"/>
        </w:rPr>
        <w:t>ou</w:t>
      </w:r>
      <w:r>
        <w:rPr>
          <w:rFonts w:asciiTheme="majorBidi" w:hAnsiTheme="majorBidi" w:cstheme="majorBidi"/>
          <w:szCs w:val="24"/>
          <w:lang w:val="fr-CH"/>
        </w:rPr>
        <w:t>t</w:t>
      </w:r>
      <w:r w:rsidRPr="00113CF3">
        <w:rPr>
          <w:rFonts w:asciiTheme="majorBidi" w:hAnsiTheme="majorBidi" w:cstheme="majorBidi"/>
          <w:szCs w:val="24"/>
          <w:lang w:val="fr-CH"/>
        </w:rPr>
        <w:t xml:space="preserve"> le week-end </w:t>
      </w:r>
      <w:r>
        <w:rPr>
          <w:rFonts w:asciiTheme="majorBidi" w:hAnsiTheme="majorBidi" w:cstheme="majorBidi"/>
          <w:szCs w:val="24"/>
          <w:lang w:val="fr-CH"/>
        </w:rPr>
        <w:t xml:space="preserve">à Genève en attendant le commencement de la </w:t>
      </w:r>
      <w:r w:rsidRPr="00113CF3">
        <w:rPr>
          <w:rFonts w:asciiTheme="majorBidi" w:hAnsiTheme="majorBidi" w:cstheme="majorBidi"/>
          <w:szCs w:val="24"/>
          <w:lang w:val="fr-CH"/>
        </w:rPr>
        <w:t>RPC-1</w:t>
      </w:r>
      <w:r>
        <w:rPr>
          <w:rFonts w:asciiTheme="majorBidi" w:hAnsiTheme="majorBidi" w:cstheme="majorBidi"/>
          <w:szCs w:val="24"/>
          <w:lang w:val="fr-CH"/>
        </w:rPr>
        <w:t xml:space="preserve"> la semaine suivante. </w:t>
      </w:r>
      <w:r w:rsidRPr="00E263A5">
        <w:rPr>
          <w:rFonts w:asciiTheme="majorBidi" w:hAnsiTheme="majorBidi" w:cstheme="majorBidi"/>
          <w:szCs w:val="24"/>
          <w:lang w:val="fr-CH"/>
        </w:rPr>
        <w:t>D'autres</w:t>
      </w:r>
      <w:r>
        <w:rPr>
          <w:rFonts w:asciiTheme="majorBidi" w:hAnsiTheme="majorBidi" w:cstheme="majorBidi"/>
          <w:szCs w:val="24"/>
          <w:lang w:val="fr-CH"/>
        </w:rPr>
        <w:t xml:space="preserve"> </w:t>
      </w:r>
      <w:r w:rsidRPr="00E263A5">
        <w:rPr>
          <w:rFonts w:asciiTheme="majorBidi" w:hAnsiTheme="majorBidi" w:cstheme="majorBidi"/>
          <w:szCs w:val="24"/>
          <w:lang w:val="fr-CH"/>
        </w:rPr>
        <w:t>ont cependant été d'avis que les délégués devaient</w:t>
      </w:r>
      <w:r>
        <w:rPr>
          <w:rFonts w:asciiTheme="majorBidi" w:hAnsiTheme="majorBidi" w:cstheme="majorBidi"/>
          <w:szCs w:val="24"/>
          <w:lang w:val="fr-CH"/>
        </w:rPr>
        <w:t xml:space="preserve"> </w:t>
      </w:r>
      <w:r w:rsidRPr="00E263A5">
        <w:rPr>
          <w:rFonts w:asciiTheme="majorBidi" w:hAnsiTheme="majorBidi" w:cstheme="majorBidi"/>
          <w:szCs w:val="24"/>
          <w:lang w:val="fr-CH"/>
        </w:rPr>
        <w:t>pouvoir se reposer pendant le week-end.</w:t>
      </w:r>
      <w:r>
        <w:rPr>
          <w:rFonts w:asciiTheme="majorBidi" w:hAnsiTheme="majorBidi" w:cstheme="majorBidi"/>
          <w:szCs w:val="24"/>
          <w:lang w:val="fr-CH"/>
        </w:rPr>
        <w:t xml:space="preserve"> </w:t>
      </w:r>
      <w:r w:rsidRPr="00E263A5">
        <w:rPr>
          <w:rFonts w:asciiTheme="majorBidi" w:hAnsiTheme="majorBidi" w:cstheme="majorBidi"/>
          <w:szCs w:val="24"/>
          <w:lang w:val="fr-CH"/>
        </w:rPr>
        <w:t xml:space="preserve">Cette question sera examinée de manière plus approfondie, </w:t>
      </w:r>
      <w:r>
        <w:rPr>
          <w:rFonts w:asciiTheme="majorBidi" w:hAnsiTheme="majorBidi" w:cstheme="majorBidi"/>
          <w:szCs w:val="24"/>
          <w:lang w:val="fr-CH"/>
        </w:rPr>
        <w:t xml:space="preserve">à la lumière de </w:t>
      </w:r>
      <w:r w:rsidRPr="00E263A5">
        <w:rPr>
          <w:rFonts w:asciiTheme="majorBidi" w:hAnsiTheme="majorBidi" w:cstheme="majorBidi"/>
          <w:szCs w:val="24"/>
          <w:lang w:val="fr-CH"/>
        </w:rPr>
        <w:t xml:space="preserve">l'expérience acquise dans le passé </w:t>
      </w:r>
      <w:r>
        <w:rPr>
          <w:rFonts w:asciiTheme="majorBidi" w:hAnsiTheme="majorBidi" w:cstheme="majorBidi"/>
          <w:szCs w:val="24"/>
          <w:lang w:val="fr-CH"/>
        </w:rPr>
        <w:t>et récemment, et les résultats seront présentés au GCR à sa réunion de 2014.</w:t>
      </w:r>
    </w:p>
    <w:p w:rsidR="00BA7363" w:rsidRPr="00683AF4" w:rsidRDefault="00BA7363" w:rsidP="00BA7363">
      <w:pPr>
        <w:pStyle w:val="Heading2"/>
      </w:pPr>
      <w:r w:rsidRPr="00683AF4">
        <w:lastRenderedPageBreak/>
        <w:t>2.2</w:t>
      </w:r>
      <w:r w:rsidRPr="00683AF4">
        <w:tab/>
        <w:t>Publications</w:t>
      </w:r>
    </w:p>
    <w:p w:rsidR="00BA7363" w:rsidRDefault="00BA7363" w:rsidP="00BA7363">
      <w:pPr>
        <w:pStyle w:val="Tabletext"/>
        <w:spacing w:before="60" w:after="60"/>
        <w:rPr>
          <w:sz w:val="24"/>
          <w:szCs w:val="24"/>
          <w:lang w:val="fr-CH"/>
        </w:rPr>
      </w:pPr>
      <w:r w:rsidRPr="00803861">
        <w:rPr>
          <w:sz w:val="24"/>
          <w:szCs w:val="24"/>
          <w:lang w:val="fr-CH"/>
        </w:rPr>
        <w:t>Par sa Décision 12 (Guadalajara, 2010), la PP-10 a étendu l</w:t>
      </w:r>
      <w:r>
        <w:rPr>
          <w:sz w:val="24"/>
          <w:szCs w:val="24"/>
          <w:lang w:val="fr-CH"/>
        </w:rPr>
        <w:t>a politique d</w:t>
      </w:r>
      <w:r w:rsidRPr="00803861">
        <w:rPr>
          <w:sz w:val="24"/>
          <w:szCs w:val="24"/>
          <w:lang w:val="fr-CH"/>
        </w:rPr>
        <w:t>'accès en ligne gratuit</w:t>
      </w:r>
      <w:r>
        <w:rPr>
          <w:sz w:val="24"/>
          <w:szCs w:val="24"/>
          <w:lang w:val="fr-CH"/>
        </w:rPr>
        <w:t xml:space="preserve"> </w:t>
      </w:r>
      <w:r w:rsidRPr="00803861">
        <w:rPr>
          <w:sz w:val="24"/>
          <w:szCs w:val="24"/>
          <w:lang w:val="fr-CH"/>
        </w:rPr>
        <w:t>aux Recommandations et</w:t>
      </w:r>
      <w:r>
        <w:rPr>
          <w:sz w:val="24"/>
          <w:szCs w:val="24"/>
          <w:lang w:val="fr-CH"/>
        </w:rPr>
        <w:t xml:space="preserve"> R</w:t>
      </w:r>
      <w:r w:rsidRPr="00803861">
        <w:rPr>
          <w:sz w:val="24"/>
          <w:szCs w:val="24"/>
          <w:lang w:val="fr-CH"/>
        </w:rPr>
        <w:t xml:space="preserve">apports de l'UIT-R. Comme indiqué </w:t>
      </w:r>
      <w:r>
        <w:rPr>
          <w:sz w:val="24"/>
          <w:szCs w:val="24"/>
          <w:lang w:val="fr-CH"/>
        </w:rPr>
        <w:t xml:space="preserve">précédemment, </w:t>
      </w:r>
      <w:r w:rsidRPr="00803861">
        <w:rPr>
          <w:sz w:val="24"/>
          <w:szCs w:val="24"/>
          <w:lang w:val="fr-CH"/>
        </w:rPr>
        <w:t xml:space="preserve">le nombre de téléchargements et le nombre d'utilisateurs distincts </w:t>
      </w:r>
      <w:r>
        <w:rPr>
          <w:sz w:val="24"/>
          <w:szCs w:val="24"/>
          <w:lang w:val="fr-CH"/>
        </w:rPr>
        <w:t>qui télécharge</w:t>
      </w:r>
      <w:r w:rsidRPr="00803861">
        <w:rPr>
          <w:sz w:val="24"/>
          <w:szCs w:val="24"/>
          <w:lang w:val="fr-CH"/>
        </w:rPr>
        <w:t xml:space="preserve">nt ces publications </w:t>
      </w:r>
      <w:r>
        <w:rPr>
          <w:sz w:val="24"/>
          <w:szCs w:val="24"/>
          <w:lang w:val="fr-CH"/>
        </w:rPr>
        <w:t>ont</w:t>
      </w:r>
      <w:r w:rsidRPr="00803861">
        <w:rPr>
          <w:sz w:val="24"/>
          <w:szCs w:val="24"/>
          <w:lang w:val="fr-CH"/>
        </w:rPr>
        <w:t xml:space="preserve"> </w:t>
      </w:r>
      <w:r>
        <w:rPr>
          <w:sz w:val="24"/>
          <w:szCs w:val="24"/>
          <w:lang w:val="fr-CH"/>
        </w:rPr>
        <w:t xml:space="preserve">sensiblement </w:t>
      </w:r>
      <w:r w:rsidRPr="00803861">
        <w:rPr>
          <w:sz w:val="24"/>
          <w:szCs w:val="24"/>
          <w:lang w:val="fr-CH"/>
        </w:rPr>
        <w:t xml:space="preserve">augmenté. La </w:t>
      </w:r>
      <w:r>
        <w:rPr>
          <w:sz w:val="24"/>
          <w:szCs w:val="24"/>
          <w:lang w:val="fr-CH"/>
        </w:rPr>
        <w:t>gratuité de l</w:t>
      </w:r>
      <w:r w:rsidRPr="00803861">
        <w:rPr>
          <w:sz w:val="24"/>
          <w:szCs w:val="24"/>
          <w:lang w:val="fr-CH"/>
        </w:rPr>
        <w:t xml:space="preserve">'accès en ligne </w:t>
      </w:r>
      <w:r>
        <w:rPr>
          <w:sz w:val="24"/>
          <w:szCs w:val="24"/>
          <w:lang w:val="fr-CH"/>
        </w:rPr>
        <w:t>permet</w:t>
      </w:r>
      <w:r w:rsidRPr="00803861">
        <w:rPr>
          <w:sz w:val="24"/>
          <w:szCs w:val="24"/>
          <w:lang w:val="fr-CH"/>
        </w:rPr>
        <w:t xml:space="preserve"> </w:t>
      </w:r>
      <w:r>
        <w:rPr>
          <w:sz w:val="24"/>
          <w:szCs w:val="24"/>
          <w:lang w:val="fr-CH"/>
        </w:rPr>
        <w:t xml:space="preserve">de </w:t>
      </w:r>
      <w:r w:rsidRPr="00803861">
        <w:rPr>
          <w:sz w:val="24"/>
          <w:szCs w:val="24"/>
          <w:lang w:val="fr-CH"/>
        </w:rPr>
        <w:t>diffus</w:t>
      </w:r>
      <w:r>
        <w:rPr>
          <w:sz w:val="24"/>
          <w:szCs w:val="24"/>
          <w:lang w:val="fr-CH"/>
        </w:rPr>
        <w:t>er</w:t>
      </w:r>
      <w:r w:rsidRPr="00803861">
        <w:rPr>
          <w:sz w:val="24"/>
          <w:szCs w:val="24"/>
          <w:lang w:val="fr-CH"/>
        </w:rPr>
        <w:t xml:space="preserve"> des normes de l'UIT à un </w:t>
      </w:r>
      <w:r>
        <w:rPr>
          <w:sz w:val="24"/>
          <w:szCs w:val="24"/>
          <w:lang w:val="fr-CH"/>
        </w:rPr>
        <w:t xml:space="preserve">plus </w:t>
      </w:r>
      <w:r w:rsidRPr="00803861">
        <w:rPr>
          <w:sz w:val="24"/>
          <w:szCs w:val="24"/>
          <w:lang w:val="fr-CH"/>
        </w:rPr>
        <w:t xml:space="preserve">large public, notamment dans les pays en développement </w:t>
      </w:r>
      <w:r>
        <w:rPr>
          <w:sz w:val="24"/>
          <w:szCs w:val="24"/>
          <w:lang w:val="fr-CH"/>
        </w:rPr>
        <w:t xml:space="preserve">connaissant </w:t>
      </w:r>
      <w:r w:rsidRPr="00803861">
        <w:rPr>
          <w:sz w:val="24"/>
          <w:szCs w:val="24"/>
          <w:lang w:val="fr-CH"/>
        </w:rPr>
        <w:t xml:space="preserve">des difficultés financières. Cette large </w:t>
      </w:r>
      <w:r>
        <w:rPr>
          <w:sz w:val="24"/>
          <w:szCs w:val="24"/>
          <w:lang w:val="fr-CH"/>
        </w:rPr>
        <w:t xml:space="preserve">diffusion </w:t>
      </w:r>
      <w:r w:rsidRPr="00803861">
        <w:rPr>
          <w:sz w:val="24"/>
          <w:szCs w:val="24"/>
          <w:lang w:val="fr-CH"/>
        </w:rPr>
        <w:t>contribuera à accroître la visibilit</w:t>
      </w:r>
      <w:r>
        <w:rPr>
          <w:sz w:val="24"/>
          <w:szCs w:val="24"/>
          <w:lang w:val="fr-CH"/>
        </w:rPr>
        <w:t>é de la mission et du mandat de </w:t>
      </w:r>
      <w:r w:rsidRPr="00803861">
        <w:rPr>
          <w:sz w:val="24"/>
          <w:szCs w:val="24"/>
          <w:lang w:val="fr-CH"/>
        </w:rPr>
        <w:t xml:space="preserve">l'UIT et renforcera </w:t>
      </w:r>
      <w:r>
        <w:rPr>
          <w:sz w:val="24"/>
          <w:szCs w:val="24"/>
          <w:lang w:val="fr-CH"/>
        </w:rPr>
        <w:t xml:space="preserve">le </w:t>
      </w:r>
      <w:r w:rsidRPr="00803861">
        <w:rPr>
          <w:sz w:val="24"/>
          <w:szCs w:val="24"/>
          <w:lang w:val="fr-CH"/>
        </w:rPr>
        <w:t>rôle</w:t>
      </w:r>
      <w:r>
        <w:rPr>
          <w:sz w:val="24"/>
          <w:szCs w:val="24"/>
          <w:lang w:val="fr-CH"/>
        </w:rPr>
        <w:t xml:space="preserve"> de l'Union en tant qu'</w:t>
      </w:r>
      <w:r w:rsidRPr="00803861">
        <w:rPr>
          <w:sz w:val="24"/>
          <w:szCs w:val="24"/>
          <w:lang w:val="fr-CH"/>
        </w:rPr>
        <w:t>autorité mondiale dans le domaine des télécommunications.</w:t>
      </w:r>
    </w:p>
    <w:p w:rsidR="00BA7363" w:rsidRPr="00B6759A" w:rsidRDefault="00BA7363" w:rsidP="007D6DBA">
      <w:pPr>
        <w:pStyle w:val="Tabletext"/>
        <w:spacing w:before="0" w:after="240"/>
        <w:rPr>
          <w:rFonts w:asciiTheme="majorBidi" w:hAnsiTheme="majorBidi" w:cstheme="majorBidi"/>
          <w:sz w:val="24"/>
          <w:szCs w:val="24"/>
          <w:lang w:val="fr-CH"/>
        </w:rPr>
      </w:pPr>
      <w:r>
        <w:rPr>
          <w:sz w:val="24"/>
          <w:szCs w:val="24"/>
          <w:lang w:val="fr-CH"/>
        </w:rPr>
        <w:t xml:space="preserve">La question de l'accès en ligne gratuit au Règlement des radiocommunications (RR) avait été abordée précédemment par le GCR, qui avait conclu qu'il convenait </w:t>
      </w:r>
      <w:r w:rsidRPr="00B6759A">
        <w:rPr>
          <w:sz w:val="24"/>
          <w:szCs w:val="24"/>
          <w:lang w:val="fr-CH"/>
        </w:rPr>
        <w:t xml:space="preserve">d'encourager </w:t>
      </w:r>
      <w:r>
        <w:rPr>
          <w:sz w:val="24"/>
          <w:szCs w:val="24"/>
          <w:lang w:val="fr-CH"/>
        </w:rPr>
        <w:t>«</w:t>
      </w:r>
      <w:r w:rsidRPr="00B6759A">
        <w:rPr>
          <w:sz w:val="24"/>
          <w:szCs w:val="24"/>
          <w:lang w:val="fr-CH"/>
        </w:rPr>
        <w:t>l'élargissement au Règlement des radiocommunications de la gratuité de l'accès en ligne</w:t>
      </w:r>
      <w:r>
        <w:rPr>
          <w:sz w:val="24"/>
          <w:szCs w:val="24"/>
          <w:lang w:val="fr-CH"/>
        </w:rPr>
        <w:t>,</w:t>
      </w:r>
      <w:r w:rsidRPr="00B6759A">
        <w:rPr>
          <w:sz w:val="24"/>
          <w:szCs w:val="24"/>
          <w:lang w:val="fr-CH"/>
        </w:rPr>
        <w:t xml:space="preserve"> même s'il appartient au Conseil de se prononcer </w:t>
      </w:r>
      <w:r>
        <w:rPr>
          <w:sz w:val="24"/>
          <w:szCs w:val="24"/>
          <w:lang w:val="fr-CH"/>
        </w:rPr>
        <w:t>en la matière</w:t>
      </w:r>
      <w:r w:rsidRPr="00B6759A">
        <w:rPr>
          <w:sz w:val="24"/>
          <w:szCs w:val="24"/>
          <w:lang w:val="fr-CH"/>
        </w:rPr>
        <w:t xml:space="preserve">. Le GCR a </w:t>
      </w:r>
      <w:r>
        <w:rPr>
          <w:sz w:val="24"/>
          <w:szCs w:val="24"/>
          <w:lang w:val="fr-CH"/>
        </w:rPr>
        <w:t xml:space="preserve">noté </w:t>
      </w:r>
      <w:r w:rsidRPr="00B6759A">
        <w:rPr>
          <w:sz w:val="24"/>
          <w:szCs w:val="24"/>
          <w:lang w:val="fr-CH"/>
        </w:rPr>
        <w:t xml:space="preserve">que les recettes provenant des ventes de la version en ligne représentent actuellement </w:t>
      </w:r>
      <w:r>
        <w:rPr>
          <w:sz w:val="24"/>
          <w:szCs w:val="24"/>
          <w:lang w:val="fr-CH"/>
        </w:rPr>
        <w:t xml:space="preserve">moins de </w:t>
      </w:r>
      <w:r w:rsidRPr="00B6759A">
        <w:rPr>
          <w:sz w:val="24"/>
          <w:szCs w:val="24"/>
          <w:lang w:val="fr-CH"/>
        </w:rPr>
        <w:t xml:space="preserve">3% du total des ventes du Règlement des radiocommunications et que les statistiques concernant les recettes tirées des ventes du </w:t>
      </w:r>
      <w:r>
        <w:rPr>
          <w:sz w:val="24"/>
          <w:szCs w:val="24"/>
          <w:lang w:val="fr-CH"/>
        </w:rPr>
        <w:t xml:space="preserve">RR sur </w:t>
      </w:r>
      <w:r w:rsidRPr="00B6759A">
        <w:rPr>
          <w:sz w:val="24"/>
          <w:szCs w:val="24"/>
          <w:lang w:val="fr-CH"/>
        </w:rPr>
        <w:t>CD et de la version papier du R</w:t>
      </w:r>
      <w:r>
        <w:rPr>
          <w:sz w:val="24"/>
          <w:szCs w:val="24"/>
          <w:lang w:val="fr-CH"/>
        </w:rPr>
        <w:t xml:space="preserve">R </w:t>
      </w:r>
      <w:r w:rsidRPr="00B6759A">
        <w:rPr>
          <w:sz w:val="24"/>
          <w:szCs w:val="24"/>
          <w:lang w:val="fr-CH"/>
        </w:rPr>
        <w:t>seraient différentes une fois que l'accès en ligne gratuit serait accordé</w:t>
      </w:r>
      <w:r>
        <w:rPr>
          <w:sz w:val="24"/>
          <w:szCs w:val="24"/>
          <w:lang w:val="fr-CH"/>
        </w:rPr>
        <w:t>»</w:t>
      </w:r>
      <w:r>
        <w:rPr>
          <w:rFonts w:asciiTheme="majorBidi" w:hAnsiTheme="majorBidi" w:cstheme="majorBidi"/>
          <w:spacing w:val="-2"/>
          <w:sz w:val="24"/>
          <w:szCs w:val="22"/>
          <w:lang w:val="fr-CH"/>
        </w:rPr>
        <w:t>. Le Conseil à sa session de 2012 a décidé</w:t>
      </w:r>
      <w:r>
        <w:rPr>
          <w:rFonts w:asciiTheme="majorBidi" w:hAnsiTheme="majorBidi" w:cstheme="majorBidi"/>
          <w:sz w:val="24"/>
          <w:szCs w:val="22"/>
          <w:lang w:val="fr-CH"/>
        </w:rPr>
        <w:t xml:space="preserve"> </w:t>
      </w:r>
      <w:r w:rsidRPr="00B6759A">
        <w:rPr>
          <w:rFonts w:asciiTheme="majorBidi" w:hAnsiTheme="majorBidi" w:cstheme="majorBidi"/>
          <w:sz w:val="24"/>
          <w:szCs w:val="24"/>
          <w:lang w:val="fr-CH"/>
        </w:rPr>
        <w:t xml:space="preserve">de fournir au grand public un accès en ligne gratuit au Règlement des radiocommunications pendant une période d'essai allant </w:t>
      </w:r>
      <w:r>
        <w:rPr>
          <w:rFonts w:asciiTheme="majorBidi" w:hAnsiTheme="majorBidi" w:cstheme="majorBidi"/>
          <w:sz w:val="24"/>
          <w:szCs w:val="24"/>
          <w:lang w:val="fr-CH"/>
        </w:rPr>
        <w:t>jusqu'</w:t>
      </w:r>
      <w:r w:rsidRPr="00B6759A">
        <w:rPr>
          <w:rFonts w:asciiTheme="majorBidi" w:hAnsiTheme="majorBidi" w:cstheme="majorBidi"/>
          <w:sz w:val="24"/>
          <w:szCs w:val="24"/>
          <w:lang w:val="fr-CH"/>
        </w:rPr>
        <w:t xml:space="preserve"> à la Conférence de plénipotentiaires de 2014</w:t>
      </w:r>
      <w:r>
        <w:rPr>
          <w:rFonts w:asciiTheme="majorBidi" w:hAnsiTheme="majorBidi" w:cstheme="majorBidi"/>
          <w:sz w:val="24"/>
          <w:szCs w:val="24"/>
          <w:lang w:val="fr-CH"/>
        </w:rPr>
        <w:t xml:space="preserve">. On trouvera dans le tableau ci-dessous les résultats des ventes obtenues sur la base des données recueillies fin février 2013. </w:t>
      </w:r>
    </w:p>
    <w:tbl>
      <w:tblPr>
        <w:tblW w:w="9680" w:type="dxa"/>
        <w:jc w:val="center"/>
        <w:tblInd w:w="88" w:type="dxa"/>
        <w:tblLook w:val="04A0" w:firstRow="1" w:lastRow="0" w:firstColumn="1" w:lastColumn="0" w:noHBand="0" w:noVBand="1"/>
      </w:tblPr>
      <w:tblGrid>
        <w:gridCol w:w="1358"/>
        <w:gridCol w:w="1417"/>
        <w:gridCol w:w="2268"/>
        <w:gridCol w:w="932"/>
        <w:gridCol w:w="850"/>
        <w:gridCol w:w="993"/>
        <w:gridCol w:w="1862"/>
      </w:tblGrid>
      <w:tr w:rsidR="007D6DBA" w:rsidRPr="00B6759A" w:rsidTr="00D16078">
        <w:trPr>
          <w:trHeight w:val="264"/>
          <w:jc w:val="center"/>
        </w:trPr>
        <w:tc>
          <w:tcPr>
            <w:tcW w:w="1358" w:type="dxa"/>
            <w:tcBorders>
              <w:top w:val="single" w:sz="4" w:space="0" w:color="auto"/>
              <w:left w:val="single" w:sz="4" w:space="0" w:color="auto"/>
              <w:bottom w:val="single" w:sz="4" w:space="0" w:color="auto"/>
              <w:right w:val="single" w:sz="4" w:space="0" w:color="auto"/>
            </w:tcBorders>
          </w:tcPr>
          <w:p w:rsidR="00BA7363" w:rsidRPr="00B953C2" w:rsidRDefault="00BA7363" w:rsidP="007D6DBA">
            <w:pPr>
              <w:pStyle w:val="Tablehead"/>
            </w:pPr>
            <w:r w:rsidRPr="00B953C2">
              <w:t>Edition</w:t>
            </w:r>
          </w:p>
        </w:tc>
        <w:tc>
          <w:tcPr>
            <w:tcW w:w="1417" w:type="dxa"/>
            <w:tcBorders>
              <w:top w:val="single" w:sz="4" w:space="0" w:color="auto"/>
              <w:left w:val="single" w:sz="4" w:space="0" w:color="auto"/>
              <w:bottom w:val="single" w:sz="4" w:space="0" w:color="auto"/>
              <w:right w:val="single" w:sz="4" w:space="0" w:color="auto"/>
            </w:tcBorders>
          </w:tcPr>
          <w:p w:rsidR="00BA7363" w:rsidRPr="00B953C2" w:rsidRDefault="00BA7363" w:rsidP="007D6DBA">
            <w:pPr>
              <w:pStyle w:val="Tablehead"/>
            </w:pPr>
            <w:r>
              <w:t>Période de vente</w:t>
            </w:r>
          </w:p>
        </w:tc>
        <w:tc>
          <w:tcPr>
            <w:tcW w:w="2268" w:type="dxa"/>
            <w:tcBorders>
              <w:top w:val="single" w:sz="4" w:space="0" w:color="auto"/>
              <w:left w:val="single" w:sz="4" w:space="0" w:color="auto"/>
              <w:bottom w:val="single" w:sz="4" w:space="0" w:color="auto"/>
              <w:right w:val="single" w:sz="4" w:space="0" w:color="auto"/>
            </w:tcBorders>
          </w:tcPr>
          <w:p w:rsidR="00BA7363" w:rsidRPr="00B953C2" w:rsidRDefault="00BA7363" w:rsidP="007D6DBA">
            <w:pPr>
              <w:pStyle w:val="Tablehead"/>
            </w:pPr>
            <w:r>
              <w:t xml:space="preserve">Nombre total d'exemplaires vendus </w:t>
            </w:r>
          </w:p>
        </w:tc>
        <w:tc>
          <w:tcPr>
            <w:tcW w:w="932" w:type="dxa"/>
            <w:tcBorders>
              <w:top w:val="single" w:sz="4" w:space="0" w:color="auto"/>
              <w:left w:val="single" w:sz="4" w:space="0" w:color="auto"/>
              <w:bottom w:val="single" w:sz="4" w:space="0" w:color="auto"/>
              <w:right w:val="single" w:sz="4" w:space="0" w:color="auto"/>
            </w:tcBorders>
            <w:shd w:val="clear" w:color="auto" w:fill="auto"/>
            <w:noWrap/>
            <w:hideMark/>
          </w:tcPr>
          <w:p w:rsidR="00BA7363" w:rsidRPr="00B953C2" w:rsidRDefault="00BA7363" w:rsidP="007D6DBA">
            <w:pPr>
              <w:pStyle w:val="Tablehead"/>
            </w:pPr>
            <w:r>
              <w:t>En ligne</w:t>
            </w:r>
          </w:p>
        </w:tc>
        <w:tc>
          <w:tcPr>
            <w:tcW w:w="850" w:type="dxa"/>
            <w:tcBorders>
              <w:top w:val="single" w:sz="4" w:space="0" w:color="auto"/>
              <w:left w:val="nil"/>
              <w:bottom w:val="single" w:sz="4" w:space="0" w:color="auto"/>
              <w:right w:val="single" w:sz="4" w:space="0" w:color="auto"/>
            </w:tcBorders>
            <w:shd w:val="clear" w:color="auto" w:fill="auto"/>
            <w:noWrap/>
            <w:hideMark/>
          </w:tcPr>
          <w:p w:rsidR="00BA7363" w:rsidRPr="00B953C2" w:rsidRDefault="00BA7363" w:rsidP="007D6DBA">
            <w:pPr>
              <w:pStyle w:val="Tablehead"/>
            </w:pPr>
            <w:r w:rsidRPr="00B953C2">
              <w:t>DVD</w:t>
            </w:r>
          </w:p>
        </w:tc>
        <w:tc>
          <w:tcPr>
            <w:tcW w:w="993" w:type="dxa"/>
            <w:tcBorders>
              <w:top w:val="single" w:sz="4" w:space="0" w:color="auto"/>
              <w:left w:val="nil"/>
              <w:bottom w:val="single" w:sz="4" w:space="0" w:color="auto"/>
              <w:right w:val="single" w:sz="4" w:space="0" w:color="auto"/>
            </w:tcBorders>
            <w:shd w:val="clear" w:color="auto" w:fill="auto"/>
            <w:noWrap/>
            <w:hideMark/>
          </w:tcPr>
          <w:p w:rsidR="00BA7363" w:rsidRPr="00B953C2" w:rsidRDefault="00BA7363" w:rsidP="007D6DBA">
            <w:pPr>
              <w:pStyle w:val="Tablehead"/>
            </w:pPr>
            <w:r>
              <w:t xml:space="preserve">Papier </w:t>
            </w:r>
          </w:p>
        </w:tc>
        <w:tc>
          <w:tcPr>
            <w:tcW w:w="1862" w:type="dxa"/>
            <w:tcBorders>
              <w:top w:val="single" w:sz="4" w:space="0" w:color="auto"/>
              <w:left w:val="nil"/>
              <w:bottom w:val="single" w:sz="4" w:space="0" w:color="auto"/>
              <w:right w:val="single" w:sz="4" w:space="0" w:color="auto"/>
            </w:tcBorders>
          </w:tcPr>
          <w:p w:rsidR="00BA7363" w:rsidRPr="00B6759A" w:rsidRDefault="00BA7363" w:rsidP="007D6DBA">
            <w:pPr>
              <w:pStyle w:val="Tablehead"/>
              <w:rPr>
                <w:lang w:val="fr-CH"/>
              </w:rPr>
            </w:pPr>
            <w:r w:rsidRPr="00B6759A">
              <w:rPr>
                <w:lang w:val="fr-CH"/>
              </w:rPr>
              <w:t>Téléchargement</w:t>
            </w:r>
            <w:r>
              <w:rPr>
                <w:lang w:val="fr-CH"/>
              </w:rPr>
              <w:t xml:space="preserve"> gratuit</w:t>
            </w:r>
          </w:p>
        </w:tc>
      </w:tr>
      <w:tr w:rsidR="007D6DBA" w:rsidRPr="00AF137D" w:rsidTr="00D16078">
        <w:trPr>
          <w:trHeight w:val="264"/>
          <w:jc w:val="center"/>
        </w:trPr>
        <w:tc>
          <w:tcPr>
            <w:tcW w:w="1358" w:type="dxa"/>
            <w:tcBorders>
              <w:top w:val="nil"/>
              <w:left w:val="single" w:sz="4" w:space="0" w:color="auto"/>
              <w:bottom w:val="single" w:sz="4" w:space="0" w:color="auto"/>
              <w:right w:val="single" w:sz="4" w:space="0" w:color="auto"/>
            </w:tcBorders>
          </w:tcPr>
          <w:p w:rsidR="00BA7363" w:rsidRPr="00B953C2" w:rsidRDefault="00BA7363" w:rsidP="007D6DBA">
            <w:pPr>
              <w:pStyle w:val="Tabletext"/>
              <w:jc w:val="center"/>
            </w:pPr>
            <w:r w:rsidRPr="00B953C2">
              <w:t>2012</w:t>
            </w:r>
          </w:p>
        </w:tc>
        <w:tc>
          <w:tcPr>
            <w:tcW w:w="1417" w:type="dxa"/>
            <w:tcBorders>
              <w:top w:val="nil"/>
              <w:left w:val="single" w:sz="4" w:space="0" w:color="auto"/>
              <w:bottom w:val="single" w:sz="4" w:space="0" w:color="auto"/>
              <w:right w:val="single" w:sz="4" w:space="0" w:color="auto"/>
            </w:tcBorders>
          </w:tcPr>
          <w:p w:rsidR="00BA7363" w:rsidRPr="00B953C2" w:rsidRDefault="00BA7363" w:rsidP="007D6DBA">
            <w:pPr>
              <w:pStyle w:val="Tabletext"/>
              <w:jc w:val="center"/>
            </w:pPr>
            <w:r w:rsidRPr="00B953C2">
              <w:t xml:space="preserve">3 </w:t>
            </w:r>
            <w:r>
              <w:t>mois</w:t>
            </w:r>
          </w:p>
        </w:tc>
        <w:tc>
          <w:tcPr>
            <w:tcW w:w="2268" w:type="dxa"/>
            <w:tcBorders>
              <w:top w:val="nil"/>
              <w:left w:val="single" w:sz="4" w:space="0" w:color="auto"/>
              <w:bottom w:val="single" w:sz="4" w:space="0" w:color="auto"/>
              <w:right w:val="single" w:sz="4" w:space="0" w:color="auto"/>
            </w:tcBorders>
          </w:tcPr>
          <w:p w:rsidR="00BA7363" w:rsidRPr="00B953C2" w:rsidRDefault="00BA7363" w:rsidP="007D6DBA">
            <w:pPr>
              <w:pStyle w:val="Tabletext"/>
              <w:jc w:val="center"/>
            </w:pPr>
            <w:r w:rsidRPr="00B953C2">
              <w:t>3</w:t>
            </w:r>
            <w:r w:rsidR="007D6DBA">
              <w:t xml:space="preserve"> </w:t>
            </w:r>
            <w:r w:rsidRPr="00B953C2">
              <w:t>821</w:t>
            </w:r>
          </w:p>
        </w:tc>
        <w:tc>
          <w:tcPr>
            <w:tcW w:w="932" w:type="dxa"/>
            <w:tcBorders>
              <w:top w:val="nil"/>
              <w:left w:val="single" w:sz="4" w:space="0" w:color="auto"/>
              <w:bottom w:val="single" w:sz="4" w:space="0" w:color="auto"/>
              <w:right w:val="single" w:sz="4" w:space="0" w:color="auto"/>
            </w:tcBorders>
            <w:shd w:val="clear" w:color="auto" w:fill="auto"/>
            <w:noWrap/>
            <w:vAlign w:val="bottom"/>
          </w:tcPr>
          <w:p w:rsidR="00BA7363" w:rsidRPr="00B953C2" w:rsidRDefault="00BA7363" w:rsidP="007D6DBA">
            <w:pPr>
              <w:pStyle w:val="Tabletext"/>
              <w:jc w:val="center"/>
            </w:pPr>
            <w:r w:rsidRPr="00B953C2">
              <w:t>0</w:t>
            </w:r>
          </w:p>
        </w:tc>
        <w:tc>
          <w:tcPr>
            <w:tcW w:w="850" w:type="dxa"/>
            <w:tcBorders>
              <w:top w:val="nil"/>
              <w:left w:val="nil"/>
              <w:bottom w:val="single" w:sz="4" w:space="0" w:color="auto"/>
              <w:right w:val="single" w:sz="4" w:space="0" w:color="auto"/>
            </w:tcBorders>
            <w:shd w:val="clear" w:color="auto" w:fill="auto"/>
            <w:noWrap/>
            <w:vAlign w:val="bottom"/>
          </w:tcPr>
          <w:p w:rsidR="00BA7363" w:rsidRPr="00B953C2" w:rsidRDefault="00BA7363" w:rsidP="007D6DBA">
            <w:pPr>
              <w:pStyle w:val="Tabletext"/>
              <w:jc w:val="center"/>
            </w:pPr>
            <w:r w:rsidRPr="00B953C2">
              <w:t>7</w:t>
            </w:r>
          </w:p>
        </w:tc>
        <w:tc>
          <w:tcPr>
            <w:tcW w:w="993" w:type="dxa"/>
            <w:tcBorders>
              <w:top w:val="nil"/>
              <w:left w:val="nil"/>
              <w:bottom w:val="single" w:sz="4" w:space="0" w:color="auto"/>
              <w:right w:val="single" w:sz="4" w:space="0" w:color="auto"/>
            </w:tcBorders>
            <w:shd w:val="clear" w:color="auto" w:fill="auto"/>
            <w:noWrap/>
            <w:vAlign w:val="bottom"/>
          </w:tcPr>
          <w:p w:rsidR="00BA7363" w:rsidRPr="00B953C2" w:rsidRDefault="00BA7363" w:rsidP="007D6DBA">
            <w:pPr>
              <w:pStyle w:val="Tabletext"/>
              <w:jc w:val="center"/>
            </w:pPr>
            <w:r w:rsidRPr="00B953C2">
              <w:t>3</w:t>
            </w:r>
            <w:r w:rsidR="007D6DBA">
              <w:t xml:space="preserve"> </w:t>
            </w:r>
            <w:r w:rsidRPr="00B953C2">
              <w:t>814</w:t>
            </w:r>
          </w:p>
        </w:tc>
        <w:tc>
          <w:tcPr>
            <w:tcW w:w="1862" w:type="dxa"/>
            <w:tcBorders>
              <w:top w:val="nil"/>
              <w:left w:val="nil"/>
              <w:bottom w:val="single" w:sz="4" w:space="0" w:color="auto"/>
              <w:right w:val="single" w:sz="4" w:space="0" w:color="auto"/>
            </w:tcBorders>
          </w:tcPr>
          <w:p w:rsidR="00BA7363" w:rsidRPr="00B953C2" w:rsidRDefault="00BA7363" w:rsidP="007D6DBA">
            <w:pPr>
              <w:pStyle w:val="Tabletext"/>
              <w:jc w:val="center"/>
            </w:pPr>
            <w:r w:rsidRPr="00B953C2">
              <w:t>4</w:t>
            </w:r>
            <w:r w:rsidR="00D16078">
              <w:t xml:space="preserve"> </w:t>
            </w:r>
            <w:r w:rsidRPr="00B953C2">
              <w:t>926</w:t>
            </w:r>
          </w:p>
        </w:tc>
      </w:tr>
      <w:tr w:rsidR="007D6DBA" w:rsidRPr="00AF137D" w:rsidTr="00D16078">
        <w:trPr>
          <w:trHeight w:val="264"/>
          <w:jc w:val="center"/>
        </w:trPr>
        <w:tc>
          <w:tcPr>
            <w:tcW w:w="1358" w:type="dxa"/>
            <w:tcBorders>
              <w:top w:val="nil"/>
              <w:left w:val="single" w:sz="4" w:space="0" w:color="auto"/>
              <w:bottom w:val="single" w:sz="4" w:space="0" w:color="auto"/>
              <w:right w:val="single" w:sz="4" w:space="0" w:color="auto"/>
            </w:tcBorders>
          </w:tcPr>
          <w:p w:rsidR="00BA7363" w:rsidRPr="00B953C2" w:rsidRDefault="00BA7363" w:rsidP="007D6DBA">
            <w:pPr>
              <w:pStyle w:val="Tabletext"/>
              <w:jc w:val="center"/>
            </w:pPr>
            <w:r w:rsidRPr="00B953C2">
              <w:t>2008</w:t>
            </w:r>
          </w:p>
        </w:tc>
        <w:tc>
          <w:tcPr>
            <w:tcW w:w="1417" w:type="dxa"/>
            <w:tcBorders>
              <w:top w:val="nil"/>
              <w:left w:val="single" w:sz="4" w:space="0" w:color="auto"/>
              <w:bottom w:val="single" w:sz="4" w:space="0" w:color="auto"/>
              <w:right w:val="single" w:sz="4" w:space="0" w:color="auto"/>
            </w:tcBorders>
          </w:tcPr>
          <w:p w:rsidR="00BA7363" w:rsidRPr="00B953C2" w:rsidRDefault="00BA7363" w:rsidP="007D6DBA">
            <w:pPr>
              <w:pStyle w:val="Tabletext"/>
              <w:jc w:val="center"/>
            </w:pPr>
            <w:r w:rsidRPr="00B953C2">
              <w:t xml:space="preserve">52 </w:t>
            </w:r>
            <w:r>
              <w:t>mois</w:t>
            </w:r>
          </w:p>
        </w:tc>
        <w:tc>
          <w:tcPr>
            <w:tcW w:w="2268" w:type="dxa"/>
            <w:tcBorders>
              <w:top w:val="nil"/>
              <w:left w:val="single" w:sz="4" w:space="0" w:color="auto"/>
              <w:bottom w:val="single" w:sz="4" w:space="0" w:color="auto"/>
              <w:right w:val="single" w:sz="4" w:space="0" w:color="auto"/>
            </w:tcBorders>
          </w:tcPr>
          <w:p w:rsidR="00BA7363" w:rsidRPr="00B953C2" w:rsidRDefault="00BA7363" w:rsidP="007D6DBA">
            <w:pPr>
              <w:pStyle w:val="Tabletext"/>
              <w:jc w:val="center"/>
            </w:pPr>
            <w:r w:rsidRPr="00B953C2">
              <w:t>15</w:t>
            </w:r>
            <w:r w:rsidR="007D6DBA">
              <w:t xml:space="preserve"> </w:t>
            </w:r>
            <w:r w:rsidRPr="00B953C2">
              <w:t>183</w:t>
            </w:r>
          </w:p>
        </w:tc>
        <w:tc>
          <w:tcPr>
            <w:tcW w:w="932" w:type="dxa"/>
            <w:tcBorders>
              <w:top w:val="nil"/>
              <w:left w:val="single" w:sz="4" w:space="0" w:color="auto"/>
              <w:bottom w:val="single" w:sz="4" w:space="0" w:color="auto"/>
              <w:right w:val="single" w:sz="4" w:space="0" w:color="auto"/>
            </w:tcBorders>
            <w:shd w:val="clear" w:color="auto" w:fill="auto"/>
            <w:noWrap/>
            <w:vAlign w:val="bottom"/>
          </w:tcPr>
          <w:p w:rsidR="00BA7363" w:rsidRPr="00B953C2" w:rsidRDefault="00BA7363" w:rsidP="007D6DBA">
            <w:pPr>
              <w:pStyle w:val="Tabletext"/>
              <w:jc w:val="center"/>
            </w:pPr>
            <w:r w:rsidRPr="00B953C2">
              <w:t>312</w:t>
            </w:r>
          </w:p>
        </w:tc>
        <w:tc>
          <w:tcPr>
            <w:tcW w:w="850" w:type="dxa"/>
            <w:tcBorders>
              <w:top w:val="nil"/>
              <w:left w:val="nil"/>
              <w:bottom w:val="single" w:sz="4" w:space="0" w:color="auto"/>
              <w:right w:val="single" w:sz="4" w:space="0" w:color="auto"/>
            </w:tcBorders>
            <w:shd w:val="clear" w:color="auto" w:fill="auto"/>
            <w:noWrap/>
            <w:vAlign w:val="bottom"/>
          </w:tcPr>
          <w:p w:rsidR="00BA7363" w:rsidRPr="00B953C2" w:rsidRDefault="00BA7363" w:rsidP="007D6DBA">
            <w:pPr>
              <w:pStyle w:val="Tabletext"/>
              <w:jc w:val="center"/>
            </w:pPr>
            <w:r w:rsidRPr="00B953C2">
              <w:t>1</w:t>
            </w:r>
            <w:r w:rsidR="007D6DBA">
              <w:t xml:space="preserve"> </w:t>
            </w:r>
            <w:r w:rsidRPr="00B953C2">
              <w:t>077</w:t>
            </w:r>
          </w:p>
        </w:tc>
        <w:tc>
          <w:tcPr>
            <w:tcW w:w="993" w:type="dxa"/>
            <w:tcBorders>
              <w:top w:val="nil"/>
              <w:left w:val="nil"/>
              <w:bottom w:val="single" w:sz="4" w:space="0" w:color="auto"/>
              <w:right w:val="single" w:sz="4" w:space="0" w:color="auto"/>
            </w:tcBorders>
            <w:shd w:val="clear" w:color="auto" w:fill="auto"/>
            <w:noWrap/>
            <w:vAlign w:val="bottom"/>
          </w:tcPr>
          <w:p w:rsidR="00BA7363" w:rsidRPr="00B953C2" w:rsidRDefault="00BA7363" w:rsidP="007D6DBA">
            <w:pPr>
              <w:pStyle w:val="Tabletext"/>
              <w:jc w:val="center"/>
            </w:pPr>
            <w:r w:rsidRPr="00B953C2">
              <w:t>13</w:t>
            </w:r>
            <w:r w:rsidR="007D6DBA">
              <w:t xml:space="preserve"> </w:t>
            </w:r>
            <w:r w:rsidRPr="00B953C2">
              <w:t>794</w:t>
            </w:r>
          </w:p>
        </w:tc>
        <w:tc>
          <w:tcPr>
            <w:tcW w:w="1862" w:type="dxa"/>
            <w:tcBorders>
              <w:top w:val="nil"/>
              <w:left w:val="nil"/>
              <w:bottom w:val="single" w:sz="4" w:space="0" w:color="auto"/>
              <w:right w:val="single" w:sz="4" w:space="0" w:color="auto"/>
            </w:tcBorders>
          </w:tcPr>
          <w:p w:rsidR="00BA7363" w:rsidRPr="00B953C2" w:rsidRDefault="00BA7363" w:rsidP="007D6DBA">
            <w:pPr>
              <w:pStyle w:val="Tabletext"/>
              <w:jc w:val="center"/>
            </w:pPr>
            <w:r>
              <w:t>Non proposé</w:t>
            </w:r>
          </w:p>
        </w:tc>
      </w:tr>
    </w:tbl>
    <w:p w:rsidR="00BA7363" w:rsidRPr="00DB7B94" w:rsidRDefault="00BA7363" w:rsidP="007D6DBA">
      <w:pPr>
        <w:pStyle w:val="Heading2"/>
        <w:spacing w:before="300"/>
        <w:rPr>
          <w:rFonts w:asciiTheme="majorBidi" w:hAnsiTheme="majorBidi" w:cstheme="majorBidi"/>
          <w:szCs w:val="24"/>
          <w:lang w:val="fr-CH"/>
        </w:rPr>
      </w:pPr>
      <w:r w:rsidRPr="00CB307F">
        <w:rPr>
          <w:rFonts w:asciiTheme="majorBidi" w:hAnsiTheme="majorBidi" w:cstheme="majorBidi"/>
          <w:szCs w:val="24"/>
          <w:lang w:val="fr-CH"/>
        </w:rPr>
        <w:t>2.3</w:t>
      </w:r>
      <w:r w:rsidRPr="00CB307F">
        <w:rPr>
          <w:rFonts w:asciiTheme="majorBidi" w:hAnsiTheme="majorBidi" w:cstheme="majorBidi"/>
          <w:szCs w:val="24"/>
          <w:lang w:val="fr-CH"/>
        </w:rPr>
        <w:tab/>
      </w:r>
      <w:r w:rsidRPr="00CB307F">
        <w:rPr>
          <w:lang w:val="fr-CH"/>
        </w:rPr>
        <w:t>Recouvrement des coûts pour le traitement des fiches de</w:t>
      </w:r>
      <w:r>
        <w:rPr>
          <w:rFonts w:asciiTheme="majorBidi" w:hAnsiTheme="majorBidi" w:cstheme="majorBidi"/>
          <w:szCs w:val="24"/>
          <w:lang w:val="fr-CH"/>
        </w:rPr>
        <w:t xml:space="preserve"> notification des réseaux à </w:t>
      </w:r>
      <w:r w:rsidRPr="00DB7B94">
        <w:rPr>
          <w:rFonts w:asciiTheme="majorBidi" w:hAnsiTheme="majorBidi" w:cstheme="majorBidi"/>
          <w:szCs w:val="24"/>
          <w:lang w:val="fr-CH"/>
        </w:rPr>
        <w:t>satellite</w:t>
      </w:r>
    </w:p>
    <w:p w:rsidR="00BA7363" w:rsidRPr="00656321" w:rsidRDefault="00BA7363" w:rsidP="00BA7363">
      <w:pPr>
        <w:spacing w:after="120"/>
        <w:rPr>
          <w:rFonts w:asciiTheme="majorBidi" w:hAnsiTheme="majorBidi" w:cstheme="majorBidi"/>
          <w:szCs w:val="22"/>
          <w:lang w:val="fr-CH"/>
        </w:rPr>
      </w:pPr>
      <w:r w:rsidRPr="00656321">
        <w:rPr>
          <w:rFonts w:asciiTheme="majorBidi" w:hAnsiTheme="majorBidi" w:cstheme="majorBidi"/>
          <w:szCs w:val="22"/>
          <w:lang w:val="fr-CH"/>
        </w:rPr>
        <w:t>Conformém</w:t>
      </w:r>
      <w:r>
        <w:rPr>
          <w:rFonts w:asciiTheme="majorBidi" w:hAnsiTheme="majorBidi" w:cstheme="majorBidi"/>
          <w:szCs w:val="22"/>
          <w:lang w:val="fr-CH"/>
        </w:rPr>
        <w:t>ent aux instructions du Conseil</w:t>
      </w:r>
      <w:r w:rsidRPr="00656321">
        <w:rPr>
          <w:rFonts w:asciiTheme="majorBidi" w:hAnsiTheme="majorBidi" w:cstheme="majorBidi"/>
          <w:szCs w:val="22"/>
          <w:lang w:val="fr-CH"/>
        </w:rPr>
        <w:t xml:space="preserve"> à sa session de 2011,</w:t>
      </w:r>
      <w:r>
        <w:rPr>
          <w:rFonts w:asciiTheme="majorBidi" w:hAnsiTheme="majorBidi" w:cstheme="majorBidi"/>
          <w:szCs w:val="22"/>
          <w:lang w:val="fr-CH"/>
        </w:rPr>
        <w:t xml:space="preserve"> </w:t>
      </w:r>
      <w:r w:rsidRPr="00656321">
        <w:rPr>
          <w:rFonts w:asciiTheme="majorBidi" w:hAnsiTheme="majorBidi" w:cstheme="majorBidi"/>
          <w:szCs w:val="22"/>
          <w:lang w:val="fr-CH"/>
        </w:rPr>
        <w:t>la CMR-12 a été informée du</w:t>
      </w:r>
      <w:r>
        <w:rPr>
          <w:rFonts w:asciiTheme="majorBidi" w:hAnsiTheme="majorBidi" w:cstheme="majorBidi"/>
          <w:szCs w:val="22"/>
          <w:lang w:val="fr-CH"/>
        </w:rPr>
        <w:t xml:space="preserve"> </w:t>
      </w:r>
      <w:r w:rsidRPr="00656321">
        <w:rPr>
          <w:rFonts w:asciiTheme="majorBidi" w:hAnsiTheme="majorBidi" w:cstheme="majorBidi"/>
          <w:szCs w:val="22"/>
          <w:lang w:val="fr-CH"/>
        </w:rPr>
        <w:t>résumé des discussions sur l'établissement ou non d'un droit annuel, au titre du recouvrement des coûts, pour les assignations inscrites dans le Fichier de référence international des fréquences</w:t>
      </w:r>
      <w:r>
        <w:rPr>
          <w:rFonts w:asciiTheme="majorBidi" w:hAnsiTheme="majorBidi" w:cstheme="majorBidi"/>
          <w:szCs w:val="22"/>
          <w:lang w:val="fr-CH"/>
        </w:rPr>
        <w:t xml:space="preserve"> de l'UIT. </w:t>
      </w:r>
    </w:p>
    <w:p w:rsidR="00BA7363" w:rsidRDefault="00BA7363" w:rsidP="00BA7363">
      <w:pPr>
        <w:rPr>
          <w:rFonts w:asciiTheme="majorBidi" w:hAnsiTheme="majorBidi" w:cstheme="majorBidi"/>
          <w:szCs w:val="22"/>
          <w:lang w:val="fr-CH"/>
        </w:rPr>
      </w:pPr>
      <w:r w:rsidRPr="00F56B03">
        <w:rPr>
          <w:rFonts w:asciiTheme="majorBidi" w:hAnsiTheme="majorBidi" w:cstheme="majorBidi"/>
          <w:szCs w:val="22"/>
          <w:lang w:val="fr-CH"/>
        </w:rPr>
        <w:t>Les participants ont réaffirmé qu'ils étaient opposés à l'idée d'instaurer un droit annuel pour la tenue à jour du Fichier de référence international</w:t>
      </w:r>
      <w:r>
        <w:rPr>
          <w:rFonts w:asciiTheme="majorBidi" w:hAnsiTheme="majorBidi" w:cstheme="majorBidi"/>
          <w:szCs w:val="22"/>
          <w:lang w:val="fr-CH"/>
        </w:rPr>
        <w:t xml:space="preserve"> </w:t>
      </w:r>
      <w:r w:rsidRPr="00F56B03">
        <w:rPr>
          <w:rFonts w:asciiTheme="majorBidi" w:hAnsiTheme="majorBidi" w:cstheme="majorBidi"/>
          <w:szCs w:val="22"/>
          <w:lang w:val="fr-CH"/>
        </w:rPr>
        <w:t>des fréquences, faisant valoir qu'il n'y avait pas lieu de modifier le système actuel</w:t>
      </w:r>
      <w:r>
        <w:rPr>
          <w:rFonts w:asciiTheme="majorBidi" w:hAnsiTheme="majorBidi" w:cstheme="majorBidi"/>
          <w:szCs w:val="22"/>
          <w:lang w:val="fr-CH"/>
        </w:rPr>
        <w:t>lement en place</w:t>
      </w:r>
      <w:r w:rsidRPr="00F56B03">
        <w:rPr>
          <w:rFonts w:asciiTheme="majorBidi" w:hAnsiTheme="majorBidi" w:cstheme="majorBidi"/>
          <w:szCs w:val="22"/>
          <w:lang w:val="fr-CH"/>
        </w:rPr>
        <w:t>, qui fonctionne de manière satisfaisante,</w:t>
      </w:r>
      <w:r>
        <w:rPr>
          <w:rFonts w:asciiTheme="majorBidi" w:hAnsiTheme="majorBidi" w:cstheme="majorBidi"/>
          <w:szCs w:val="22"/>
          <w:lang w:val="fr-CH"/>
        </w:rPr>
        <w:t xml:space="preserve"> ou qu'</w:t>
      </w:r>
      <w:r w:rsidRPr="00F56B03">
        <w:rPr>
          <w:rFonts w:asciiTheme="majorBidi" w:hAnsiTheme="majorBidi" w:cstheme="majorBidi"/>
          <w:szCs w:val="22"/>
          <w:lang w:val="fr-CH"/>
        </w:rPr>
        <w:t>un droit additionnel pourrait avoir des conséquences négatives pour les pays en développement</w:t>
      </w:r>
      <w:r>
        <w:rPr>
          <w:rFonts w:asciiTheme="majorBidi" w:hAnsiTheme="majorBidi" w:cstheme="majorBidi"/>
          <w:szCs w:val="22"/>
          <w:lang w:val="fr-CH"/>
        </w:rPr>
        <w:t>, un plan prévoyant une double redevance ayant été proposé pour les pays en développement. Compte tenu de ce qui précède et d'autres commentaires, il a été décidé que le Conseil reviendrait sur la question lors d'une session future.</w:t>
      </w:r>
    </w:p>
    <w:p w:rsidR="00BA7363" w:rsidRDefault="00BA7363" w:rsidP="00BA7363">
      <w:pPr>
        <w:spacing w:after="120"/>
        <w:rPr>
          <w:rFonts w:asciiTheme="majorBidi" w:hAnsiTheme="majorBidi" w:cstheme="majorBidi"/>
          <w:szCs w:val="22"/>
          <w:lang w:val="fr-CH"/>
        </w:rPr>
      </w:pPr>
      <w:r w:rsidRPr="007A5716">
        <w:rPr>
          <w:rFonts w:asciiTheme="majorBidi" w:hAnsiTheme="majorBidi" w:cstheme="majorBidi"/>
          <w:szCs w:val="22"/>
          <w:lang w:val="fr-CH"/>
        </w:rPr>
        <w:t xml:space="preserve">S'agissant de la Résolution 555 </w:t>
      </w:r>
      <w:r>
        <w:rPr>
          <w:rFonts w:asciiTheme="majorBidi" w:hAnsiTheme="majorBidi" w:cstheme="majorBidi"/>
          <w:szCs w:val="22"/>
          <w:lang w:val="fr-CH"/>
        </w:rPr>
        <w:t>(Rév.</w:t>
      </w:r>
      <w:r w:rsidRPr="007A5716">
        <w:rPr>
          <w:rFonts w:asciiTheme="majorBidi" w:hAnsiTheme="majorBidi" w:cstheme="majorBidi"/>
          <w:szCs w:val="22"/>
          <w:lang w:val="fr-CH"/>
        </w:rPr>
        <w:t>CMR-12</w:t>
      </w:r>
      <w:r>
        <w:rPr>
          <w:rFonts w:asciiTheme="majorBidi" w:hAnsiTheme="majorBidi" w:cstheme="majorBidi"/>
          <w:szCs w:val="22"/>
          <w:lang w:val="fr-CH"/>
        </w:rPr>
        <w:t>)</w:t>
      </w:r>
      <w:r w:rsidRPr="007A5716">
        <w:rPr>
          <w:rFonts w:asciiTheme="majorBidi" w:hAnsiTheme="majorBidi" w:cstheme="majorBidi"/>
          <w:szCs w:val="22"/>
          <w:lang w:val="fr-CH"/>
        </w:rPr>
        <w:t>, relative aux dispositions réglementaires additionnelles applicables aux réseaux du service de radiodiffusion p</w:t>
      </w:r>
      <w:r w:rsidR="007D6DBA">
        <w:rPr>
          <w:rFonts w:asciiTheme="majorBidi" w:hAnsiTheme="majorBidi" w:cstheme="majorBidi"/>
          <w:szCs w:val="22"/>
          <w:lang w:val="fr-CH"/>
        </w:rPr>
        <w:t>ar satellite dans la bande 21,4</w:t>
      </w:r>
      <w:r w:rsidR="007D6DBA">
        <w:rPr>
          <w:rFonts w:asciiTheme="majorBidi" w:hAnsiTheme="majorBidi" w:cstheme="majorBidi"/>
          <w:szCs w:val="22"/>
          <w:lang w:val="fr-CH"/>
        </w:rPr>
        <w:noBreakHyphen/>
      </w:r>
      <w:r w:rsidRPr="007A5716">
        <w:rPr>
          <w:rFonts w:asciiTheme="majorBidi" w:hAnsiTheme="majorBidi" w:cstheme="majorBidi"/>
          <w:szCs w:val="22"/>
          <w:lang w:val="fr-CH"/>
        </w:rPr>
        <w:t xml:space="preserve">22 GHz dans les Régions 1 et 3, il a été </w:t>
      </w:r>
      <w:r>
        <w:rPr>
          <w:rFonts w:asciiTheme="majorBidi" w:hAnsiTheme="majorBidi" w:cstheme="majorBidi"/>
          <w:szCs w:val="22"/>
          <w:lang w:val="fr-CH"/>
        </w:rPr>
        <w:t>relevé</w:t>
      </w:r>
      <w:r w:rsidRPr="007A5716">
        <w:rPr>
          <w:rFonts w:asciiTheme="majorBidi" w:hAnsiTheme="majorBidi" w:cstheme="majorBidi"/>
          <w:szCs w:val="22"/>
          <w:lang w:val="fr-CH"/>
        </w:rPr>
        <w:t xml:space="preserve"> que l'objectif de cette Résolution est de faciliter </w:t>
      </w:r>
      <w:r>
        <w:rPr>
          <w:rFonts w:asciiTheme="majorBidi" w:hAnsiTheme="majorBidi" w:cstheme="majorBidi"/>
          <w:szCs w:val="22"/>
          <w:lang w:val="fr-CH"/>
        </w:rPr>
        <w:t xml:space="preserve">un </w:t>
      </w:r>
      <w:r w:rsidRPr="007A5716">
        <w:rPr>
          <w:rFonts w:asciiTheme="majorBidi" w:hAnsiTheme="majorBidi" w:cstheme="majorBidi"/>
          <w:szCs w:val="22"/>
          <w:lang w:val="fr-CH"/>
        </w:rPr>
        <w:t xml:space="preserve">accès équitable à ces réseaux. Par ailleurs, compte tenu du champ d'application restreint de la demande d'exonération de droit au titre du recouvrement des coûts, pour ce qui est des services spatiaux concernés et des bandes de fréquences associées, le Conseil a été invité à exonérer les soumissions </w:t>
      </w:r>
      <w:r>
        <w:rPr>
          <w:rFonts w:asciiTheme="majorBidi" w:hAnsiTheme="majorBidi" w:cstheme="majorBidi"/>
          <w:szCs w:val="22"/>
          <w:lang w:val="fr-CH"/>
        </w:rPr>
        <w:t>relatives à</w:t>
      </w:r>
      <w:r w:rsidRPr="007A5716">
        <w:rPr>
          <w:rFonts w:asciiTheme="majorBidi" w:hAnsiTheme="majorBidi" w:cstheme="majorBidi"/>
          <w:szCs w:val="22"/>
          <w:lang w:val="fr-CH"/>
        </w:rPr>
        <w:t xml:space="preserve"> une modification </w:t>
      </w:r>
      <w:r>
        <w:rPr>
          <w:rFonts w:asciiTheme="majorBidi" w:hAnsiTheme="majorBidi" w:cstheme="majorBidi"/>
          <w:szCs w:val="22"/>
          <w:lang w:val="fr-CH"/>
        </w:rPr>
        <w:t xml:space="preserve">concernant </w:t>
      </w:r>
      <w:r w:rsidRPr="007A5716">
        <w:rPr>
          <w:rFonts w:asciiTheme="majorBidi" w:hAnsiTheme="majorBidi" w:cstheme="majorBidi"/>
          <w:szCs w:val="22"/>
          <w:lang w:val="fr-CH"/>
        </w:rPr>
        <w:t>le SRS dans la bande 21,4-22 GHz de</w:t>
      </w:r>
      <w:r>
        <w:rPr>
          <w:rFonts w:asciiTheme="majorBidi" w:hAnsiTheme="majorBidi" w:cstheme="majorBidi"/>
          <w:szCs w:val="22"/>
          <w:lang w:val="fr-CH"/>
        </w:rPr>
        <w:t>s</w:t>
      </w:r>
      <w:r w:rsidRPr="007A5716">
        <w:rPr>
          <w:rFonts w:asciiTheme="majorBidi" w:hAnsiTheme="majorBidi" w:cstheme="majorBidi"/>
          <w:szCs w:val="22"/>
          <w:lang w:val="fr-CH"/>
        </w:rPr>
        <w:t xml:space="preserve"> droits au titre du recouvrement des coûts</w:t>
      </w:r>
      <w:r>
        <w:rPr>
          <w:rFonts w:asciiTheme="majorBidi" w:hAnsiTheme="majorBidi" w:cstheme="majorBidi"/>
          <w:szCs w:val="22"/>
          <w:lang w:val="fr-CH"/>
        </w:rPr>
        <w:t>,</w:t>
      </w:r>
      <w:r w:rsidRPr="007A5716">
        <w:rPr>
          <w:rFonts w:asciiTheme="majorBidi" w:hAnsiTheme="majorBidi" w:cstheme="majorBidi"/>
          <w:szCs w:val="22"/>
          <w:lang w:val="fr-CH"/>
        </w:rPr>
        <w:t xml:space="preserve"> conformément à la Décision 482 (MOD). En conséquence,</w:t>
      </w:r>
      <w:r>
        <w:rPr>
          <w:rFonts w:asciiTheme="majorBidi" w:hAnsiTheme="majorBidi" w:cstheme="majorBidi"/>
          <w:szCs w:val="22"/>
          <w:lang w:val="fr-CH"/>
        </w:rPr>
        <w:t xml:space="preserve"> </w:t>
      </w:r>
      <w:r w:rsidRPr="007A5716">
        <w:rPr>
          <w:rFonts w:asciiTheme="majorBidi" w:hAnsiTheme="majorBidi" w:cstheme="majorBidi"/>
          <w:szCs w:val="22"/>
          <w:lang w:val="fr-CH"/>
        </w:rPr>
        <w:t>le Conseil</w:t>
      </w:r>
      <w:r>
        <w:rPr>
          <w:rFonts w:asciiTheme="majorBidi" w:hAnsiTheme="majorBidi" w:cstheme="majorBidi"/>
          <w:szCs w:val="22"/>
          <w:lang w:val="fr-CH"/>
        </w:rPr>
        <w:t xml:space="preserve"> a approuvé l'adjonction du </w:t>
      </w:r>
      <w:r w:rsidRPr="007A5716">
        <w:rPr>
          <w:rFonts w:asciiTheme="majorBidi" w:hAnsiTheme="majorBidi" w:cstheme="majorBidi"/>
          <w:szCs w:val="22"/>
          <w:lang w:val="fr-CH"/>
        </w:rPr>
        <w:t>texte suivant</w:t>
      </w:r>
      <w:r>
        <w:rPr>
          <w:rFonts w:asciiTheme="majorBidi" w:hAnsiTheme="majorBidi" w:cstheme="majorBidi"/>
          <w:szCs w:val="22"/>
          <w:lang w:val="fr-CH"/>
        </w:rPr>
        <w:t xml:space="preserve"> dans </w:t>
      </w:r>
      <w:r w:rsidRPr="007A5716">
        <w:rPr>
          <w:rFonts w:asciiTheme="majorBidi" w:hAnsiTheme="majorBidi" w:cstheme="majorBidi"/>
          <w:szCs w:val="22"/>
          <w:lang w:val="fr-CH"/>
        </w:rPr>
        <w:t>la Décision 482</w:t>
      </w:r>
      <w:r>
        <w:rPr>
          <w:rFonts w:asciiTheme="majorBidi" w:hAnsiTheme="majorBidi" w:cstheme="majorBidi"/>
          <w:szCs w:val="22"/>
          <w:lang w:val="fr-CH"/>
        </w:rPr>
        <w:t>:</w:t>
      </w:r>
    </w:p>
    <w:p w:rsidR="00BA7363" w:rsidRPr="00E73154" w:rsidRDefault="00BA7363" w:rsidP="007D6DBA">
      <w:pPr>
        <w:rPr>
          <w:lang w:val="fr-CH"/>
        </w:rPr>
      </w:pPr>
      <w:r>
        <w:rPr>
          <w:lang w:val="fr-CH"/>
        </w:rPr>
        <w:lastRenderedPageBreak/>
        <w:t>«</w:t>
      </w:r>
      <w:r w:rsidRPr="007D6DBA">
        <w:rPr>
          <w:i/>
          <w:iCs/>
          <w:lang w:val="fr-CH"/>
        </w:rPr>
        <w:t>11</w:t>
      </w:r>
      <w:r w:rsidRPr="007D6DBA">
        <w:rPr>
          <w:i/>
          <w:iCs/>
          <w:lang w:val="fr-CH"/>
        </w:rPr>
        <w:tab/>
        <w:t>que la publication de Sections spéciales pour le service d'amateur par satellite, la notification pour l'inscription d'assignations de fréquence pour des stations terriennes, pour la conversion d'un allotissement en une assignation conformément à la procédure prévue à l'ancienne Section I de l'Article 6 de l'Appendice 30B, l'adjonction d'un nouvel allotissement dans le Plan pour un nouvel Etat Membre de l'Union, conformément à la procédure prévue à l'Article 7 de l'Appendice 30B et les soumissions au titre des points 3 et 4 du décide de la Résolution 555 (CMR</w:t>
      </w:r>
      <w:r w:rsidRPr="007D6DBA">
        <w:rPr>
          <w:i/>
          <w:iCs/>
          <w:lang w:val="fr-CH"/>
        </w:rPr>
        <w:noBreakHyphen/>
        <w:t>12) seront exonérées de tout droit;</w:t>
      </w:r>
      <w:r>
        <w:rPr>
          <w:lang w:val="fr-CH"/>
        </w:rPr>
        <w:t>»</w:t>
      </w:r>
    </w:p>
    <w:p w:rsidR="00BA7363" w:rsidRDefault="00BA7363" w:rsidP="00BA7363">
      <w:pPr>
        <w:rPr>
          <w:lang w:val="fr-CH"/>
        </w:rPr>
      </w:pPr>
      <w:r w:rsidRPr="00E73154">
        <w:rPr>
          <w:lang w:val="fr-CH"/>
        </w:rPr>
        <w:t xml:space="preserve">Le Bureau n'a reçu aucune modification </w:t>
      </w:r>
      <w:r>
        <w:rPr>
          <w:lang w:val="fr-CH"/>
        </w:rPr>
        <w:t xml:space="preserve">concernant des soumissions de réseaux à satellite du SRS dans la bande </w:t>
      </w:r>
      <w:r w:rsidRPr="00E73154">
        <w:rPr>
          <w:rFonts w:cstheme="majorBidi"/>
          <w:lang w:val="fr-CH"/>
        </w:rPr>
        <w:t>21</w:t>
      </w:r>
      <w:r>
        <w:rPr>
          <w:rFonts w:cstheme="majorBidi"/>
          <w:lang w:val="fr-CH"/>
        </w:rPr>
        <w:t>,</w:t>
      </w:r>
      <w:r w:rsidRPr="00E73154">
        <w:rPr>
          <w:rFonts w:cstheme="majorBidi"/>
          <w:lang w:val="fr-CH"/>
        </w:rPr>
        <w:t>4-22 GHz</w:t>
      </w:r>
      <w:r>
        <w:rPr>
          <w:lang w:val="fr-CH"/>
        </w:rPr>
        <w:t xml:space="preserve"> qu'il était prévu, conformément aux </w:t>
      </w:r>
      <w:r w:rsidRPr="00E73154">
        <w:rPr>
          <w:lang w:val="fr-CH"/>
        </w:rPr>
        <w:t xml:space="preserve">points 3 et 4 du </w:t>
      </w:r>
      <w:r w:rsidRPr="00CD1730">
        <w:rPr>
          <w:i/>
          <w:iCs/>
          <w:lang w:val="fr-CH"/>
        </w:rPr>
        <w:t>décide</w:t>
      </w:r>
      <w:r w:rsidRPr="00E73154">
        <w:rPr>
          <w:lang w:val="fr-CH"/>
        </w:rPr>
        <w:t xml:space="preserve"> de la Résolution 555 (</w:t>
      </w:r>
      <w:r>
        <w:rPr>
          <w:lang w:val="fr-CH"/>
        </w:rPr>
        <w:t>Rév.</w:t>
      </w:r>
      <w:r w:rsidRPr="00E73154">
        <w:rPr>
          <w:lang w:val="fr-CH"/>
        </w:rPr>
        <w:t>CMR</w:t>
      </w:r>
      <w:r>
        <w:rPr>
          <w:lang w:val="fr-CH"/>
        </w:rPr>
        <w:t>-12)</w:t>
      </w:r>
      <w:r w:rsidRPr="00E73154">
        <w:rPr>
          <w:lang w:val="fr-CH"/>
        </w:rPr>
        <w:t xml:space="preserve">, </w:t>
      </w:r>
      <w:r>
        <w:rPr>
          <w:lang w:val="fr-CH"/>
        </w:rPr>
        <w:t>d'</w:t>
      </w:r>
      <w:r w:rsidRPr="00E73154">
        <w:rPr>
          <w:lang w:val="fr-CH"/>
        </w:rPr>
        <w:t>exonér</w:t>
      </w:r>
      <w:r>
        <w:rPr>
          <w:lang w:val="fr-CH"/>
        </w:rPr>
        <w:t>er de droits au titre du recouvrement des coûts.</w:t>
      </w:r>
    </w:p>
    <w:p w:rsidR="00BA7363" w:rsidRDefault="00BA7363" w:rsidP="000C2F81">
      <w:pPr>
        <w:rPr>
          <w:rFonts w:asciiTheme="majorBidi" w:hAnsiTheme="majorBidi" w:cstheme="majorBidi"/>
          <w:bCs/>
          <w:szCs w:val="24"/>
          <w:lang w:val="fr-CH"/>
        </w:rPr>
      </w:pPr>
      <w:r w:rsidRPr="00E73154">
        <w:rPr>
          <w:rFonts w:asciiTheme="majorBidi" w:hAnsiTheme="majorBidi" w:cstheme="majorBidi"/>
          <w:bCs/>
          <w:szCs w:val="24"/>
          <w:lang w:val="fr-CH"/>
        </w:rPr>
        <w:t>Au cours de sa 62</w:t>
      </w:r>
      <w:r w:rsidR="00CD1730">
        <w:rPr>
          <w:rFonts w:asciiTheme="majorBidi" w:hAnsiTheme="majorBidi" w:cstheme="majorBidi"/>
          <w:bCs/>
          <w:szCs w:val="24"/>
          <w:lang w:val="fr-CH"/>
        </w:rPr>
        <w:t>ème</w:t>
      </w:r>
      <w:r w:rsidRPr="00E73154">
        <w:rPr>
          <w:rFonts w:asciiTheme="majorBidi" w:hAnsiTheme="majorBidi" w:cstheme="majorBidi"/>
          <w:bCs/>
          <w:szCs w:val="24"/>
          <w:lang w:val="fr-CH"/>
        </w:rPr>
        <w:t xml:space="preserve"> réunion, le Comité du </w:t>
      </w:r>
      <w:r>
        <w:rPr>
          <w:rFonts w:asciiTheme="majorBidi" w:hAnsiTheme="majorBidi" w:cstheme="majorBidi"/>
          <w:bCs/>
          <w:szCs w:val="24"/>
          <w:lang w:val="fr-CH"/>
        </w:rPr>
        <w:t>R</w:t>
      </w:r>
      <w:r w:rsidRPr="00E73154">
        <w:rPr>
          <w:rFonts w:asciiTheme="majorBidi" w:hAnsiTheme="majorBidi" w:cstheme="majorBidi"/>
          <w:bCs/>
          <w:szCs w:val="24"/>
          <w:lang w:val="fr-CH"/>
        </w:rPr>
        <w:t>èglement</w:t>
      </w:r>
      <w:r>
        <w:rPr>
          <w:rFonts w:asciiTheme="majorBidi" w:hAnsiTheme="majorBidi" w:cstheme="majorBidi"/>
          <w:bCs/>
          <w:szCs w:val="24"/>
          <w:lang w:val="fr-CH"/>
        </w:rPr>
        <w:t xml:space="preserve"> des radiocommunications a </w:t>
      </w:r>
      <w:r w:rsidR="000C2F81">
        <w:rPr>
          <w:rFonts w:asciiTheme="majorBidi" w:hAnsiTheme="majorBidi" w:cstheme="majorBidi"/>
          <w:bCs/>
          <w:szCs w:val="24"/>
          <w:lang w:val="fr-CH"/>
        </w:rPr>
        <w:t>approuvé une </w:t>
      </w:r>
      <w:r>
        <w:rPr>
          <w:rFonts w:asciiTheme="majorBidi" w:hAnsiTheme="majorBidi" w:cstheme="majorBidi"/>
          <w:bCs/>
          <w:szCs w:val="24"/>
          <w:lang w:val="fr-CH"/>
        </w:rPr>
        <w:t xml:space="preserve">Règle de </w:t>
      </w:r>
      <w:r w:rsidRPr="00E73154">
        <w:rPr>
          <w:rFonts w:asciiTheme="majorBidi" w:hAnsiTheme="majorBidi" w:cstheme="majorBidi"/>
          <w:bCs/>
          <w:szCs w:val="24"/>
          <w:lang w:val="fr-CH"/>
        </w:rPr>
        <w:t xml:space="preserve">procédure </w:t>
      </w:r>
      <w:r>
        <w:rPr>
          <w:rFonts w:asciiTheme="majorBidi" w:hAnsiTheme="majorBidi" w:cstheme="majorBidi"/>
          <w:bCs/>
          <w:szCs w:val="24"/>
          <w:lang w:val="fr-CH"/>
        </w:rPr>
        <w:t xml:space="preserve">relative au regroupement </w:t>
      </w:r>
      <w:r w:rsidRPr="00E73154">
        <w:rPr>
          <w:rFonts w:asciiTheme="majorBidi" w:hAnsiTheme="majorBidi" w:cstheme="majorBidi"/>
          <w:bCs/>
          <w:szCs w:val="24"/>
          <w:lang w:val="fr-CH"/>
        </w:rPr>
        <w:t xml:space="preserve">des assignations de fréquence de différents réseaux à satellite géostationnaire soumis </w:t>
      </w:r>
      <w:r>
        <w:rPr>
          <w:rFonts w:asciiTheme="majorBidi" w:hAnsiTheme="majorBidi" w:cstheme="majorBidi"/>
          <w:bCs/>
          <w:szCs w:val="24"/>
          <w:lang w:val="fr-CH"/>
        </w:rPr>
        <w:t xml:space="preserve">par une administration à la même </w:t>
      </w:r>
      <w:r w:rsidRPr="00E73154">
        <w:rPr>
          <w:rFonts w:asciiTheme="majorBidi" w:hAnsiTheme="majorBidi" w:cstheme="majorBidi"/>
          <w:bCs/>
          <w:szCs w:val="24"/>
          <w:lang w:val="fr-CH"/>
        </w:rPr>
        <w:t>position orbital</w:t>
      </w:r>
      <w:r>
        <w:rPr>
          <w:rFonts w:asciiTheme="majorBidi" w:hAnsiTheme="majorBidi" w:cstheme="majorBidi"/>
          <w:bCs/>
          <w:szCs w:val="24"/>
          <w:lang w:val="fr-CH"/>
        </w:rPr>
        <w:t>e</w:t>
      </w:r>
      <w:r w:rsidRPr="00E73154">
        <w:rPr>
          <w:rFonts w:asciiTheme="majorBidi" w:hAnsiTheme="majorBidi" w:cstheme="majorBidi"/>
          <w:bCs/>
          <w:szCs w:val="24"/>
          <w:lang w:val="fr-CH"/>
        </w:rPr>
        <w:t xml:space="preserve"> en assignations de fréquence d'un seul et même réseau </w:t>
      </w:r>
      <w:r>
        <w:rPr>
          <w:rFonts w:asciiTheme="majorBidi" w:hAnsiTheme="majorBidi" w:cstheme="majorBidi"/>
          <w:bCs/>
          <w:szCs w:val="24"/>
          <w:lang w:val="fr-CH"/>
        </w:rPr>
        <w:t xml:space="preserve">à satellite, la date d'entrée en vigueur étant fixée au </w:t>
      </w:r>
      <w:r w:rsidRPr="00E73154">
        <w:rPr>
          <w:rFonts w:asciiTheme="majorBidi" w:hAnsiTheme="majorBidi" w:cstheme="majorBidi"/>
          <w:bCs/>
          <w:szCs w:val="24"/>
          <w:lang w:val="fr-CH"/>
        </w:rPr>
        <w:t xml:space="preserve">1er juillet 2013. Pendant les débats, le Comité a pris note des renseignements </w:t>
      </w:r>
      <w:r>
        <w:rPr>
          <w:rFonts w:asciiTheme="majorBidi" w:hAnsiTheme="majorBidi" w:cstheme="majorBidi"/>
          <w:bCs/>
          <w:szCs w:val="24"/>
          <w:lang w:val="fr-CH"/>
        </w:rPr>
        <w:t xml:space="preserve">fournis par le </w:t>
      </w:r>
      <w:r w:rsidRPr="00E73154">
        <w:rPr>
          <w:rFonts w:asciiTheme="majorBidi" w:hAnsiTheme="majorBidi" w:cstheme="majorBidi"/>
          <w:bCs/>
          <w:szCs w:val="24"/>
          <w:lang w:val="fr-CH"/>
        </w:rPr>
        <w:t>Bureau</w:t>
      </w:r>
      <w:r>
        <w:rPr>
          <w:rFonts w:asciiTheme="majorBidi" w:hAnsiTheme="majorBidi" w:cstheme="majorBidi"/>
          <w:bCs/>
          <w:szCs w:val="24"/>
          <w:lang w:val="fr-CH"/>
        </w:rPr>
        <w:t>,</w:t>
      </w:r>
      <w:r w:rsidRPr="00E73154">
        <w:rPr>
          <w:rFonts w:asciiTheme="majorBidi" w:hAnsiTheme="majorBidi" w:cstheme="majorBidi"/>
          <w:bCs/>
          <w:szCs w:val="24"/>
          <w:lang w:val="fr-CH"/>
        </w:rPr>
        <w:t xml:space="preserve"> selon lesquels le regroupement d'assignations de fréquence inscrite</w:t>
      </w:r>
      <w:r>
        <w:rPr>
          <w:rFonts w:asciiTheme="majorBidi" w:hAnsiTheme="majorBidi" w:cstheme="majorBidi"/>
          <w:bCs/>
          <w:szCs w:val="24"/>
          <w:lang w:val="fr-CH"/>
        </w:rPr>
        <w:t>s</w:t>
      </w:r>
      <w:r w:rsidRPr="00E73154">
        <w:rPr>
          <w:rFonts w:asciiTheme="majorBidi" w:hAnsiTheme="majorBidi" w:cstheme="majorBidi"/>
          <w:bCs/>
          <w:szCs w:val="24"/>
          <w:lang w:val="fr-CH"/>
        </w:rPr>
        <w:t xml:space="preserve"> provenant de fiches de notification de réseaux à satellite différent</w:t>
      </w:r>
      <w:r>
        <w:rPr>
          <w:rFonts w:asciiTheme="majorBidi" w:hAnsiTheme="majorBidi" w:cstheme="majorBidi"/>
          <w:bCs/>
          <w:szCs w:val="24"/>
          <w:lang w:val="fr-CH"/>
        </w:rPr>
        <w:t>es</w:t>
      </w:r>
      <w:r w:rsidRPr="00E73154">
        <w:rPr>
          <w:rFonts w:asciiTheme="majorBidi" w:hAnsiTheme="majorBidi" w:cstheme="majorBidi"/>
          <w:bCs/>
          <w:szCs w:val="24"/>
          <w:lang w:val="fr-CH"/>
        </w:rPr>
        <w:t xml:space="preserve"> en une seule et même fiche de notification</w:t>
      </w:r>
      <w:r>
        <w:rPr>
          <w:rFonts w:asciiTheme="majorBidi" w:hAnsiTheme="majorBidi" w:cstheme="majorBidi"/>
          <w:bCs/>
          <w:szCs w:val="24"/>
          <w:lang w:val="fr-CH"/>
        </w:rPr>
        <w:t xml:space="preserve"> représenterait un travail important de traitement et de publication des données pour le Bureau, qui pourrait se traduire par un droit au titre du recouvrement des coûts conformément à la Décision 482 qui sera examiné par le Conseil </w:t>
      </w:r>
      <w:r w:rsidR="000C2F81">
        <w:rPr>
          <w:rFonts w:asciiTheme="majorBidi" w:hAnsiTheme="majorBidi" w:cstheme="majorBidi"/>
          <w:bCs/>
          <w:szCs w:val="24"/>
          <w:lang w:val="fr-CH"/>
        </w:rPr>
        <w:t>à</w:t>
      </w:r>
      <w:r>
        <w:rPr>
          <w:rFonts w:asciiTheme="majorBidi" w:hAnsiTheme="majorBidi" w:cstheme="majorBidi"/>
          <w:bCs/>
          <w:szCs w:val="24"/>
          <w:lang w:val="fr-CH"/>
        </w:rPr>
        <w:t xml:space="preserve"> sa session de juin 2013.</w:t>
      </w:r>
    </w:p>
    <w:p w:rsidR="00BA7363" w:rsidRPr="00E73154" w:rsidRDefault="00BA7363" w:rsidP="00BA7363">
      <w:pPr>
        <w:pStyle w:val="Heading2"/>
        <w:rPr>
          <w:lang w:val="fr-CH"/>
        </w:rPr>
      </w:pPr>
      <w:r w:rsidRPr="00E73154">
        <w:rPr>
          <w:lang w:val="fr-CH"/>
        </w:rPr>
        <w:t>2.4</w:t>
      </w:r>
      <w:r w:rsidRPr="00E73154">
        <w:rPr>
          <w:lang w:val="fr-CH"/>
        </w:rPr>
        <w:tab/>
        <w:t>Conformité et</w:t>
      </w:r>
      <w:r>
        <w:rPr>
          <w:lang w:val="fr-CH"/>
        </w:rPr>
        <w:t xml:space="preserve"> </w:t>
      </w:r>
      <w:r w:rsidRPr="00E73154">
        <w:rPr>
          <w:lang w:val="fr-CH"/>
        </w:rPr>
        <w:t xml:space="preserve">interopérabilité </w:t>
      </w:r>
    </w:p>
    <w:p w:rsidR="00BA7363" w:rsidRPr="00E73154" w:rsidRDefault="00BA7363" w:rsidP="00BA7363">
      <w:pPr>
        <w:rPr>
          <w:lang w:val="fr-CH"/>
        </w:rPr>
      </w:pPr>
      <w:r w:rsidRPr="00E73154">
        <w:rPr>
          <w:lang w:val="fr-CH"/>
        </w:rPr>
        <w:t>Le</w:t>
      </w:r>
      <w:r>
        <w:rPr>
          <w:lang w:val="fr-CH"/>
        </w:rPr>
        <w:t xml:space="preserve"> Conseil a procédé à un examen approfondi du programme </w:t>
      </w:r>
      <w:r w:rsidRPr="00E73154">
        <w:rPr>
          <w:lang w:val="fr-CH"/>
        </w:rPr>
        <w:t>sur la conformité et l'interopérabilité</w:t>
      </w:r>
      <w:r>
        <w:rPr>
          <w:lang w:val="fr-CH"/>
        </w:rPr>
        <w:t xml:space="preserve"> </w:t>
      </w:r>
      <w:r w:rsidRPr="009C71BC">
        <w:rPr>
          <w:rFonts w:asciiTheme="majorBidi" w:hAnsiTheme="majorBidi" w:cstheme="majorBidi"/>
          <w:szCs w:val="24"/>
          <w:lang w:val="fr-CH" w:eastAsia="zh-CN"/>
        </w:rPr>
        <w:t>(C&amp;I) approuvé par la PP-10</w:t>
      </w:r>
      <w:r>
        <w:rPr>
          <w:rFonts w:asciiTheme="majorBidi" w:hAnsiTheme="majorBidi" w:cstheme="majorBidi"/>
          <w:szCs w:val="24"/>
          <w:lang w:val="fr-CH" w:eastAsia="zh-CN"/>
        </w:rPr>
        <w:t>,</w:t>
      </w:r>
      <w:r>
        <w:rPr>
          <w:lang w:val="fr-CH"/>
        </w:rPr>
        <w:t xml:space="preserve"> qui </w:t>
      </w:r>
      <w:r w:rsidRPr="00E73154">
        <w:rPr>
          <w:lang w:val="fr-CH"/>
        </w:rPr>
        <w:t>repose sur quatre piliers:</w:t>
      </w:r>
    </w:p>
    <w:p w:rsidR="00BA7363" w:rsidRPr="00E73154" w:rsidRDefault="00BA7363" w:rsidP="00D16078">
      <w:pPr>
        <w:pStyle w:val="enumlev1"/>
        <w:rPr>
          <w:lang w:val="fr-CH"/>
        </w:rPr>
      </w:pPr>
      <w:r w:rsidRPr="00E73154">
        <w:rPr>
          <w:lang w:val="fr-CH"/>
        </w:rPr>
        <w:t>1)</w:t>
      </w:r>
      <w:r w:rsidRPr="00E73154">
        <w:rPr>
          <w:lang w:val="fr-CH"/>
        </w:rPr>
        <w:tab/>
      </w:r>
      <w:r w:rsidR="00D16078">
        <w:rPr>
          <w:lang w:val="fr-CH"/>
        </w:rPr>
        <w:t>Evaluation de la conformité</w:t>
      </w:r>
    </w:p>
    <w:p w:rsidR="00BA7363" w:rsidRPr="00E73154" w:rsidRDefault="00BA7363" w:rsidP="00D16078">
      <w:pPr>
        <w:pStyle w:val="enumlev1"/>
        <w:rPr>
          <w:lang w:val="fr-CH"/>
        </w:rPr>
      </w:pPr>
      <w:r w:rsidRPr="00E73154">
        <w:rPr>
          <w:lang w:val="fr-CH"/>
        </w:rPr>
        <w:t>2)</w:t>
      </w:r>
      <w:r w:rsidRPr="00E73154">
        <w:rPr>
          <w:lang w:val="fr-CH"/>
        </w:rPr>
        <w:tab/>
      </w:r>
      <w:r w:rsidR="00D16078">
        <w:rPr>
          <w:lang w:val="fr-CH"/>
        </w:rPr>
        <w:t>Réunions sur l'interopérabilité</w:t>
      </w:r>
    </w:p>
    <w:p w:rsidR="00BA7363" w:rsidRPr="00E73154" w:rsidRDefault="00BA7363" w:rsidP="00D16078">
      <w:pPr>
        <w:pStyle w:val="enumlev1"/>
        <w:rPr>
          <w:lang w:val="fr-CH"/>
        </w:rPr>
      </w:pPr>
      <w:r w:rsidRPr="00E73154">
        <w:rPr>
          <w:lang w:val="fr-CH"/>
        </w:rPr>
        <w:t>3)</w:t>
      </w:r>
      <w:r w:rsidRPr="00E73154">
        <w:rPr>
          <w:lang w:val="fr-CH"/>
        </w:rPr>
        <w:tab/>
      </w:r>
      <w:r w:rsidR="00D16078">
        <w:rPr>
          <w:lang w:val="fr-CH"/>
        </w:rPr>
        <w:t>Renforcement des capacités</w:t>
      </w:r>
    </w:p>
    <w:p w:rsidR="00BA7363" w:rsidRPr="00E73154" w:rsidRDefault="00BA7363" w:rsidP="00D16078">
      <w:pPr>
        <w:pStyle w:val="enumlev1"/>
        <w:rPr>
          <w:lang w:val="fr-CH"/>
        </w:rPr>
      </w:pPr>
      <w:r w:rsidRPr="00E73154">
        <w:rPr>
          <w:lang w:val="fr-CH"/>
        </w:rPr>
        <w:t>4)</w:t>
      </w:r>
      <w:r w:rsidRPr="00E73154">
        <w:rPr>
          <w:lang w:val="fr-CH"/>
        </w:rPr>
        <w:tab/>
      </w:r>
      <w:r w:rsidR="00D16078">
        <w:rPr>
          <w:lang w:val="fr-CH"/>
        </w:rPr>
        <w:t>E</w:t>
      </w:r>
      <w:r w:rsidRPr="00E73154">
        <w:rPr>
          <w:lang w:val="fr-CH"/>
        </w:rPr>
        <w:t>tablissement de centres de tests dans les pays en développement.</w:t>
      </w:r>
    </w:p>
    <w:p w:rsidR="00BA7363" w:rsidRDefault="00BA7363" w:rsidP="00BA7363">
      <w:pPr>
        <w:rPr>
          <w:lang w:val="fr-CH"/>
        </w:rPr>
      </w:pPr>
      <w:r w:rsidRPr="00E73154">
        <w:rPr>
          <w:lang w:val="fr-CH"/>
        </w:rPr>
        <w:t>Les piliers 1 et 2 relèvent de la responsabilité du</w:t>
      </w:r>
      <w:r>
        <w:rPr>
          <w:lang w:val="fr-CH"/>
        </w:rPr>
        <w:t xml:space="preserve"> </w:t>
      </w:r>
      <w:r w:rsidRPr="00E73154">
        <w:rPr>
          <w:lang w:val="fr-CH"/>
        </w:rPr>
        <w:t>TSB</w:t>
      </w:r>
      <w:r>
        <w:rPr>
          <w:lang w:val="fr-CH"/>
        </w:rPr>
        <w:t>,</w:t>
      </w:r>
      <w:r w:rsidRPr="00E73154">
        <w:rPr>
          <w:lang w:val="fr-CH"/>
        </w:rPr>
        <w:t xml:space="preserve"> tandis que les piliers 3 et 4 relèvent de la responsabilité du</w:t>
      </w:r>
      <w:r>
        <w:rPr>
          <w:lang w:val="fr-CH"/>
        </w:rPr>
        <w:t xml:space="preserve"> </w:t>
      </w:r>
      <w:r w:rsidRPr="00E73154">
        <w:rPr>
          <w:lang w:val="fr-CH"/>
        </w:rPr>
        <w:t>BDT</w:t>
      </w:r>
      <w:r>
        <w:rPr>
          <w:lang w:val="fr-CH"/>
        </w:rPr>
        <w:t xml:space="preserve">. </w:t>
      </w:r>
      <w:r w:rsidRPr="009C71BC">
        <w:rPr>
          <w:lang w:val="fr-CH"/>
        </w:rPr>
        <w:t xml:space="preserve">Un Groupe d'action </w:t>
      </w:r>
      <w:r>
        <w:rPr>
          <w:lang w:val="fr-CH"/>
        </w:rPr>
        <w:t xml:space="preserve">interne </w:t>
      </w:r>
      <w:r w:rsidRPr="009C71BC">
        <w:rPr>
          <w:lang w:val="fr-CH"/>
        </w:rPr>
        <w:t xml:space="preserve">sur la conformité et l'interopérabilité, composé de représentants du TSB, </w:t>
      </w:r>
      <w:r>
        <w:rPr>
          <w:lang w:val="fr-CH"/>
        </w:rPr>
        <w:t xml:space="preserve">du </w:t>
      </w:r>
      <w:r w:rsidRPr="009C71BC">
        <w:rPr>
          <w:lang w:val="fr-CH"/>
        </w:rPr>
        <w:t>BDT</w:t>
      </w:r>
      <w:r>
        <w:rPr>
          <w:lang w:val="fr-CH"/>
        </w:rPr>
        <w:t xml:space="preserve"> et du </w:t>
      </w:r>
      <w:r w:rsidRPr="009C71BC">
        <w:rPr>
          <w:lang w:val="fr-CH"/>
        </w:rPr>
        <w:t>BR</w:t>
      </w:r>
      <w:r>
        <w:rPr>
          <w:lang w:val="fr-CH"/>
        </w:rPr>
        <w:t>, assure la coordination de toutes les questions relatives à la conformité et l'interopérabilité à l'UIT.</w:t>
      </w:r>
    </w:p>
    <w:p w:rsidR="00BA7363" w:rsidRPr="004A40B0" w:rsidRDefault="00BA7363" w:rsidP="00BA7363">
      <w:pPr>
        <w:rPr>
          <w:rFonts w:asciiTheme="majorBidi" w:hAnsiTheme="majorBidi" w:cstheme="majorBidi"/>
          <w:szCs w:val="24"/>
          <w:lang w:val="fr-CH" w:eastAsia="zh-CN"/>
        </w:rPr>
      </w:pPr>
      <w:r>
        <w:rPr>
          <w:lang w:val="fr-CH"/>
        </w:rPr>
        <w:t xml:space="preserve">Par sa </w:t>
      </w:r>
      <w:r w:rsidRPr="009C71BC">
        <w:rPr>
          <w:lang w:val="fr-CH"/>
        </w:rPr>
        <w:t>Résolu</w:t>
      </w:r>
      <w:r>
        <w:rPr>
          <w:lang w:val="fr-CH"/>
        </w:rPr>
        <w:t xml:space="preserve">tion 177 (Guadalajara, 2010), </w:t>
      </w:r>
      <w:r w:rsidRPr="009C71BC">
        <w:rPr>
          <w:lang w:val="fr-CH"/>
        </w:rPr>
        <w:t>la Conférence de plénipotentiaires</w:t>
      </w:r>
      <w:r>
        <w:rPr>
          <w:lang w:val="fr-CH"/>
        </w:rPr>
        <w:t xml:space="preserve"> a </w:t>
      </w:r>
      <w:r w:rsidRPr="009C71BC">
        <w:rPr>
          <w:lang w:val="fr-CH"/>
        </w:rPr>
        <w:t>charg</w:t>
      </w:r>
      <w:r>
        <w:rPr>
          <w:lang w:val="fr-CH"/>
        </w:rPr>
        <w:t>é</w:t>
      </w:r>
      <w:r w:rsidRPr="009C71BC">
        <w:rPr>
          <w:lang w:val="fr-CH"/>
        </w:rPr>
        <w:t xml:space="preserve"> le Directeur du TSB </w:t>
      </w:r>
      <w:r>
        <w:rPr>
          <w:lang w:val="fr-CH"/>
        </w:rPr>
        <w:t>«</w:t>
      </w:r>
      <w:r w:rsidRPr="009C71BC">
        <w:rPr>
          <w:lang w:val="fr-CH"/>
        </w:rPr>
        <w:t xml:space="preserve">d'élaborer un plan d'activité pour la mise en </w:t>
      </w:r>
      <w:r>
        <w:rPr>
          <w:lang w:val="fr-CH"/>
        </w:rPr>
        <w:t>oe</w:t>
      </w:r>
      <w:r w:rsidRPr="009C71BC">
        <w:rPr>
          <w:lang w:val="fr-CH"/>
        </w:rPr>
        <w:t>uvre à long terme de la présente Résolution</w:t>
      </w:r>
      <w:r>
        <w:rPr>
          <w:lang w:val="fr-CH"/>
        </w:rPr>
        <w:t>»</w:t>
      </w:r>
      <w:r w:rsidRPr="009C71BC">
        <w:rPr>
          <w:lang w:val="fr-CH"/>
        </w:rPr>
        <w:t>. Un appel d'offres a été publié</w:t>
      </w:r>
      <w:r>
        <w:rPr>
          <w:lang w:val="fr-CH"/>
        </w:rPr>
        <w:t xml:space="preserve">, </w:t>
      </w:r>
      <w:r w:rsidRPr="009C71BC">
        <w:rPr>
          <w:lang w:val="fr-CH"/>
        </w:rPr>
        <w:t>la société de conseil KPMG a été retenue</w:t>
      </w:r>
      <w:r>
        <w:rPr>
          <w:lang w:val="fr-CH"/>
        </w:rPr>
        <w:t xml:space="preserve"> et son plan d'activité a été présenté dans son intégralité au Conseil à sa session de 2012. Celui-ci a conclu que le plan action proposé relatif à la conformité et l'interopérabilité recueillait une large adhésion. Le Conseil a noté en particulier, ce qui suit:</w:t>
      </w:r>
    </w:p>
    <w:p w:rsidR="00BA7363" w:rsidRPr="00AB1C93" w:rsidRDefault="00BA7363" w:rsidP="00404AD2">
      <w:pPr>
        <w:pStyle w:val="enumlev1"/>
        <w:rPr>
          <w:lang w:val="fr-CH" w:eastAsia="zh-CN"/>
        </w:rPr>
      </w:pPr>
      <w:r w:rsidRPr="00AA06D6">
        <w:rPr>
          <w:lang w:val="fr-CH" w:eastAsia="zh-CN"/>
        </w:rPr>
        <w:t>•</w:t>
      </w:r>
      <w:r>
        <w:rPr>
          <w:lang w:val="fr-CH" w:eastAsia="zh-CN"/>
        </w:rPr>
        <w:tab/>
      </w:r>
      <w:r w:rsidR="00404AD2" w:rsidRPr="00AB1C93">
        <w:rPr>
          <w:lang w:val="fr-CH" w:eastAsia="zh-CN"/>
        </w:rPr>
        <w:t>S</w:t>
      </w:r>
      <w:r w:rsidRPr="00AB1C93">
        <w:rPr>
          <w:lang w:val="fr-CH" w:eastAsia="zh-CN"/>
        </w:rPr>
        <w:t xml:space="preserve">ur la base de l'analyse effectuée par le secrétariat, </w:t>
      </w:r>
      <w:r>
        <w:rPr>
          <w:lang w:val="fr-CH" w:eastAsia="zh-CN"/>
        </w:rPr>
        <w:t>s'agissant</w:t>
      </w:r>
      <w:r w:rsidRPr="00AB1C93">
        <w:rPr>
          <w:lang w:val="fr-CH" w:eastAsia="zh-CN"/>
        </w:rPr>
        <w:t xml:space="preserve"> de la mise en </w:t>
      </w:r>
      <w:r>
        <w:rPr>
          <w:lang w:val="fr-CH" w:eastAsia="zh-CN"/>
        </w:rPr>
        <w:t>oe</w:t>
      </w:r>
      <w:r w:rsidRPr="00AB1C93">
        <w:rPr>
          <w:lang w:val="fr-CH" w:eastAsia="zh-CN"/>
        </w:rPr>
        <w:t xml:space="preserve">uvre du programme de conformité et </w:t>
      </w:r>
      <w:r>
        <w:rPr>
          <w:lang w:val="fr-CH" w:eastAsia="zh-CN"/>
        </w:rPr>
        <w:t>d'</w:t>
      </w:r>
      <w:r w:rsidRPr="00AB1C93">
        <w:rPr>
          <w:lang w:val="fr-CH" w:eastAsia="zh-CN"/>
        </w:rPr>
        <w:t>interopérabilité en 2012 et 2013, aucune ressource additionnelle ne sera nécessaire, de sorte</w:t>
      </w:r>
      <w:r>
        <w:rPr>
          <w:lang w:val="fr-CH" w:eastAsia="zh-CN"/>
        </w:rPr>
        <w:t xml:space="preserve"> </w:t>
      </w:r>
      <w:r w:rsidRPr="00AB1C93">
        <w:rPr>
          <w:lang w:val="fr-CH" w:eastAsia="zh-CN"/>
        </w:rPr>
        <w:t xml:space="preserve">qu'il appartiendra </w:t>
      </w:r>
      <w:r>
        <w:rPr>
          <w:lang w:val="fr-CH" w:eastAsia="zh-CN"/>
        </w:rPr>
        <w:t>au Conseil à sa session de 2013 de se prononcer sur les éventuelles incidences financières relatives aux ressources humaines du secrétariat de l'UIT</w:t>
      </w:r>
      <w:r w:rsidR="00404AD2">
        <w:rPr>
          <w:lang w:val="fr-CH" w:eastAsia="zh-CN"/>
        </w:rPr>
        <w:t>.</w:t>
      </w:r>
      <w:r>
        <w:rPr>
          <w:lang w:val="fr-CH" w:eastAsia="zh-CN"/>
        </w:rPr>
        <w:t xml:space="preserve"> </w:t>
      </w:r>
    </w:p>
    <w:p w:rsidR="00BA7363" w:rsidRPr="00AB1C93" w:rsidRDefault="00BA7363" w:rsidP="00404AD2">
      <w:pPr>
        <w:pStyle w:val="enumlev1"/>
        <w:rPr>
          <w:lang w:val="fr-CH" w:eastAsia="zh-CN"/>
        </w:rPr>
      </w:pPr>
      <w:r w:rsidRPr="00AA06D6">
        <w:rPr>
          <w:lang w:val="fr-CH" w:eastAsia="zh-CN"/>
        </w:rPr>
        <w:t>•</w:t>
      </w:r>
      <w:r>
        <w:rPr>
          <w:lang w:val="fr-CH" w:eastAsia="zh-CN"/>
        </w:rPr>
        <w:tab/>
      </w:r>
      <w:r w:rsidR="00404AD2" w:rsidRPr="00AB1C93">
        <w:rPr>
          <w:lang w:val="fr-CH" w:eastAsia="zh-CN"/>
        </w:rPr>
        <w:t>L</w:t>
      </w:r>
      <w:r w:rsidRPr="00AB1C93">
        <w:rPr>
          <w:lang w:val="fr-CH" w:eastAsia="zh-CN"/>
        </w:rPr>
        <w:t>e plan d'action proposé</w:t>
      </w:r>
      <w:r>
        <w:rPr>
          <w:lang w:val="fr-CH" w:eastAsia="zh-CN"/>
        </w:rPr>
        <w:t xml:space="preserve"> </w:t>
      </w:r>
      <w:r w:rsidRPr="00AB1C93">
        <w:rPr>
          <w:lang w:val="fr-CH" w:eastAsia="zh-CN"/>
        </w:rPr>
        <w:t xml:space="preserve">par le secrétariat est très ciblé </w:t>
      </w:r>
      <w:r>
        <w:rPr>
          <w:lang w:val="fr-CH" w:eastAsia="zh-CN"/>
        </w:rPr>
        <w:t xml:space="preserve">et </w:t>
      </w:r>
      <w:r w:rsidRPr="00AB1C93">
        <w:rPr>
          <w:lang w:val="fr-CH" w:eastAsia="zh-CN"/>
        </w:rPr>
        <w:t xml:space="preserve">les commissions d'études ainsi que le marché joueront rôle </w:t>
      </w:r>
      <w:r>
        <w:rPr>
          <w:lang w:val="fr-CH" w:eastAsia="zh-CN"/>
        </w:rPr>
        <w:t>décisif</w:t>
      </w:r>
      <w:r w:rsidRPr="00AB1C93">
        <w:rPr>
          <w:lang w:val="fr-CH" w:eastAsia="zh-CN"/>
        </w:rPr>
        <w:t xml:space="preserve"> </w:t>
      </w:r>
      <w:r>
        <w:rPr>
          <w:lang w:val="fr-CH" w:eastAsia="zh-CN"/>
        </w:rPr>
        <w:t>dans l'élaboration du programme</w:t>
      </w:r>
      <w:r w:rsidR="00404AD2">
        <w:rPr>
          <w:lang w:val="fr-CH" w:eastAsia="zh-CN"/>
        </w:rPr>
        <w:t>.</w:t>
      </w:r>
      <w:r>
        <w:rPr>
          <w:lang w:val="fr-CH" w:eastAsia="zh-CN"/>
        </w:rPr>
        <w:t xml:space="preserve"> </w:t>
      </w:r>
    </w:p>
    <w:p w:rsidR="00BA7363" w:rsidRPr="00AB1C93" w:rsidRDefault="00BA7363" w:rsidP="00404AD2">
      <w:pPr>
        <w:pStyle w:val="enumlev1"/>
        <w:rPr>
          <w:lang w:val="fr-CH" w:eastAsia="zh-CN"/>
        </w:rPr>
      </w:pPr>
      <w:r w:rsidRPr="00AA06D6">
        <w:rPr>
          <w:lang w:val="fr-CH" w:eastAsia="zh-CN"/>
        </w:rPr>
        <w:lastRenderedPageBreak/>
        <w:t>•</w:t>
      </w:r>
      <w:r>
        <w:rPr>
          <w:lang w:val="fr-CH" w:eastAsia="zh-CN"/>
        </w:rPr>
        <w:tab/>
      </w:r>
      <w:r w:rsidR="00404AD2" w:rsidRPr="00AB1C93">
        <w:rPr>
          <w:lang w:val="fr-CH" w:eastAsia="zh-CN"/>
        </w:rPr>
        <w:t>U</w:t>
      </w:r>
      <w:r w:rsidRPr="00AB1C93">
        <w:rPr>
          <w:lang w:val="fr-CH" w:eastAsia="zh-CN"/>
        </w:rPr>
        <w:t>n certain nombre de solutions constructives ont été suggéré</w:t>
      </w:r>
      <w:r>
        <w:rPr>
          <w:lang w:val="fr-CH" w:eastAsia="zh-CN"/>
        </w:rPr>
        <w:t>es</w:t>
      </w:r>
      <w:r w:rsidRPr="00AB1C93">
        <w:rPr>
          <w:lang w:val="fr-CH" w:eastAsia="zh-CN"/>
        </w:rPr>
        <w:t xml:space="preserve"> et entériné</w:t>
      </w:r>
      <w:r>
        <w:rPr>
          <w:lang w:val="fr-CH" w:eastAsia="zh-CN"/>
        </w:rPr>
        <w:t>es, et devraient être insérées</w:t>
      </w:r>
      <w:r w:rsidRPr="00AB1C93">
        <w:rPr>
          <w:lang w:val="fr-CH" w:eastAsia="zh-CN"/>
        </w:rPr>
        <w:t xml:space="preserve"> </w:t>
      </w:r>
      <w:r>
        <w:rPr>
          <w:lang w:val="fr-CH" w:eastAsia="zh-CN"/>
        </w:rPr>
        <w:t>dans le plan d'action</w:t>
      </w:r>
      <w:r w:rsidR="00404AD2">
        <w:rPr>
          <w:lang w:val="fr-CH" w:eastAsia="zh-CN"/>
        </w:rPr>
        <w:t>.</w:t>
      </w:r>
      <w:r>
        <w:rPr>
          <w:lang w:val="fr-CH" w:eastAsia="zh-CN"/>
        </w:rPr>
        <w:t xml:space="preserve"> </w:t>
      </w:r>
    </w:p>
    <w:p w:rsidR="00BA7363" w:rsidRPr="00AB1C93" w:rsidRDefault="00BA7363" w:rsidP="00404AD2">
      <w:pPr>
        <w:pStyle w:val="enumlev1"/>
        <w:rPr>
          <w:lang w:val="fr-CH" w:eastAsia="zh-CN"/>
        </w:rPr>
      </w:pPr>
      <w:r w:rsidRPr="00AA06D6">
        <w:rPr>
          <w:lang w:val="fr-CH" w:eastAsia="zh-CN"/>
        </w:rPr>
        <w:t>•</w:t>
      </w:r>
      <w:r>
        <w:rPr>
          <w:lang w:val="fr-CH" w:eastAsia="zh-CN"/>
        </w:rPr>
        <w:tab/>
      </w:r>
      <w:r w:rsidR="00404AD2" w:rsidRPr="00AB1C93">
        <w:rPr>
          <w:lang w:val="fr-CH" w:eastAsia="zh-CN"/>
        </w:rPr>
        <w:t>E</w:t>
      </w:r>
      <w:r w:rsidRPr="00AB1C93">
        <w:rPr>
          <w:lang w:val="fr-CH" w:eastAsia="zh-CN"/>
        </w:rPr>
        <w:t>n ce qui concerne une nouvelle étude de marché, le secrétariat a annoncé que certains</w:t>
      </w:r>
      <w:r>
        <w:rPr>
          <w:lang w:val="fr-CH" w:eastAsia="zh-CN"/>
        </w:rPr>
        <w:t xml:space="preserve"> </w:t>
      </w:r>
      <w:r w:rsidRPr="00AB1C93">
        <w:rPr>
          <w:lang w:val="fr-CH" w:eastAsia="zh-CN"/>
        </w:rPr>
        <w:t xml:space="preserve">acteurs du secteur privé avaient demandé que soit </w:t>
      </w:r>
      <w:r>
        <w:rPr>
          <w:lang w:val="fr-CH" w:eastAsia="zh-CN"/>
        </w:rPr>
        <w:t xml:space="preserve">organisé </w:t>
      </w:r>
      <w:r w:rsidRPr="00AB1C93">
        <w:rPr>
          <w:lang w:val="fr-CH" w:eastAsia="zh-CN"/>
        </w:rPr>
        <w:t xml:space="preserve">un programme d'évaluation de la conformité </w:t>
      </w:r>
      <w:r>
        <w:rPr>
          <w:lang w:val="fr-CH" w:eastAsia="zh-CN"/>
        </w:rPr>
        <w:t>concernant une recommandation UIT-T, afin que celle-ci constitue le premier laboratoire d'essai permettant à l'UIT-T d'introduire des données dans la base de données de l'UIT sur la conformité. E</w:t>
      </w:r>
      <w:r w:rsidRPr="00AB1C93">
        <w:rPr>
          <w:lang w:val="fr-CH" w:eastAsia="zh-CN"/>
        </w:rPr>
        <w:t>tant donné que cette initiative est</w:t>
      </w:r>
      <w:r>
        <w:rPr>
          <w:lang w:val="fr-CH" w:eastAsia="zh-CN"/>
        </w:rPr>
        <w:t xml:space="preserve"> </w:t>
      </w:r>
      <w:r w:rsidRPr="00AB1C93">
        <w:rPr>
          <w:lang w:val="fr-CH" w:eastAsia="zh-CN"/>
        </w:rPr>
        <w:t>axée sur le marché,</w:t>
      </w:r>
      <w:r>
        <w:rPr>
          <w:lang w:val="fr-CH" w:eastAsia="zh-CN"/>
        </w:rPr>
        <w:t xml:space="preserve"> elle constitue également un laboratoire d'essai intéressant en vue d'une éventuelle étude de marché. </w:t>
      </w:r>
      <w:r w:rsidRPr="00AB1C93">
        <w:rPr>
          <w:lang w:val="fr-CH" w:eastAsia="zh-CN"/>
        </w:rPr>
        <w:t xml:space="preserve">Le Directeur du TSB devrait présenter </w:t>
      </w:r>
      <w:r>
        <w:rPr>
          <w:lang w:val="fr-CH" w:eastAsia="zh-CN"/>
        </w:rPr>
        <w:t>au Conseil à sa session de 2013 un rapport sur les résultats de cet essai. Quoi qu'il en soit, il appartie</w:t>
      </w:r>
      <w:r w:rsidR="000C2F81">
        <w:rPr>
          <w:lang w:val="fr-CH" w:eastAsia="zh-CN"/>
        </w:rPr>
        <w:t>ndra au Conseil à sa session de </w:t>
      </w:r>
      <w:r>
        <w:rPr>
          <w:lang w:val="fr-CH" w:eastAsia="zh-CN"/>
        </w:rPr>
        <w:t xml:space="preserve">2013 de décider si un financement sera nécessaire en vue d'une nouvelle analyse du marché. </w:t>
      </w:r>
      <w:r w:rsidRPr="00AB1C93">
        <w:rPr>
          <w:lang w:val="fr-CH" w:eastAsia="zh-CN"/>
        </w:rPr>
        <w:t xml:space="preserve">D'après des estimations préliminaires, le coût d'une étude de marché </w:t>
      </w:r>
      <w:r>
        <w:rPr>
          <w:lang w:val="fr-CH" w:eastAsia="zh-CN"/>
        </w:rPr>
        <w:t>s'établit à au moins 500 000 CHF</w:t>
      </w:r>
      <w:r w:rsidR="00404AD2">
        <w:rPr>
          <w:lang w:val="fr-CH" w:eastAsia="zh-CN"/>
        </w:rPr>
        <w:t>.</w:t>
      </w:r>
    </w:p>
    <w:p w:rsidR="00BA7363" w:rsidRPr="00ED0EE5" w:rsidRDefault="00BA7363" w:rsidP="00BA7363">
      <w:pPr>
        <w:pStyle w:val="enumlev1"/>
        <w:rPr>
          <w:lang w:eastAsia="zh-CN"/>
        </w:rPr>
      </w:pPr>
      <w:r w:rsidRPr="00AA06D6">
        <w:rPr>
          <w:lang w:val="fr-CH" w:eastAsia="zh-CN"/>
        </w:rPr>
        <w:t>•</w:t>
      </w:r>
      <w:r>
        <w:rPr>
          <w:lang w:val="fr-CH" w:eastAsia="zh-CN"/>
        </w:rPr>
        <w:tab/>
      </w:r>
      <w:r w:rsidR="00404AD2" w:rsidRPr="00AB1C93">
        <w:rPr>
          <w:lang w:val="fr-CH" w:eastAsia="zh-CN"/>
        </w:rPr>
        <w:t>L</w:t>
      </w:r>
      <w:r w:rsidRPr="00AB1C93">
        <w:rPr>
          <w:lang w:val="fr-CH" w:eastAsia="zh-CN"/>
        </w:rPr>
        <w:t xml:space="preserve">es questions techniques </w:t>
      </w:r>
      <w:r>
        <w:rPr>
          <w:lang w:val="fr-CH" w:eastAsia="zh-CN"/>
        </w:rPr>
        <w:t>abordées</w:t>
      </w:r>
      <w:r w:rsidRPr="00AB1C93">
        <w:rPr>
          <w:lang w:val="fr-CH" w:eastAsia="zh-CN"/>
        </w:rPr>
        <w:t xml:space="preserve"> dans le plan d'activité (par exemple la question de savoir s'il y a lieu ou non de maintenir l</w:t>
      </w:r>
      <w:r>
        <w:rPr>
          <w:lang w:val="fr-CH" w:eastAsia="zh-CN"/>
        </w:rPr>
        <w:t>a procédure 4</w:t>
      </w:r>
      <w:r w:rsidRPr="00AB1C93">
        <w:rPr>
          <w:lang w:val="fr-CH" w:eastAsia="zh-CN"/>
        </w:rPr>
        <w:t>)</w:t>
      </w:r>
      <w:r>
        <w:rPr>
          <w:lang w:val="fr-CH" w:eastAsia="zh-CN"/>
        </w:rPr>
        <w:t xml:space="preserve"> seront examinées dans le cadre de l'UIT-T et il conviendra de demander à l'AMNT de désigner une instance appropriée chargée de procéder à cet examen. </w:t>
      </w:r>
    </w:p>
    <w:p w:rsidR="00BA7363" w:rsidRPr="000E50F1" w:rsidRDefault="00BA7363" w:rsidP="00BA7363">
      <w:pPr>
        <w:rPr>
          <w:lang w:val="fr-CH" w:eastAsia="zh-CN"/>
        </w:rPr>
      </w:pPr>
      <w:r>
        <w:rPr>
          <w:lang w:val="fr-CH" w:eastAsia="zh-CN"/>
        </w:rPr>
        <w:t>Pour ce qui est</w:t>
      </w:r>
      <w:r w:rsidRPr="00BB4032">
        <w:rPr>
          <w:lang w:val="fr-CH" w:eastAsia="zh-CN"/>
        </w:rPr>
        <w:t xml:space="preserve"> de la Marque UIT, </w:t>
      </w:r>
      <w:r>
        <w:rPr>
          <w:lang w:val="fr-CH" w:eastAsia="zh-CN"/>
        </w:rPr>
        <w:t>le Conseil a estimé qu'on</w:t>
      </w:r>
      <w:r w:rsidRPr="00BB4032">
        <w:rPr>
          <w:lang w:val="fr-CH" w:eastAsia="zh-CN"/>
        </w:rPr>
        <w:t xml:space="preserve"> attendra</w:t>
      </w:r>
      <w:r>
        <w:rPr>
          <w:lang w:val="fr-CH" w:eastAsia="zh-CN"/>
        </w:rPr>
        <w:t>it</w:t>
      </w:r>
      <w:r w:rsidRPr="00BB4032">
        <w:rPr>
          <w:lang w:val="fr-CH" w:eastAsia="zh-CN"/>
        </w:rPr>
        <w:t xml:space="preserve"> que le développement du pilier 1 (</w:t>
      </w:r>
      <w:r>
        <w:rPr>
          <w:lang w:val="fr-CH" w:eastAsia="zh-CN"/>
        </w:rPr>
        <w:t>é</w:t>
      </w:r>
      <w:r w:rsidRPr="00BB4032">
        <w:rPr>
          <w:lang w:val="fr-CH" w:eastAsia="zh-CN"/>
        </w:rPr>
        <w:t xml:space="preserve">valuation de conformité) en soit à un stade plus avancé </w:t>
      </w:r>
      <w:r>
        <w:rPr>
          <w:lang w:val="fr-CH" w:eastAsia="zh-CN"/>
        </w:rPr>
        <w:t xml:space="preserve">avant de </w:t>
      </w:r>
      <w:r w:rsidRPr="00BB4032">
        <w:rPr>
          <w:lang w:val="fr-CH" w:eastAsia="zh-CN"/>
        </w:rPr>
        <w:t xml:space="preserve">prendre une décision concernant la mise en </w:t>
      </w:r>
      <w:r>
        <w:rPr>
          <w:lang w:val="fr-CH" w:eastAsia="zh-CN"/>
        </w:rPr>
        <w:t>oe</w:t>
      </w:r>
      <w:r w:rsidRPr="00BB4032">
        <w:rPr>
          <w:lang w:val="fr-CH" w:eastAsia="zh-CN"/>
        </w:rPr>
        <w:t xml:space="preserve">uvre d'une telle </w:t>
      </w:r>
      <w:r>
        <w:rPr>
          <w:lang w:val="fr-CH" w:eastAsia="zh-CN"/>
        </w:rPr>
        <w:t>M</w:t>
      </w:r>
      <w:r w:rsidRPr="00BB4032">
        <w:rPr>
          <w:lang w:val="fr-CH" w:eastAsia="zh-CN"/>
        </w:rPr>
        <w:t>arque.</w:t>
      </w:r>
      <w:r>
        <w:rPr>
          <w:lang w:val="fr-CH" w:eastAsia="zh-CN"/>
        </w:rPr>
        <w:t xml:space="preserve"> </w:t>
      </w:r>
    </w:p>
    <w:p w:rsidR="00BA7363" w:rsidRPr="0024136F" w:rsidRDefault="00BA7363" w:rsidP="00BA7363">
      <w:pPr>
        <w:rPr>
          <w:lang w:val="fr-CH" w:eastAsia="zh-CN"/>
        </w:rPr>
      </w:pPr>
      <w:r w:rsidRPr="0024136F">
        <w:rPr>
          <w:lang w:val="fr-CH" w:eastAsia="zh-CN"/>
        </w:rPr>
        <w:t>Le Conseil s'est également félicité d'apprendre que le secrétariat publierait prochainement un rapport sur la contrefaçon. La contrefaçon est fréquemment cité</w:t>
      </w:r>
      <w:r>
        <w:rPr>
          <w:lang w:val="fr-CH" w:eastAsia="zh-CN"/>
        </w:rPr>
        <w:t>e</w:t>
      </w:r>
      <w:r w:rsidRPr="0024136F">
        <w:rPr>
          <w:lang w:val="fr-CH" w:eastAsia="zh-CN"/>
        </w:rPr>
        <w:t xml:space="preserve"> dans les débats sur la conformité et l'interopérabilité. En ce qui concerne les accords de reconnaissance mutuelle, le secrétariat a précisé que</w:t>
      </w:r>
      <w:r>
        <w:rPr>
          <w:lang w:val="fr-CH" w:eastAsia="zh-CN"/>
        </w:rPr>
        <w:t xml:space="preserve"> </w:t>
      </w:r>
      <w:r w:rsidRPr="0024136F">
        <w:rPr>
          <w:lang w:val="fr-CH" w:eastAsia="zh-CN"/>
        </w:rPr>
        <w:t>l'UIT ne jouera</w:t>
      </w:r>
      <w:r>
        <w:rPr>
          <w:lang w:val="fr-CH" w:eastAsia="zh-CN"/>
        </w:rPr>
        <w:t>it</w:t>
      </w:r>
      <w:r w:rsidRPr="0024136F">
        <w:rPr>
          <w:lang w:val="fr-CH" w:eastAsia="zh-CN"/>
        </w:rPr>
        <w:t xml:space="preserve"> aucun rôle dans la négociation de</w:t>
      </w:r>
      <w:r>
        <w:rPr>
          <w:lang w:val="fr-CH" w:eastAsia="zh-CN"/>
        </w:rPr>
        <w:t xml:space="preserve"> ce</w:t>
      </w:r>
      <w:r w:rsidRPr="0024136F">
        <w:rPr>
          <w:lang w:val="fr-CH" w:eastAsia="zh-CN"/>
        </w:rPr>
        <w:t xml:space="preserve">s accords, mais se </w:t>
      </w:r>
      <w:r>
        <w:rPr>
          <w:lang w:val="fr-CH" w:eastAsia="zh-CN"/>
        </w:rPr>
        <w:t xml:space="preserve">contenterait d'en </w:t>
      </w:r>
      <w:r w:rsidRPr="0024136F">
        <w:rPr>
          <w:lang w:val="fr-CH" w:eastAsia="zh-CN"/>
        </w:rPr>
        <w:t xml:space="preserve">faciliter </w:t>
      </w:r>
      <w:r>
        <w:rPr>
          <w:lang w:val="fr-CH" w:eastAsia="zh-CN"/>
        </w:rPr>
        <w:t>la conclusion</w:t>
      </w:r>
      <w:r w:rsidRPr="0024136F">
        <w:rPr>
          <w:lang w:val="fr-CH" w:eastAsia="zh-CN"/>
        </w:rPr>
        <w:t xml:space="preserve"> </w:t>
      </w:r>
      <w:r>
        <w:rPr>
          <w:lang w:val="fr-CH" w:eastAsia="zh-CN"/>
        </w:rPr>
        <w:t xml:space="preserve">par le biais de </w:t>
      </w:r>
      <w:r w:rsidRPr="0024136F">
        <w:rPr>
          <w:lang w:val="fr-CH" w:eastAsia="zh-CN"/>
        </w:rPr>
        <w:t>documents d'orientation, compte tenu des bonnes pratiques internationales et régionales en la matière,</w:t>
      </w:r>
      <w:r>
        <w:rPr>
          <w:lang w:val="fr-CH" w:eastAsia="zh-CN"/>
        </w:rPr>
        <w:t xml:space="preserve"> lorsqu'il élaborerait ces lignes directrices. </w:t>
      </w:r>
    </w:p>
    <w:p w:rsidR="00BA7363" w:rsidRPr="00A57574" w:rsidRDefault="00BA7363" w:rsidP="00BA7363">
      <w:pPr>
        <w:pStyle w:val="Heading2"/>
        <w:rPr>
          <w:lang w:val="fr-CH"/>
        </w:rPr>
      </w:pPr>
      <w:r w:rsidRPr="00A57574">
        <w:rPr>
          <w:lang w:val="fr-CH"/>
        </w:rPr>
        <w:t>2.5</w:t>
      </w:r>
      <w:r w:rsidRPr="00A57574">
        <w:rPr>
          <w:lang w:val="fr-CH"/>
        </w:rPr>
        <w:tab/>
      </w:r>
      <w:r>
        <w:rPr>
          <w:lang w:val="fr-CH"/>
        </w:rPr>
        <w:t xml:space="preserve">Projet de budget pour la période </w:t>
      </w:r>
      <w:r w:rsidRPr="00A57574">
        <w:rPr>
          <w:lang w:val="fr-CH"/>
        </w:rPr>
        <w:t>2014-2015</w:t>
      </w:r>
      <w:r>
        <w:rPr>
          <w:lang w:val="fr-CH"/>
        </w:rPr>
        <w:t xml:space="preserve"> </w:t>
      </w:r>
    </w:p>
    <w:p w:rsidR="00BA7363" w:rsidRDefault="00BA7363" w:rsidP="00BA7363">
      <w:pPr>
        <w:pStyle w:val="NormalWeb"/>
        <w:tabs>
          <w:tab w:val="left" w:pos="851"/>
        </w:tabs>
        <w:spacing w:before="160" w:after="120" w:line="240" w:lineRule="auto"/>
        <w:rPr>
          <w:rFonts w:asciiTheme="majorBidi" w:eastAsia="Times New Roman" w:hAnsiTheme="majorBidi" w:cstheme="majorBidi"/>
          <w:sz w:val="24"/>
          <w:szCs w:val="24"/>
          <w:lang w:val="fr-CH" w:eastAsia="en-US"/>
        </w:rPr>
      </w:pPr>
      <w:r w:rsidRPr="00A57574">
        <w:rPr>
          <w:rFonts w:asciiTheme="majorBidi" w:eastAsia="Times New Roman" w:hAnsiTheme="majorBidi" w:cstheme="majorBidi"/>
          <w:sz w:val="24"/>
          <w:szCs w:val="24"/>
          <w:lang w:val="fr-CH" w:eastAsia="en-US"/>
        </w:rPr>
        <w:t xml:space="preserve">Sur la base </w:t>
      </w:r>
      <w:r>
        <w:rPr>
          <w:rFonts w:asciiTheme="majorBidi" w:eastAsia="Times New Roman" w:hAnsiTheme="majorBidi" w:cstheme="majorBidi"/>
          <w:sz w:val="24"/>
          <w:szCs w:val="24"/>
          <w:lang w:val="fr-CH" w:eastAsia="en-US"/>
        </w:rPr>
        <w:t>du document</w:t>
      </w:r>
      <w:r w:rsidRPr="00A57574">
        <w:rPr>
          <w:rFonts w:asciiTheme="majorBidi" w:eastAsia="Times New Roman" w:hAnsiTheme="majorBidi" w:cstheme="majorBidi"/>
          <w:sz w:val="24"/>
          <w:szCs w:val="24"/>
          <w:lang w:val="fr-CH" w:eastAsia="en-US"/>
        </w:rPr>
        <w:t xml:space="preserve"> soumis</w:t>
      </w:r>
      <w:r>
        <w:rPr>
          <w:rFonts w:asciiTheme="majorBidi" w:eastAsia="Times New Roman" w:hAnsiTheme="majorBidi" w:cstheme="majorBidi"/>
          <w:sz w:val="24"/>
          <w:szCs w:val="24"/>
          <w:lang w:val="fr-CH" w:eastAsia="en-US"/>
        </w:rPr>
        <w:t xml:space="preserve"> </w:t>
      </w:r>
      <w:r w:rsidRPr="00A57574">
        <w:rPr>
          <w:rFonts w:asciiTheme="majorBidi" w:eastAsia="Times New Roman" w:hAnsiTheme="majorBidi" w:cstheme="majorBidi"/>
          <w:sz w:val="24"/>
          <w:szCs w:val="24"/>
          <w:lang w:val="fr-CH" w:eastAsia="en-US"/>
        </w:rPr>
        <w:t>au Conseil</w:t>
      </w:r>
      <w:r>
        <w:rPr>
          <w:rFonts w:asciiTheme="majorBidi" w:eastAsia="Times New Roman" w:hAnsiTheme="majorBidi" w:cstheme="majorBidi"/>
          <w:sz w:val="24"/>
          <w:szCs w:val="24"/>
          <w:lang w:val="fr-CH" w:eastAsia="en-US"/>
        </w:rPr>
        <w:t xml:space="preserve"> </w:t>
      </w:r>
      <w:r w:rsidRPr="00A57574">
        <w:rPr>
          <w:rFonts w:asciiTheme="majorBidi" w:eastAsia="Times New Roman" w:hAnsiTheme="majorBidi" w:cstheme="majorBidi"/>
          <w:sz w:val="24"/>
          <w:szCs w:val="24"/>
          <w:lang w:val="fr-CH" w:eastAsia="en-US"/>
        </w:rPr>
        <w:t>(Document C13/10),</w:t>
      </w:r>
      <w:r>
        <w:rPr>
          <w:rFonts w:asciiTheme="majorBidi" w:eastAsia="Times New Roman" w:hAnsiTheme="majorBidi" w:cstheme="majorBidi"/>
          <w:sz w:val="24"/>
          <w:szCs w:val="24"/>
          <w:lang w:val="fr-CH" w:eastAsia="en-US"/>
        </w:rPr>
        <w:t xml:space="preserve"> les charges du Secteur des radiocommunications pour la période </w:t>
      </w:r>
      <w:r w:rsidRPr="00A57574">
        <w:rPr>
          <w:rFonts w:asciiTheme="majorBidi" w:eastAsia="Times New Roman" w:hAnsiTheme="majorBidi" w:cstheme="majorBidi"/>
          <w:sz w:val="24"/>
          <w:szCs w:val="24"/>
          <w:lang w:val="fr-CH" w:eastAsia="en-US"/>
        </w:rPr>
        <w:t>2014-2015</w:t>
      </w:r>
      <w:r>
        <w:rPr>
          <w:rFonts w:asciiTheme="majorBidi" w:eastAsia="Times New Roman" w:hAnsiTheme="majorBidi" w:cstheme="majorBidi"/>
          <w:sz w:val="24"/>
          <w:szCs w:val="24"/>
          <w:lang w:val="fr-CH" w:eastAsia="en-US"/>
        </w:rPr>
        <w:t xml:space="preserve"> sont maintenues au même niveau que pour le budget </w:t>
      </w:r>
      <w:r w:rsidRPr="00A57574">
        <w:rPr>
          <w:rFonts w:asciiTheme="majorBidi" w:eastAsia="Times New Roman" w:hAnsiTheme="majorBidi" w:cstheme="majorBidi"/>
          <w:sz w:val="24"/>
          <w:szCs w:val="24"/>
          <w:lang w:val="fr-CH" w:eastAsia="en-US"/>
        </w:rPr>
        <w:t>2012-2013</w:t>
      </w:r>
      <w:r>
        <w:rPr>
          <w:rFonts w:asciiTheme="majorBidi" w:eastAsia="Times New Roman" w:hAnsiTheme="majorBidi" w:cstheme="majorBidi"/>
          <w:sz w:val="24"/>
          <w:szCs w:val="24"/>
          <w:lang w:val="fr-CH" w:eastAsia="en-US"/>
        </w:rPr>
        <w:t xml:space="preserve"> actuel (voir le tableau ci-dessous) moyennant une légère variation du budget des programmes. </w:t>
      </w:r>
      <w:r w:rsidRPr="00535599">
        <w:rPr>
          <w:rFonts w:asciiTheme="majorBidi" w:eastAsia="Times New Roman" w:hAnsiTheme="majorBidi" w:cstheme="majorBidi"/>
          <w:sz w:val="24"/>
          <w:szCs w:val="24"/>
          <w:lang w:val="fr-CH" w:eastAsia="en-US"/>
        </w:rPr>
        <w:t xml:space="preserve">Ce niveau correspond </w:t>
      </w:r>
      <w:r>
        <w:rPr>
          <w:rFonts w:asciiTheme="majorBidi" w:eastAsia="Times New Roman" w:hAnsiTheme="majorBidi" w:cstheme="majorBidi"/>
          <w:sz w:val="24"/>
          <w:szCs w:val="24"/>
          <w:lang w:val="fr-CH" w:eastAsia="en-US"/>
        </w:rPr>
        <w:t xml:space="preserve">aux </w:t>
      </w:r>
      <w:r w:rsidRPr="00535599">
        <w:rPr>
          <w:rFonts w:asciiTheme="majorBidi" w:eastAsia="Times New Roman" w:hAnsiTheme="majorBidi" w:cstheme="majorBidi"/>
          <w:sz w:val="24"/>
          <w:szCs w:val="24"/>
          <w:lang w:val="fr-CH" w:eastAsia="en-US"/>
        </w:rPr>
        <w:t xml:space="preserve">estimations financières minimales nécessaires pour assurer </w:t>
      </w:r>
      <w:r>
        <w:rPr>
          <w:rFonts w:asciiTheme="majorBidi" w:eastAsia="Times New Roman" w:hAnsiTheme="majorBidi" w:cstheme="majorBidi"/>
          <w:sz w:val="24"/>
          <w:szCs w:val="24"/>
          <w:lang w:val="fr-CH" w:eastAsia="en-US"/>
        </w:rPr>
        <w:t xml:space="preserve">une </w:t>
      </w:r>
      <w:r w:rsidRPr="00535599">
        <w:rPr>
          <w:rFonts w:asciiTheme="majorBidi" w:eastAsia="Times New Roman" w:hAnsiTheme="majorBidi" w:cstheme="majorBidi"/>
          <w:sz w:val="24"/>
          <w:szCs w:val="24"/>
          <w:lang w:val="fr-CH" w:eastAsia="en-US"/>
        </w:rPr>
        <w:t xml:space="preserve">mise en </w:t>
      </w:r>
      <w:r>
        <w:rPr>
          <w:rFonts w:asciiTheme="majorBidi" w:eastAsia="Times New Roman" w:hAnsiTheme="majorBidi" w:cstheme="majorBidi"/>
          <w:sz w:val="24"/>
          <w:szCs w:val="24"/>
          <w:lang w:val="fr-CH" w:eastAsia="en-US"/>
        </w:rPr>
        <w:t xml:space="preserve">oeuvre rationnelle </w:t>
      </w:r>
      <w:r w:rsidRPr="00535599">
        <w:rPr>
          <w:rFonts w:asciiTheme="majorBidi" w:eastAsia="Times New Roman" w:hAnsiTheme="majorBidi" w:cstheme="majorBidi"/>
          <w:sz w:val="24"/>
          <w:szCs w:val="24"/>
          <w:lang w:val="fr-CH" w:eastAsia="en-US"/>
        </w:rPr>
        <w:t xml:space="preserve">mais efficace du plan stratégique et </w:t>
      </w:r>
      <w:r>
        <w:rPr>
          <w:rFonts w:asciiTheme="majorBidi" w:eastAsia="Times New Roman" w:hAnsiTheme="majorBidi" w:cstheme="majorBidi"/>
          <w:sz w:val="24"/>
          <w:szCs w:val="24"/>
          <w:lang w:val="fr-CH" w:eastAsia="en-US"/>
        </w:rPr>
        <w:t xml:space="preserve">du plan </w:t>
      </w:r>
      <w:r w:rsidRPr="00535599">
        <w:rPr>
          <w:rFonts w:asciiTheme="majorBidi" w:eastAsia="Times New Roman" w:hAnsiTheme="majorBidi" w:cstheme="majorBidi"/>
          <w:sz w:val="24"/>
          <w:szCs w:val="24"/>
          <w:lang w:val="fr-CH" w:eastAsia="en-US"/>
        </w:rPr>
        <w:t>opérationnel de l'UIT-R pour la période 2014-2015.</w:t>
      </w:r>
      <w:r>
        <w:rPr>
          <w:rFonts w:asciiTheme="majorBidi" w:eastAsia="Times New Roman" w:hAnsiTheme="majorBidi" w:cstheme="majorBidi"/>
          <w:sz w:val="24"/>
          <w:szCs w:val="24"/>
          <w:lang w:val="fr-CH" w:eastAsia="en-US"/>
        </w:rPr>
        <w:t xml:space="preserve"> </w:t>
      </w:r>
    </w:p>
    <w:p w:rsidR="00BA7363" w:rsidRDefault="00BA7363" w:rsidP="00BA7363">
      <w:pPr>
        <w:pStyle w:val="NormalWeb"/>
        <w:tabs>
          <w:tab w:val="left" w:pos="851"/>
        </w:tabs>
        <w:spacing w:before="160" w:after="120" w:line="240" w:lineRule="auto"/>
        <w:rPr>
          <w:rFonts w:asciiTheme="majorBidi" w:eastAsia="Times New Roman" w:hAnsiTheme="majorBidi" w:cstheme="majorBidi"/>
          <w:sz w:val="24"/>
          <w:szCs w:val="24"/>
          <w:lang w:val="fr-CH" w:eastAsia="en-US"/>
        </w:rPr>
      </w:pPr>
      <w:r>
        <w:rPr>
          <w:rFonts w:asciiTheme="majorBidi" w:eastAsia="Times New Roman" w:hAnsiTheme="majorBidi" w:cstheme="majorBidi"/>
          <w:sz w:val="24"/>
          <w:szCs w:val="24"/>
          <w:lang w:val="fr-CH" w:eastAsia="en-US"/>
        </w:rPr>
        <w:br w:type="page"/>
      </w:r>
    </w:p>
    <w:p w:rsidR="00BA7363" w:rsidRPr="0014197E" w:rsidRDefault="00BA7363" w:rsidP="00BA7363">
      <w:pPr>
        <w:pStyle w:val="NormalWeb"/>
        <w:tabs>
          <w:tab w:val="left" w:pos="851"/>
        </w:tabs>
        <w:spacing w:before="160" w:after="120" w:line="240" w:lineRule="auto"/>
        <w:jc w:val="center"/>
        <w:rPr>
          <w:rFonts w:asciiTheme="minorHAnsi" w:eastAsia="Times New Roman" w:hAnsiTheme="minorHAnsi"/>
          <w:sz w:val="24"/>
          <w:szCs w:val="24"/>
          <w:lang w:val="fr-CH" w:eastAsia="en-US"/>
        </w:rPr>
      </w:pPr>
      <w:r w:rsidRPr="0014197E">
        <w:rPr>
          <w:rFonts w:asciiTheme="majorBidi" w:hAnsiTheme="majorBidi" w:cstheme="majorBidi"/>
          <w:b/>
          <w:bCs/>
          <w:sz w:val="24"/>
          <w:szCs w:val="24"/>
        </w:rPr>
        <w:lastRenderedPageBreak/>
        <w:t xml:space="preserve">Charges de </w:t>
      </w:r>
      <w:r w:rsidRPr="0014197E">
        <w:rPr>
          <w:rFonts w:asciiTheme="majorBidi" w:hAnsiTheme="majorBidi" w:cstheme="majorBidi"/>
          <w:b/>
          <w:bCs/>
          <w:sz w:val="24"/>
          <w:szCs w:val="24"/>
          <w:lang w:val="fr-CH"/>
        </w:rPr>
        <w:t>l'UIT</w:t>
      </w:r>
      <w:r w:rsidRPr="0014197E">
        <w:rPr>
          <w:rFonts w:asciiTheme="majorBidi" w:hAnsiTheme="majorBidi" w:cstheme="majorBidi"/>
          <w:b/>
          <w:bCs/>
          <w:sz w:val="24"/>
          <w:szCs w:val="24"/>
        </w:rPr>
        <w:t>-R</w:t>
      </w:r>
    </w:p>
    <w:tbl>
      <w:tblPr>
        <w:tblW w:w="5000" w:type="pct"/>
        <w:jc w:val="center"/>
        <w:tblLayout w:type="fixed"/>
        <w:tblLook w:val="04A0" w:firstRow="1" w:lastRow="0" w:firstColumn="1" w:lastColumn="0" w:noHBand="0" w:noVBand="1"/>
      </w:tblPr>
      <w:tblGrid>
        <w:gridCol w:w="2376"/>
        <w:gridCol w:w="1134"/>
        <w:gridCol w:w="1275"/>
        <w:gridCol w:w="1102"/>
        <w:gridCol w:w="1039"/>
        <w:gridCol w:w="1216"/>
        <w:gridCol w:w="842"/>
        <w:gridCol w:w="871"/>
      </w:tblGrid>
      <w:tr w:rsidR="00BA7363" w:rsidRPr="00205EF2" w:rsidTr="00205EF2">
        <w:trPr>
          <w:trHeight w:val="289"/>
          <w:jc w:val="center"/>
        </w:trPr>
        <w:tc>
          <w:tcPr>
            <w:tcW w:w="1205" w:type="pct"/>
            <w:tcBorders>
              <w:top w:val="single" w:sz="4" w:space="0" w:color="000099"/>
              <w:left w:val="nil"/>
              <w:bottom w:val="nil"/>
              <w:right w:val="nil"/>
            </w:tcBorders>
            <w:shd w:val="clear" w:color="000000" w:fill="DCE6F1"/>
            <w:noWrap/>
            <w:vAlign w:val="bottom"/>
            <w:hideMark/>
          </w:tcPr>
          <w:p w:rsidR="00BA7363" w:rsidRPr="00205EF2" w:rsidRDefault="00BA7363" w:rsidP="00205EF2">
            <w:pPr>
              <w:tabs>
                <w:tab w:val="clear" w:pos="794"/>
                <w:tab w:val="clear" w:pos="1191"/>
                <w:tab w:val="clear" w:pos="1588"/>
                <w:tab w:val="clear" w:pos="1985"/>
              </w:tabs>
              <w:overflowPunct/>
              <w:autoSpaceDE/>
              <w:autoSpaceDN/>
              <w:adjustRightInd/>
              <w:spacing w:before="80" w:after="80"/>
              <w:textAlignment w:val="auto"/>
              <w:rPr>
                <w:rFonts w:asciiTheme="majorBidi" w:hAnsiTheme="majorBidi" w:cstheme="majorBidi"/>
                <w:b/>
                <w:bCs/>
                <w:color w:val="003399"/>
                <w:sz w:val="19"/>
                <w:szCs w:val="19"/>
                <w:lang w:val="en-US" w:eastAsia="zh-CN"/>
              </w:rPr>
            </w:pPr>
            <w:r w:rsidRPr="00205EF2">
              <w:rPr>
                <w:rFonts w:asciiTheme="majorBidi" w:hAnsiTheme="majorBidi" w:cstheme="majorBidi"/>
                <w:b/>
                <w:bCs/>
                <w:color w:val="003399"/>
                <w:sz w:val="19"/>
                <w:szCs w:val="19"/>
                <w:lang w:val="en-US" w:eastAsia="zh-CN"/>
              </w:rPr>
              <w:t> </w:t>
            </w:r>
          </w:p>
        </w:tc>
        <w:tc>
          <w:tcPr>
            <w:tcW w:w="575" w:type="pct"/>
            <w:tcBorders>
              <w:top w:val="single" w:sz="4" w:space="0" w:color="000099"/>
              <w:left w:val="nil"/>
              <w:bottom w:val="nil"/>
              <w:right w:val="nil"/>
            </w:tcBorders>
            <w:shd w:val="clear" w:color="000000" w:fill="DCE6F1"/>
            <w:noWrap/>
            <w:vAlign w:val="bottom"/>
            <w:hideMark/>
          </w:tcPr>
          <w:p w:rsidR="00BA7363" w:rsidRPr="00205EF2" w:rsidRDefault="00BA7363" w:rsidP="00205EF2">
            <w:pPr>
              <w:tabs>
                <w:tab w:val="clear" w:pos="794"/>
                <w:tab w:val="clear" w:pos="1191"/>
                <w:tab w:val="clear" w:pos="1588"/>
                <w:tab w:val="clear" w:pos="1985"/>
              </w:tabs>
              <w:overflowPunct/>
              <w:autoSpaceDE/>
              <w:autoSpaceDN/>
              <w:adjustRightInd/>
              <w:spacing w:before="80" w:after="80"/>
              <w:textAlignment w:val="auto"/>
              <w:rPr>
                <w:rFonts w:asciiTheme="majorBidi" w:hAnsiTheme="majorBidi" w:cstheme="majorBidi"/>
                <w:b/>
                <w:bCs/>
                <w:color w:val="003399"/>
                <w:sz w:val="19"/>
                <w:szCs w:val="19"/>
                <w:lang w:val="en-US" w:eastAsia="zh-CN"/>
              </w:rPr>
            </w:pPr>
            <w:r w:rsidRPr="00205EF2">
              <w:rPr>
                <w:rFonts w:asciiTheme="majorBidi" w:hAnsiTheme="majorBidi" w:cstheme="majorBidi"/>
                <w:b/>
                <w:bCs/>
                <w:color w:val="003399"/>
                <w:sz w:val="19"/>
                <w:szCs w:val="19"/>
                <w:lang w:val="en-US" w:eastAsia="zh-CN"/>
              </w:rPr>
              <w:t> </w:t>
            </w:r>
          </w:p>
        </w:tc>
        <w:tc>
          <w:tcPr>
            <w:tcW w:w="647" w:type="pct"/>
            <w:tcBorders>
              <w:top w:val="single" w:sz="4" w:space="0" w:color="000099"/>
              <w:left w:val="nil"/>
              <w:bottom w:val="nil"/>
              <w:right w:val="nil"/>
            </w:tcBorders>
            <w:shd w:val="clear" w:color="000000" w:fill="DCE6F1"/>
            <w:noWrap/>
            <w:vAlign w:val="bottom"/>
            <w:hideMark/>
          </w:tcPr>
          <w:p w:rsidR="00BA7363" w:rsidRPr="00205EF2" w:rsidRDefault="00BA7363" w:rsidP="00205EF2">
            <w:pPr>
              <w:tabs>
                <w:tab w:val="clear" w:pos="794"/>
                <w:tab w:val="clear" w:pos="1191"/>
                <w:tab w:val="clear" w:pos="1588"/>
                <w:tab w:val="clear" w:pos="1985"/>
              </w:tabs>
              <w:overflowPunct/>
              <w:autoSpaceDE/>
              <w:autoSpaceDN/>
              <w:adjustRightInd/>
              <w:spacing w:before="80" w:after="80"/>
              <w:textAlignment w:val="auto"/>
              <w:rPr>
                <w:rFonts w:asciiTheme="majorBidi" w:hAnsiTheme="majorBidi" w:cstheme="majorBidi"/>
                <w:b/>
                <w:bCs/>
                <w:color w:val="003399"/>
                <w:sz w:val="19"/>
                <w:szCs w:val="19"/>
                <w:lang w:val="en-US" w:eastAsia="zh-CN"/>
              </w:rPr>
            </w:pPr>
            <w:r w:rsidRPr="00205EF2">
              <w:rPr>
                <w:rFonts w:asciiTheme="majorBidi" w:hAnsiTheme="majorBidi" w:cstheme="majorBidi"/>
                <w:b/>
                <w:bCs/>
                <w:color w:val="003399"/>
                <w:sz w:val="19"/>
                <w:szCs w:val="19"/>
                <w:lang w:val="en-US" w:eastAsia="zh-CN"/>
              </w:rPr>
              <w:t> </w:t>
            </w:r>
          </w:p>
        </w:tc>
        <w:tc>
          <w:tcPr>
            <w:tcW w:w="2572" w:type="pct"/>
            <w:gridSpan w:val="5"/>
            <w:tcBorders>
              <w:top w:val="single" w:sz="4" w:space="0" w:color="000099"/>
              <w:left w:val="nil"/>
              <w:bottom w:val="nil"/>
              <w:right w:val="nil"/>
            </w:tcBorders>
            <w:shd w:val="clear" w:color="000000" w:fill="DCE6F1"/>
            <w:noWrap/>
            <w:vAlign w:val="bottom"/>
            <w:hideMark/>
          </w:tcPr>
          <w:p w:rsidR="00BA7363" w:rsidRPr="00205EF2" w:rsidRDefault="00BA7363" w:rsidP="00205EF2">
            <w:pPr>
              <w:tabs>
                <w:tab w:val="clear" w:pos="794"/>
                <w:tab w:val="clear" w:pos="1191"/>
                <w:tab w:val="clear" w:pos="1588"/>
                <w:tab w:val="clear" w:pos="1985"/>
              </w:tabs>
              <w:overflowPunct/>
              <w:autoSpaceDE/>
              <w:autoSpaceDN/>
              <w:adjustRightInd/>
              <w:spacing w:before="80" w:after="80"/>
              <w:jc w:val="right"/>
              <w:textAlignment w:val="auto"/>
              <w:rPr>
                <w:rFonts w:asciiTheme="majorBidi" w:hAnsiTheme="majorBidi" w:cstheme="majorBidi"/>
                <w:b/>
                <w:bCs/>
                <w:i/>
                <w:iCs/>
                <w:color w:val="003399"/>
                <w:sz w:val="19"/>
                <w:szCs w:val="19"/>
                <w:lang w:val="fr-CH" w:eastAsia="zh-CN"/>
              </w:rPr>
            </w:pPr>
            <w:r w:rsidRPr="00205EF2">
              <w:rPr>
                <w:rFonts w:asciiTheme="majorBidi" w:hAnsiTheme="majorBidi" w:cstheme="majorBidi"/>
                <w:b/>
                <w:bCs/>
                <w:i/>
                <w:iCs/>
                <w:color w:val="003399"/>
                <w:sz w:val="19"/>
                <w:szCs w:val="19"/>
                <w:lang w:val="fr-CH" w:eastAsia="zh-CN"/>
              </w:rPr>
              <w:t>En milliers de francs suisses</w:t>
            </w:r>
          </w:p>
        </w:tc>
      </w:tr>
      <w:tr w:rsidR="00D16078" w:rsidRPr="00205EF2" w:rsidTr="00205EF2">
        <w:trPr>
          <w:trHeight w:val="300"/>
          <w:jc w:val="center"/>
        </w:trPr>
        <w:tc>
          <w:tcPr>
            <w:tcW w:w="1205" w:type="pct"/>
            <w:tcBorders>
              <w:top w:val="nil"/>
              <w:left w:val="nil"/>
              <w:bottom w:val="nil"/>
              <w:right w:val="nil"/>
            </w:tcBorders>
            <w:shd w:val="clear" w:color="000000" w:fill="DCE6F1"/>
            <w:noWrap/>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color w:val="003399"/>
                <w:sz w:val="19"/>
                <w:szCs w:val="19"/>
                <w:lang w:val="en-US" w:eastAsia="zh-CN"/>
              </w:rPr>
            </w:pPr>
            <w:r w:rsidRPr="00205EF2">
              <w:rPr>
                <w:rFonts w:asciiTheme="majorBidi" w:hAnsiTheme="majorBidi" w:cstheme="majorBidi"/>
                <w:b/>
                <w:bCs/>
                <w:color w:val="003399"/>
                <w:sz w:val="19"/>
                <w:szCs w:val="19"/>
                <w:lang w:val="en-US" w:eastAsia="zh-CN"/>
              </w:rPr>
              <w:t>Charges</w:t>
            </w:r>
            <w:r w:rsidRPr="00205EF2">
              <w:rPr>
                <w:rFonts w:asciiTheme="majorBidi" w:hAnsiTheme="majorBidi" w:cstheme="majorBidi"/>
                <w:b/>
                <w:bCs/>
                <w:color w:val="003399"/>
                <w:sz w:val="19"/>
                <w:szCs w:val="19"/>
                <w:lang w:val="en-US" w:eastAsia="zh-CN"/>
              </w:rPr>
              <w:br/>
              <w:t xml:space="preserve">de </w:t>
            </w:r>
            <w:r w:rsidRPr="00205EF2">
              <w:rPr>
                <w:rFonts w:asciiTheme="majorBidi" w:hAnsiTheme="majorBidi" w:cstheme="majorBidi"/>
                <w:b/>
                <w:bCs/>
                <w:color w:val="003399"/>
                <w:sz w:val="19"/>
                <w:szCs w:val="19"/>
                <w:lang w:val="fr-CH" w:eastAsia="zh-CN"/>
              </w:rPr>
              <w:t>l'UIT</w:t>
            </w:r>
            <w:r w:rsidRPr="00205EF2">
              <w:rPr>
                <w:rFonts w:asciiTheme="majorBidi" w:hAnsiTheme="majorBidi" w:cstheme="majorBidi"/>
                <w:b/>
                <w:bCs/>
                <w:color w:val="003399"/>
                <w:sz w:val="19"/>
                <w:szCs w:val="19"/>
                <w:lang w:val="en-US" w:eastAsia="zh-CN"/>
              </w:rPr>
              <w:t>-R</w:t>
            </w:r>
          </w:p>
        </w:tc>
        <w:tc>
          <w:tcPr>
            <w:tcW w:w="575" w:type="pct"/>
            <w:tcBorders>
              <w:top w:val="nil"/>
              <w:left w:val="nil"/>
              <w:bottom w:val="nil"/>
              <w:right w:val="nil"/>
            </w:tcBorders>
            <w:shd w:val="clear" w:color="000000" w:fill="DCE6F1"/>
            <w:noWrap/>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color w:val="003399"/>
                <w:sz w:val="19"/>
                <w:szCs w:val="19"/>
                <w:lang w:val="en-US" w:eastAsia="zh-CN"/>
              </w:rPr>
            </w:pPr>
            <w:r w:rsidRPr="00205EF2">
              <w:rPr>
                <w:rFonts w:asciiTheme="majorBidi" w:hAnsiTheme="majorBidi" w:cstheme="majorBidi"/>
                <w:b/>
                <w:bCs/>
                <w:color w:val="003399"/>
                <w:sz w:val="19"/>
                <w:szCs w:val="19"/>
                <w:lang w:val="en-US" w:eastAsia="zh-CN"/>
              </w:rPr>
              <w:t>Budget</w:t>
            </w:r>
          </w:p>
        </w:tc>
        <w:tc>
          <w:tcPr>
            <w:tcW w:w="647" w:type="pct"/>
            <w:tcBorders>
              <w:top w:val="nil"/>
              <w:left w:val="nil"/>
              <w:bottom w:val="nil"/>
              <w:right w:val="nil"/>
            </w:tcBorders>
            <w:shd w:val="clear" w:color="000000" w:fill="DCE6F1"/>
            <w:noWrap/>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color w:val="003399"/>
                <w:sz w:val="19"/>
                <w:szCs w:val="19"/>
                <w:lang w:val="fr-CH" w:eastAsia="zh-CN"/>
              </w:rPr>
            </w:pPr>
            <w:r w:rsidRPr="00205EF2">
              <w:rPr>
                <w:rFonts w:asciiTheme="majorBidi" w:hAnsiTheme="majorBidi" w:cstheme="majorBidi"/>
                <w:b/>
                <w:bCs/>
                <w:color w:val="003399"/>
                <w:sz w:val="19"/>
                <w:szCs w:val="19"/>
                <w:lang w:val="fr-CH" w:eastAsia="zh-CN"/>
              </w:rPr>
              <w:t>Montants</w:t>
            </w:r>
            <w:r w:rsidRPr="00205EF2">
              <w:rPr>
                <w:rFonts w:asciiTheme="majorBidi" w:hAnsiTheme="majorBidi" w:cstheme="majorBidi"/>
                <w:b/>
                <w:bCs/>
                <w:color w:val="003399"/>
                <w:sz w:val="19"/>
                <w:szCs w:val="19"/>
                <w:lang w:val="fr-CH" w:eastAsia="zh-CN"/>
              </w:rPr>
              <w:br/>
              <w:t>effectifs</w:t>
            </w:r>
          </w:p>
        </w:tc>
        <w:tc>
          <w:tcPr>
            <w:tcW w:w="559" w:type="pct"/>
            <w:tcBorders>
              <w:top w:val="nil"/>
              <w:left w:val="nil"/>
              <w:bottom w:val="nil"/>
              <w:right w:val="nil"/>
            </w:tcBorders>
            <w:shd w:val="clear" w:color="000000" w:fill="DCE6F1"/>
            <w:noWrap/>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color w:val="003399"/>
                <w:sz w:val="19"/>
                <w:szCs w:val="19"/>
                <w:lang w:val="en-US" w:eastAsia="zh-CN"/>
              </w:rPr>
            </w:pPr>
            <w:r w:rsidRPr="00205EF2">
              <w:rPr>
                <w:rFonts w:asciiTheme="majorBidi" w:hAnsiTheme="majorBidi" w:cstheme="majorBidi"/>
                <w:b/>
                <w:bCs/>
                <w:color w:val="003399"/>
                <w:sz w:val="19"/>
                <w:szCs w:val="19"/>
                <w:lang w:val="en-US" w:eastAsia="zh-CN"/>
              </w:rPr>
              <w:t>Budget</w:t>
            </w:r>
          </w:p>
        </w:tc>
        <w:tc>
          <w:tcPr>
            <w:tcW w:w="527" w:type="pct"/>
            <w:tcBorders>
              <w:top w:val="nil"/>
              <w:left w:val="nil"/>
              <w:bottom w:val="nil"/>
              <w:right w:val="nil"/>
            </w:tcBorders>
            <w:shd w:val="clear" w:color="000000" w:fill="DCE6F1"/>
            <w:noWrap/>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color w:val="003399"/>
                <w:sz w:val="19"/>
                <w:szCs w:val="19"/>
                <w:lang w:val="en-US" w:eastAsia="zh-CN"/>
              </w:rPr>
            </w:pPr>
            <w:r w:rsidRPr="00205EF2">
              <w:rPr>
                <w:rFonts w:asciiTheme="majorBidi" w:hAnsiTheme="majorBidi" w:cstheme="majorBidi"/>
                <w:b/>
                <w:bCs/>
                <w:color w:val="003399"/>
                <w:sz w:val="19"/>
                <w:szCs w:val="19"/>
                <w:lang w:val="fr-CH" w:eastAsia="zh-CN"/>
              </w:rPr>
              <w:t>Montants</w:t>
            </w:r>
            <w:r w:rsidRPr="00205EF2">
              <w:rPr>
                <w:rFonts w:asciiTheme="majorBidi" w:hAnsiTheme="majorBidi" w:cstheme="majorBidi"/>
                <w:b/>
                <w:bCs/>
                <w:color w:val="003399"/>
                <w:sz w:val="19"/>
                <w:szCs w:val="19"/>
                <w:lang w:val="fr-CH" w:eastAsia="zh-CN"/>
              </w:rPr>
              <w:br/>
              <w:t>effectifs</w:t>
            </w:r>
            <w:r w:rsidRPr="00205EF2">
              <w:rPr>
                <w:rFonts w:asciiTheme="majorBidi" w:hAnsiTheme="majorBidi" w:cstheme="majorBidi"/>
                <w:b/>
                <w:bCs/>
                <w:color w:val="003399"/>
                <w:sz w:val="19"/>
                <w:szCs w:val="19"/>
                <w:lang w:val="en-US" w:eastAsia="zh-CN"/>
              </w:rPr>
              <w:t>*</w:t>
            </w:r>
          </w:p>
        </w:tc>
        <w:tc>
          <w:tcPr>
            <w:tcW w:w="617" w:type="pct"/>
            <w:tcBorders>
              <w:top w:val="nil"/>
              <w:left w:val="nil"/>
              <w:bottom w:val="nil"/>
              <w:right w:val="nil"/>
            </w:tcBorders>
            <w:shd w:val="clear" w:color="000000" w:fill="DCE6F1"/>
            <w:noWrap/>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color w:val="003399"/>
                <w:sz w:val="19"/>
                <w:szCs w:val="19"/>
                <w:lang w:val="en-US" w:eastAsia="zh-CN"/>
              </w:rPr>
            </w:pPr>
            <w:r w:rsidRPr="00205EF2">
              <w:rPr>
                <w:rFonts w:asciiTheme="majorBidi" w:hAnsiTheme="majorBidi" w:cstheme="majorBidi"/>
                <w:b/>
                <w:bCs/>
                <w:color w:val="003399"/>
                <w:sz w:val="19"/>
                <w:szCs w:val="19"/>
                <w:lang w:val="en-US" w:eastAsia="zh-CN"/>
              </w:rPr>
              <w:t>Estimations</w:t>
            </w:r>
          </w:p>
        </w:tc>
        <w:tc>
          <w:tcPr>
            <w:tcW w:w="869" w:type="pct"/>
            <w:gridSpan w:val="2"/>
            <w:vMerge w:val="restart"/>
            <w:tcBorders>
              <w:top w:val="nil"/>
              <w:left w:val="nil"/>
              <w:bottom w:val="nil"/>
              <w:right w:val="nil"/>
            </w:tcBorders>
            <w:shd w:val="clear" w:color="000000" w:fill="DCE6F1"/>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color w:val="003399"/>
                <w:sz w:val="19"/>
                <w:szCs w:val="19"/>
                <w:lang w:val="en-US" w:eastAsia="zh-CN"/>
              </w:rPr>
            </w:pPr>
            <w:r w:rsidRPr="00205EF2">
              <w:rPr>
                <w:rFonts w:asciiTheme="majorBidi" w:hAnsiTheme="majorBidi" w:cstheme="majorBidi"/>
                <w:b/>
                <w:bCs/>
                <w:color w:val="003399"/>
                <w:sz w:val="19"/>
                <w:szCs w:val="19"/>
                <w:lang w:val="en-US" w:eastAsia="zh-CN"/>
              </w:rPr>
              <w:t>Ecart</w:t>
            </w:r>
          </w:p>
        </w:tc>
      </w:tr>
      <w:tr w:rsidR="00D16078" w:rsidRPr="00205EF2" w:rsidTr="00205EF2">
        <w:trPr>
          <w:trHeight w:val="300"/>
          <w:jc w:val="center"/>
        </w:trPr>
        <w:tc>
          <w:tcPr>
            <w:tcW w:w="1205" w:type="pct"/>
            <w:tcBorders>
              <w:top w:val="nil"/>
              <w:left w:val="nil"/>
              <w:right w:val="nil"/>
            </w:tcBorders>
            <w:shd w:val="clear" w:color="000000" w:fill="DCE6F1"/>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color w:val="003399"/>
                <w:sz w:val="19"/>
                <w:szCs w:val="19"/>
                <w:lang w:val="en-US" w:eastAsia="zh-CN"/>
              </w:rPr>
            </w:pPr>
          </w:p>
        </w:tc>
        <w:tc>
          <w:tcPr>
            <w:tcW w:w="575" w:type="pct"/>
            <w:tcBorders>
              <w:top w:val="nil"/>
              <w:left w:val="nil"/>
              <w:right w:val="nil"/>
            </w:tcBorders>
            <w:shd w:val="clear" w:color="000000" w:fill="DCE6F1"/>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color w:val="003399"/>
                <w:sz w:val="19"/>
                <w:szCs w:val="19"/>
                <w:lang w:val="en-US" w:eastAsia="zh-CN"/>
              </w:rPr>
            </w:pPr>
            <w:r w:rsidRPr="00205EF2">
              <w:rPr>
                <w:rFonts w:asciiTheme="majorBidi" w:hAnsiTheme="majorBidi" w:cstheme="majorBidi"/>
                <w:b/>
                <w:bCs/>
                <w:color w:val="003399"/>
                <w:sz w:val="19"/>
                <w:szCs w:val="19"/>
                <w:lang w:val="en-US" w:eastAsia="zh-CN"/>
              </w:rPr>
              <w:t>2010-2011</w:t>
            </w:r>
          </w:p>
        </w:tc>
        <w:tc>
          <w:tcPr>
            <w:tcW w:w="647" w:type="pct"/>
            <w:tcBorders>
              <w:top w:val="nil"/>
              <w:left w:val="nil"/>
              <w:right w:val="nil"/>
            </w:tcBorders>
            <w:shd w:val="clear" w:color="000000" w:fill="DCE6F1"/>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color w:val="003399"/>
                <w:sz w:val="19"/>
                <w:szCs w:val="19"/>
                <w:lang w:val="en-US" w:eastAsia="zh-CN"/>
              </w:rPr>
            </w:pPr>
            <w:r w:rsidRPr="00205EF2">
              <w:rPr>
                <w:rFonts w:asciiTheme="majorBidi" w:hAnsiTheme="majorBidi" w:cstheme="majorBidi"/>
                <w:b/>
                <w:bCs/>
                <w:color w:val="003399"/>
                <w:sz w:val="19"/>
                <w:szCs w:val="19"/>
                <w:lang w:val="en-US" w:eastAsia="zh-CN"/>
              </w:rPr>
              <w:t>2010-2011</w:t>
            </w:r>
          </w:p>
        </w:tc>
        <w:tc>
          <w:tcPr>
            <w:tcW w:w="559" w:type="pct"/>
            <w:tcBorders>
              <w:top w:val="nil"/>
              <w:left w:val="nil"/>
              <w:right w:val="nil"/>
            </w:tcBorders>
            <w:shd w:val="clear" w:color="000000" w:fill="DCE6F1"/>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color w:val="003399"/>
                <w:sz w:val="19"/>
                <w:szCs w:val="19"/>
                <w:lang w:val="en-US" w:eastAsia="zh-CN"/>
              </w:rPr>
            </w:pPr>
            <w:r w:rsidRPr="00205EF2">
              <w:rPr>
                <w:rFonts w:asciiTheme="majorBidi" w:hAnsiTheme="majorBidi" w:cstheme="majorBidi"/>
                <w:b/>
                <w:bCs/>
                <w:color w:val="003399"/>
                <w:sz w:val="19"/>
                <w:szCs w:val="19"/>
                <w:lang w:val="en-US" w:eastAsia="zh-CN"/>
              </w:rPr>
              <w:t>2012-2013</w:t>
            </w:r>
          </w:p>
        </w:tc>
        <w:tc>
          <w:tcPr>
            <w:tcW w:w="527" w:type="pct"/>
            <w:tcBorders>
              <w:top w:val="nil"/>
              <w:left w:val="nil"/>
              <w:right w:val="nil"/>
            </w:tcBorders>
            <w:shd w:val="clear" w:color="000000" w:fill="DCE6F1"/>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color w:val="003399"/>
                <w:sz w:val="19"/>
                <w:szCs w:val="19"/>
                <w:lang w:val="en-US" w:eastAsia="zh-CN"/>
              </w:rPr>
            </w:pPr>
            <w:r w:rsidRPr="00205EF2">
              <w:rPr>
                <w:rFonts w:asciiTheme="majorBidi" w:hAnsiTheme="majorBidi" w:cstheme="majorBidi"/>
                <w:b/>
                <w:bCs/>
                <w:color w:val="003399"/>
                <w:sz w:val="19"/>
                <w:szCs w:val="19"/>
                <w:lang w:val="en-US" w:eastAsia="zh-CN"/>
              </w:rPr>
              <w:t>2012</w:t>
            </w:r>
          </w:p>
        </w:tc>
        <w:tc>
          <w:tcPr>
            <w:tcW w:w="617" w:type="pct"/>
            <w:tcBorders>
              <w:top w:val="nil"/>
              <w:left w:val="nil"/>
              <w:right w:val="nil"/>
            </w:tcBorders>
            <w:shd w:val="clear" w:color="000000" w:fill="DCE6F1"/>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color w:val="003399"/>
                <w:sz w:val="19"/>
                <w:szCs w:val="19"/>
                <w:lang w:val="en-US" w:eastAsia="zh-CN"/>
              </w:rPr>
            </w:pPr>
            <w:r w:rsidRPr="00205EF2">
              <w:rPr>
                <w:rFonts w:asciiTheme="majorBidi" w:hAnsiTheme="majorBidi" w:cstheme="majorBidi"/>
                <w:b/>
                <w:bCs/>
                <w:color w:val="003399"/>
                <w:sz w:val="19"/>
                <w:szCs w:val="19"/>
                <w:lang w:val="en-US" w:eastAsia="zh-CN"/>
              </w:rPr>
              <w:t>2014-2015</w:t>
            </w:r>
          </w:p>
        </w:tc>
        <w:tc>
          <w:tcPr>
            <w:tcW w:w="869" w:type="pct"/>
            <w:gridSpan w:val="2"/>
            <w:vMerge/>
            <w:tcBorders>
              <w:top w:val="nil"/>
              <w:left w:val="nil"/>
              <w:right w:val="nil"/>
            </w:tcBorders>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color w:val="003399"/>
                <w:sz w:val="19"/>
                <w:szCs w:val="19"/>
                <w:lang w:val="en-US" w:eastAsia="zh-CN"/>
              </w:rPr>
            </w:pPr>
          </w:p>
        </w:tc>
      </w:tr>
      <w:tr w:rsidR="00D16078" w:rsidRPr="00205EF2" w:rsidTr="00205EF2">
        <w:trPr>
          <w:trHeight w:val="300"/>
          <w:jc w:val="center"/>
        </w:trPr>
        <w:tc>
          <w:tcPr>
            <w:tcW w:w="1205" w:type="pct"/>
            <w:tcBorders>
              <w:top w:val="nil"/>
              <w:left w:val="nil"/>
              <w:bottom w:val="single" w:sz="4" w:space="0" w:color="000099"/>
              <w:right w:val="nil"/>
            </w:tcBorders>
            <w:shd w:val="clear" w:color="000000" w:fill="DCE6F1"/>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b/>
                <w:bCs/>
                <w:color w:val="003399"/>
                <w:sz w:val="19"/>
                <w:szCs w:val="19"/>
                <w:lang w:val="en-US" w:eastAsia="zh-CN"/>
              </w:rPr>
            </w:pPr>
            <w:r w:rsidRPr="00205EF2">
              <w:rPr>
                <w:rFonts w:asciiTheme="majorBidi" w:hAnsiTheme="majorBidi" w:cstheme="majorBidi"/>
                <w:b/>
                <w:bCs/>
                <w:color w:val="003399"/>
                <w:sz w:val="19"/>
                <w:szCs w:val="19"/>
                <w:lang w:val="en-US" w:eastAsia="zh-CN"/>
              </w:rPr>
              <w:t> </w:t>
            </w:r>
          </w:p>
        </w:tc>
        <w:tc>
          <w:tcPr>
            <w:tcW w:w="575" w:type="pct"/>
            <w:tcBorders>
              <w:top w:val="nil"/>
              <w:left w:val="nil"/>
              <w:bottom w:val="single" w:sz="4" w:space="0" w:color="000099"/>
              <w:right w:val="nil"/>
            </w:tcBorders>
            <w:shd w:val="clear" w:color="000000" w:fill="DCE6F1"/>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color w:val="003399"/>
                <w:sz w:val="19"/>
                <w:szCs w:val="19"/>
                <w:lang w:val="en-US" w:eastAsia="zh-CN"/>
              </w:rPr>
            </w:pPr>
            <w:r w:rsidRPr="00205EF2">
              <w:rPr>
                <w:rFonts w:asciiTheme="majorBidi" w:hAnsiTheme="majorBidi" w:cstheme="majorBidi"/>
                <w:b/>
                <w:bCs/>
                <w:color w:val="003399"/>
                <w:sz w:val="19"/>
                <w:szCs w:val="19"/>
                <w:lang w:val="en-US" w:eastAsia="zh-CN"/>
              </w:rPr>
              <w:t xml:space="preserve">a </w:t>
            </w:r>
          </w:p>
        </w:tc>
        <w:tc>
          <w:tcPr>
            <w:tcW w:w="647" w:type="pct"/>
            <w:tcBorders>
              <w:top w:val="nil"/>
              <w:left w:val="nil"/>
              <w:bottom w:val="single" w:sz="4" w:space="0" w:color="000099"/>
              <w:right w:val="nil"/>
            </w:tcBorders>
            <w:shd w:val="clear" w:color="000000" w:fill="DCE6F1"/>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color w:val="003399"/>
                <w:sz w:val="19"/>
                <w:szCs w:val="19"/>
                <w:lang w:val="en-US" w:eastAsia="zh-CN"/>
              </w:rPr>
            </w:pPr>
            <w:r w:rsidRPr="00205EF2">
              <w:rPr>
                <w:rFonts w:asciiTheme="majorBidi" w:hAnsiTheme="majorBidi" w:cstheme="majorBidi"/>
                <w:b/>
                <w:bCs/>
                <w:color w:val="003399"/>
                <w:sz w:val="19"/>
                <w:szCs w:val="19"/>
                <w:lang w:val="en-US" w:eastAsia="zh-CN"/>
              </w:rPr>
              <w:t>b</w:t>
            </w:r>
          </w:p>
        </w:tc>
        <w:tc>
          <w:tcPr>
            <w:tcW w:w="559" w:type="pct"/>
            <w:tcBorders>
              <w:top w:val="nil"/>
              <w:left w:val="nil"/>
              <w:bottom w:val="single" w:sz="4" w:space="0" w:color="000099"/>
              <w:right w:val="nil"/>
            </w:tcBorders>
            <w:shd w:val="clear" w:color="000000" w:fill="DCE6F1"/>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color w:val="003399"/>
                <w:sz w:val="19"/>
                <w:szCs w:val="19"/>
                <w:lang w:val="en-US" w:eastAsia="zh-CN"/>
              </w:rPr>
            </w:pPr>
            <w:r w:rsidRPr="00205EF2">
              <w:rPr>
                <w:rFonts w:asciiTheme="majorBidi" w:hAnsiTheme="majorBidi" w:cstheme="majorBidi"/>
                <w:b/>
                <w:bCs/>
                <w:color w:val="003399"/>
                <w:sz w:val="19"/>
                <w:szCs w:val="19"/>
                <w:lang w:val="en-US" w:eastAsia="zh-CN"/>
              </w:rPr>
              <w:t>c</w:t>
            </w:r>
          </w:p>
        </w:tc>
        <w:tc>
          <w:tcPr>
            <w:tcW w:w="527" w:type="pct"/>
            <w:tcBorders>
              <w:top w:val="nil"/>
              <w:left w:val="nil"/>
              <w:bottom w:val="single" w:sz="4" w:space="0" w:color="000099"/>
              <w:right w:val="nil"/>
            </w:tcBorders>
            <w:shd w:val="clear" w:color="000000" w:fill="DCE6F1"/>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color w:val="003399"/>
                <w:sz w:val="19"/>
                <w:szCs w:val="19"/>
                <w:lang w:val="en-US" w:eastAsia="zh-CN"/>
              </w:rPr>
            </w:pPr>
            <w:r w:rsidRPr="00205EF2">
              <w:rPr>
                <w:rFonts w:asciiTheme="majorBidi" w:hAnsiTheme="majorBidi" w:cstheme="majorBidi"/>
                <w:b/>
                <w:bCs/>
                <w:color w:val="003399"/>
                <w:sz w:val="19"/>
                <w:szCs w:val="19"/>
                <w:lang w:val="en-US" w:eastAsia="zh-CN"/>
              </w:rPr>
              <w:t>d</w:t>
            </w:r>
          </w:p>
        </w:tc>
        <w:tc>
          <w:tcPr>
            <w:tcW w:w="617" w:type="pct"/>
            <w:tcBorders>
              <w:top w:val="nil"/>
              <w:left w:val="nil"/>
              <w:bottom w:val="single" w:sz="4" w:space="0" w:color="000099"/>
              <w:right w:val="nil"/>
            </w:tcBorders>
            <w:shd w:val="clear" w:color="000000" w:fill="DCE6F1"/>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color w:val="003399"/>
                <w:sz w:val="19"/>
                <w:szCs w:val="19"/>
                <w:lang w:val="en-US" w:eastAsia="zh-CN"/>
              </w:rPr>
            </w:pPr>
            <w:r w:rsidRPr="00205EF2">
              <w:rPr>
                <w:rFonts w:asciiTheme="majorBidi" w:hAnsiTheme="majorBidi" w:cstheme="majorBidi"/>
                <w:b/>
                <w:bCs/>
                <w:color w:val="003399"/>
                <w:sz w:val="19"/>
                <w:szCs w:val="19"/>
                <w:lang w:val="en-US" w:eastAsia="zh-CN"/>
              </w:rPr>
              <w:t>e</w:t>
            </w:r>
          </w:p>
        </w:tc>
        <w:tc>
          <w:tcPr>
            <w:tcW w:w="427" w:type="pct"/>
            <w:tcBorders>
              <w:top w:val="nil"/>
              <w:left w:val="nil"/>
              <w:bottom w:val="single" w:sz="4" w:space="0" w:color="000099"/>
              <w:right w:val="nil"/>
            </w:tcBorders>
            <w:shd w:val="clear" w:color="000000" w:fill="DCE6F1"/>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color w:val="003399"/>
                <w:sz w:val="19"/>
                <w:szCs w:val="19"/>
                <w:lang w:val="en-US" w:eastAsia="zh-CN"/>
              </w:rPr>
            </w:pPr>
            <w:r w:rsidRPr="00205EF2">
              <w:rPr>
                <w:rFonts w:asciiTheme="majorBidi" w:hAnsiTheme="majorBidi" w:cstheme="majorBidi"/>
                <w:b/>
                <w:bCs/>
                <w:color w:val="003399"/>
                <w:sz w:val="19"/>
                <w:szCs w:val="19"/>
                <w:lang w:val="en-US" w:eastAsia="zh-CN"/>
              </w:rPr>
              <w:t>f = e - c</w:t>
            </w:r>
          </w:p>
        </w:tc>
        <w:tc>
          <w:tcPr>
            <w:tcW w:w="442" w:type="pct"/>
            <w:tcBorders>
              <w:top w:val="nil"/>
              <w:left w:val="nil"/>
              <w:bottom w:val="single" w:sz="4" w:space="0" w:color="000099"/>
              <w:right w:val="nil"/>
            </w:tcBorders>
            <w:shd w:val="clear" w:color="000000" w:fill="DCE6F1"/>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color w:val="003399"/>
                <w:sz w:val="19"/>
                <w:szCs w:val="19"/>
                <w:lang w:val="en-US" w:eastAsia="zh-CN"/>
              </w:rPr>
            </w:pPr>
            <w:r w:rsidRPr="00205EF2">
              <w:rPr>
                <w:rFonts w:asciiTheme="majorBidi" w:hAnsiTheme="majorBidi" w:cstheme="majorBidi"/>
                <w:b/>
                <w:bCs/>
                <w:color w:val="003399"/>
                <w:sz w:val="19"/>
                <w:szCs w:val="19"/>
                <w:lang w:val="en-US" w:eastAsia="zh-CN"/>
              </w:rPr>
              <w:t>g = f / c</w:t>
            </w:r>
          </w:p>
        </w:tc>
      </w:tr>
      <w:tr w:rsidR="00D16078" w:rsidRPr="00205EF2" w:rsidTr="00205EF2">
        <w:trPr>
          <w:trHeight w:val="300"/>
          <w:jc w:val="center"/>
        </w:trPr>
        <w:tc>
          <w:tcPr>
            <w:tcW w:w="1205" w:type="pct"/>
            <w:tcBorders>
              <w:top w:val="single" w:sz="4" w:space="0" w:color="000099"/>
              <w:left w:val="nil"/>
              <w:bottom w:val="nil"/>
              <w:right w:val="nil"/>
            </w:tcBorders>
            <w:shd w:val="clear" w:color="000000" w:fill="FFFFFF"/>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CMR</w:t>
            </w:r>
          </w:p>
        </w:tc>
        <w:tc>
          <w:tcPr>
            <w:tcW w:w="575" w:type="pct"/>
            <w:tcBorders>
              <w:top w:val="single" w:sz="4" w:space="0" w:color="000099"/>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0</w:t>
            </w:r>
          </w:p>
        </w:tc>
        <w:tc>
          <w:tcPr>
            <w:tcW w:w="647" w:type="pct"/>
            <w:tcBorders>
              <w:top w:val="single" w:sz="4" w:space="0" w:color="000099"/>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2</w:t>
            </w:r>
          </w:p>
        </w:tc>
        <w:tc>
          <w:tcPr>
            <w:tcW w:w="559" w:type="pct"/>
            <w:tcBorders>
              <w:top w:val="single" w:sz="4" w:space="0" w:color="000099"/>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3 000</w:t>
            </w:r>
          </w:p>
        </w:tc>
        <w:tc>
          <w:tcPr>
            <w:tcW w:w="527" w:type="pct"/>
            <w:tcBorders>
              <w:top w:val="single" w:sz="4" w:space="0" w:color="000099"/>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2 619</w:t>
            </w:r>
          </w:p>
        </w:tc>
        <w:tc>
          <w:tcPr>
            <w:tcW w:w="617" w:type="pct"/>
            <w:tcBorders>
              <w:top w:val="single" w:sz="4" w:space="0" w:color="000099"/>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0</w:t>
            </w:r>
          </w:p>
        </w:tc>
        <w:tc>
          <w:tcPr>
            <w:tcW w:w="427" w:type="pct"/>
            <w:tcBorders>
              <w:top w:val="single" w:sz="4" w:space="0" w:color="000099"/>
              <w:left w:val="nil"/>
              <w:bottom w:val="nil"/>
              <w:right w:val="nil"/>
            </w:tcBorders>
            <w:shd w:val="clear" w:color="000000" w:fill="FFFFFF"/>
            <w:noWrap/>
            <w:vAlign w:val="bottom"/>
            <w:hideMark/>
          </w:tcPr>
          <w:p w:rsidR="00BA7363" w:rsidRPr="00205EF2" w:rsidRDefault="00404AD2"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w:t>
            </w:r>
            <w:r w:rsidR="00BA7363" w:rsidRPr="00205EF2">
              <w:rPr>
                <w:rFonts w:asciiTheme="majorBidi" w:hAnsiTheme="majorBidi" w:cstheme="majorBidi"/>
                <w:color w:val="000000"/>
                <w:sz w:val="19"/>
                <w:szCs w:val="19"/>
                <w:lang w:val="en-US" w:eastAsia="zh-CN"/>
              </w:rPr>
              <w:t>3 000</w:t>
            </w:r>
          </w:p>
        </w:tc>
        <w:tc>
          <w:tcPr>
            <w:tcW w:w="442" w:type="pct"/>
            <w:tcBorders>
              <w:top w:val="single" w:sz="4" w:space="0" w:color="000099"/>
              <w:left w:val="nil"/>
              <w:bottom w:val="nil"/>
              <w:right w:val="nil"/>
            </w:tcBorders>
            <w:shd w:val="clear" w:color="000000" w:fill="FFFFFF"/>
            <w:noWrap/>
            <w:vAlign w:val="bottom"/>
            <w:hideMark/>
          </w:tcPr>
          <w:p w:rsidR="00BA7363" w:rsidRPr="00205EF2" w:rsidRDefault="00404AD2"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w:t>
            </w:r>
            <w:r w:rsidR="00BA7363" w:rsidRPr="00205EF2">
              <w:rPr>
                <w:rFonts w:asciiTheme="majorBidi" w:hAnsiTheme="majorBidi" w:cstheme="majorBidi"/>
                <w:color w:val="000000"/>
                <w:sz w:val="19"/>
                <w:szCs w:val="19"/>
                <w:lang w:val="en-US" w:eastAsia="zh-CN"/>
              </w:rPr>
              <w:t>100,0%</w:t>
            </w:r>
          </w:p>
        </w:tc>
      </w:tr>
      <w:tr w:rsidR="00D16078" w:rsidRPr="00205EF2" w:rsidTr="00205EF2">
        <w:trPr>
          <w:trHeight w:val="289"/>
          <w:jc w:val="center"/>
        </w:trPr>
        <w:tc>
          <w:tcPr>
            <w:tcW w:w="1205" w:type="pct"/>
            <w:tcBorders>
              <w:top w:val="nil"/>
              <w:left w:val="nil"/>
              <w:bottom w:val="nil"/>
              <w:right w:val="nil"/>
            </w:tcBorders>
            <w:shd w:val="clear" w:color="000000" w:fill="FFFFFF"/>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AR</w:t>
            </w:r>
          </w:p>
        </w:tc>
        <w:tc>
          <w:tcPr>
            <w:tcW w:w="575"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0</w:t>
            </w:r>
          </w:p>
        </w:tc>
        <w:tc>
          <w:tcPr>
            <w:tcW w:w="647"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0</w:t>
            </w:r>
          </w:p>
        </w:tc>
        <w:tc>
          <w:tcPr>
            <w:tcW w:w="559"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375</w:t>
            </w:r>
          </w:p>
        </w:tc>
        <w:tc>
          <w:tcPr>
            <w:tcW w:w="527"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359</w:t>
            </w:r>
          </w:p>
        </w:tc>
        <w:tc>
          <w:tcPr>
            <w:tcW w:w="617"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0</w:t>
            </w:r>
          </w:p>
        </w:tc>
        <w:tc>
          <w:tcPr>
            <w:tcW w:w="427" w:type="pct"/>
            <w:tcBorders>
              <w:top w:val="nil"/>
              <w:left w:val="nil"/>
              <w:bottom w:val="nil"/>
              <w:right w:val="nil"/>
            </w:tcBorders>
            <w:shd w:val="clear" w:color="000000" w:fill="FFFFFF"/>
            <w:noWrap/>
            <w:vAlign w:val="bottom"/>
            <w:hideMark/>
          </w:tcPr>
          <w:p w:rsidR="00BA7363" w:rsidRPr="00205EF2" w:rsidRDefault="00404AD2"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w:t>
            </w:r>
            <w:r w:rsidR="00BA7363" w:rsidRPr="00205EF2">
              <w:rPr>
                <w:rFonts w:asciiTheme="majorBidi" w:hAnsiTheme="majorBidi" w:cstheme="majorBidi"/>
                <w:color w:val="000000"/>
                <w:sz w:val="19"/>
                <w:szCs w:val="19"/>
                <w:lang w:val="en-US" w:eastAsia="zh-CN"/>
              </w:rPr>
              <w:t>375</w:t>
            </w:r>
          </w:p>
        </w:tc>
        <w:tc>
          <w:tcPr>
            <w:tcW w:w="442" w:type="pct"/>
            <w:tcBorders>
              <w:top w:val="nil"/>
              <w:left w:val="nil"/>
              <w:bottom w:val="nil"/>
              <w:right w:val="nil"/>
            </w:tcBorders>
            <w:shd w:val="clear" w:color="000000" w:fill="FFFFFF"/>
            <w:noWrap/>
            <w:vAlign w:val="bottom"/>
            <w:hideMark/>
          </w:tcPr>
          <w:p w:rsidR="00BA7363" w:rsidRPr="00205EF2" w:rsidRDefault="00404AD2"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w:t>
            </w:r>
            <w:r w:rsidR="00BA7363" w:rsidRPr="00205EF2">
              <w:rPr>
                <w:rFonts w:asciiTheme="majorBidi" w:hAnsiTheme="majorBidi" w:cstheme="majorBidi"/>
                <w:color w:val="000000"/>
                <w:sz w:val="19"/>
                <w:szCs w:val="19"/>
                <w:lang w:val="en-US" w:eastAsia="zh-CN"/>
              </w:rPr>
              <w:t>100,0%</w:t>
            </w:r>
          </w:p>
        </w:tc>
      </w:tr>
      <w:tr w:rsidR="00D16078" w:rsidRPr="00205EF2" w:rsidTr="00205EF2">
        <w:trPr>
          <w:trHeight w:val="289"/>
          <w:jc w:val="center"/>
        </w:trPr>
        <w:tc>
          <w:tcPr>
            <w:tcW w:w="1205" w:type="pct"/>
            <w:tcBorders>
              <w:top w:val="nil"/>
              <w:left w:val="nil"/>
              <w:bottom w:val="nil"/>
              <w:right w:val="nil"/>
            </w:tcBorders>
            <w:shd w:val="clear" w:color="000000" w:fill="FFFFFF"/>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RPC</w:t>
            </w:r>
          </w:p>
        </w:tc>
        <w:tc>
          <w:tcPr>
            <w:tcW w:w="575"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0</w:t>
            </w:r>
          </w:p>
        </w:tc>
        <w:tc>
          <w:tcPr>
            <w:tcW w:w="647"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0</w:t>
            </w:r>
          </w:p>
        </w:tc>
        <w:tc>
          <w:tcPr>
            <w:tcW w:w="559"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0</w:t>
            </w:r>
          </w:p>
        </w:tc>
        <w:tc>
          <w:tcPr>
            <w:tcW w:w="527"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 </w:t>
            </w:r>
          </w:p>
        </w:tc>
        <w:tc>
          <w:tcPr>
            <w:tcW w:w="617"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313</w:t>
            </w:r>
          </w:p>
        </w:tc>
        <w:tc>
          <w:tcPr>
            <w:tcW w:w="427"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313</w:t>
            </w:r>
          </w:p>
        </w:tc>
        <w:tc>
          <w:tcPr>
            <w:tcW w:w="442" w:type="pct"/>
            <w:tcBorders>
              <w:top w:val="nil"/>
              <w:left w:val="nil"/>
              <w:bottom w:val="nil"/>
              <w:right w:val="nil"/>
            </w:tcBorders>
            <w:shd w:val="clear" w:color="000000" w:fill="FFFFFF"/>
            <w:noWrap/>
            <w:vAlign w:val="bottom"/>
            <w:hideMark/>
          </w:tcPr>
          <w:p w:rsidR="00BA7363" w:rsidRPr="00205EF2" w:rsidRDefault="00404AD2"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w:t>
            </w:r>
          </w:p>
        </w:tc>
      </w:tr>
      <w:tr w:rsidR="00D16078" w:rsidRPr="00205EF2" w:rsidTr="00205EF2">
        <w:trPr>
          <w:trHeight w:val="289"/>
          <w:jc w:val="center"/>
        </w:trPr>
        <w:tc>
          <w:tcPr>
            <w:tcW w:w="1205" w:type="pct"/>
            <w:tcBorders>
              <w:top w:val="nil"/>
              <w:left w:val="nil"/>
              <w:bottom w:val="nil"/>
              <w:right w:val="nil"/>
            </w:tcBorders>
            <w:shd w:val="clear" w:color="000000" w:fill="FFFFFF"/>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RRB</w:t>
            </w:r>
          </w:p>
        </w:tc>
        <w:tc>
          <w:tcPr>
            <w:tcW w:w="575"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1 250</w:t>
            </w:r>
          </w:p>
        </w:tc>
        <w:tc>
          <w:tcPr>
            <w:tcW w:w="647"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977</w:t>
            </w:r>
          </w:p>
        </w:tc>
        <w:tc>
          <w:tcPr>
            <w:tcW w:w="559"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1 363</w:t>
            </w:r>
          </w:p>
        </w:tc>
        <w:tc>
          <w:tcPr>
            <w:tcW w:w="527"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467</w:t>
            </w:r>
          </w:p>
        </w:tc>
        <w:tc>
          <w:tcPr>
            <w:tcW w:w="617"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1 462</w:t>
            </w:r>
          </w:p>
        </w:tc>
        <w:tc>
          <w:tcPr>
            <w:tcW w:w="427"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99</w:t>
            </w:r>
          </w:p>
        </w:tc>
        <w:tc>
          <w:tcPr>
            <w:tcW w:w="442"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7,3%</w:t>
            </w:r>
          </w:p>
        </w:tc>
      </w:tr>
      <w:tr w:rsidR="00D16078" w:rsidRPr="00205EF2" w:rsidTr="00205EF2">
        <w:trPr>
          <w:trHeight w:val="289"/>
          <w:jc w:val="center"/>
        </w:trPr>
        <w:tc>
          <w:tcPr>
            <w:tcW w:w="1205" w:type="pct"/>
            <w:tcBorders>
              <w:top w:val="nil"/>
              <w:left w:val="nil"/>
              <w:bottom w:val="nil"/>
              <w:right w:val="nil"/>
            </w:tcBorders>
            <w:shd w:val="clear" w:color="000000" w:fill="FFFFFF"/>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GCR</w:t>
            </w:r>
          </w:p>
        </w:tc>
        <w:tc>
          <w:tcPr>
            <w:tcW w:w="575"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150</w:t>
            </w:r>
          </w:p>
        </w:tc>
        <w:tc>
          <w:tcPr>
            <w:tcW w:w="647"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115</w:t>
            </w:r>
          </w:p>
        </w:tc>
        <w:tc>
          <w:tcPr>
            <w:tcW w:w="559"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123</w:t>
            </w:r>
          </w:p>
        </w:tc>
        <w:tc>
          <w:tcPr>
            <w:tcW w:w="527"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50</w:t>
            </w:r>
          </w:p>
        </w:tc>
        <w:tc>
          <w:tcPr>
            <w:tcW w:w="617"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144</w:t>
            </w:r>
          </w:p>
        </w:tc>
        <w:tc>
          <w:tcPr>
            <w:tcW w:w="427"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21</w:t>
            </w:r>
          </w:p>
        </w:tc>
        <w:tc>
          <w:tcPr>
            <w:tcW w:w="442"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17,1%</w:t>
            </w:r>
          </w:p>
        </w:tc>
      </w:tr>
      <w:tr w:rsidR="00D16078" w:rsidRPr="00205EF2" w:rsidTr="00205EF2">
        <w:trPr>
          <w:trHeight w:val="289"/>
          <w:jc w:val="center"/>
        </w:trPr>
        <w:tc>
          <w:tcPr>
            <w:tcW w:w="1205" w:type="pct"/>
            <w:tcBorders>
              <w:top w:val="nil"/>
              <w:left w:val="nil"/>
              <w:bottom w:val="nil"/>
              <w:right w:val="nil"/>
            </w:tcBorders>
            <w:shd w:val="clear" w:color="000000" w:fill="FFFFFF"/>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color w:val="000000"/>
                <w:sz w:val="19"/>
                <w:szCs w:val="19"/>
                <w:lang w:val="fr-CH" w:eastAsia="zh-CN"/>
              </w:rPr>
            </w:pPr>
            <w:r w:rsidRPr="00205EF2">
              <w:rPr>
                <w:rFonts w:asciiTheme="majorBidi" w:hAnsiTheme="majorBidi" w:cstheme="majorBidi"/>
                <w:color w:val="000000"/>
                <w:sz w:val="19"/>
                <w:szCs w:val="19"/>
                <w:lang w:val="fr-CH" w:eastAsia="zh-CN"/>
              </w:rPr>
              <w:t>Réunions des Commissions d'études</w:t>
            </w:r>
          </w:p>
        </w:tc>
        <w:tc>
          <w:tcPr>
            <w:tcW w:w="575"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2 515</w:t>
            </w:r>
          </w:p>
        </w:tc>
        <w:tc>
          <w:tcPr>
            <w:tcW w:w="647"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2 244</w:t>
            </w:r>
          </w:p>
        </w:tc>
        <w:tc>
          <w:tcPr>
            <w:tcW w:w="559"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1 750</w:t>
            </w:r>
          </w:p>
        </w:tc>
        <w:tc>
          <w:tcPr>
            <w:tcW w:w="527"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226</w:t>
            </w:r>
          </w:p>
        </w:tc>
        <w:tc>
          <w:tcPr>
            <w:tcW w:w="617"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1 750</w:t>
            </w:r>
          </w:p>
        </w:tc>
        <w:tc>
          <w:tcPr>
            <w:tcW w:w="427"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0</w:t>
            </w:r>
          </w:p>
        </w:tc>
        <w:tc>
          <w:tcPr>
            <w:tcW w:w="442"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0,0%</w:t>
            </w:r>
          </w:p>
        </w:tc>
      </w:tr>
      <w:tr w:rsidR="00D16078" w:rsidRPr="00205EF2" w:rsidTr="00205EF2">
        <w:trPr>
          <w:trHeight w:val="289"/>
          <w:jc w:val="center"/>
        </w:trPr>
        <w:tc>
          <w:tcPr>
            <w:tcW w:w="1205" w:type="pct"/>
            <w:tcBorders>
              <w:top w:val="nil"/>
              <w:left w:val="nil"/>
              <w:bottom w:val="nil"/>
              <w:right w:val="nil"/>
            </w:tcBorders>
            <w:shd w:val="clear" w:color="000000" w:fill="FFFFFF"/>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color w:val="000000"/>
                <w:sz w:val="19"/>
                <w:szCs w:val="19"/>
                <w:lang w:val="fr-CH" w:eastAsia="zh-CN"/>
              </w:rPr>
            </w:pPr>
            <w:r w:rsidRPr="00205EF2">
              <w:rPr>
                <w:rFonts w:asciiTheme="majorBidi" w:hAnsiTheme="majorBidi" w:cstheme="majorBidi"/>
                <w:color w:val="000000"/>
                <w:sz w:val="19"/>
                <w:szCs w:val="19"/>
                <w:lang w:val="fr-CH" w:eastAsia="zh-CN"/>
              </w:rPr>
              <w:t>Activités et programmes</w:t>
            </w:r>
          </w:p>
        </w:tc>
        <w:tc>
          <w:tcPr>
            <w:tcW w:w="575"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2 490</w:t>
            </w:r>
          </w:p>
        </w:tc>
        <w:tc>
          <w:tcPr>
            <w:tcW w:w="647"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1 585</w:t>
            </w:r>
          </w:p>
        </w:tc>
        <w:tc>
          <w:tcPr>
            <w:tcW w:w="559"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1 920</w:t>
            </w:r>
          </w:p>
        </w:tc>
        <w:tc>
          <w:tcPr>
            <w:tcW w:w="527"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460</w:t>
            </w:r>
          </w:p>
        </w:tc>
        <w:tc>
          <w:tcPr>
            <w:tcW w:w="617"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1 700</w:t>
            </w:r>
          </w:p>
        </w:tc>
        <w:tc>
          <w:tcPr>
            <w:tcW w:w="427" w:type="pct"/>
            <w:tcBorders>
              <w:top w:val="nil"/>
              <w:left w:val="nil"/>
              <w:bottom w:val="nil"/>
              <w:right w:val="nil"/>
            </w:tcBorders>
            <w:shd w:val="clear" w:color="000000" w:fill="FFFFFF"/>
            <w:noWrap/>
            <w:vAlign w:val="bottom"/>
            <w:hideMark/>
          </w:tcPr>
          <w:p w:rsidR="00BA7363" w:rsidRPr="00205EF2" w:rsidRDefault="00404AD2"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w:t>
            </w:r>
            <w:r w:rsidR="00BA7363" w:rsidRPr="00205EF2">
              <w:rPr>
                <w:rFonts w:asciiTheme="majorBidi" w:hAnsiTheme="majorBidi" w:cstheme="majorBidi"/>
                <w:color w:val="000000"/>
                <w:sz w:val="19"/>
                <w:szCs w:val="19"/>
                <w:lang w:val="en-US" w:eastAsia="zh-CN"/>
              </w:rPr>
              <w:t>220</w:t>
            </w:r>
          </w:p>
        </w:tc>
        <w:tc>
          <w:tcPr>
            <w:tcW w:w="442" w:type="pct"/>
            <w:tcBorders>
              <w:top w:val="nil"/>
              <w:left w:val="nil"/>
              <w:bottom w:val="nil"/>
              <w:right w:val="nil"/>
            </w:tcBorders>
            <w:shd w:val="clear" w:color="000000" w:fill="FFFFFF"/>
            <w:noWrap/>
            <w:vAlign w:val="bottom"/>
            <w:hideMark/>
          </w:tcPr>
          <w:p w:rsidR="00BA7363" w:rsidRPr="00205EF2" w:rsidRDefault="00404AD2"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w:t>
            </w:r>
            <w:r w:rsidR="00BA7363" w:rsidRPr="00205EF2">
              <w:rPr>
                <w:rFonts w:asciiTheme="majorBidi" w:hAnsiTheme="majorBidi" w:cstheme="majorBidi"/>
                <w:color w:val="000000"/>
                <w:sz w:val="19"/>
                <w:szCs w:val="19"/>
                <w:lang w:val="en-US" w:eastAsia="zh-CN"/>
              </w:rPr>
              <w:t>11,5%</w:t>
            </w:r>
          </w:p>
        </w:tc>
      </w:tr>
      <w:tr w:rsidR="00D16078" w:rsidRPr="00205EF2" w:rsidTr="00205EF2">
        <w:trPr>
          <w:trHeight w:val="289"/>
          <w:jc w:val="center"/>
        </w:trPr>
        <w:tc>
          <w:tcPr>
            <w:tcW w:w="1205" w:type="pct"/>
            <w:tcBorders>
              <w:top w:val="nil"/>
              <w:left w:val="nil"/>
              <w:bottom w:val="nil"/>
              <w:right w:val="nil"/>
            </w:tcBorders>
            <w:shd w:val="clear" w:color="000000" w:fill="FFFFFF"/>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color w:val="000000"/>
                <w:sz w:val="19"/>
                <w:szCs w:val="19"/>
                <w:lang w:val="fr-CH" w:eastAsia="zh-CN"/>
              </w:rPr>
            </w:pPr>
            <w:r w:rsidRPr="00205EF2">
              <w:rPr>
                <w:rFonts w:asciiTheme="majorBidi" w:hAnsiTheme="majorBidi" w:cstheme="majorBidi"/>
                <w:color w:val="000000"/>
                <w:sz w:val="19"/>
                <w:szCs w:val="19"/>
                <w:lang w:val="fr-CH" w:eastAsia="zh-CN"/>
              </w:rPr>
              <w:t>Séminaires</w:t>
            </w:r>
          </w:p>
        </w:tc>
        <w:tc>
          <w:tcPr>
            <w:tcW w:w="575"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474</w:t>
            </w:r>
          </w:p>
        </w:tc>
        <w:tc>
          <w:tcPr>
            <w:tcW w:w="647"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476</w:t>
            </w:r>
          </w:p>
        </w:tc>
        <w:tc>
          <w:tcPr>
            <w:tcW w:w="559"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944</w:t>
            </w:r>
          </w:p>
        </w:tc>
        <w:tc>
          <w:tcPr>
            <w:tcW w:w="527"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177</w:t>
            </w:r>
          </w:p>
        </w:tc>
        <w:tc>
          <w:tcPr>
            <w:tcW w:w="617"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1 044</w:t>
            </w:r>
          </w:p>
        </w:tc>
        <w:tc>
          <w:tcPr>
            <w:tcW w:w="427"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100</w:t>
            </w:r>
          </w:p>
        </w:tc>
        <w:tc>
          <w:tcPr>
            <w:tcW w:w="442" w:type="pct"/>
            <w:tcBorders>
              <w:top w:val="nil"/>
              <w:left w:val="nil"/>
              <w:bottom w:val="nil"/>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10,6%</w:t>
            </w:r>
          </w:p>
        </w:tc>
      </w:tr>
      <w:tr w:rsidR="00D16078" w:rsidRPr="00205EF2" w:rsidTr="00205EF2">
        <w:trPr>
          <w:trHeight w:val="289"/>
          <w:jc w:val="center"/>
        </w:trPr>
        <w:tc>
          <w:tcPr>
            <w:tcW w:w="1205" w:type="pct"/>
            <w:tcBorders>
              <w:top w:val="nil"/>
              <w:left w:val="nil"/>
              <w:bottom w:val="single" w:sz="4" w:space="0" w:color="000099"/>
              <w:right w:val="nil"/>
            </w:tcBorders>
            <w:shd w:val="clear" w:color="000000" w:fill="FFFFFF"/>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Bureau</w:t>
            </w:r>
          </w:p>
        </w:tc>
        <w:tc>
          <w:tcPr>
            <w:tcW w:w="575" w:type="pct"/>
            <w:tcBorders>
              <w:top w:val="nil"/>
              <w:left w:val="nil"/>
              <w:bottom w:val="single" w:sz="4" w:space="0" w:color="000099"/>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58 893</w:t>
            </w:r>
          </w:p>
        </w:tc>
        <w:tc>
          <w:tcPr>
            <w:tcW w:w="647" w:type="pct"/>
            <w:tcBorders>
              <w:top w:val="nil"/>
              <w:left w:val="nil"/>
              <w:bottom w:val="single" w:sz="4" w:space="0" w:color="000099"/>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55 267</w:t>
            </w:r>
          </w:p>
        </w:tc>
        <w:tc>
          <w:tcPr>
            <w:tcW w:w="559" w:type="pct"/>
            <w:tcBorders>
              <w:top w:val="nil"/>
              <w:left w:val="nil"/>
              <w:bottom w:val="single" w:sz="4" w:space="0" w:color="000099"/>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52 325</w:t>
            </w:r>
          </w:p>
        </w:tc>
        <w:tc>
          <w:tcPr>
            <w:tcW w:w="527" w:type="pct"/>
            <w:tcBorders>
              <w:top w:val="nil"/>
              <w:left w:val="nil"/>
              <w:bottom w:val="single" w:sz="4" w:space="0" w:color="000099"/>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26 359</w:t>
            </w:r>
          </w:p>
        </w:tc>
        <w:tc>
          <w:tcPr>
            <w:tcW w:w="617" w:type="pct"/>
            <w:tcBorders>
              <w:top w:val="nil"/>
              <w:left w:val="nil"/>
              <w:bottom w:val="single" w:sz="4" w:space="0" w:color="000099"/>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53 104</w:t>
            </w:r>
          </w:p>
        </w:tc>
        <w:tc>
          <w:tcPr>
            <w:tcW w:w="427" w:type="pct"/>
            <w:tcBorders>
              <w:top w:val="nil"/>
              <w:left w:val="nil"/>
              <w:bottom w:val="single" w:sz="4" w:space="0" w:color="000099"/>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779</w:t>
            </w:r>
          </w:p>
        </w:tc>
        <w:tc>
          <w:tcPr>
            <w:tcW w:w="442" w:type="pct"/>
            <w:tcBorders>
              <w:top w:val="nil"/>
              <w:left w:val="nil"/>
              <w:bottom w:val="single" w:sz="4" w:space="0" w:color="000099"/>
              <w:right w:val="nil"/>
            </w:tcBorders>
            <w:shd w:val="clear" w:color="000000" w:fill="FFFFFF"/>
            <w:noWrap/>
            <w:vAlign w:val="bottom"/>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color w:val="000000"/>
                <w:sz w:val="19"/>
                <w:szCs w:val="19"/>
                <w:lang w:val="en-US" w:eastAsia="zh-CN"/>
              </w:rPr>
            </w:pPr>
            <w:r w:rsidRPr="00205EF2">
              <w:rPr>
                <w:rFonts w:asciiTheme="majorBidi" w:hAnsiTheme="majorBidi" w:cstheme="majorBidi"/>
                <w:color w:val="000000"/>
                <w:sz w:val="19"/>
                <w:szCs w:val="19"/>
                <w:lang w:val="en-US" w:eastAsia="zh-CN"/>
              </w:rPr>
              <w:t>1,5%</w:t>
            </w:r>
          </w:p>
        </w:tc>
      </w:tr>
      <w:tr w:rsidR="00D16078" w:rsidRPr="00205EF2" w:rsidTr="00205EF2">
        <w:trPr>
          <w:trHeight w:val="289"/>
          <w:jc w:val="center"/>
        </w:trPr>
        <w:tc>
          <w:tcPr>
            <w:tcW w:w="1205" w:type="pct"/>
            <w:tcBorders>
              <w:top w:val="single" w:sz="4" w:space="0" w:color="000099"/>
              <w:left w:val="nil"/>
              <w:bottom w:val="single" w:sz="4" w:space="0" w:color="000099"/>
              <w:right w:val="nil"/>
            </w:tcBorders>
            <w:shd w:val="clear" w:color="000000" w:fill="DCE6F1"/>
            <w:noWrap/>
            <w:vAlign w:val="center"/>
            <w:hideMark/>
          </w:tcPr>
          <w:p w:rsidR="00BA7363" w:rsidRPr="00205EF2" w:rsidRDefault="00BA7363" w:rsidP="007D6DBA">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color w:val="003399"/>
                <w:sz w:val="19"/>
                <w:szCs w:val="19"/>
                <w:lang w:val="fr-CH" w:eastAsia="zh-CN"/>
              </w:rPr>
            </w:pPr>
            <w:r w:rsidRPr="00205EF2">
              <w:rPr>
                <w:rFonts w:asciiTheme="majorBidi" w:hAnsiTheme="majorBidi" w:cstheme="majorBidi"/>
                <w:b/>
                <w:bCs/>
                <w:color w:val="003399"/>
                <w:sz w:val="19"/>
                <w:szCs w:val="19"/>
                <w:lang w:val="fr-CH" w:eastAsia="zh-CN"/>
              </w:rPr>
              <w:t>Total pour le Secteur</w:t>
            </w:r>
            <w:r w:rsidRPr="00205EF2">
              <w:rPr>
                <w:rFonts w:asciiTheme="majorBidi" w:hAnsiTheme="majorBidi" w:cstheme="majorBidi"/>
                <w:b/>
                <w:bCs/>
                <w:color w:val="003399"/>
                <w:sz w:val="19"/>
                <w:szCs w:val="19"/>
                <w:lang w:val="fr-CH" w:eastAsia="zh-CN"/>
              </w:rPr>
              <w:br/>
              <w:t>des radiocommunications</w:t>
            </w:r>
          </w:p>
        </w:tc>
        <w:tc>
          <w:tcPr>
            <w:tcW w:w="575" w:type="pct"/>
            <w:tcBorders>
              <w:top w:val="single" w:sz="4" w:space="0" w:color="000099"/>
              <w:left w:val="nil"/>
              <w:bottom w:val="single" w:sz="4" w:space="0" w:color="000099"/>
              <w:right w:val="nil"/>
            </w:tcBorders>
            <w:shd w:val="clear" w:color="000000" w:fill="DCE6F1"/>
            <w:noWrap/>
            <w:vAlign w:val="center"/>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b/>
                <w:bCs/>
                <w:color w:val="003399"/>
                <w:sz w:val="19"/>
                <w:szCs w:val="19"/>
                <w:lang w:val="en-US" w:eastAsia="zh-CN"/>
              </w:rPr>
            </w:pPr>
            <w:r w:rsidRPr="00205EF2">
              <w:rPr>
                <w:rFonts w:asciiTheme="majorBidi" w:hAnsiTheme="majorBidi" w:cstheme="majorBidi"/>
                <w:b/>
                <w:bCs/>
                <w:color w:val="003399"/>
                <w:sz w:val="19"/>
                <w:szCs w:val="19"/>
                <w:lang w:val="en-US" w:eastAsia="zh-CN"/>
              </w:rPr>
              <w:t>65 772</w:t>
            </w:r>
          </w:p>
        </w:tc>
        <w:tc>
          <w:tcPr>
            <w:tcW w:w="647" w:type="pct"/>
            <w:tcBorders>
              <w:top w:val="single" w:sz="4" w:space="0" w:color="000099"/>
              <w:left w:val="nil"/>
              <w:bottom w:val="single" w:sz="4" w:space="0" w:color="000099"/>
              <w:right w:val="nil"/>
            </w:tcBorders>
            <w:shd w:val="clear" w:color="000000" w:fill="DCE6F1"/>
            <w:noWrap/>
            <w:vAlign w:val="center"/>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b/>
                <w:bCs/>
                <w:color w:val="003399"/>
                <w:sz w:val="19"/>
                <w:szCs w:val="19"/>
                <w:lang w:val="en-US" w:eastAsia="zh-CN"/>
              </w:rPr>
            </w:pPr>
            <w:r w:rsidRPr="00205EF2">
              <w:rPr>
                <w:rFonts w:asciiTheme="majorBidi" w:hAnsiTheme="majorBidi" w:cstheme="majorBidi"/>
                <w:b/>
                <w:bCs/>
                <w:color w:val="003399"/>
                <w:sz w:val="19"/>
                <w:szCs w:val="19"/>
                <w:lang w:val="en-US" w:eastAsia="zh-CN"/>
              </w:rPr>
              <w:t>60 666</w:t>
            </w:r>
          </w:p>
        </w:tc>
        <w:tc>
          <w:tcPr>
            <w:tcW w:w="559" w:type="pct"/>
            <w:tcBorders>
              <w:top w:val="single" w:sz="4" w:space="0" w:color="000099"/>
              <w:left w:val="nil"/>
              <w:bottom w:val="single" w:sz="4" w:space="0" w:color="000099"/>
              <w:right w:val="nil"/>
            </w:tcBorders>
            <w:shd w:val="clear" w:color="000000" w:fill="DCE6F1"/>
            <w:noWrap/>
            <w:vAlign w:val="center"/>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b/>
                <w:bCs/>
                <w:color w:val="003399"/>
                <w:sz w:val="19"/>
                <w:szCs w:val="19"/>
                <w:lang w:val="en-US" w:eastAsia="zh-CN"/>
              </w:rPr>
            </w:pPr>
            <w:r w:rsidRPr="00205EF2">
              <w:rPr>
                <w:rFonts w:asciiTheme="majorBidi" w:hAnsiTheme="majorBidi" w:cstheme="majorBidi"/>
                <w:b/>
                <w:bCs/>
                <w:color w:val="003399"/>
                <w:sz w:val="19"/>
                <w:szCs w:val="19"/>
                <w:lang w:val="en-US" w:eastAsia="zh-CN"/>
              </w:rPr>
              <w:t>61 800</w:t>
            </w:r>
          </w:p>
        </w:tc>
        <w:tc>
          <w:tcPr>
            <w:tcW w:w="527" w:type="pct"/>
            <w:tcBorders>
              <w:top w:val="single" w:sz="4" w:space="0" w:color="000099"/>
              <w:left w:val="nil"/>
              <w:bottom w:val="single" w:sz="4" w:space="0" w:color="000099"/>
              <w:right w:val="nil"/>
            </w:tcBorders>
            <w:shd w:val="clear" w:color="000000" w:fill="DCE6F1"/>
            <w:noWrap/>
            <w:vAlign w:val="center"/>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b/>
                <w:bCs/>
                <w:color w:val="003399"/>
                <w:sz w:val="19"/>
                <w:szCs w:val="19"/>
                <w:lang w:val="en-US" w:eastAsia="zh-CN"/>
              </w:rPr>
            </w:pPr>
            <w:r w:rsidRPr="00205EF2">
              <w:rPr>
                <w:rFonts w:asciiTheme="majorBidi" w:hAnsiTheme="majorBidi" w:cstheme="majorBidi"/>
                <w:b/>
                <w:bCs/>
                <w:color w:val="003399"/>
                <w:sz w:val="19"/>
                <w:szCs w:val="19"/>
                <w:lang w:val="en-US" w:eastAsia="zh-CN"/>
              </w:rPr>
              <w:t>30 717</w:t>
            </w:r>
          </w:p>
        </w:tc>
        <w:tc>
          <w:tcPr>
            <w:tcW w:w="617" w:type="pct"/>
            <w:tcBorders>
              <w:top w:val="single" w:sz="4" w:space="0" w:color="000099"/>
              <w:left w:val="nil"/>
              <w:bottom w:val="single" w:sz="4" w:space="0" w:color="000099"/>
              <w:right w:val="nil"/>
            </w:tcBorders>
            <w:shd w:val="clear" w:color="000000" w:fill="DCE6F1"/>
            <w:noWrap/>
            <w:vAlign w:val="center"/>
            <w:hideMark/>
          </w:tcPr>
          <w:p w:rsidR="00BA7363" w:rsidRPr="00205EF2" w:rsidRDefault="00BA7363"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b/>
                <w:bCs/>
                <w:color w:val="003399"/>
                <w:sz w:val="19"/>
                <w:szCs w:val="19"/>
                <w:lang w:val="en-US" w:eastAsia="zh-CN"/>
              </w:rPr>
            </w:pPr>
            <w:r w:rsidRPr="00205EF2">
              <w:rPr>
                <w:rFonts w:asciiTheme="majorBidi" w:hAnsiTheme="majorBidi" w:cstheme="majorBidi"/>
                <w:b/>
                <w:bCs/>
                <w:color w:val="003399"/>
                <w:sz w:val="19"/>
                <w:szCs w:val="19"/>
                <w:lang w:val="en-US" w:eastAsia="zh-CN"/>
              </w:rPr>
              <w:t>59 517</w:t>
            </w:r>
          </w:p>
        </w:tc>
        <w:tc>
          <w:tcPr>
            <w:tcW w:w="427" w:type="pct"/>
            <w:tcBorders>
              <w:top w:val="single" w:sz="4" w:space="0" w:color="000099"/>
              <w:left w:val="nil"/>
              <w:bottom w:val="single" w:sz="4" w:space="0" w:color="000099"/>
              <w:right w:val="nil"/>
            </w:tcBorders>
            <w:shd w:val="clear" w:color="000000" w:fill="DCE6F1"/>
            <w:noWrap/>
            <w:vAlign w:val="center"/>
            <w:hideMark/>
          </w:tcPr>
          <w:p w:rsidR="00BA7363" w:rsidRPr="00205EF2" w:rsidRDefault="00404AD2"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b/>
                <w:bCs/>
                <w:color w:val="003399"/>
                <w:sz w:val="19"/>
                <w:szCs w:val="19"/>
                <w:lang w:val="en-US" w:eastAsia="zh-CN"/>
              </w:rPr>
            </w:pPr>
            <w:r w:rsidRPr="00205EF2">
              <w:rPr>
                <w:rFonts w:asciiTheme="majorBidi" w:hAnsiTheme="majorBidi" w:cstheme="majorBidi"/>
                <w:b/>
                <w:bCs/>
                <w:color w:val="003399"/>
                <w:sz w:val="19"/>
                <w:szCs w:val="19"/>
                <w:lang w:val="en-US" w:eastAsia="zh-CN"/>
              </w:rPr>
              <w:t>–</w:t>
            </w:r>
            <w:r w:rsidR="00BA7363" w:rsidRPr="00205EF2">
              <w:rPr>
                <w:rFonts w:asciiTheme="majorBidi" w:hAnsiTheme="majorBidi" w:cstheme="majorBidi"/>
                <w:b/>
                <w:bCs/>
                <w:color w:val="003399"/>
                <w:sz w:val="19"/>
                <w:szCs w:val="19"/>
                <w:lang w:val="en-US" w:eastAsia="zh-CN"/>
              </w:rPr>
              <w:t>2 283</w:t>
            </w:r>
          </w:p>
        </w:tc>
        <w:tc>
          <w:tcPr>
            <w:tcW w:w="442" w:type="pct"/>
            <w:tcBorders>
              <w:top w:val="single" w:sz="4" w:space="0" w:color="000099"/>
              <w:left w:val="nil"/>
              <w:bottom w:val="single" w:sz="4" w:space="0" w:color="000099"/>
              <w:right w:val="nil"/>
            </w:tcBorders>
            <w:shd w:val="clear" w:color="000000" w:fill="DCE6F1"/>
            <w:noWrap/>
            <w:vAlign w:val="center"/>
            <w:hideMark/>
          </w:tcPr>
          <w:p w:rsidR="00BA7363" w:rsidRPr="00205EF2" w:rsidRDefault="00404AD2" w:rsidP="007D6DBA">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b/>
                <w:bCs/>
                <w:color w:val="003399"/>
                <w:sz w:val="19"/>
                <w:szCs w:val="19"/>
                <w:lang w:val="en-US" w:eastAsia="zh-CN"/>
              </w:rPr>
            </w:pPr>
            <w:r w:rsidRPr="00205EF2">
              <w:rPr>
                <w:rFonts w:asciiTheme="majorBidi" w:hAnsiTheme="majorBidi" w:cstheme="majorBidi"/>
                <w:b/>
                <w:bCs/>
                <w:color w:val="003399"/>
                <w:sz w:val="19"/>
                <w:szCs w:val="19"/>
                <w:lang w:val="en-US" w:eastAsia="zh-CN"/>
              </w:rPr>
              <w:t>–</w:t>
            </w:r>
            <w:r w:rsidR="00BA7363" w:rsidRPr="00205EF2">
              <w:rPr>
                <w:rFonts w:asciiTheme="majorBidi" w:hAnsiTheme="majorBidi" w:cstheme="majorBidi"/>
                <w:b/>
                <w:bCs/>
                <w:color w:val="003399"/>
                <w:sz w:val="19"/>
                <w:szCs w:val="19"/>
                <w:lang w:val="en-US" w:eastAsia="zh-CN"/>
              </w:rPr>
              <w:t>3,7%</w:t>
            </w:r>
          </w:p>
        </w:tc>
      </w:tr>
    </w:tbl>
    <w:p w:rsidR="00BA7363" w:rsidRPr="00F462A5" w:rsidRDefault="00BA7363" w:rsidP="00BA7363">
      <w:pPr>
        <w:pStyle w:val="NormalWeb"/>
        <w:tabs>
          <w:tab w:val="left" w:pos="851"/>
        </w:tabs>
        <w:spacing w:before="160" w:after="120" w:line="240" w:lineRule="auto"/>
        <w:rPr>
          <w:rFonts w:asciiTheme="minorHAnsi" w:eastAsia="Times New Roman" w:hAnsiTheme="minorHAnsi"/>
          <w:lang w:eastAsia="en-US"/>
        </w:rPr>
      </w:pPr>
      <w:r w:rsidRPr="00F964D7">
        <w:rPr>
          <w:rFonts w:asciiTheme="majorBidi" w:hAnsiTheme="majorBidi" w:cstheme="majorBidi"/>
          <w:sz w:val="20"/>
        </w:rPr>
        <w:t>*A</w:t>
      </w:r>
      <w:r>
        <w:rPr>
          <w:rFonts w:asciiTheme="majorBidi" w:hAnsiTheme="majorBidi" w:cstheme="majorBidi"/>
          <w:sz w:val="20"/>
        </w:rPr>
        <w:t>u</w:t>
      </w:r>
      <w:r w:rsidRPr="00F964D7">
        <w:rPr>
          <w:rFonts w:asciiTheme="majorBidi" w:hAnsiTheme="majorBidi" w:cstheme="majorBidi"/>
          <w:sz w:val="20"/>
        </w:rPr>
        <w:t xml:space="preserve"> 25 </w:t>
      </w:r>
      <w:r w:rsidRPr="0014197E">
        <w:rPr>
          <w:rFonts w:asciiTheme="majorBidi" w:hAnsiTheme="majorBidi" w:cstheme="majorBidi"/>
          <w:sz w:val="20"/>
          <w:lang w:val="fr-CH"/>
        </w:rPr>
        <w:t>février</w:t>
      </w:r>
      <w:r w:rsidRPr="00F964D7">
        <w:rPr>
          <w:rFonts w:asciiTheme="majorBidi" w:hAnsiTheme="majorBidi" w:cstheme="majorBidi"/>
          <w:sz w:val="20"/>
        </w:rPr>
        <w:t xml:space="preserve"> 2013</w:t>
      </w:r>
      <w:r w:rsidR="00404AD2">
        <w:rPr>
          <w:rFonts w:asciiTheme="majorBidi" w:hAnsiTheme="majorBidi" w:cstheme="majorBidi"/>
          <w:sz w:val="20"/>
        </w:rPr>
        <w:t>.</w:t>
      </w:r>
    </w:p>
    <w:p w:rsidR="00BA7363" w:rsidRPr="00664220" w:rsidRDefault="00BA7363" w:rsidP="00404AD2">
      <w:pPr>
        <w:pStyle w:val="NormalWeb"/>
        <w:tabs>
          <w:tab w:val="left" w:pos="851"/>
        </w:tabs>
        <w:spacing w:before="240" w:after="120" w:line="240" w:lineRule="auto"/>
        <w:rPr>
          <w:rFonts w:asciiTheme="majorBidi" w:eastAsia="Times New Roman" w:hAnsiTheme="majorBidi" w:cstheme="majorBidi"/>
          <w:sz w:val="36"/>
          <w:szCs w:val="36"/>
          <w:lang w:val="fr-CH" w:eastAsia="en-US"/>
        </w:rPr>
      </w:pPr>
      <w:r w:rsidRPr="00535599">
        <w:rPr>
          <w:rFonts w:asciiTheme="majorBidi" w:eastAsia="Times New Roman" w:hAnsiTheme="majorBidi" w:cstheme="majorBidi"/>
          <w:sz w:val="24"/>
          <w:szCs w:val="24"/>
          <w:lang w:val="fr-CH" w:eastAsia="en-US"/>
        </w:rPr>
        <w:t>Bien qu</w:t>
      </w:r>
      <w:r>
        <w:rPr>
          <w:rFonts w:asciiTheme="majorBidi" w:eastAsia="Times New Roman" w:hAnsiTheme="majorBidi" w:cstheme="majorBidi"/>
          <w:sz w:val="24"/>
          <w:szCs w:val="24"/>
          <w:lang w:val="fr-CH" w:eastAsia="en-US"/>
        </w:rPr>
        <w:t xml:space="preserve">e </w:t>
      </w:r>
      <w:r w:rsidRPr="00535599">
        <w:rPr>
          <w:rFonts w:asciiTheme="majorBidi" w:eastAsia="Times New Roman" w:hAnsiTheme="majorBidi" w:cstheme="majorBidi"/>
          <w:sz w:val="24"/>
          <w:szCs w:val="24"/>
          <w:lang w:val="fr-CH" w:eastAsia="en-US"/>
        </w:rPr>
        <w:t>les projections actuelles</w:t>
      </w:r>
      <w:r>
        <w:rPr>
          <w:rFonts w:asciiTheme="majorBidi" w:eastAsia="Times New Roman" w:hAnsiTheme="majorBidi" w:cstheme="majorBidi"/>
          <w:sz w:val="24"/>
          <w:szCs w:val="24"/>
          <w:lang w:val="fr-CH" w:eastAsia="en-US"/>
        </w:rPr>
        <w:t xml:space="preserve"> ne tiennent pas compte</w:t>
      </w:r>
      <w:r w:rsidRPr="00535599">
        <w:rPr>
          <w:rFonts w:asciiTheme="majorBidi" w:eastAsia="Times New Roman" w:hAnsiTheme="majorBidi" w:cstheme="majorBidi"/>
          <w:sz w:val="24"/>
          <w:szCs w:val="24"/>
          <w:lang w:val="fr-CH" w:eastAsia="en-US"/>
        </w:rPr>
        <w:t xml:space="preserve"> de conférences </w:t>
      </w:r>
      <w:r>
        <w:rPr>
          <w:rFonts w:asciiTheme="majorBidi" w:eastAsia="Times New Roman" w:hAnsiTheme="majorBidi" w:cstheme="majorBidi"/>
          <w:sz w:val="24"/>
          <w:szCs w:val="24"/>
          <w:lang w:val="fr-CH" w:eastAsia="en-US"/>
        </w:rPr>
        <w:t xml:space="preserve">ou </w:t>
      </w:r>
      <w:r w:rsidRPr="00535599">
        <w:rPr>
          <w:rFonts w:asciiTheme="majorBidi" w:eastAsia="Times New Roman" w:hAnsiTheme="majorBidi" w:cstheme="majorBidi"/>
          <w:sz w:val="24"/>
          <w:szCs w:val="24"/>
          <w:lang w:val="fr-CH" w:eastAsia="en-US"/>
        </w:rPr>
        <w:t xml:space="preserve">assemblées de </w:t>
      </w:r>
      <w:r>
        <w:rPr>
          <w:rFonts w:asciiTheme="majorBidi" w:eastAsia="Times New Roman" w:hAnsiTheme="majorBidi" w:cstheme="majorBidi"/>
          <w:sz w:val="24"/>
          <w:szCs w:val="24"/>
          <w:lang w:val="fr-CH" w:eastAsia="en-US"/>
        </w:rPr>
        <w:t>l'UIT-R</w:t>
      </w:r>
      <w:r w:rsidRPr="00535599">
        <w:rPr>
          <w:rFonts w:asciiTheme="majorBidi" w:eastAsia="Times New Roman" w:hAnsiTheme="majorBidi" w:cstheme="majorBidi"/>
          <w:sz w:val="24"/>
          <w:szCs w:val="24"/>
          <w:lang w:val="fr-CH" w:eastAsia="en-US"/>
        </w:rPr>
        <w:t xml:space="preserve">, </w:t>
      </w:r>
      <w:r>
        <w:rPr>
          <w:rFonts w:asciiTheme="majorBidi" w:eastAsia="Times New Roman" w:hAnsiTheme="majorBidi" w:cstheme="majorBidi"/>
          <w:sz w:val="24"/>
          <w:szCs w:val="24"/>
          <w:lang w:val="fr-CH" w:eastAsia="en-US"/>
        </w:rPr>
        <w:t xml:space="preserve">il est </w:t>
      </w:r>
      <w:r w:rsidRPr="00535599">
        <w:rPr>
          <w:rFonts w:asciiTheme="majorBidi" w:eastAsia="Times New Roman" w:hAnsiTheme="majorBidi" w:cstheme="majorBidi"/>
          <w:sz w:val="24"/>
          <w:szCs w:val="24"/>
          <w:lang w:val="fr-CH" w:eastAsia="en-US"/>
        </w:rPr>
        <w:t xml:space="preserve">néanmoins </w:t>
      </w:r>
      <w:r>
        <w:rPr>
          <w:rFonts w:asciiTheme="majorBidi" w:eastAsia="Times New Roman" w:hAnsiTheme="majorBidi" w:cstheme="majorBidi"/>
          <w:sz w:val="24"/>
          <w:szCs w:val="24"/>
          <w:lang w:val="fr-CH" w:eastAsia="en-US"/>
        </w:rPr>
        <w:t xml:space="preserve">prévu </w:t>
      </w:r>
      <w:r w:rsidRPr="00535599">
        <w:rPr>
          <w:rFonts w:asciiTheme="majorBidi" w:eastAsia="Times New Roman" w:hAnsiTheme="majorBidi" w:cstheme="majorBidi"/>
          <w:sz w:val="24"/>
          <w:szCs w:val="24"/>
          <w:lang w:val="fr-CH" w:eastAsia="en-US"/>
        </w:rPr>
        <w:t xml:space="preserve">que, conformément à la Résolution 1343 du Conseil, la prochaine </w:t>
      </w:r>
      <w:r>
        <w:rPr>
          <w:rFonts w:asciiTheme="majorBidi" w:eastAsia="Times New Roman" w:hAnsiTheme="majorBidi" w:cstheme="majorBidi"/>
          <w:sz w:val="24"/>
          <w:szCs w:val="24"/>
          <w:lang w:val="fr-CH" w:eastAsia="en-US"/>
        </w:rPr>
        <w:t>C</w:t>
      </w:r>
      <w:r w:rsidRPr="00535599">
        <w:rPr>
          <w:rFonts w:asciiTheme="majorBidi" w:eastAsia="Times New Roman" w:hAnsiTheme="majorBidi" w:cstheme="majorBidi"/>
          <w:sz w:val="24"/>
          <w:szCs w:val="24"/>
          <w:lang w:val="fr-CH" w:eastAsia="en-US"/>
        </w:rPr>
        <w:t>onférence mondiale des radiocommunications et Assemblée des radiocommunications se tiendr</w:t>
      </w:r>
      <w:r>
        <w:rPr>
          <w:rFonts w:asciiTheme="majorBidi" w:eastAsia="Times New Roman" w:hAnsiTheme="majorBidi" w:cstheme="majorBidi"/>
          <w:sz w:val="24"/>
          <w:szCs w:val="24"/>
          <w:lang w:val="fr-CH" w:eastAsia="en-US"/>
        </w:rPr>
        <w:t>ont</w:t>
      </w:r>
      <w:r w:rsidRPr="00535599">
        <w:rPr>
          <w:rFonts w:asciiTheme="majorBidi" w:eastAsia="Times New Roman" w:hAnsiTheme="majorBidi" w:cstheme="majorBidi"/>
          <w:sz w:val="24"/>
          <w:szCs w:val="24"/>
          <w:lang w:val="fr-CH" w:eastAsia="en-US"/>
        </w:rPr>
        <w:t xml:space="preserve"> en </w:t>
      </w:r>
      <w:r>
        <w:rPr>
          <w:rFonts w:asciiTheme="majorBidi" w:eastAsia="Times New Roman" w:hAnsiTheme="majorBidi" w:cstheme="majorBidi"/>
          <w:sz w:val="24"/>
          <w:szCs w:val="24"/>
          <w:lang w:val="fr-CH" w:eastAsia="en-US"/>
        </w:rPr>
        <w:t>2015</w:t>
      </w:r>
      <w:r w:rsidRPr="00535599">
        <w:rPr>
          <w:rFonts w:asciiTheme="majorBidi" w:eastAsia="Times New Roman" w:hAnsiTheme="majorBidi" w:cstheme="majorBidi"/>
          <w:sz w:val="24"/>
          <w:szCs w:val="24"/>
          <w:lang w:val="fr-CH" w:eastAsia="en-US"/>
        </w:rPr>
        <w:t>.</w:t>
      </w:r>
      <w:r>
        <w:rPr>
          <w:rFonts w:asciiTheme="majorBidi" w:eastAsia="Times New Roman" w:hAnsiTheme="majorBidi" w:cstheme="majorBidi"/>
          <w:sz w:val="24"/>
          <w:szCs w:val="24"/>
          <w:lang w:val="fr-CH" w:eastAsia="en-US"/>
        </w:rPr>
        <w:t xml:space="preserve"> D'après les estimations, le coût </w:t>
      </w:r>
      <w:r w:rsidRPr="00664220">
        <w:rPr>
          <w:rFonts w:asciiTheme="majorBidi" w:eastAsia="Times New Roman" w:hAnsiTheme="majorBidi" w:cstheme="majorBidi"/>
          <w:sz w:val="24"/>
          <w:szCs w:val="24"/>
          <w:lang w:val="fr-CH" w:eastAsia="en-US"/>
        </w:rPr>
        <w:t>de ce</w:t>
      </w:r>
      <w:r>
        <w:rPr>
          <w:rFonts w:asciiTheme="majorBidi" w:eastAsia="Times New Roman" w:hAnsiTheme="majorBidi" w:cstheme="majorBidi"/>
          <w:sz w:val="24"/>
          <w:szCs w:val="24"/>
          <w:lang w:val="fr-CH" w:eastAsia="en-US"/>
        </w:rPr>
        <w:t>tte C</w:t>
      </w:r>
      <w:r w:rsidRPr="00664220">
        <w:rPr>
          <w:rFonts w:asciiTheme="majorBidi" w:eastAsia="Times New Roman" w:hAnsiTheme="majorBidi" w:cstheme="majorBidi"/>
          <w:sz w:val="24"/>
          <w:szCs w:val="24"/>
          <w:lang w:val="fr-CH" w:eastAsia="en-US"/>
        </w:rPr>
        <w:t>onférence</w:t>
      </w:r>
      <w:r>
        <w:rPr>
          <w:rFonts w:asciiTheme="majorBidi" w:eastAsia="Times New Roman" w:hAnsiTheme="majorBidi" w:cstheme="majorBidi"/>
          <w:sz w:val="24"/>
          <w:szCs w:val="24"/>
          <w:lang w:val="fr-CH" w:eastAsia="en-US"/>
        </w:rPr>
        <w:t xml:space="preserve"> et de cette Assemblée s'établira au total à</w:t>
      </w:r>
      <w:r w:rsidRPr="00664220">
        <w:rPr>
          <w:rFonts w:asciiTheme="majorBidi" w:eastAsia="Times New Roman" w:hAnsiTheme="majorBidi" w:cstheme="majorBidi"/>
          <w:sz w:val="24"/>
          <w:szCs w:val="24"/>
          <w:lang w:val="fr-CH" w:eastAsia="en-US"/>
        </w:rPr>
        <w:t xml:space="preserve"> 5</w:t>
      </w:r>
      <w:r>
        <w:rPr>
          <w:rFonts w:asciiTheme="majorBidi" w:eastAsia="Times New Roman" w:hAnsiTheme="majorBidi" w:cstheme="majorBidi"/>
          <w:sz w:val="24"/>
          <w:szCs w:val="24"/>
          <w:lang w:val="fr-CH" w:eastAsia="en-US"/>
        </w:rPr>
        <w:t> </w:t>
      </w:r>
      <w:r w:rsidRPr="00664220">
        <w:rPr>
          <w:rFonts w:asciiTheme="majorBidi" w:eastAsia="Times New Roman" w:hAnsiTheme="majorBidi" w:cstheme="majorBidi"/>
          <w:sz w:val="24"/>
          <w:szCs w:val="24"/>
          <w:lang w:val="fr-CH" w:eastAsia="en-US"/>
        </w:rPr>
        <w:t>million</w:t>
      </w:r>
      <w:r>
        <w:rPr>
          <w:rFonts w:asciiTheme="majorBidi" w:eastAsia="Times New Roman" w:hAnsiTheme="majorBidi" w:cstheme="majorBidi"/>
          <w:sz w:val="24"/>
          <w:szCs w:val="24"/>
          <w:lang w:val="fr-CH" w:eastAsia="en-US"/>
        </w:rPr>
        <w:t xml:space="preserve">s </w:t>
      </w:r>
      <w:r w:rsidRPr="00664220">
        <w:rPr>
          <w:rFonts w:asciiTheme="majorBidi" w:eastAsia="Times New Roman" w:hAnsiTheme="majorBidi" w:cstheme="majorBidi"/>
          <w:sz w:val="24"/>
          <w:szCs w:val="24"/>
          <w:lang w:val="fr-CH" w:eastAsia="en-US"/>
        </w:rPr>
        <w:t>CHF</w:t>
      </w:r>
      <w:r>
        <w:rPr>
          <w:rFonts w:asciiTheme="majorBidi" w:eastAsia="Times New Roman" w:hAnsiTheme="majorBidi" w:cstheme="majorBidi"/>
          <w:sz w:val="24"/>
          <w:szCs w:val="24"/>
          <w:lang w:val="fr-CH" w:eastAsia="en-US"/>
        </w:rPr>
        <w:t xml:space="preserve">. </w:t>
      </w:r>
      <w:r w:rsidRPr="00664220">
        <w:rPr>
          <w:rFonts w:asciiTheme="majorBidi" w:eastAsia="Times New Roman" w:hAnsiTheme="majorBidi" w:cstheme="majorBidi"/>
          <w:sz w:val="24"/>
          <w:szCs w:val="24"/>
          <w:lang w:val="fr-CH" w:eastAsia="en-US"/>
        </w:rPr>
        <w:t xml:space="preserve">En conséquence, le </w:t>
      </w:r>
      <w:r>
        <w:rPr>
          <w:rFonts w:asciiTheme="majorBidi" w:eastAsia="Times New Roman" w:hAnsiTheme="majorBidi" w:cstheme="majorBidi"/>
          <w:sz w:val="24"/>
          <w:szCs w:val="24"/>
          <w:lang w:val="fr-CH" w:eastAsia="en-US"/>
        </w:rPr>
        <w:t>Secrétaire g</w:t>
      </w:r>
      <w:r w:rsidRPr="00664220">
        <w:rPr>
          <w:rFonts w:asciiTheme="majorBidi" w:eastAsia="Times New Roman" w:hAnsiTheme="majorBidi" w:cstheme="majorBidi"/>
          <w:sz w:val="24"/>
          <w:szCs w:val="24"/>
          <w:lang w:val="fr-CH" w:eastAsia="en-US"/>
        </w:rPr>
        <w:t xml:space="preserve">énéral propose que le Conseil autorise le secrétariat à prélever ce montant sur le </w:t>
      </w:r>
      <w:r>
        <w:rPr>
          <w:rFonts w:asciiTheme="majorBidi" w:eastAsia="Times New Roman" w:hAnsiTheme="majorBidi" w:cstheme="majorBidi"/>
          <w:sz w:val="24"/>
          <w:szCs w:val="24"/>
          <w:lang w:val="fr-CH" w:eastAsia="en-US"/>
        </w:rPr>
        <w:t>F</w:t>
      </w:r>
      <w:r w:rsidRPr="00664220">
        <w:rPr>
          <w:rFonts w:asciiTheme="majorBidi" w:eastAsia="Times New Roman" w:hAnsiTheme="majorBidi" w:cstheme="majorBidi"/>
          <w:sz w:val="24"/>
          <w:szCs w:val="24"/>
          <w:lang w:val="fr-CH" w:eastAsia="en-US"/>
        </w:rPr>
        <w:t>onds de réserve</w:t>
      </w:r>
      <w:r>
        <w:rPr>
          <w:rFonts w:asciiTheme="majorBidi" w:eastAsia="Times New Roman" w:hAnsiTheme="majorBidi" w:cstheme="majorBidi"/>
          <w:sz w:val="24"/>
          <w:szCs w:val="24"/>
          <w:lang w:val="fr-CH" w:eastAsia="en-US"/>
        </w:rPr>
        <w:t>.</w:t>
      </w:r>
    </w:p>
    <w:p w:rsidR="00BA7363" w:rsidRPr="00ED0EE5" w:rsidRDefault="00BA7363" w:rsidP="00BA7363">
      <w:pPr>
        <w:pStyle w:val="Heading2"/>
      </w:pPr>
      <w:r w:rsidRPr="00ED0EE5">
        <w:t>2.6</w:t>
      </w:r>
      <w:r w:rsidRPr="00ED0EE5">
        <w:tab/>
      </w:r>
      <w:r>
        <w:t>P</w:t>
      </w:r>
      <w:r w:rsidRPr="00ED0EE5">
        <w:t>rotocol</w:t>
      </w:r>
      <w:r>
        <w:t>e portant sur les biens spatiaux</w:t>
      </w:r>
    </w:p>
    <w:p w:rsidR="00BA7363" w:rsidRPr="00A632DE" w:rsidRDefault="00BA7363" w:rsidP="00BA7363">
      <w:pPr>
        <w:rPr>
          <w:rFonts w:cstheme="majorBidi"/>
          <w:lang w:val="fr-CH"/>
        </w:rPr>
      </w:pPr>
      <w:r>
        <w:rPr>
          <w:lang w:val="fr-CH"/>
        </w:rPr>
        <w:t>A sa session de 2012, l</w:t>
      </w:r>
      <w:r w:rsidRPr="00A632DE">
        <w:rPr>
          <w:lang w:val="fr-CH"/>
        </w:rPr>
        <w:t>e Conseil</w:t>
      </w:r>
      <w:r>
        <w:rPr>
          <w:lang w:val="fr-CH"/>
        </w:rPr>
        <w:t xml:space="preserve"> a décidé d'autoriser </w:t>
      </w:r>
      <w:r w:rsidRPr="00A632DE">
        <w:rPr>
          <w:lang w:val="fr-CH"/>
        </w:rPr>
        <w:t xml:space="preserve">le Secrétaire général à continuer d'exprimer l'intérêt de l'Union pour que l'UIT </w:t>
      </w:r>
      <w:r>
        <w:rPr>
          <w:lang w:val="fr-CH"/>
        </w:rPr>
        <w:t>devienne</w:t>
      </w:r>
      <w:r w:rsidRPr="00A632DE">
        <w:rPr>
          <w:lang w:val="fr-CH"/>
        </w:rPr>
        <w:t xml:space="preserve"> l'Autorité de surveillance</w:t>
      </w:r>
      <w:r>
        <w:rPr>
          <w:lang w:val="fr-CH"/>
        </w:rPr>
        <w:t xml:space="preserve"> </w:t>
      </w:r>
      <w:r w:rsidRPr="00A632DE">
        <w:rPr>
          <w:lang w:val="fr-CH"/>
        </w:rPr>
        <w:t>du futur système international d'inscription pour les biens spatiaux</w:t>
      </w:r>
      <w:r>
        <w:rPr>
          <w:lang w:val="fr-CH"/>
        </w:rPr>
        <w:t xml:space="preserve"> conformément au projet de Protocole portant sur les biens spatiaux</w:t>
      </w:r>
      <w:r w:rsidRPr="00A632DE">
        <w:rPr>
          <w:lang w:val="fr-CH"/>
        </w:rPr>
        <w:t>, notant qu'il n'y a</w:t>
      </w:r>
      <w:r>
        <w:rPr>
          <w:lang w:val="fr-CH"/>
        </w:rPr>
        <w:t xml:space="preserve">vait </w:t>
      </w:r>
      <w:r w:rsidRPr="00A632DE">
        <w:rPr>
          <w:lang w:val="fr-CH"/>
        </w:rPr>
        <w:t>pas lieu à ce stade de préjuger la question de savoir si l'UIT pourrait ou non être l'Autorité de surveillance.</w:t>
      </w:r>
      <w:r>
        <w:rPr>
          <w:lang w:val="fr-CH"/>
        </w:rPr>
        <w:t xml:space="preserve"> </w:t>
      </w:r>
      <w:r w:rsidRPr="00A632DE">
        <w:rPr>
          <w:lang w:val="fr-CH"/>
        </w:rPr>
        <w:t>En outre, le Conseil</w:t>
      </w:r>
      <w:r>
        <w:rPr>
          <w:lang w:val="fr-CH"/>
        </w:rPr>
        <w:t xml:space="preserve"> a autorisé </w:t>
      </w:r>
      <w:r w:rsidRPr="00A632DE">
        <w:rPr>
          <w:lang w:val="fr-CH"/>
        </w:rPr>
        <w:t>le Secrétaire général, ou son représentant, à participer en tant qu'observateur aux travaux de la Commission préparatoire</w:t>
      </w:r>
      <w:r>
        <w:rPr>
          <w:lang w:val="fr-CH"/>
        </w:rPr>
        <w:t xml:space="preserve">. Il est prévu que cette Commission tienne sa première réunion les 6 et 7 mai 2013 à Rome (Italie). </w:t>
      </w:r>
    </w:p>
    <w:p w:rsidR="00BA7363" w:rsidRPr="00660A4F" w:rsidRDefault="00BA7363" w:rsidP="00404AD2">
      <w:pPr>
        <w:rPr>
          <w:lang w:val="fr-CH"/>
        </w:rPr>
      </w:pPr>
      <w:r>
        <w:rPr>
          <w:lang w:val="fr-CH"/>
        </w:rPr>
        <w:t xml:space="preserve">Le Conseil </w:t>
      </w:r>
      <w:r w:rsidR="00404AD2">
        <w:rPr>
          <w:lang w:val="fr-CH"/>
        </w:rPr>
        <w:t>à</w:t>
      </w:r>
      <w:r>
        <w:rPr>
          <w:lang w:val="fr-CH"/>
        </w:rPr>
        <w:t xml:space="preserve"> sa session de 2012 a conclu que le </w:t>
      </w:r>
      <w:r w:rsidRPr="00A632DE">
        <w:rPr>
          <w:lang w:val="fr-CH"/>
        </w:rPr>
        <w:t xml:space="preserve">Secrétaire général </w:t>
      </w:r>
      <w:r>
        <w:rPr>
          <w:lang w:val="fr-CH"/>
        </w:rPr>
        <w:t xml:space="preserve">lui </w:t>
      </w:r>
      <w:r w:rsidRPr="00A632DE">
        <w:rPr>
          <w:lang w:val="fr-CH"/>
        </w:rPr>
        <w:t>soumettra</w:t>
      </w:r>
      <w:r>
        <w:rPr>
          <w:lang w:val="fr-CH"/>
        </w:rPr>
        <w:t>it</w:t>
      </w:r>
      <w:r w:rsidR="00205EF2">
        <w:rPr>
          <w:lang w:val="fr-CH"/>
        </w:rPr>
        <w:t xml:space="preserve"> un rapport à sa </w:t>
      </w:r>
      <w:r w:rsidRPr="00A632DE">
        <w:rPr>
          <w:lang w:val="fr-CH"/>
        </w:rPr>
        <w:t xml:space="preserve">session de 2013, </w:t>
      </w:r>
      <w:r>
        <w:rPr>
          <w:lang w:val="fr-CH"/>
        </w:rPr>
        <w:t>afin d'</w:t>
      </w:r>
      <w:r w:rsidRPr="00A632DE">
        <w:rPr>
          <w:lang w:val="fr-CH"/>
        </w:rPr>
        <w:t>examine</w:t>
      </w:r>
      <w:r>
        <w:rPr>
          <w:lang w:val="fr-CH"/>
        </w:rPr>
        <w:t>r</w:t>
      </w:r>
      <w:r w:rsidRPr="00A632DE">
        <w:rPr>
          <w:lang w:val="fr-CH"/>
        </w:rPr>
        <w:t xml:space="preserve"> plus avant la question à la lumi</w:t>
      </w:r>
      <w:r w:rsidR="00205EF2">
        <w:rPr>
          <w:lang w:val="fr-CH"/>
        </w:rPr>
        <w:t>ère des faits nouveaux survenus </w:t>
      </w:r>
      <w:r w:rsidRPr="00A632DE">
        <w:rPr>
          <w:lang w:val="fr-CH"/>
        </w:rPr>
        <w:t>en ce qui concerne l'établissement de la Commission prépar</w:t>
      </w:r>
      <w:r w:rsidR="00205EF2">
        <w:rPr>
          <w:lang w:val="fr-CH"/>
        </w:rPr>
        <w:t>atoire et des progrès éventuels </w:t>
      </w:r>
      <w:r w:rsidRPr="00A632DE">
        <w:rPr>
          <w:lang w:val="fr-CH"/>
        </w:rPr>
        <w:t>accomplis, compte tenu des incidences financières, juridiques et techniques pour l'UIT.</w:t>
      </w:r>
      <w:r>
        <w:rPr>
          <w:lang w:val="fr-CH"/>
        </w:rPr>
        <w:t xml:space="preserve"> Afin que le Secrétaire général de l'UIT puisse s'acquitter de cette tâche d'une manière parfaitement transparente, on a mis en place </w:t>
      </w:r>
      <w:r w:rsidRPr="00660A4F">
        <w:rPr>
          <w:lang w:val="fr-CH"/>
        </w:rPr>
        <w:t>un réseau d'échange en ligne (SharePoint)</w:t>
      </w:r>
      <w:r>
        <w:rPr>
          <w:lang w:val="fr-CH"/>
        </w:rPr>
        <w:t xml:space="preserve"> ouvert aux Etats Membres du Conseil, afin de permettre l'échange des renseignements et de commentaires en ligne à l'adresse </w:t>
      </w:r>
      <w:hyperlink r:id="rId11" w:history="1">
        <w:r w:rsidRPr="00660A4F">
          <w:rPr>
            <w:rStyle w:val="Hyperlink"/>
            <w:lang w:val="fr-CH"/>
          </w:rPr>
          <w:t>https://extranet.itu.int/ITU-R/space-assets</w:t>
        </w:r>
      </w:hyperlink>
      <w:r w:rsidRPr="00660A4F">
        <w:rPr>
          <w:lang w:val="fr-CH"/>
        </w:rPr>
        <w:t xml:space="preserve">. </w:t>
      </w:r>
    </w:p>
    <w:p w:rsidR="00BA7363" w:rsidRPr="00CB6383" w:rsidRDefault="00404AD2" w:rsidP="00BA7363">
      <w:pPr>
        <w:pStyle w:val="Heading1"/>
        <w:rPr>
          <w:lang w:val="fr-CH"/>
        </w:rPr>
      </w:pPr>
      <w:r>
        <w:rPr>
          <w:lang w:val="fr-CH"/>
        </w:rPr>
        <w:lastRenderedPageBreak/>
        <w:t>3</w:t>
      </w:r>
      <w:r>
        <w:rPr>
          <w:lang w:val="fr-CH"/>
        </w:rPr>
        <w:tab/>
        <w:t>Résultats de l'A</w:t>
      </w:r>
      <w:r w:rsidR="00BA7363" w:rsidRPr="00CB6383">
        <w:rPr>
          <w:lang w:val="fr-CH"/>
        </w:rPr>
        <w:t>R-12 et de la CMR-12</w:t>
      </w:r>
    </w:p>
    <w:p w:rsidR="00BA7363" w:rsidRPr="00CB6383" w:rsidRDefault="00BA7363" w:rsidP="00BA7363">
      <w:pPr>
        <w:pStyle w:val="Heading2"/>
        <w:rPr>
          <w:lang w:val="fr-CH"/>
        </w:rPr>
      </w:pPr>
      <w:r w:rsidRPr="00CB6383">
        <w:rPr>
          <w:lang w:val="fr-CH"/>
        </w:rPr>
        <w:t>3.1</w:t>
      </w:r>
      <w:r w:rsidRPr="00CB6383">
        <w:rPr>
          <w:lang w:val="fr-CH"/>
        </w:rPr>
        <w:tab/>
        <w:t>Groupes de travail par correspondance</w:t>
      </w:r>
    </w:p>
    <w:p w:rsidR="00BA7363" w:rsidRPr="007C72EB" w:rsidRDefault="00BA7363" w:rsidP="00BA7363">
      <w:pPr>
        <w:rPr>
          <w:lang w:val="fr-CH"/>
        </w:rPr>
      </w:pPr>
      <w:r w:rsidRPr="007C72EB">
        <w:rPr>
          <w:lang w:val="fr-CH"/>
        </w:rPr>
        <w:t>Le BR a créé des sites SharePoint pour faciliter les travaux des nouveaux groupes de travail</w:t>
      </w:r>
      <w:r>
        <w:rPr>
          <w:lang w:val="fr-CH"/>
        </w:rPr>
        <w:t xml:space="preserve"> par </w:t>
      </w:r>
      <w:r w:rsidRPr="007C72EB">
        <w:rPr>
          <w:lang w:val="fr-CH"/>
        </w:rPr>
        <w:t xml:space="preserve">correspondance dont la création a été décidée pendant </w:t>
      </w:r>
      <w:r>
        <w:rPr>
          <w:lang w:val="fr-CH"/>
        </w:rPr>
        <w:t xml:space="preserve">la réunion du GCR-12: </w:t>
      </w:r>
    </w:p>
    <w:p w:rsidR="00BA7363" w:rsidRPr="00404AD2" w:rsidRDefault="00BA7363" w:rsidP="00BA7363">
      <w:pPr>
        <w:pStyle w:val="enumlev1"/>
        <w:rPr>
          <w:rFonts w:asciiTheme="majorBidi" w:hAnsiTheme="majorBidi" w:cstheme="majorBidi"/>
          <w:szCs w:val="24"/>
          <w:lang w:val="fr-CH" w:eastAsia="zh-CN"/>
        </w:rPr>
      </w:pPr>
      <w:r w:rsidRPr="00404AD2">
        <w:rPr>
          <w:szCs w:val="24"/>
        </w:rPr>
        <w:t>•</w:t>
      </w:r>
      <w:r w:rsidRPr="00404AD2">
        <w:rPr>
          <w:szCs w:val="24"/>
        </w:rPr>
        <w:tab/>
      </w:r>
      <w:hyperlink r:id="rId12" w:history="1">
        <w:r w:rsidRPr="00404AD2">
          <w:rPr>
            <w:rFonts w:asciiTheme="majorBidi" w:hAnsiTheme="majorBidi" w:cstheme="majorBidi"/>
            <w:color w:val="02274B"/>
            <w:szCs w:val="24"/>
            <w:u w:val="single"/>
            <w:lang w:val="fr-CH" w:eastAsia="zh-CN"/>
          </w:rPr>
          <w:t>Révision de la Résolution UIT-R 1-6</w:t>
        </w:r>
      </w:hyperlink>
      <w:r w:rsidRPr="00404AD2">
        <w:rPr>
          <w:rFonts w:asciiTheme="majorBidi" w:hAnsiTheme="majorBidi" w:cstheme="majorBidi"/>
          <w:szCs w:val="24"/>
          <w:lang w:val="fr-CH" w:eastAsia="zh-CN"/>
        </w:rPr>
        <w:t>, M. Robin Haines (Etats-Unis d'Amérique)</w:t>
      </w:r>
      <w:r w:rsidRPr="00404AD2">
        <w:rPr>
          <w:rFonts w:asciiTheme="majorBidi" w:hAnsiTheme="majorBidi" w:cstheme="majorBidi"/>
          <w:szCs w:val="24"/>
          <w:lang w:val="fr-CH" w:eastAsia="zh-CN"/>
        </w:rPr>
        <w:br/>
      </w:r>
      <w:hyperlink r:id="rId13" w:history="1">
        <w:r w:rsidRPr="00404AD2">
          <w:rPr>
            <w:rStyle w:val="Hyperlink"/>
            <w:rFonts w:asciiTheme="majorBidi" w:hAnsiTheme="majorBidi" w:cstheme="majorBidi"/>
            <w:szCs w:val="24"/>
            <w:lang w:val="fr-CH" w:eastAsia="zh-CN"/>
          </w:rPr>
          <w:t>https://extranet.itu.int/itu-r/conferences/rag/cg_resolution_itu_r_1_6/</w:t>
        </w:r>
      </w:hyperlink>
    </w:p>
    <w:p w:rsidR="00BA7363" w:rsidRPr="00404AD2" w:rsidRDefault="00BA7363" w:rsidP="00BA7363">
      <w:pPr>
        <w:pStyle w:val="enumlev1"/>
        <w:rPr>
          <w:rFonts w:asciiTheme="majorBidi" w:hAnsiTheme="majorBidi" w:cstheme="majorBidi"/>
          <w:szCs w:val="24"/>
          <w:lang w:eastAsia="zh-CN"/>
        </w:rPr>
      </w:pPr>
      <w:r w:rsidRPr="00404AD2">
        <w:rPr>
          <w:szCs w:val="24"/>
        </w:rPr>
        <w:t>•</w:t>
      </w:r>
      <w:r w:rsidRPr="00404AD2">
        <w:rPr>
          <w:szCs w:val="24"/>
        </w:rPr>
        <w:tab/>
      </w:r>
      <w:hyperlink r:id="rId14" w:history="1">
        <w:r w:rsidRPr="00404AD2">
          <w:rPr>
            <w:rFonts w:asciiTheme="majorBidi" w:hAnsiTheme="majorBidi" w:cstheme="majorBidi"/>
            <w:color w:val="02274B"/>
            <w:szCs w:val="24"/>
            <w:u w:val="single"/>
            <w:lang w:val="fr-CH" w:eastAsia="zh-CN"/>
          </w:rPr>
          <w:t>Format(s) des Recommandations UIT-R</w:t>
        </w:r>
      </w:hyperlink>
      <w:r w:rsidRPr="00404AD2">
        <w:rPr>
          <w:rFonts w:asciiTheme="majorBidi" w:hAnsiTheme="majorBidi" w:cstheme="majorBidi"/>
          <w:szCs w:val="24"/>
          <w:lang w:val="fr-CH" w:eastAsia="zh-CN"/>
        </w:rPr>
        <w:t xml:space="preserve">, M. </w:t>
      </w:r>
      <w:r w:rsidRPr="00404AD2">
        <w:rPr>
          <w:rFonts w:asciiTheme="majorBidi" w:hAnsiTheme="majorBidi" w:cstheme="majorBidi"/>
          <w:szCs w:val="24"/>
          <w:lang w:eastAsia="zh-CN"/>
        </w:rPr>
        <w:t>Albert Nalbandian (Arménie)</w:t>
      </w:r>
      <w:r w:rsidRPr="00404AD2">
        <w:rPr>
          <w:rFonts w:asciiTheme="majorBidi" w:hAnsiTheme="majorBidi" w:cstheme="majorBidi"/>
          <w:szCs w:val="24"/>
          <w:lang w:eastAsia="zh-CN"/>
        </w:rPr>
        <w:br/>
      </w:r>
      <w:hyperlink r:id="rId15" w:history="1">
        <w:r w:rsidRPr="00404AD2">
          <w:rPr>
            <w:rStyle w:val="Hyperlink"/>
            <w:rFonts w:asciiTheme="majorBidi" w:hAnsiTheme="majorBidi" w:cstheme="majorBidi"/>
            <w:szCs w:val="24"/>
            <w:lang w:eastAsia="zh-CN"/>
          </w:rPr>
          <w:t>https://extranet.itu.int/itu-r/conferences/rag/cg_format_itu_r_rec/</w:t>
        </w:r>
      </w:hyperlink>
    </w:p>
    <w:p w:rsidR="00BA7363" w:rsidRPr="00404AD2" w:rsidRDefault="00D16078" w:rsidP="00BA7363">
      <w:pPr>
        <w:pStyle w:val="enumlev1"/>
        <w:rPr>
          <w:rFonts w:asciiTheme="majorBidi" w:hAnsiTheme="majorBidi" w:cstheme="majorBidi"/>
          <w:szCs w:val="24"/>
          <w:lang w:val="fr-CH" w:eastAsia="zh-CN"/>
        </w:rPr>
      </w:pPr>
      <w:hyperlink r:id="rId16" w:history="1">
        <w:r w:rsidR="00BA7363" w:rsidRPr="00404AD2">
          <w:rPr>
            <w:szCs w:val="24"/>
          </w:rPr>
          <w:t>•</w:t>
        </w:r>
        <w:r w:rsidR="00BA7363" w:rsidRPr="00404AD2">
          <w:rPr>
            <w:szCs w:val="24"/>
          </w:rPr>
          <w:tab/>
        </w:r>
        <w:r w:rsidR="00BA7363" w:rsidRPr="00404AD2">
          <w:rPr>
            <w:rFonts w:asciiTheme="majorBidi" w:hAnsiTheme="majorBidi" w:cstheme="majorBidi"/>
            <w:color w:val="02274B"/>
            <w:szCs w:val="24"/>
            <w:u w:val="single"/>
            <w:lang w:val="fr-CH" w:eastAsia="zh-CN"/>
          </w:rPr>
          <w:t>Révision de la Résolution UIT-R 6-1</w:t>
        </w:r>
      </w:hyperlink>
      <w:r w:rsidR="00BA7363" w:rsidRPr="00404AD2">
        <w:rPr>
          <w:rFonts w:asciiTheme="majorBidi" w:hAnsiTheme="majorBidi" w:cstheme="majorBidi"/>
          <w:szCs w:val="24"/>
          <w:lang w:val="fr-CH" w:eastAsia="zh-CN"/>
        </w:rPr>
        <w:t>, M. Paolo Zaccarian (Italie)</w:t>
      </w:r>
      <w:r w:rsidR="00BA7363" w:rsidRPr="00404AD2">
        <w:rPr>
          <w:rFonts w:asciiTheme="majorBidi" w:hAnsiTheme="majorBidi" w:cstheme="majorBidi"/>
          <w:szCs w:val="24"/>
          <w:lang w:val="fr-CH" w:eastAsia="zh-CN"/>
        </w:rPr>
        <w:br/>
      </w:r>
      <w:hyperlink r:id="rId17" w:history="1">
        <w:r w:rsidR="00BA7363" w:rsidRPr="00404AD2">
          <w:rPr>
            <w:rStyle w:val="Hyperlink"/>
            <w:rFonts w:asciiTheme="majorBidi" w:hAnsiTheme="majorBidi" w:cstheme="majorBidi"/>
            <w:szCs w:val="24"/>
            <w:lang w:val="fr-CH" w:eastAsia="zh-CN"/>
          </w:rPr>
          <w:t>https://extranet.itu.int/itu-r/conferences/rag/cg_resolution_itu_r_6_1/</w:t>
        </w:r>
      </w:hyperlink>
      <w:r w:rsidR="00BA7363" w:rsidRPr="00404AD2">
        <w:rPr>
          <w:szCs w:val="24"/>
          <w:lang w:val="fr-CH"/>
        </w:rPr>
        <w:t>.</w:t>
      </w:r>
    </w:p>
    <w:p w:rsidR="00BA7363" w:rsidRDefault="00BA7363" w:rsidP="00BA7363">
      <w:pPr>
        <w:pStyle w:val="Heading1"/>
      </w:pPr>
      <w:r>
        <w:t>3.2</w:t>
      </w:r>
      <w:r>
        <w:tab/>
        <w:t>Résultats de la CMR-12</w:t>
      </w:r>
    </w:p>
    <w:p w:rsidR="00BA7363" w:rsidRPr="007C72EB" w:rsidRDefault="00BA7363" w:rsidP="00BA7363">
      <w:pPr>
        <w:pStyle w:val="Heading3"/>
        <w:rPr>
          <w:lang w:val="fr-CH"/>
        </w:rPr>
      </w:pPr>
      <w:r w:rsidRPr="007C72EB">
        <w:rPr>
          <w:lang w:val="fr-CH"/>
        </w:rPr>
        <w:t>3.2.1</w:t>
      </w:r>
      <w:r w:rsidRPr="007C72EB">
        <w:rPr>
          <w:lang w:val="fr-CH"/>
        </w:rPr>
        <w:tab/>
        <w:t xml:space="preserve">Conception de logiciels en application des décisions de la Conférence </w:t>
      </w:r>
    </w:p>
    <w:p w:rsidR="00BA7363" w:rsidRDefault="00BA7363" w:rsidP="00BA7363">
      <w:pPr>
        <w:spacing w:after="240"/>
        <w:rPr>
          <w:lang w:val="fr-CH"/>
        </w:rPr>
      </w:pPr>
      <w:r w:rsidRPr="007C72EB">
        <w:rPr>
          <w:lang w:val="fr-CH"/>
        </w:rPr>
        <w:t xml:space="preserve">Le BR a commencé à élaborer </w:t>
      </w:r>
      <w:r>
        <w:rPr>
          <w:lang w:val="fr-CH"/>
        </w:rPr>
        <w:t xml:space="preserve">et à utiliser </w:t>
      </w:r>
      <w:r w:rsidRPr="007C72EB">
        <w:rPr>
          <w:lang w:val="fr-CH"/>
        </w:rPr>
        <w:t xml:space="preserve">des logiciels en application des décisions de la CMR-12. On trouvera dans le Tableau </w:t>
      </w:r>
      <w:r>
        <w:rPr>
          <w:lang w:val="fr-CH"/>
        </w:rPr>
        <w:t xml:space="preserve">ci-dessous </w:t>
      </w:r>
      <w:r w:rsidRPr="007C72EB">
        <w:rPr>
          <w:lang w:val="fr-CH"/>
        </w:rPr>
        <w:t>un résumé des principales tâches à l'étude</w:t>
      </w:r>
      <w:r>
        <w:rPr>
          <w:lang w:val="fr-CH"/>
        </w:rPr>
        <w:t>, conformément aux discussions sur le système d'information du BR qui ont</w:t>
      </w:r>
      <w:r w:rsidR="00BB2991">
        <w:rPr>
          <w:lang w:val="fr-CH"/>
        </w:rPr>
        <w:t xml:space="preserve"> eu lieu dans le cadre du GCR-</w:t>
      </w:r>
      <w:r>
        <w:rPr>
          <w:lang w:val="fr-CH"/>
        </w:rPr>
        <w:t>12</w:t>
      </w:r>
      <w:r w:rsidRPr="007C72EB">
        <w:rPr>
          <w:lang w:val="fr-CH"/>
        </w:rPr>
        <w:t>.</w:t>
      </w:r>
    </w:p>
    <w:p w:rsidR="00205EF2" w:rsidRPr="00205EF2" w:rsidRDefault="00205EF2" w:rsidP="00205EF2">
      <w:pPr>
        <w:spacing w:after="240"/>
        <w:jc w:val="center"/>
        <w:rPr>
          <w:b/>
          <w:bCs/>
          <w:sz w:val="22"/>
          <w:szCs w:val="22"/>
          <w:lang w:val="fr-CH"/>
        </w:rPr>
      </w:pPr>
      <w:r w:rsidRPr="00205EF2">
        <w:rPr>
          <w:b/>
          <w:bCs/>
          <w:sz w:val="22"/>
          <w:szCs w:val="22"/>
        </w:rPr>
        <w:t>Conception de logiciels en application des décisions de la CMR-12</w:t>
      </w:r>
    </w:p>
    <w:tbl>
      <w:tblPr>
        <w:tblW w:w="0" w:type="auto"/>
        <w:jc w:val="center"/>
        <w:tblLook w:val="04A0" w:firstRow="1" w:lastRow="0" w:firstColumn="1" w:lastColumn="0" w:noHBand="0" w:noVBand="1"/>
      </w:tblPr>
      <w:tblGrid>
        <w:gridCol w:w="9463"/>
      </w:tblGrid>
      <w:tr w:rsidR="00BA7363" w:rsidRPr="00F86EB1" w:rsidTr="00BB2991">
        <w:trPr>
          <w:jc w:val="center"/>
        </w:trPr>
        <w:tc>
          <w:tcPr>
            <w:tcW w:w="9463" w:type="dxa"/>
            <w:tcBorders>
              <w:top w:val="single" w:sz="4" w:space="0" w:color="auto"/>
              <w:left w:val="single" w:sz="4" w:space="0" w:color="auto"/>
              <w:bottom w:val="single" w:sz="4" w:space="0" w:color="auto"/>
              <w:right w:val="single" w:sz="4" w:space="0" w:color="auto"/>
            </w:tcBorders>
          </w:tcPr>
          <w:p w:rsidR="00BA7363" w:rsidRPr="00F86EB1" w:rsidRDefault="00BA7363" w:rsidP="00BB2991">
            <w:pPr>
              <w:pStyle w:val="Tablehead"/>
            </w:pPr>
            <w:r w:rsidRPr="00F86EB1">
              <w:t xml:space="preserve">Modifications apportées à la base de données du SNS </w:t>
            </w:r>
          </w:p>
        </w:tc>
      </w:tr>
      <w:tr w:rsidR="00BA7363" w:rsidRPr="00B12347" w:rsidTr="00BB2991">
        <w:trPr>
          <w:jc w:val="center"/>
        </w:trPr>
        <w:tc>
          <w:tcPr>
            <w:tcW w:w="9463" w:type="dxa"/>
            <w:tcBorders>
              <w:top w:val="single" w:sz="4" w:space="0" w:color="auto"/>
              <w:left w:val="single" w:sz="4" w:space="0" w:color="auto"/>
              <w:bottom w:val="single" w:sz="4" w:space="0" w:color="auto"/>
              <w:right w:val="single" w:sz="4" w:space="0" w:color="auto"/>
            </w:tcBorders>
          </w:tcPr>
          <w:p w:rsidR="00BA7363" w:rsidRPr="004F5F02" w:rsidRDefault="00BA7363" w:rsidP="007D6DBA">
            <w:pPr>
              <w:pStyle w:val="Tabletext"/>
              <w:rPr>
                <w:lang w:val="fr-CH"/>
              </w:rPr>
            </w:pPr>
            <w:r w:rsidRPr="004F5F02">
              <w:rPr>
                <w:lang w:val="fr-CH"/>
              </w:rPr>
              <w:t>Adjonction de nouveaux éléments de données dans l'Appendice 4 par la CMR-12</w:t>
            </w:r>
          </w:p>
        </w:tc>
      </w:tr>
      <w:tr w:rsidR="00BA7363" w:rsidRPr="00B12347" w:rsidTr="00BB2991">
        <w:trPr>
          <w:jc w:val="center"/>
        </w:trPr>
        <w:tc>
          <w:tcPr>
            <w:tcW w:w="9463" w:type="dxa"/>
            <w:tcBorders>
              <w:top w:val="single" w:sz="4" w:space="0" w:color="auto"/>
              <w:left w:val="single" w:sz="4" w:space="0" w:color="auto"/>
              <w:bottom w:val="single" w:sz="4" w:space="0" w:color="auto"/>
              <w:right w:val="single" w:sz="4" w:space="0" w:color="auto"/>
            </w:tcBorders>
          </w:tcPr>
          <w:p w:rsidR="00BA7363" w:rsidRPr="004F5F02" w:rsidRDefault="00BA7363" w:rsidP="007D6DBA">
            <w:pPr>
              <w:pStyle w:val="Tabletext"/>
              <w:rPr>
                <w:lang w:val="fr-CH"/>
              </w:rPr>
            </w:pPr>
            <w:r w:rsidRPr="004F5F02">
              <w:rPr>
                <w:lang w:val="fr-CH"/>
              </w:rPr>
              <w:t>Adjonction de tableaux au titre de la Résolution 552</w:t>
            </w:r>
            <w:r>
              <w:rPr>
                <w:lang w:val="fr-CH"/>
              </w:rPr>
              <w:t xml:space="preserve"> </w:t>
            </w:r>
            <w:r w:rsidRPr="004F5F02">
              <w:rPr>
                <w:lang w:val="fr-CH"/>
              </w:rPr>
              <w:t xml:space="preserve">– Nouvelle procédure de diligence due pour la bande 21,4-22 GHz </w:t>
            </w:r>
          </w:p>
        </w:tc>
      </w:tr>
      <w:tr w:rsidR="00BA7363" w:rsidRPr="00B12347" w:rsidTr="00BB2991">
        <w:trPr>
          <w:jc w:val="center"/>
        </w:trPr>
        <w:tc>
          <w:tcPr>
            <w:tcW w:w="9463" w:type="dxa"/>
            <w:tcBorders>
              <w:top w:val="single" w:sz="4" w:space="0" w:color="auto"/>
              <w:left w:val="single" w:sz="4" w:space="0" w:color="auto"/>
              <w:bottom w:val="single" w:sz="4" w:space="0" w:color="auto"/>
              <w:right w:val="single" w:sz="4" w:space="0" w:color="auto"/>
            </w:tcBorders>
          </w:tcPr>
          <w:p w:rsidR="00BA7363" w:rsidRPr="004F5F02" w:rsidRDefault="00BA7363" w:rsidP="007D6DBA">
            <w:pPr>
              <w:pStyle w:val="Tabletext"/>
              <w:rPr>
                <w:lang w:val="fr-CH"/>
              </w:rPr>
            </w:pPr>
            <w:r w:rsidRPr="004F5F02">
              <w:rPr>
                <w:lang w:val="fr-CH"/>
              </w:rPr>
              <w:t>Adjonction d'éléments de données au titre de la Résolution 554 – Procédure spéciale à suivre pour la soumission d'assignations du SRS dans la bande 21,4-22 GHz</w:t>
            </w:r>
          </w:p>
        </w:tc>
      </w:tr>
      <w:tr w:rsidR="00BA7363" w:rsidRPr="00B12347" w:rsidTr="00BB2991">
        <w:trPr>
          <w:jc w:val="center"/>
        </w:trPr>
        <w:tc>
          <w:tcPr>
            <w:tcW w:w="9463" w:type="dxa"/>
            <w:tcBorders>
              <w:top w:val="single" w:sz="4" w:space="0" w:color="auto"/>
              <w:left w:val="single" w:sz="4" w:space="0" w:color="auto"/>
              <w:bottom w:val="single" w:sz="4" w:space="0" w:color="auto"/>
              <w:right w:val="single" w:sz="4" w:space="0" w:color="auto"/>
            </w:tcBorders>
          </w:tcPr>
          <w:p w:rsidR="00BA7363" w:rsidRPr="00205EF2" w:rsidRDefault="00BA7363" w:rsidP="00205EF2">
            <w:pPr>
              <w:pStyle w:val="Tabletext"/>
              <w:jc w:val="center"/>
              <w:rPr>
                <w:b/>
                <w:bCs/>
                <w:lang w:val="fr-CH"/>
              </w:rPr>
            </w:pPr>
            <w:r w:rsidRPr="00205EF2">
              <w:rPr>
                <w:b/>
                <w:bCs/>
                <w:lang w:val="fr-CH"/>
              </w:rPr>
              <w:t>Modifications apportées à la Résolution 908 – Soumi</w:t>
            </w:r>
            <w:r w:rsidR="00205EF2">
              <w:rPr>
                <w:b/>
                <w:bCs/>
                <w:lang w:val="fr-CH"/>
              </w:rPr>
              <w:t>ssion par voie électronique des </w:t>
            </w:r>
            <w:r w:rsidRPr="00205EF2">
              <w:rPr>
                <w:b/>
                <w:bCs/>
                <w:lang w:val="fr-CH"/>
              </w:rPr>
              <w:t>renseignements pour la publication anticipée</w:t>
            </w:r>
          </w:p>
        </w:tc>
      </w:tr>
      <w:tr w:rsidR="00BA7363" w:rsidRPr="00B12347" w:rsidTr="00BB2991">
        <w:trPr>
          <w:jc w:val="center"/>
        </w:trPr>
        <w:tc>
          <w:tcPr>
            <w:tcW w:w="9463" w:type="dxa"/>
            <w:tcBorders>
              <w:top w:val="single" w:sz="4" w:space="0" w:color="auto"/>
              <w:left w:val="single" w:sz="4" w:space="0" w:color="auto"/>
              <w:bottom w:val="single" w:sz="4" w:space="0" w:color="auto"/>
              <w:right w:val="single" w:sz="4" w:space="0" w:color="auto"/>
            </w:tcBorders>
          </w:tcPr>
          <w:p w:rsidR="00BA7363" w:rsidRPr="004F5F02" w:rsidRDefault="00BA7363" w:rsidP="007D6DBA">
            <w:pPr>
              <w:pStyle w:val="Tabletext"/>
              <w:rPr>
                <w:lang w:val="fr-CH"/>
              </w:rPr>
            </w:pPr>
            <w:r w:rsidRPr="004F5F02">
              <w:rPr>
                <w:lang w:val="fr-CH"/>
              </w:rPr>
              <w:t>Modifications apportées au tableau tr_aff_ntw afin de disposer d'une liste des réseaux à satellite à fournir obligatoirement au titre des numéros 9.36.2 et 9.41</w:t>
            </w:r>
          </w:p>
        </w:tc>
      </w:tr>
      <w:tr w:rsidR="00BA7363" w:rsidRPr="00B12347" w:rsidTr="00BB2991">
        <w:trPr>
          <w:jc w:val="center"/>
        </w:trPr>
        <w:tc>
          <w:tcPr>
            <w:tcW w:w="9463" w:type="dxa"/>
            <w:tcBorders>
              <w:top w:val="single" w:sz="4" w:space="0" w:color="auto"/>
              <w:left w:val="single" w:sz="4" w:space="0" w:color="auto"/>
              <w:bottom w:val="single" w:sz="4" w:space="0" w:color="auto"/>
              <w:right w:val="single" w:sz="4" w:space="0" w:color="auto"/>
            </w:tcBorders>
          </w:tcPr>
          <w:p w:rsidR="00BA7363" w:rsidRPr="00F86EB1" w:rsidRDefault="00BA7363" w:rsidP="00205EF2">
            <w:pPr>
              <w:pStyle w:val="Tabletext"/>
            </w:pPr>
            <w:r w:rsidRPr="00F86EB1">
              <w:t>Modifications apportées aux logiciels existants</w:t>
            </w:r>
          </w:p>
        </w:tc>
      </w:tr>
      <w:tr w:rsidR="00BA7363" w:rsidRPr="00B12347" w:rsidTr="00BB2991">
        <w:trPr>
          <w:jc w:val="center"/>
        </w:trPr>
        <w:tc>
          <w:tcPr>
            <w:tcW w:w="9463" w:type="dxa"/>
            <w:tcBorders>
              <w:top w:val="single" w:sz="4" w:space="0" w:color="auto"/>
              <w:left w:val="single" w:sz="4" w:space="0" w:color="auto"/>
              <w:bottom w:val="single" w:sz="4" w:space="0" w:color="auto"/>
              <w:right w:val="single" w:sz="4" w:space="0" w:color="auto"/>
            </w:tcBorders>
          </w:tcPr>
          <w:p w:rsidR="00BA7363" w:rsidRPr="004F5F02" w:rsidRDefault="00BA7363" w:rsidP="007D6DBA">
            <w:pPr>
              <w:pStyle w:val="Tabletext"/>
              <w:rPr>
                <w:lang w:val="fr-CH"/>
              </w:rPr>
            </w:pPr>
            <w:r w:rsidRPr="004F5F02">
              <w:rPr>
                <w:lang w:val="fr-CH"/>
              </w:rPr>
              <w:t>Nouvelle interface de saisie RS49 au titre de la Résolution 552</w:t>
            </w:r>
          </w:p>
        </w:tc>
      </w:tr>
      <w:tr w:rsidR="00BA7363" w:rsidRPr="00B12347" w:rsidTr="00BB2991">
        <w:trPr>
          <w:jc w:val="center"/>
        </w:trPr>
        <w:tc>
          <w:tcPr>
            <w:tcW w:w="9463" w:type="dxa"/>
            <w:tcBorders>
              <w:top w:val="single" w:sz="4" w:space="0" w:color="auto"/>
              <w:left w:val="single" w:sz="4" w:space="0" w:color="auto"/>
              <w:bottom w:val="single" w:sz="4" w:space="0" w:color="auto"/>
              <w:right w:val="single" w:sz="4" w:space="0" w:color="auto"/>
            </w:tcBorders>
          </w:tcPr>
          <w:p w:rsidR="00BA7363" w:rsidRPr="004F5F02" w:rsidRDefault="00BA7363" w:rsidP="007D6DBA">
            <w:pPr>
              <w:pStyle w:val="Tabletext"/>
              <w:rPr>
                <w:lang w:val="fr-CH"/>
              </w:rPr>
            </w:pPr>
            <w:r w:rsidRPr="004F5F02">
              <w:rPr>
                <w:lang w:val="fr-CH"/>
              </w:rPr>
              <w:t>Nouvelle publication au titre de la Résolution 552</w:t>
            </w:r>
          </w:p>
        </w:tc>
      </w:tr>
      <w:tr w:rsidR="00BA7363" w:rsidRPr="00B12347" w:rsidTr="00BB2991">
        <w:trPr>
          <w:jc w:val="center"/>
        </w:trPr>
        <w:tc>
          <w:tcPr>
            <w:tcW w:w="9463" w:type="dxa"/>
            <w:tcBorders>
              <w:top w:val="single" w:sz="4" w:space="0" w:color="auto"/>
              <w:left w:val="single" w:sz="4" w:space="0" w:color="auto"/>
              <w:bottom w:val="single" w:sz="4" w:space="0" w:color="auto"/>
              <w:right w:val="single" w:sz="4" w:space="0" w:color="auto"/>
            </w:tcBorders>
          </w:tcPr>
          <w:p w:rsidR="00BA7363" w:rsidRPr="004F5F02" w:rsidRDefault="00BA7363" w:rsidP="007D6DBA">
            <w:pPr>
              <w:pStyle w:val="Tabletext"/>
              <w:rPr>
                <w:lang w:val="fr-CH"/>
              </w:rPr>
            </w:pPr>
            <w:r w:rsidRPr="004F5F02">
              <w:rPr>
                <w:lang w:val="fr-CH"/>
              </w:rPr>
              <w:t>Modifications apportées au logiciel d'examen technique au titre de la Résolution 553</w:t>
            </w:r>
          </w:p>
        </w:tc>
      </w:tr>
      <w:tr w:rsidR="00BA7363" w:rsidRPr="00B12347" w:rsidTr="00BB2991">
        <w:trPr>
          <w:jc w:val="center"/>
        </w:trPr>
        <w:tc>
          <w:tcPr>
            <w:tcW w:w="9463" w:type="dxa"/>
            <w:tcBorders>
              <w:top w:val="single" w:sz="4" w:space="0" w:color="auto"/>
              <w:left w:val="single" w:sz="4" w:space="0" w:color="auto"/>
              <w:bottom w:val="single" w:sz="4" w:space="0" w:color="auto"/>
              <w:right w:val="single" w:sz="4" w:space="0" w:color="auto"/>
            </w:tcBorders>
          </w:tcPr>
          <w:p w:rsidR="00BA7363" w:rsidRPr="004F5F02" w:rsidRDefault="00BA7363" w:rsidP="007D6DBA">
            <w:pPr>
              <w:pStyle w:val="Tabletext"/>
              <w:rPr>
                <w:lang w:val="fr-CH"/>
              </w:rPr>
            </w:pPr>
            <w:r w:rsidRPr="004F5F02">
              <w:rPr>
                <w:lang w:val="fr-CH"/>
              </w:rPr>
              <w:t>Modifications apportées au logiciel d'examen technique</w:t>
            </w:r>
            <w:r>
              <w:rPr>
                <w:lang w:val="fr-CH"/>
              </w:rPr>
              <w:t xml:space="preserve"> au titre de la Résolution 554</w:t>
            </w:r>
            <w:r w:rsidRPr="004F5F02">
              <w:rPr>
                <w:lang w:val="fr-CH"/>
              </w:rPr>
              <w:t xml:space="preserve"> – Outil d'examen à l'aide d'un nouveau gabarit de puissance surfacique à l'intérieur de l'arc de coordination</w:t>
            </w:r>
          </w:p>
        </w:tc>
      </w:tr>
      <w:tr w:rsidR="00BA7363" w:rsidRPr="00B12347" w:rsidTr="00BB2991">
        <w:trPr>
          <w:jc w:val="center"/>
        </w:trPr>
        <w:tc>
          <w:tcPr>
            <w:tcW w:w="9463" w:type="dxa"/>
            <w:tcBorders>
              <w:top w:val="single" w:sz="4" w:space="0" w:color="auto"/>
              <w:left w:val="single" w:sz="4" w:space="0" w:color="auto"/>
              <w:bottom w:val="single" w:sz="4" w:space="0" w:color="auto"/>
              <w:right w:val="single" w:sz="4" w:space="0" w:color="auto"/>
            </w:tcBorders>
          </w:tcPr>
          <w:p w:rsidR="00BA7363" w:rsidRPr="004F5F02" w:rsidRDefault="00BA7363" w:rsidP="007D6DBA">
            <w:pPr>
              <w:pStyle w:val="Tabletext"/>
              <w:rPr>
                <w:lang w:val="fr-CH"/>
              </w:rPr>
            </w:pPr>
            <w:r w:rsidRPr="004F5F02">
              <w:rPr>
                <w:lang w:val="fr-CH"/>
              </w:rPr>
              <w:t>Modifications apportées à la saisie des conclusions au titre de la Résolution 553</w:t>
            </w:r>
          </w:p>
        </w:tc>
      </w:tr>
      <w:tr w:rsidR="00BA7363" w:rsidRPr="00B12347" w:rsidTr="00BB2991">
        <w:trPr>
          <w:jc w:val="center"/>
        </w:trPr>
        <w:tc>
          <w:tcPr>
            <w:tcW w:w="9463" w:type="dxa"/>
            <w:tcBorders>
              <w:top w:val="single" w:sz="4" w:space="0" w:color="auto"/>
              <w:left w:val="single" w:sz="4" w:space="0" w:color="auto"/>
              <w:bottom w:val="single" w:sz="4" w:space="0" w:color="auto"/>
              <w:right w:val="single" w:sz="4" w:space="0" w:color="auto"/>
            </w:tcBorders>
          </w:tcPr>
          <w:p w:rsidR="00BA7363" w:rsidRPr="004F5F02" w:rsidRDefault="00BA7363" w:rsidP="007D6DBA">
            <w:pPr>
              <w:pStyle w:val="Tabletext"/>
              <w:rPr>
                <w:lang w:val="fr-CH"/>
              </w:rPr>
            </w:pPr>
            <w:r w:rsidRPr="004F5F02">
              <w:rPr>
                <w:lang w:val="fr-CH"/>
              </w:rPr>
              <w:t>Modifications apportées au logiciel SpaceCom au titre de la Résolution 553</w:t>
            </w:r>
          </w:p>
        </w:tc>
      </w:tr>
      <w:tr w:rsidR="00BA7363" w:rsidRPr="00F86EB1" w:rsidTr="00BB2991">
        <w:trPr>
          <w:jc w:val="center"/>
        </w:trPr>
        <w:tc>
          <w:tcPr>
            <w:tcW w:w="9463" w:type="dxa"/>
            <w:tcBorders>
              <w:top w:val="single" w:sz="4" w:space="0" w:color="auto"/>
              <w:left w:val="single" w:sz="4" w:space="0" w:color="auto"/>
              <w:bottom w:val="single" w:sz="4" w:space="0" w:color="auto"/>
              <w:right w:val="single" w:sz="4" w:space="0" w:color="auto"/>
            </w:tcBorders>
          </w:tcPr>
          <w:p w:rsidR="00BA7363" w:rsidRPr="00F86EB1" w:rsidRDefault="00BA7363" w:rsidP="007D6DBA">
            <w:pPr>
              <w:pStyle w:val="Tabletext"/>
              <w:rPr>
                <w:lang w:val="fr-CH"/>
              </w:rPr>
            </w:pPr>
            <w:r w:rsidRPr="00F86EB1">
              <w:rPr>
                <w:lang w:val="fr-CH"/>
              </w:rPr>
              <w:t xml:space="preserve">Modifications apportées au logiciel sur les conclusions par </w:t>
            </w:r>
            <w:r>
              <w:rPr>
                <w:lang w:val="fr-CH"/>
              </w:rPr>
              <w:t xml:space="preserve">lots </w:t>
            </w:r>
            <w:r w:rsidRPr="00F86EB1">
              <w:rPr>
                <w:lang w:val="fr-CH"/>
              </w:rPr>
              <w:t xml:space="preserve">pour la tenue à jour de la liste des réseaux à satellite au titre des numéros 9.36.2 </w:t>
            </w:r>
            <w:r>
              <w:rPr>
                <w:lang w:val="fr-CH"/>
              </w:rPr>
              <w:t xml:space="preserve">et </w:t>
            </w:r>
            <w:r w:rsidRPr="00F86EB1">
              <w:rPr>
                <w:lang w:val="fr-CH"/>
              </w:rPr>
              <w:t>9.41</w:t>
            </w:r>
          </w:p>
        </w:tc>
      </w:tr>
      <w:tr w:rsidR="00BA7363" w:rsidRPr="00B12347" w:rsidTr="00BB2991">
        <w:trPr>
          <w:jc w:val="center"/>
        </w:trPr>
        <w:tc>
          <w:tcPr>
            <w:tcW w:w="9463" w:type="dxa"/>
            <w:tcBorders>
              <w:top w:val="single" w:sz="4" w:space="0" w:color="auto"/>
              <w:left w:val="single" w:sz="4" w:space="0" w:color="auto"/>
              <w:bottom w:val="single" w:sz="4" w:space="0" w:color="auto"/>
              <w:right w:val="single" w:sz="4" w:space="0" w:color="auto"/>
            </w:tcBorders>
          </w:tcPr>
          <w:p w:rsidR="00BA7363" w:rsidRPr="004F5F02" w:rsidRDefault="00BA7363" w:rsidP="007D6DBA">
            <w:pPr>
              <w:pStyle w:val="Tabletext"/>
              <w:rPr>
                <w:lang w:val="fr-CH"/>
              </w:rPr>
            </w:pPr>
            <w:r w:rsidRPr="004F5F02">
              <w:rPr>
                <w:lang w:val="fr-CH"/>
              </w:rPr>
              <w:t>Nouvelle publication CR/F au titre de la Résolution 553</w:t>
            </w:r>
          </w:p>
        </w:tc>
      </w:tr>
      <w:tr w:rsidR="00BA7363" w:rsidRPr="00B12347" w:rsidTr="00BB2991">
        <w:trPr>
          <w:jc w:val="center"/>
        </w:trPr>
        <w:tc>
          <w:tcPr>
            <w:tcW w:w="9463" w:type="dxa"/>
            <w:tcBorders>
              <w:top w:val="single" w:sz="4" w:space="0" w:color="auto"/>
              <w:left w:val="single" w:sz="4" w:space="0" w:color="auto"/>
              <w:bottom w:val="single" w:sz="4" w:space="0" w:color="auto"/>
              <w:right w:val="single" w:sz="4" w:space="0" w:color="auto"/>
            </w:tcBorders>
          </w:tcPr>
          <w:p w:rsidR="00BA7363" w:rsidRPr="004F5F02" w:rsidRDefault="00BA7363" w:rsidP="007D6DBA">
            <w:pPr>
              <w:pStyle w:val="Tabletext"/>
              <w:rPr>
                <w:lang w:val="fr-CH"/>
              </w:rPr>
            </w:pPr>
            <w:r w:rsidRPr="004F5F02">
              <w:rPr>
                <w:lang w:val="fr-CH"/>
              </w:rPr>
              <w:t>Modifications apportées au logiciel Spacecap pour permettre la saisie de 20 points avec la zone de service au titre de la Résolution 553</w:t>
            </w:r>
          </w:p>
        </w:tc>
      </w:tr>
      <w:tr w:rsidR="00BA7363" w:rsidRPr="00B12347" w:rsidTr="00BB2991">
        <w:trPr>
          <w:jc w:val="center"/>
        </w:trPr>
        <w:tc>
          <w:tcPr>
            <w:tcW w:w="9463" w:type="dxa"/>
            <w:tcBorders>
              <w:top w:val="single" w:sz="4" w:space="0" w:color="auto"/>
              <w:left w:val="single" w:sz="4" w:space="0" w:color="auto"/>
              <w:bottom w:val="single" w:sz="4" w:space="0" w:color="auto"/>
              <w:right w:val="single" w:sz="4" w:space="0" w:color="auto"/>
            </w:tcBorders>
          </w:tcPr>
          <w:p w:rsidR="00BA7363" w:rsidRPr="004F5F02" w:rsidRDefault="00BA7363" w:rsidP="00BB2991">
            <w:pPr>
              <w:pStyle w:val="Tabletext"/>
              <w:keepNext/>
              <w:keepLines/>
              <w:rPr>
                <w:lang w:val="fr-CH"/>
              </w:rPr>
            </w:pPr>
            <w:r>
              <w:rPr>
                <w:lang w:val="fr-CH"/>
              </w:rPr>
              <w:lastRenderedPageBreak/>
              <w:t>Nouveau programme</w:t>
            </w:r>
            <w:r w:rsidRPr="00226F4C">
              <w:rPr>
                <w:lang w:val="fr-CH"/>
              </w:rPr>
              <w:t xml:space="preserve"> SRSConvert6to7</w:t>
            </w:r>
            <w:r>
              <w:rPr>
                <w:lang w:val="fr-CH"/>
              </w:rPr>
              <w:t xml:space="preserve"> pour la conversion de la base de données </w:t>
            </w:r>
            <w:r w:rsidRPr="00B11D22">
              <w:rPr>
                <w:lang w:val="fr-CH"/>
              </w:rPr>
              <w:t xml:space="preserve">V6 </w:t>
            </w:r>
            <w:r>
              <w:rPr>
                <w:lang w:val="fr-CH"/>
              </w:rPr>
              <w:t>à</w:t>
            </w:r>
            <w:r w:rsidRPr="00B11D22">
              <w:rPr>
                <w:lang w:val="fr-CH"/>
              </w:rPr>
              <w:t xml:space="preserve"> V7</w:t>
            </w:r>
            <w:r>
              <w:rPr>
                <w:lang w:val="fr-CH"/>
              </w:rPr>
              <w:t xml:space="preserve"> du </w:t>
            </w:r>
            <w:r w:rsidRPr="00B11D22">
              <w:rPr>
                <w:lang w:val="fr-CH"/>
              </w:rPr>
              <w:t>SNS</w:t>
            </w:r>
            <w:r>
              <w:rPr>
                <w:lang w:val="fr-CH"/>
              </w:rPr>
              <w:t xml:space="preserve"> de la version V6 à la version V7</w:t>
            </w:r>
          </w:p>
        </w:tc>
      </w:tr>
      <w:tr w:rsidR="00BA7363" w:rsidRPr="00B12347" w:rsidTr="00BB2991">
        <w:trPr>
          <w:jc w:val="center"/>
        </w:trPr>
        <w:tc>
          <w:tcPr>
            <w:tcW w:w="9463" w:type="dxa"/>
            <w:tcBorders>
              <w:top w:val="single" w:sz="4" w:space="0" w:color="auto"/>
              <w:left w:val="single" w:sz="4" w:space="0" w:color="auto"/>
              <w:bottom w:val="single" w:sz="4" w:space="0" w:color="auto"/>
              <w:right w:val="single" w:sz="4" w:space="0" w:color="auto"/>
            </w:tcBorders>
          </w:tcPr>
          <w:p w:rsidR="00BA7363" w:rsidRPr="004F5F02" w:rsidRDefault="00BA7363" w:rsidP="007D6DBA">
            <w:pPr>
              <w:pStyle w:val="Tabletext"/>
              <w:rPr>
                <w:lang w:val="fr-CH"/>
              </w:rPr>
            </w:pPr>
            <w:r>
              <w:rPr>
                <w:lang w:val="fr-CH"/>
              </w:rPr>
              <w:t xml:space="preserve">Modifications apportées à toutes les applications logicielles du BR pour adapter la base de données </w:t>
            </w:r>
            <w:r w:rsidRPr="00B11D22">
              <w:rPr>
                <w:lang w:val="fr-CH"/>
              </w:rPr>
              <w:t>V7</w:t>
            </w:r>
            <w:r>
              <w:rPr>
                <w:lang w:val="fr-CH"/>
              </w:rPr>
              <w:t xml:space="preserve"> du </w:t>
            </w:r>
            <w:r w:rsidRPr="00B11D22">
              <w:rPr>
                <w:lang w:val="fr-CH"/>
              </w:rPr>
              <w:t>SNS</w:t>
            </w:r>
          </w:p>
        </w:tc>
      </w:tr>
      <w:tr w:rsidR="00BA7363" w:rsidRPr="00F86EB1" w:rsidTr="00BB2991">
        <w:trPr>
          <w:jc w:val="center"/>
        </w:trPr>
        <w:tc>
          <w:tcPr>
            <w:tcW w:w="9463" w:type="dxa"/>
            <w:tcBorders>
              <w:top w:val="single" w:sz="4" w:space="0" w:color="auto"/>
              <w:left w:val="single" w:sz="4" w:space="0" w:color="auto"/>
              <w:bottom w:val="single" w:sz="4" w:space="0" w:color="auto"/>
              <w:right w:val="single" w:sz="4" w:space="0" w:color="auto"/>
            </w:tcBorders>
          </w:tcPr>
          <w:p w:rsidR="00BA7363" w:rsidRPr="00F86EB1" w:rsidRDefault="00BA7363" w:rsidP="00BB2991">
            <w:pPr>
              <w:pStyle w:val="Tablehead"/>
            </w:pPr>
            <w:r w:rsidRPr="00F86EB1">
              <w:t>Nouvelles applications</w:t>
            </w:r>
          </w:p>
        </w:tc>
      </w:tr>
      <w:tr w:rsidR="00BA7363" w:rsidRPr="00F86EB1" w:rsidTr="00BB2991">
        <w:trPr>
          <w:jc w:val="center"/>
        </w:trPr>
        <w:tc>
          <w:tcPr>
            <w:tcW w:w="9463" w:type="dxa"/>
            <w:tcBorders>
              <w:top w:val="single" w:sz="4" w:space="0" w:color="auto"/>
              <w:left w:val="single" w:sz="4" w:space="0" w:color="auto"/>
              <w:bottom w:val="single" w:sz="4" w:space="0" w:color="auto"/>
              <w:right w:val="single" w:sz="4" w:space="0" w:color="auto"/>
            </w:tcBorders>
          </w:tcPr>
          <w:p w:rsidR="00BA7363" w:rsidRPr="00F86EB1" w:rsidRDefault="00BA7363" w:rsidP="007D6DBA">
            <w:pPr>
              <w:pStyle w:val="Tabletext"/>
            </w:pPr>
            <w:r>
              <w:t>Résolution 907</w:t>
            </w:r>
            <w:r w:rsidRPr="00F86EB1">
              <w:t xml:space="preserve"> – Conception d'une nouvelle application web qui permettra à une Administration de soumettre une correspondance et des fiches de notification au BR dans un environnement sécurisé. Toute la correspondance échangée entre l'Administration et le BR sera mémorisée dans le système Documentum du BR. </w:t>
            </w:r>
          </w:p>
        </w:tc>
      </w:tr>
      <w:tr w:rsidR="00BA7363" w:rsidRPr="00F86EB1" w:rsidTr="00BB2991">
        <w:trPr>
          <w:jc w:val="center"/>
        </w:trPr>
        <w:tc>
          <w:tcPr>
            <w:tcW w:w="9463" w:type="dxa"/>
            <w:tcBorders>
              <w:top w:val="single" w:sz="4" w:space="0" w:color="auto"/>
              <w:left w:val="single" w:sz="4" w:space="0" w:color="auto"/>
              <w:bottom w:val="single" w:sz="4" w:space="0" w:color="auto"/>
              <w:right w:val="single" w:sz="4" w:space="0" w:color="auto"/>
            </w:tcBorders>
          </w:tcPr>
          <w:p w:rsidR="00BA7363" w:rsidRPr="00F86EB1" w:rsidRDefault="00BA7363" w:rsidP="007D6DBA">
            <w:pPr>
              <w:pStyle w:val="Tabletext"/>
            </w:pPr>
            <w:r>
              <w:t>Résolution 908</w:t>
            </w:r>
            <w:r w:rsidRPr="00F86EB1">
              <w:t xml:space="preserve"> – Conception d'une nouvelle application web qui permettra à une Administration de saisir les renseignements pour la publication anticipée sous réserve d'une coordination au titre de la Sous</w:t>
            </w:r>
            <w:r w:rsidRPr="00F86EB1">
              <w:noBreakHyphen/>
              <w:t>Section 1B de l'Article 9.</w:t>
            </w:r>
          </w:p>
        </w:tc>
      </w:tr>
      <w:tr w:rsidR="00BA7363" w:rsidRPr="00F86EB1" w:rsidTr="00BB2991">
        <w:trPr>
          <w:jc w:val="center"/>
        </w:trPr>
        <w:tc>
          <w:tcPr>
            <w:tcW w:w="9463" w:type="dxa"/>
            <w:tcBorders>
              <w:top w:val="single" w:sz="4" w:space="0" w:color="auto"/>
              <w:left w:val="single" w:sz="4" w:space="0" w:color="auto"/>
              <w:bottom w:val="single" w:sz="4" w:space="0" w:color="auto"/>
              <w:right w:val="single" w:sz="4" w:space="0" w:color="auto"/>
            </w:tcBorders>
          </w:tcPr>
          <w:p w:rsidR="00BA7363" w:rsidRPr="00F86EB1" w:rsidRDefault="00BA7363" w:rsidP="007D6DBA">
            <w:pPr>
              <w:pStyle w:val="Tabletext"/>
            </w:pPr>
            <w:r>
              <w:t>Résolution 908</w:t>
            </w:r>
            <w:r w:rsidRPr="00F86EB1">
              <w:t xml:space="preserve"> – Conception d'une nouvelle application web pour la publication des renseignements pour la publication anticipée sous réserve d'une coordination au titre de </w:t>
            </w:r>
            <w:r w:rsidR="00BB2991">
              <w:t>la Sous</w:t>
            </w:r>
            <w:r w:rsidR="00BB2991">
              <w:noBreakHyphen/>
              <w:t>Section 1B de l'Article </w:t>
            </w:r>
            <w:r w:rsidRPr="00F86EB1">
              <w:t>9.</w:t>
            </w:r>
          </w:p>
        </w:tc>
      </w:tr>
      <w:tr w:rsidR="00BA7363" w:rsidRPr="00F86EB1" w:rsidTr="00BB2991">
        <w:trPr>
          <w:jc w:val="center"/>
        </w:trPr>
        <w:tc>
          <w:tcPr>
            <w:tcW w:w="9463" w:type="dxa"/>
            <w:tcBorders>
              <w:top w:val="single" w:sz="4" w:space="0" w:color="auto"/>
              <w:left w:val="single" w:sz="4" w:space="0" w:color="auto"/>
              <w:bottom w:val="single" w:sz="4" w:space="0" w:color="auto"/>
              <w:right w:val="single" w:sz="4" w:space="0" w:color="auto"/>
            </w:tcBorders>
          </w:tcPr>
          <w:p w:rsidR="00BA7363" w:rsidRPr="00F86EB1" w:rsidRDefault="00BA7363" w:rsidP="007D6DBA">
            <w:pPr>
              <w:pStyle w:val="Tabletext"/>
            </w:pPr>
            <w:r w:rsidRPr="00F86EB1">
              <w:t>Résolution 908</w:t>
            </w:r>
            <w:r>
              <w:t xml:space="preserve"> </w:t>
            </w:r>
            <w:r w:rsidRPr="00F86EB1">
              <w:t xml:space="preserve">– Elaboration d'une application pour la gestion des renseignements pour la publication anticipée, qui permettra de mettre à disposition des publications dans la Circulaire IFIC et le système SNL. Suppression des renseignements pour la publication anticipée </w:t>
            </w:r>
            <w:r>
              <w:t xml:space="preserve">au bout de 2 ans </w:t>
            </w:r>
            <w:r w:rsidR="00BB2991">
              <w:t>lorsque le </w:t>
            </w:r>
            <w:r w:rsidRPr="00F86EB1">
              <w:t>BR ne reçoit pas de demande de coordination (CR) ou de notification correspondante.</w:t>
            </w:r>
          </w:p>
        </w:tc>
      </w:tr>
    </w:tbl>
    <w:p w:rsidR="00BA7363" w:rsidRPr="00AE1BC6" w:rsidRDefault="00BA7363" w:rsidP="00BA7363">
      <w:pPr>
        <w:pStyle w:val="Heading3"/>
      </w:pPr>
      <w:r w:rsidRPr="00AE1BC6">
        <w:t>3.2.2</w:t>
      </w:r>
      <w:r w:rsidRPr="00AE1BC6">
        <w:tab/>
        <w:t>Mesures générales à prendre en application des décisions de la Conférence</w:t>
      </w:r>
    </w:p>
    <w:p w:rsidR="00BA7363" w:rsidRDefault="00BA7363" w:rsidP="00205EF2">
      <w:pPr>
        <w:spacing w:after="240"/>
        <w:rPr>
          <w:lang w:val="fr-CH"/>
        </w:rPr>
      </w:pPr>
      <w:r w:rsidRPr="00D907A0">
        <w:rPr>
          <w:lang w:val="fr-CH"/>
        </w:rPr>
        <w:t xml:space="preserve">Les </w:t>
      </w:r>
      <w:hyperlink r:id="rId18" w:history="1">
        <w:r w:rsidR="00205EF2">
          <w:rPr>
            <w:rStyle w:val="Hyperlink"/>
            <w:lang w:val="fr-CH"/>
          </w:rPr>
          <w:t>Lettres circulaires suivantes du BR</w:t>
        </w:r>
      </w:hyperlink>
      <w:r w:rsidRPr="00D907A0">
        <w:rPr>
          <w:lang w:val="fr-CH"/>
        </w:rPr>
        <w:t xml:space="preserve"> donne</w:t>
      </w:r>
      <w:r>
        <w:rPr>
          <w:lang w:val="fr-CH"/>
        </w:rPr>
        <w:t>nt</w:t>
      </w:r>
      <w:r w:rsidRPr="00D907A0">
        <w:rPr>
          <w:lang w:val="fr-CH"/>
        </w:rPr>
        <w:t xml:space="preserve"> des renseignements sur les mesures à prendre en application des décisions </w:t>
      </w:r>
      <w:r>
        <w:rPr>
          <w:lang w:val="fr-CH"/>
        </w:rPr>
        <w:t>de la CMR-12</w:t>
      </w:r>
      <w:r w:rsidRPr="00D907A0">
        <w:rPr>
          <w:lang w:val="fr-CH"/>
        </w:rPr>
        <w:t>:</w:t>
      </w:r>
    </w:p>
    <w:tbl>
      <w:tblPr>
        <w:tblW w:w="9454" w:type="dxa"/>
        <w:jc w:val="center"/>
        <w:tblInd w:w="64" w:type="dxa"/>
        <w:tblBorders>
          <w:top w:val="nil"/>
          <w:left w:val="nil"/>
          <w:right w:val="nil"/>
        </w:tblBorders>
        <w:tblLayout w:type="fixed"/>
        <w:tblLook w:val="0000" w:firstRow="0" w:lastRow="0" w:firstColumn="0" w:lastColumn="0" w:noHBand="0" w:noVBand="0"/>
      </w:tblPr>
      <w:tblGrid>
        <w:gridCol w:w="2035"/>
        <w:gridCol w:w="1417"/>
        <w:gridCol w:w="6002"/>
      </w:tblGrid>
      <w:tr w:rsidR="00BA7363" w:rsidRPr="00AE1BC6" w:rsidTr="00747C87">
        <w:trPr>
          <w:jc w:val="center"/>
        </w:trPr>
        <w:tc>
          <w:tcPr>
            <w:tcW w:w="2035" w:type="dxa"/>
            <w:tcBorders>
              <w:top w:val="single" w:sz="8" w:space="0" w:color="000000"/>
              <w:left w:val="single" w:sz="8" w:space="0" w:color="000000"/>
              <w:bottom w:val="single" w:sz="8" w:space="0" w:color="000000"/>
              <w:right w:val="single" w:sz="8" w:space="0" w:color="000000"/>
            </w:tcBorders>
            <w:tcMar>
              <w:top w:w="140" w:type="nil"/>
              <w:right w:w="140" w:type="nil"/>
            </w:tcMar>
          </w:tcPr>
          <w:p w:rsidR="00BA7363" w:rsidRPr="00AE1BC6" w:rsidRDefault="00BA7363" w:rsidP="007D6DBA">
            <w:pPr>
              <w:pStyle w:val="Tablehead"/>
            </w:pPr>
            <w:r w:rsidRPr="00AE1BC6">
              <w:t>Circulaire du BR</w:t>
            </w:r>
          </w:p>
        </w:tc>
        <w:tc>
          <w:tcPr>
            <w:tcW w:w="1417" w:type="dxa"/>
            <w:tcBorders>
              <w:top w:val="single" w:sz="8" w:space="0" w:color="000000"/>
              <w:bottom w:val="single" w:sz="8" w:space="0" w:color="000000"/>
              <w:right w:val="single" w:sz="8" w:space="0" w:color="000000"/>
            </w:tcBorders>
            <w:tcMar>
              <w:top w:w="140" w:type="nil"/>
              <w:right w:w="140" w:type="nil"/>
            </w:tcMar>
          </w:tcPr>
          <w:p w:rsidR="00BA7363" w:rsidRPr="00AE1BC6" w:rsidRDefault="00BA7363" w:rsidP="007D6DBA">
            <w:pPr>
              <w:pStyle w:val="Tablehead"/>
            </w:pPr>
            <w:r w:rsidRPr="00AE1BC6">
              <w:t>Date</w:t>
            </w:r>
          </w:p>
        </w:tc>
        <w:tc>
          <w:tcPr>
            <w:tcW w:w="6002" w:type="dxa"/>
            <w:tcBorders>
              <w:top w:val="single" w:sz="8" w:space="0" w:color="000000"/>
              <w:bottom w:val="single" w:sz="8" w:space="0" w:color="000000"/>
              <w:right w:val="single" w:sz="8" w:space="0" w:color="000000"/>
            </w:tcBorders>
            <w:tcMar>
              <w:top w:w="140" w:type="nil"/>
              <w:right w:w="140" w:type="nil"/>
            </w:tcMar>
          </w:tcPr>
          <w:p w:rsidR="00BA7363" w:rsidRPr="00AE1BC6" w:rsidRDefault="00BA7363" w:rsidP="007D6DBA">
            <w:pPr>
              <w:pStyle w:val="Tablehead"/>
            </w:pPr>
            <w:r w:rsidRPr="00AE1BC6">
              <w:t>Objet</w:t>
            </w:r>
          </w:p>
        </w:tc>
      </w:tr>
      <w:tr w:rsidR="00BA7363" w:rsidRPr="00B12347" w:rsidTr="00747C87">
        <w:tblPrEx>
          <w:tblBorders>
            <w:top w:val="none" w:sz="0" w:space="0" w:color="auto"/>
          </w:tblBorders>
        </w:tblPrEx>
        <w:trPr>
          <w:jc w:val="center"/>
        </w:trPr>
        <w:tc>
          <w:tcPr>
            <w:tcW w:w="2035" w:type="dxa"/>
            <w:tcBorders>
              <w:left w:val="single" w:sz="8" w:space="0" w:color="000000"/>
              <w:bottom w:val="single" w:sz="8" w:space="0" w:color="000000"/>
              <w:right w:val="single" w:sz="8" w:space="0" w:color="000000"/>
            </w:tcBorders>
            <w:tcMar>
              <w:top w:w="140" w:type="nil"/>
              <w:right w:w="140" w:type="nil"/>
            </w:tcMar>
          </w:tcPr>
          <w:p w:rsidR="00BA7363" w:rsidRPr="00454931" w:rsidRDefault="00BA7363" w:rsidP="00747C87">
            <w:pPr>
              <w:pStyle w:val="Tabletext"/>
              <w:rPr>
                <w:lang w:val="en-US"/>
              </w:rPr>
            </w:pPr>
            <w:r w:rsidRPr="00454931">
              <w:rPr>
                <w:lang w:val="en-US"/>
              </w:rPr>
              <w:t>CR/331</w:t>
            </w:r>
          </w:p>
        </w:tc>
        <w:tc>
          <w:tcPr>
            <w:tcW w:w="1417" w:type="dxa"/>
            <w:tcBorders>
              <w:bottom w:val="single" w:sz="8" w:space="0" w:color="000000"/>
              <w:right w:val="single" w:sz="8" w:space="0" w:color="000000"/>
            </w:tcBorders>
            <w:tcMar>
              <w:top w:w="140" w:type="nil"/>
              <w:right w:w="140" w:type="nil"/>
            </w:tcMar>
          </w:tcPr>
          <w:p w:rsidR="00BA7363" w:rsidRPr="00454931" w:rsidRDefault="00BA7363" w:rsidP="00747C87">
            <w:pPr>
              <w:pStyle w:val="Tabletext"/>
              <w:rPr>
                <w:lang w:val="en-US"/>
              </w:rPr>
            </w:pPr>
            <w:r w:rsidRPr="00454931">
              <w:rPr>
                <w:lang w:val="en-US"/>
              </w:rPr>
              <w:t>16.3.2012</w:t>
            </w:r>
          </w:p>
        </w:tc>
        <w:tc>
          <w:tcPr>
            <w:tcW w:w="6002" w:type="dxa"/>
            <w:tcBorders>
              <w:bottom w:val="single" w:sz="8" w:space="0" w:color="000000"/>
              <w:right w:val="single" w:sz="8" w:space="0" w:color="000000"/>
            </w:tcBorders>
            <w:tcMar>
              <w:top w:w="140" w:type="nil"/>
              <w:right w:w="140" w:type="nil"/>
            </w:tcMar>
          </w:tcPr>
          <w:p w:rsidR="00BA7363" w:rsidRPr="00454931" w:rsidRDefault="00BA7363" w:rsidP="007D6DBA">
            <w:pPr>
              <w:pStyle w:val="Tabletext"/>
              <w:rPr>
                <w:lang w:val="fr-CH"/>
              </w:rPr>
            </w:pPr>
            <w:r w:rsidRPr="00454931">
              <w:rPr>
                <w:lang w:val="fr-CH"/>
              </w:rPr>
              <w:t xml:space="preserve">Mise en </w:t>
            </w:r>
            <w:r>
              <w:rPr>
                <w:lang w:val="fr-CH"/>
              </w:rPr>
              <w:t>oe</w:t>
            </w:r>
            <w:r w:rsidRPr="00454931">
              <w:rPr>
                <w:lang w:val="fr-CH"/>
              </w:rPr>
              <w:t>uvre de la Résolution 555 (CMR</w:t>
            </w:r>
            <w:r w:rsidRPr="00454931">
              <w:rPr>
                <w:lang w:val="fr-CH"/>
              </w:rPr>
              <w:noBreakHyphen/>
              <w:t>12)</w:t>
            </w:r>
          </w:p>
        </w:tc>
      </w:tr>
      <w:tr w:rsidR="00BA7363" w:rsidRPr="00B12347" w:rsidTr="00747C87">
        <w:tblPrEx>
          <w:tblBorders>
            <w:top w:val="none" w:sz="0" w:space="0" w:color="auto"/>
          </w:tblBorders>
        </w:tblPrEx>
        <w:trPr>
          <w:jc w:val="center"/>
        </w:trPr>
        <w:tc>
          <w:tcPr>
            <w:tcW w:w="2035" w:type="dxa"/>
            <w:tcBorders>
              <w:left w:val="single" w:sz="8" w:space="0" w:color="000000"/>
              <w:bottom w:val="single" w:sz="8" w:space="0" w:color="000000"/>
              <w:right w:val="single" w:sz="8" w:space="0" w:color="000000"/>
            </w:tcBorders>
            <w:tcMar>
              <w:top w:w="140" w:type="nil"/>
              <w:right w:w="140" w:type="nil"/>
            </w:tcMar>
          </w:tcPr>
          <w:p w:rsidR="00BA7363" w:rsidRPr="00454931" w:rsidRDefault="00BA7363" w:rsidP="00747C87">
            <w:pPr>
              <w:pStyle w:val="Tabletext"/>
              <w:rPr>
                <w:lang w:val="en-US"/>
              </w:rPr>
            </w:pPr>
            <w:r w:rsidRPr="00454931">
              <w:rPr>
                <w:lang w:val="en-US"/>
              </w:rPr>
              <w:t>CR/333</w:t>
            </w:r>
          </w:p>
        </w:tc>
        <w:tc>
          <w:tcPr>
            <w:tcW w:w="1417" w:type="dxa"/>
            <w:tcBorders>
              <w:bottom w:val="single" w:sz="8" w:space="0" w:color="000000"/>
              <w:right w:val="single" w:sz="8" w:space="0" w:color="000000"/>
            </w:tcBorders>
            <w:tcMar>
              <w:top w:w="140" w:type="nil"/>
              <w:right w:w="140" w:type="nil"/>
            </w:tcMar>
          </w:tcPr>
          <w:p w:rsidR="00BA7363" w:rsidRPr="00454931" w:rsidRDefault="00BA7363" w:rsidP="00747C87">
            <w:pPr>
              <w:pStyle w:val="Tabletext"/>
              <w:rPr>
                <w:lang w:val="en-US"/>
              </w:rPr>
            </w:pPr>
            <w:r w:rsidRPr="00454931">
              <w:rPr>
                <w:bCs/>
                <w:lang w:val="en-US"/>
              </w:rPr>
              <w:t>01.05.2012</w:t>
            </w:r>
          </w:p>
        </w:tc>
        <w:tc>
          <w:tcPr>
            <w:tcW w:w="6002" w:type="dxa"/>
            <w:tcBorders>
              <w:bottom w:val="single" w:sz="8" w:space="0" w:color="000000"/>
              <w:right w:val="single" w:sz="8" w:space="0" w:color="000000"/>
            </w:tcBorders>
            <w:tcMar>
              <w:top w:w="140" w:type="nil"/>
              <w:right w:w="140" w:type="nil"/>
            </w:tcMar>
          </w:tcPr>
          <w:p w:rsidR="00BA7363" w:rsidRPr="00454931" w:rsidRDefault="00BA7363" w:rsidP="007D6DBA">
            <w:pPr>
              <w:pStyle w:val="Tabletext"/>
              <w:rPr>
                <w:lang w:val="fr-CH"/>
              </w:rPr>
            </w:pPr>
            <w:r w:rsidRPr="00454931">
              <w:rPr>
                <w:lang w:val="fr-CH"/>
              </w:rPr>
              <w:t>Décisions de la CMR-12 consignées au procès-verbal de séances plénières concernant les procédures applicables aux services spatiaux</w:t>
            </w:r>
          </w:p>
        </w:tc>
      </w:tr>
      <w:tr w:rsidR="00BA7363" w:rsidRPr="00B12347" w:rsidTr="00747C87">
        <w:tblPrEx>
          <w:tblBorders>
            <w:top w:val="none" w:sz="0" w:space="0" w:color="auto"/>
          </w:tblBorders>
        </w:tblPrEx>
        <w:trPr>
          <w:jc w:val="center"/>
        </w:trPr>
        <w:tc>
          <w:tcPr>
            <w:tcW w:w="2035" w:type="dxa"/>
            <w:tcBorders>
              <w:top w:val="single" w:sz="4" w:space="0" w:color="auto"/>
              <w:left w:val="single" w:sz="8" w:space="0" w:color="000000"/>
              <w:bottom w:val="single" w:sz="4" w:space="0" w:color="auto"/>
              <w:right w:val="single" w:sz="8" w:space="0" w:color="000000"/>
            </w:tcBorders>
            <w:tcMar>
              <w:top w:w="140" w:type="nil"/>
              <w:right w:w="140" w:type="nil"/>
            </w:tcMar>
          </w:tcPr>
          <w:p w:rsidR="00BA7363" w:rsidRPr="002532CB" w:rsidRDefault="00BA7363" w:rsidP="00747C87">
            <w:pPr>
              <w:pStyle w:val="Tabletext"/>
              <w:rPr>
                <w:lang w:val="en-US"/>
              </w:rPr>
            </w:pPr>
            <w:r>
              <w:rPr>
                <w:lang w:val="en-US"/>
              </w:rPr>
              <w:t>CR/334</w:t>
            </w:r>
          </w:p>
        </w:tc>
        <w:tc>
          <w:tcPr>
            <w:tcW w:w="1417" w:type="dxa"/>
            <w:tcBorders>
              <w:top w:val="single" w:sz="4" w:space="0" w:color="auto"/>
              <w:bottom w:val="single" w:sz="4" w:space="0" w:color="auto"/>
              <w:right w:val="single" w:sz="8" w:space="0" w:color="000000"/>
            </w:tcBorders>
            <w:tcMar>
              <w:top w:w="140" w:type="nil"/>
              <w:right w:w="140" w:type="nil"/>
            </w:tcMar>
          </w:tcPr>
          <w:p w:rsidR="00BA7363" w:rsidRPr="002532CB" w:rsidRDefault="00BA7363" w:rsidP="00747C87">
            <w:pPr>
              <w:pStyle w:val="Tabletext"/>
              <w:rPr>
                <w:bCs/>
                <w:lang w:val="en-US"/>
              </w:rPr>
            </w:pPr>
            <w:r>
              <w:rPr>
                <w:bCs/>
                <w:lang w:val="en-US"/>
              </w:rPr>
              <w:t>08.05.2012</w:t>
            </w:r>
          </w:p>
        </w:tc>
        <w:tc>
          <w:tcPr>
            <w:tcW w:w="6002" w:type="dxa"/>
            <w:tcBorders>
              <w:top w:val="single" w:sz="4" w:space="0" w:color="auto"/>
              <w:bottom w:val="single" w:sz="4" w:space="0" w:color="auto"/>
              <w:right w:val="single" w:sz="8" w:space="0" w:color="000000"/>
            </w:tcBorders>
            <w:tcMar>
              <w:top w:w="140" w:type="nil"/>
              <w:right w:w="140" w:type="nil"/>
            </w:tcMar>
          </w:tcPr>
          <w:p w:rsidR="00BA7363" w:rsidRPr="00184DA7" w:rsidRDefault="00BA7363" w:rsidP="007D6DBA">
            <w:pPr>
              <w:pStyle w:val="Tabletext"/>
              <w:rPr>
                <w:lang w:val="fr-CH"/>
              </w:rPr>
            </w:pPr>
            <w:r w:rsidRPr="00184DA7">
              <w:rPr>
                <w:lang w:val="fr-CH"/>
              </w:rPr>
              <w:t xml:space="preserve">Mise en </w:t>
            </w:r>
            <w:r>
              <w:rPr>
                <w:lang w:val="fr-CH"/>
              </w:rPr>
              <w:t>oe</w:t>
            </w:r>
            <w:r w:rsidRPr="00184DA7">
              <w:rPr>
                <w:lang w:val="fr-CH"/>
              </w:rPr>
              <w:t>uvre de la R</w:t>
            </w:r>
            <w:r>
              <w:rPr>
                <w:lang w:val="fr-CH"/>
              </w:rPr>
              <w:t>é</w:t>
            </w:r>
            <w:r w:rsidRPr="00184DA7">
              <w:rPr>
                <w:lang w:val="fr-CH"/>
              </w:rPr>
              <w:t>solution 755 (</w:t>
            </w:r>
            <w:r>
              <w:rPr>
                <w:lang w:val="fr-CH"/>
              </w:rPr>
              <w:t>CMR</w:t>
            </w:r>
            <w:r w:rsidRPr="00184DA7">
              <w:rPr>
                <w:lang w:val="fr-CH"/>
              </w:rPr>
              <w:t>-12) de la Conférence mondiale</w:t>
            </w:r>
            <w:r>
              <w:rPr>
                <w:lang w:val="fr-CH"/>
              </w:rPr>
              <w:t xml:space="preserve"> des radiocommunications (Genève</w:t>
            </w:r>
            <w:r w:rsidRPr="00184DA7">
              <w:rPr>
                <w:lang w:val="fr-CH"/>
              </w:rPr>
              <w:t>,</w:t>
            </w:r>
            <w:r w:rsidR="00BB2991">
              <w:rPr>
                <w:lang w:val="fr-CH"/>
              </w:rPr>
              <w:t> </w:t>
            </w:r>
            <w:r w:rsidRPr="00184DA7">
              <w:rPr>
                <w:lang w:val="fr-CH"/>
              </w:rPr>
              <w:t>2012</w:t>
            </w:r>
            <w:r>
              <w:rPr>
                <w:lang w:val="fr-CH"/>
              </w:rPr>
              <w:t>)</w:t>
            </w:r>
            <w:r w:rsidRPr="00184DA7">
              <w:rPr>
                <w:lang w:val="fr-CH"/>
              </w:rPr>
              <w:t xml:space="preserve"> (</w:t>
            </w:r>
            <w:r>
              <w:rPr>
                <w:lang w:val="fr-CH"/>
              </w:rPr>
              <w:t>CMR</w:t>
            </w:r>
            <w:r w:rsidRPr="00184DA7">
              <w:rPr>
                <w:lang w:val="fr-CH"/>
              </w:rPr>
              <w:t>-12)</w:t>
            </w:r>
          </w:p>
        </w:tc>
      </w:tr>
      <w:tr w:rsidR="00BA7363" w:rsidRPr="00B12347" w:rsidTr="00747C87">
        <w:tblPrEx>
          <w:tblBorders>
            <w:top w:val="none" w:sz="0" w:space="0" w:color="auto"/>
          </w:tblBorders>
        </w:tblPrEx>
        <w:trPr>
          <w:jc w:val="center"/>
        </w:trPr>
        <w:tc>
          <w:tcPr>
            <w:tcW w:w="2035" w:type="dxa"/>
            <w:tcBorders>
              <w:top w:val="single" w:sz="4" w:space="0" w:color="auto"/>
              <w:left w:val="single" w:sz="8" w:space="0" w:color="000000"/>
              <w:bottom w:val="single" w:sz="4" w:space="0" w:color="auto"/>
              <w:right w:val="single" w:sz="8" w:space="0" w:color="000000"/>
            </w:tcBorders>
            <w:tcMar>
              <w:top w:w="140" w:type="nil"/>
              <w:right w:w="140" w:type="nil"/>
            </w:tcMar>
          </w:tcPr>
          <w:p w:rsidR="00BA7363" w:rsidRPr="00574DBA" w:rsidRDefault="00BA7363" w:rsidP="00747C87">
            <w:pPr>
              <w:pStyle w:val="Tabletext"/>
            </w:pPr>
            <w:r>
              <w:t>CR/336</w:t>
            </w:r>
          </w:p>
        </w:tc>
        <w:tc>
          <w:tcPr>
            <w:tcW w:w="1417" w:type="dxa"/>
            <w:tcBorders>
              <w:top w:val="single" w:sz="4" w:space="0" w:color="auto"/>
              <w:bottom w:val="single" w:sz="4" w:space="0" w:color="auto"/>
              <w:right w:val="single" w:sz="8" w:space="0" w:color="000000"/>
            </w:tcBorders>
            <w:tcMar>
              <w:top w:w="140" w:type="nil"/>
              <w:right w:w="140" w:type="nil"/>
            </w:tcMar>
          </w:tcPr>
          <w:p w:rsidR="00BA7363" w:rsidRDefault="00BA7363" w:rsidP="00747C87">
            <w:pPr>
              <w:pStyle w:val="Tabletext"/>
              <w:rPr>
                <w:bCs/>
                <w:lang w:val="en-US"/>
              </w:rPr>
            </w:pPr>
            <w:r>
              <w:rPr>
                <w:bCs/>
                <w:lang w:val="en-US"/>
              </w:rPr>
              <w:t>06.07.2012</w:t>
            </w:r>
          </w:p>
        </w:tc>
        <w:tc>
          <w:tcPr>
            <w:tcW w:w="6002" w:type="dxa"/>
            <w:tcBorders>
              <w:top w:val="single" w:sz="4" w:space="0" w:color="auto"/>
              <w:bottom w:val="single" w:sz="4" w:space="0" w:color="auto"/>
              <w:right w:val="single" w:sz="8" w:space="0" w:color="000000"/>
            </w:tcBorders>
            <w:tcMar>
              <w:top w:w="140" w:type="nil"/>
              <w:right w:w="140" w:type="nil"/>
            </w:tcMar>
          </w:tcPr>
          <w:p w:rsidR="00BA7363" w:rsidRPr="00184DA7" w:rsidRDefault="00BA7363" w:rsidP="007D6DBA">
            <w:pPr>
              <w:pStyle w:val="Tabletext"/>
              <w:rPr>
                <w:lang w:val="fr-CH"/>
              </w:rPr>
            </w:pPr>
            <w:r w:rsidRPr="00184DA7">
              <w:rPr>
                <w:lang w:val="fr-CH"/>
              </w:rPr>
              <w:t xml:space="preserve">Mise en </w:t>
            </w:r>
            <w:r>
              <w:rPr>
                <w:lang w:val="fr-CH"/>
              </w:rPr>
              <w:t>oe</w:t>
            </w:r>
            <w:r w:rsidRPr="00184DA7">
              <w:rPr>
                <w:lang w:val="fr-CH"/>
              </w:rPr>
              <w:t xml:space="preserve">uvre des décisions de la Conférence mondiale des radiocommunications (Genève, 2012) (CMR-12) et des dispositions transitoires associées qui sont entrées en </w:t>
            </w:r>
            <w:r w:rsidR="00747C87">
              <w:rPr>
                <w:lang w:val="fr-CH"/>
              </w:rPr>
              <w:t>vigueur le </w:t>
            </w:r>
            <w:r w:rsidRPr="00184DA7">
              <w:rPr>
                <w:lang w:val="fr-CH"/>
              </w:rPr>
              <w:t>18 février 2012</w:t>
            </w:r>
          </w:p>
        </w:tc>
      </w:tr>
      <w:tr w:rsidR="00BA7363" w:rsidRPr="00B12347" w:rsidTr="00747C87">
        <w:tblPrEx>
          <w:tblBorders>
            <w:top w:val="none" w:sz="0" w:space="0" w:color="auto"/>
          </w:tblBorders>
        </w:tblPrEx>
        <w:trPr>
          <w:jc w:val="center"/>
        </w:trPr>
        <w:tc>
          <w:tcPr>
            <w:tcW w:w="2035" w:type="dxa"/>
            <w:tcBorders>
              <w:top w:val="single" w:sz="4" w:space="0" w:color="auto"/>
              <w:left w:val="single" w:sz="8" w:space="0" w:color="000000"/>
              <w:bottom w:val="single" w:sz="4" w:space="0" w:color="auto"/>
              <w:right w:val="single" w:sz="8" w:space="0" w:color="000000"/>
            </w:tcBorders>
            <w:tcMar>
              <w:top w:w="140" w:type="nil"/>
              <w:right w:w="140" w:type="nil"/>
            </w:tcMar>
          </w:tcPr>
          <w:p w:rsidR="00BA7363" w:rsidRDefault="00BA7363" w:rsidP="00747C87">
            <w:pPr>
              <w:pStyle w:val="Tabletext"/>
            </w:pPr>
            <w:r>
              <w:t>CR/338</w:t>
            </w:r>
          </w:p>
        </w:tc>
        <w:tc>
          <w:tcPr>
            <w:tcW w:w="1417" w:type="dxa"/>
            <w:tcBorders>
              <w:top w:val="single" w:sz="4" w:space="0" w:color="auto"/>
              <w:bottom w:val="single" w:sz="4" w:space="0" w:color="auto"/>
              <w:right w:val="single" w:sz="8" w:space="0" w:color="000000"/>
            </w:tcBorders>
            <w:tcMar>
              <w:top w:w="140" w:type="nil"/>
              <w:right w:w="140" w:type="nil"/>
            </w:tcMar>
          </w:tcPr>
          <w:p w:rsidR="00BA7363" w:rsidRDefault="00BA7363" w:rsidP="00747C87">
            <w:pPr>
              <w:pStyle w:val="Tabletext"/>
              <w:rPr>
                <w:bCs/>
                <w:lang w:val="en-US"/>
              </w:rPr>
            </w:pPr>
            <w:r>
              <w:rPr>
                <w:bCs/>
                <w:lang w:val="en-US"/>
              </w:rPr>
              <w:t>22.10.2012</w:t>
            </w:r>
          </w:p>
        </w:tc>
        <w:tc>
          <w:tcPr>
            <w:tcW w:w="6002" w:type="dxa"/>
            <w:tcBorders>
              <w:top w:val="single" w:sz="4" w:space="0" w:color="auto"/>
              <w:bottom w:val="single" w:sz="4" w:space="0" w:color="auto"/>
              <w:right w:val="single" w:sz="8" w:space="0" w:color="000000"/>
            </w:tcBorders>
            <w:tcMar>
              <w:top w:w="140" w:type="nil"/>
              <w:right w:w="140" w:type="nil"/>
            </w:tcMar>
          </w:tcPr>
          <w:p w:rsidR="00BA7363" w:rsidRPr="00184DA7" w:rsidRDefault="00BA7363" w:rsidP="007D6DBA">
            <w:pPr>
              <w:pStyle w:val="Tabletext"/>
              <w:rPr>
                <w:lang w:val="fr-CH"/>
              </w:rPr>
            </w:pPr>
            <w:r w:rsidRPr="00184DA7">
              <w:rPr>
                <w:szCs w:val="24"/>
                <w:lang w:val="fr-CH" w:eastAsia="zh-CN"/>
              </w:rPr>
              <w:t>Soumission au Bureau des radiocommunications des renseignements au</w:t>
            </w:r>
            <w:r>
              <w:rPr>
                <w:szCs w:val="24"/>
                <w:lang w:val="fr-CH" w:eastAsia="zh-CN"/>
              </w:rPr>
              <w:t xml:space="preserve"> </w:t>
            </w:r>
            <w:r w:rsidRPr="00184DA7">
              <w:rPr>
                <w:szCs w:val="24"/>
                <w:lang w:val="fr-CH" w:eastAsia="zh-CN"/>
              </w:rPr>
              <w:t>titre de l'Appendice 4 pour les services spatiaux et mise à jour des logiciels et bases</w:t>
            </w:r>
            <w:r>
              <w:rPr>
                <w:szCs w:val="24"/>
                <w:lang w:val="fr-CH" w:eastAsia="zh-CN"/>
              </w:rPr>
              <w:t xml:space="preserve"> </w:t>
            </w:r>
            <w:r w:rsidRPr="00184DA7">
              <w:rPr>
                <w:szCs w:val="24"/>
                <w:lang w:val="fr-CH" w:eastAsia="zh-CN"/>
              </w:rPr>
              <w:t>de données connexes du BR relatifs aux services spatiaux</w:t>
            </w:r>
          </w:p>
        </w:tc>
      </w:tr>
      <w:tr w:rsidR="00BA7363" w:rsidRPr="00B12347" w:rsidTr="00747C87">
        <w:tblPrEx>
          <w:tblBorders>
            <w:top w:val="none" w:sz="0" w:space="0" w:color="auto"/>
          </w:tblBorders>
        </w:tblPrEx>
        <w:trPr>
          <w:jc w:val="center"/>
        </w:trPr>
        <w:tc>
          <w:tcPr>
            <w:tcW w:w="2035" w:type="dxa"/>
            <w:tcBorders>
              <w:top w:val="single" w:sz="4" w:space="0" w:color="auto"/>
              <w:left w:val="single" w:sz="8" w:space="0" w:color="000000"/>
              <w:bottom w:val="single" w:sz="8" w:space="0" w:color="000000"/>
              <w:right w:val="single" w:sz="8" w:space="0" w:color="000000"/>
            </w:tcBorders>
            <w:tcMar>
              <w:top w:w="140" w:type="nil"/>
              <w:right w:w="140" w:type="nil"/>
            </w:tcMar>
          </w:tcPr>
          <w:p w:rsidR="00BA7363" w:rsidRDefault="00BA7363" w:rsidP="00747C87">
            <w:pPr>
              <w:pStyle w:val="Tabletext"/>
            </w:pPr>
            <w:r>
              <w:t>CR/343</w:t>
            </w:r>
          </w:p>
        </w:tc>
        <w:tc>
          <w:tcPr>
            <w:tcW w:w="1417" w:type="dxa"/>
            <w:tcBorders>
              <w:top w:val="single" w:sz="4" w:space="0" w:color="auto"/>
              <w:bottom w:val="single" w:sz="8" w:space="0" w:color="000000"/>
              <w:right w:val="single" w:sz="8" w:space="0" w:color="000000"/>
            </w:tcBorders>
            <w:tcMar>
              <w:top w:w="140" w:type="nil"/>
              <w:right w:w="140" w:type="nil"/>
            </w:tcMar>
          </w:tcPr>
          <w:p w:rsidR="00BA7363" w:rsidRDefault="00BA7363" w:rsidP="00747C87">
            <w:pPr>
              <w:pStyle w:val="Tabletext"/>
              <w:rPr>
                <w:bCs/>
                <w:lang w:val="en-US"/>
              </w:rPr>
            </w:pPr>
            <w:r>
              <w:rPr>
                <w:bCs/>
                <w:lang w:val="en-US"/>
              </w:rPr>
              <w:t>17.01.2013</w:t>
            </w:r>
          </w:p>
        </w:tc>
        <w:tc>
          <w:tcPr>
            <w:tcW w:w="6002" w:type="dxa"/>
            <w:tcBorders>
              <w:top w:val="single" w:sz="4" w:space="0" w:color="auto"/>
              <w:bottom w:val="single" w:sz="8" w:space="0" w:color="000000"/>
              <w:right w:val="single" w:sz="8" w:space="0" w:color="000000"/>
            </w:tcBorders>
            <w:tcMar>
              <w:top w:w="140" w:type="nil"/>
              <w:right w:w="140" w:type="nil"/>
            </w:tcMar>
          </w:tcPr>
          <w:p w:rsidR="00BA7363" w:rsidRPr="00184DA7" w:rsidRDefault="00BA7363" w:rsidP="007D6DBA">
            <w:pPr>
              <w:pStyle w:val="Tabletext"/>
              <w:rPr>
                <w:b/>
                <w:lang w:val="fr-CH"/>
              </w:rPr>
            </w:pPr>
            <w:r w:rsidRPr="00D01564">
              <w:rPr>
                <w:lang w:val="fr-CH"/>
              </w:rPr>
              <w:t xml:space="preserve">Mise en </w:t>
            </w:r>
            <w:r>
              <w:rPr>
                <w:lang w:val="fr-CH"/>
              </w:rPr>
              <w:t>oe</w:t>
            </w:r>
            <w:r w:rsidRPr="00D01564">
              <w:rPr>
                <w:lang w:val="fr-CH"/>
              </w:rPr>
              <w:t xml:space="preserve">uvre des dispositions relatives à la mise en service et à la suspension </w:t>
            </w:r>
            <w:r>
              <w:rPr>
                <w:lang w:val="fr-CH"/>
              </w:rPr>
              <w:t>de l'utilisation d'une assignation de fréquence à une station spatiale sur l'orbite des satellites géostationnaires</w:t>
            </w:r>
          </w:p>
        </w:tc>
      </w:tr>
    </w:tbl>
    <w:p w:rsidR="00BA7363" w:rsidRPr="00BB38DD" w:rsidRDefault="00BA7363" w:rsidP="00BA7363">
      <w:pPr>
        <w:keepNext/>
        <w:keepLines/>
        <w:tabs>
          <w:tab w:val="clear" w:pos="794"/>
          <w:tab w:val="clear" w:pos="1191"/>
          <w:tab w:val="clear" w:pos="1588"/>
          <w:tab w:val="clear" w:pos="1985"/>
        </w:tabs>
        <w:overflowPunct/>
        <w:spacing w:before="240"/>
        <w:textAlignment w:val="auto"/>
        <w:rPr>
          <w:lang w:val="fr-CH"/>
        </w:rPr>
      </w:pPr>
      <w:r w:rsidRPr="0080566C">
        <w:rPr>
          <w:lang w:val="fr-CH"/>
        </w:rPr>
        <w:lastRenderedPageBreak/>
        <w:t>Le Bureau a analysé les décisions de la CMR-</w:t>
      </w:r>
      <w:r>
        <w:rPr>
          <w:lang w:val="fr-CH"/>
        </w:rPr>
        <w:t xml:space="preserve">12 </w:t>
      </w:r>
      <w:r w:rsidRPr="0080566C">
        <w:rPr>
          <w:lang w:val="fr-CH"/>
        </w:rPr>
        <w:t>et leur</w:t>
      </w:r>
      <w:r>
        <w:rPr>
          <w:lang w:val="fr-CH"/>
        </w:rPr>
        <w:t>s</w:t>
      </w:r>
      <w:r w:rsidRPr="0080566C">
        <w:rPr>
          <w:lang w:val="fr-CH"/>
        </w:rPr>
        <w:t xml:space="preserve"> incidence</w:t>
      </w:r>
      <w:r>
        <w:rPr>
          <w:lang w:val="fr-CH"/>
        </w:rPr>
        <w:t>s</w:t>
      </w:r>
      <w:r w:rsidRPr="0080566C">
        <w:rPr>
          <w:lang w:val="fr-CH"/>
        </w:rPr>
        <w:t xml:space="preserve"> sur les Règles de procédure en vigueur</w:t>
      </w:r>
      <w:r>
        <w:rPr>
          <w:lang w:val="fr-CH"/>
        </w:rPr>
        <w:t xml:space="preserve"> et a soumis des propositions au Comité du Règlement des radiocommunications (RRB). </w:t>
      </w:r>
      <w:r w:rsidRPr="002A2BC4">
        <w:rPr>
          <w:lang w:val="fr-CH"/>
        </w:rPr>
        <w:t>Conformément aux dispositions d</w:t>
      </w:r>
      <w:r>
        <w:rPr>
          <w:lang w:val="fr-CH"/>
        </w:rPr>
        <w:t>es</w:t>
      </w:r>
      <w:r w:rsidRPr="002A2BC4">
        <w:rPr>
          <w:lang w:val="fr-CH"/>
        </w:rPr>
        <w:t xml:space="preserve"> numéro</w:t>
      </w:r>
      <w:r>
        <w:rPr>
          <w:lang w:val="fr-CH"/>
        </w:rPr>
        <w:t>s</w:t>
      </w:r>
      <w:r w:rsidRPr="002A2BC4">
        <w:rPr>
          <w:lang w:val="fr-CH"/>
        </w:rPr>
        <w:t xml:space="preserve"> </w:t>
      </w:r>
      <w:r w:rsidRPr="002A2BC4">
        <w:rPr>
          <w:rFonts w:ascii="TimesNewRoman" w:hAnsi="TimesNewRoman" w:cs="TimesNewRoman"/>
          <w:szCs w:val="24"/>
          <w:lang w:val="fr-CH" w:eastAsia="zh-CN"/>
        </w:rPr>
        <w:t>13.12</w:t>
      </w:r>
      <w:r>
        <w:rPr>
          <w:rFonts w:ascii="TimesNewRoman" w:hAnsi="TimesNewRoman" w:cs="TimesNewRoman"/>
          <w:szCs w:val="24"/>
          <w:lang w:val="fr-CH" w:eastAsia="zh-CN"/>
        </w:rPr>
        <w:t xml:space="preserve"> et </w:t>
      </w:r>
      <w:r w:rsidRPr="002A2BC4">
        <w:rPr>
          <w:rFonts w:ascii="TimesNewRoman" w:hAnsi="TimesNewRoman" w:cs="TimesNewRoman"/>
          <w:szCs w:val="24"/>
          <w:lang w:val="fr-CH" w:eastAsia="zh-CN"/>
        </w:rPr>
        <w:t xml:space="preserve">13.14 </w:t>
      </w:r>
      <w:r w:rsidRPr="002A2BC4">
        <w:rPr>
          <w:lang w:val="fr-CH"/>
        </w:rPr>
        <w:t>du Règlement de</w:t>
      </w:r>
      <w:r>
        <w:rPr>
          <w:lang w:val="fr-CH"/>
        </w:rPr>
        <w:t>s</w:t>
      </w:r>
      <w:r w:rsidRPr="002A2BC4">
        <w:rPr>
          <w:lang w:val="fr-CH"/>
        </w:rPr>
        <w:t xml:space="preserve"> </w:t>
      </w:r>
      <w:r>
        <w:rPr>
          <w:lang w:val="fr-CH"/>
        </w:rPr>
        <w:t>radio</w:t>
      </w:r>
      <w:r w:rsidRPr="002A2BC4">
        <w:rPr>
          <w:lang w:val="fr-CH"/>
        </w:rPr>
        <w:t>communication</w:t>
      </w:r>
      <w:r>
        <w:rPr>
          <w:lang w:val="fr-CH"/>
        </w:rPr>
        <w:t>s</w:t>
      </w:r>
      <w:r w:rsidRPr="002A2BC4">
        <w:rPr>
          <w:lang w:val="fr-CH"/>
        </w:rPr>
        <w:t>, le RRB à sa 60</w:t>
      </w:r>
      <w:r>
        <w:rPr>
          <w:lang w:val="fr-CH"/>
        </w:rPr>
        <w:t>ème</w:t>
      </w:r>
      <w:r w:rsidRPr="002A2BC4">
        <w:rPr>
          <w:lang w:val="fr-CH"/>
        </w:rPr>
        <w:t xml:space="preserve"> réunion</w:t>
      </w:r>
      <w:r>
        <w:rPr>
          <w:lang w:val="fr-CH"/>
        </w:rPr>
        <w:t xml:space="preserve"> </w:t>
      </w:r>
      <w:r w:rsidR="00BB2991">
        <w:rPr>
          <w:rFonts w:ascii="TimesNewRoman" w:hAnsi="TimesNewRoman" w:cs="TimesNewRoman"/>
          <w:szCs w:val="24"/>
          <w:lang w:val="fr-CH" w:eastAsia="zh-CN"/>
        </w:rPr>
        <w:t>(10-</w:t>
      </w:r>
      <w:r w:rsidRPr="002A2BC4">
        <w:rPr>
          <w:rFonts w:ascii="TimesNewRoman" w:hAnsi="TimesNewRoman" w:cs="TimesNewRoman"/>
          <w:szCs w:val="24"/>
          <w:lang w:val="fr-CH" w:eastAsia="zh-CN"/>
        </w:rPr>
        <w:t xml:space="preserve">14 </w:t>
      </w:r>
      <w:r>
        <w:rPr>
          <w:rFonts w:ascii="TimesNewRoman" w:hAnsi="TimesNewRoman" w:cs="TimesNewRoman"/>
          <w:szCs w:val="24"/>
          <w:lang w:val="fr-CH" w:eastAsia="zh-CN"/>
        </w:rPr>
        <w:t>s</w:t>
      </w:r>
      <w:r w:rsidRPr="002A2BC4">
        <w:rPr>
          <w:rFonts w:ascii="TimesNewRoman" w:hAnsi="TimesNewRoman" w:cs="TimesNewRoman"/>
          <w:szCs w:val="24"/>
          <w:lang w:val="fr-CH" w:eastAsia="zh-CN"/>
        </w:rPr>
        <w:t>eptemb</w:t>
      </w:r>
      <w:r>
        <w:rPr>
          <w:rFonts w:ascii="TimesNewRoman" w:hAnsi="TimesNewRoman" w:cs="TimesNewRoman"/>
          <w:szCs w:val="24"/>
          <w:lang w:val="fr-CH" w:eastAsia="zh-CN"/>
        </w:rPr>
        <w:t>re</w:t>
      </w:r>
      <w:r w:rsidRPr="002A2BC4">
        <w:rPr>
          <w:rFonts w:ascii="TimesNewRoman" w:hAnsi="TimesNewRoman" w:cs="TimesNewRoman"/>
          <w:szCs w:val="24"/>
          <w:lang w:val="fr-CH" w:eastAsia="zh-CN"/>
        </w:rPr>
        <w:t xml:space="preserve"> 2012)</w:t>
      </w:r>
      <w:r>
        <w:rPr>
          <w:rFonts w:ascii="TimesNewRoman" w:hAnsi="TimesNewRoman" w:cs="TimesNewRoman"/>
          <w:szCs w:val="24"/>
          <w:lang w:val="fr-CH" w:eastAsia="zh-CN"/>
        </w:rPr>
        <w:t xml:space="preserve"> a </w:t>
      </w:r>
      <w:r w:rsidR="00BB2991">
        <w:rPr>
          <w:lang w:val="fr-CH"/>
        </w:rPr>
        <w:t>approuvé les Règles </w:t>
      </w:r>
      <w:r>
        <w:rPr>
          <w:lang w:val="fr-CH"/>
        </w:rPr>
        <w:t>de procédure, nouvelles ou modifiées, reproduites dans la Lettre circulaire</w:t>
      </w:r>
      <w:r w:rsidRPr="00BB38DD">
        <w:rPr>
          <w:rFonts w:ascii="TimesNewRoman" w:hAnsi="TimesNewRoman" w:cs="TimesNewRoman"/>
          <w:szCs w:val="24"/>
          <w:lang w:val="fr-CH" w:eastAsia="zh-CN"/>
        </w:rPr>
        <w:t xml:space="preserve"> CR/339</w:t>
      </w:r>
      <w:r>
        <w:rPr>
          <w:rFonts w:ascii="TimesNewRoman" w:hAnsi="TimesNewRoman" w:cs="TimesNewRoman"/>
          <w:szCs w:val="24"/>
          <w:lang w:val="fr-CH" w:eastAsia="zh-CN"/>
        </w:rPr>
        <w:t xml:space="preserve"> </w:t>
      </w:r>
      <w:r w:rsidR="00BB2991">
        <w:rPr>
          <w:lang w:val="fr-CH"/>
        </w:rPr>
        <w:t>du </w:t>
      </w:r>
      <w:r>
        <w:rPr>
          <w:lang w:val="fr-CH"/>
        </w:rPr>
        <w:t xml:space="preserve">22 octobre 2012. </w:t>
      </w:r>
    </w:p>
    <w:p w:rsidR="00BA7363" w:rsidRPr="00AB45E4" w:rsidRDefault="00BA7363" w:rsidP="00BA7363">
      <w:pPr>
        <w:tabs>
          <w:tab w:val="clear" w:pos="794"/>
          <w:tab w:val="clear" w:pos="1191"/>
          <w:tab w:val="clear" w:pos="1588"/>
          <w:tab w:val="clear" w:pos="1985"/>
        </w:tabs>
        <w:overflowPunct/>
        <w:textAlignment w:val="auto"/>
        <w:rPr>
          <w:lang w:val="fr-CH"/>
        </w:rPr>
      </w:pPr>
      <w:r w:rsidRPr="00AB45E4">
        <w:rPr>
          <w:rFonts w:ascii="TimesNewRoman" w:hAnsi="TimesNewRoman" w:cs="TimesNewRoman"/>
          <w:szCs w:val="24"/>
          <w:lang w:val="fr-CH" w:eastAsia="zh-CN"/>
        </w:rPr>
        <w:t>Après la CMR-12, une édition 2012 des Règles de procédure a été publiée.</w:t>
      </w:r>
      <w:r>
        <w:rPr>
          <w:rFonts w:ascii="TimesNewRoman" w:hAnsi="TimesNewRoman" w:cs="TimesNewRoman"/>
          <w:szCs w:val="24"/>
          <w:lang w:val="fr-CH" w:eastAsia="zh-CN"/>
        </w:rPr>
        <w:t xml:space="preserve"> </w:t>
      </w:r>
      <w:r w:rsidRPr="00AB45E4">
        <w:rPr>
          <w:rFonts w:ascii="TimesNewRoman" w:hAnsi="TimesNewRoman" w:cs="TimesNewRoman"/>
          <w:szCs w:val="24"/>
          <w:lang w:val="fr-CH" w:eastAsia="zh-CN"/>
        </w:rPr>
        <w:t>Cette nouvelle édition comprend toutes les révisions jusques et y compris les Règles approuvées énumérées dans les annexes de la Lettre circulaire</w:t>
      </w:r>
      <w:r>
        <w:rPr>
          <w:rFonts w:ascii="TimesNewRoman" w:hAnsi="TimesNewRoman" w:cs="TimesNewRoman"/>
          <w:szCs w:val="24"/>
          <w:lang w:val="fr-CH" w:eastAsia="zh-CN"/>
        </w:rPr>
        <w:t xml:space="preserve"> </w:t>
      </w:r>
      <w:r w:rsidRPr="00AB45E4">
        <w:rPr>
          <w:rFonts w:ascii="TimesNewRoman" w:hAnsi="TimesNewRoman" w:cs="TimesNewRoman"/>
          <w:szCs w:val="24"/>
          <w:lang w:val="fr-CH" w:eastAsia="zh-CN"/>
        </w:rPr>
        <w:t>CR/329</w:t>
      </w:r>
      <w:r>
        <w:rPr>
          <w:rFonts w:ascii="TimesNewRoman" w:hAnsi="TimesNewRoman" w:cs="TimesNewRoman"/>
          <w:szCs w:val="24"/>
          <w:lang w:val="fr-CH" w:eastAsia="zh-CN"/>
        </w:rPr>
        <w:t xml:space="preserve"> du 5 janvier </w:t>
      </w:r>
      <w:r w:rsidRPr="00AB45E4">
        <w:rPr>
          <w:rFonts w:ascii="TimesNewRoman" w:hAnsi="TimesNewRoman" w:cs="TimesNewRoman"/>
          <w:szCs w:val="24"/>
          <w:lang w:val="fr-CH" w:eastAsia="zh-CN"/>
        </w:rPr>
        <w:t>2012.</w:t>
      </w:r>
    </w:p>
    <w:p w:rsidR="00BA7363" w:rsidRPr="00CB6383" w:rsidRDefault="00BA7363" w:rsidP="00BA7363">
      <w:pPr>
        <w:pStyle w:val="Heading1"/>
        <w:rPr>
          <w:lang w:val="fr-CH"/>
        </w:rPr>
      </w:pPr>
      <w:r w:rsidRPr="00CB6383">
        <w:rPr>
          <w:lang w:val="fr-CH"/>
        </w:rPr>
        <w:t>4</w:t>
      </w:r>
      <w:r w:rsidRPr="00CB6383">
        <w:rPr>
          <w:lang w:val="fr-CH"/>
        </w:rPr>
        <w:tab/>
        <w:t>Activités des Commissions d'études</w:t>
      </w:r>
    </w:p>
    <w:p w:rsidR="00BA7363" w:rsidRPr="0080566C" w:rsidRDefault="00BA7363" w:rsidP="00BA7363">
      <w:pPr>
        <w:ind w:right="-284"/>
        <w:rPr>
          <w:lang w:val="fr-CH"/>
        </w:rPr>
      </w:pPr>
      <w:r w:rsidRPr="0080566C">
        <w:rPr>
          <w:lang w:val="fr-CH"/>
        </w:rPr>
        <w:t>Cette question fait l</w:t>
      </w:r>
      <w:r>
        <w:rPr>
          <w:lang w:val="fr-CH"/>
        </w:rPr>
        <w:t>'</w:t>
      </w:r>
      <w:r w:rsidRPr="0080566C">
        <w:rPr>
          <w:lang w:val="fr-CH"/>
        </w:rPr>
        <w:t>objet d</w:t>
      </w:r>
      <w:r w:rsidR="00747C87">
        <w:rPr>
          <w:lang w:val="fr-CH"/>
        </w:rPr>
        <w:t>'un a</w:t>
      </w:r>
      <w:r>
        <w:rPr>
          <w:lang w:val="fr-CH"/>
        </w:rPr>
        <w:t>ddendum au présent document.</w:t>
      </w:r>
    </w:p>
    <w:p w:rsidR="00BA7363" w:rsidRPr="006C4FD3" w:rsidRDefault="00BA7363" w:rsidP="00BA7363">
      <w:pPr>
        <w:pStyle w:val="Heading2"/>
        <w:rPr>
          <w:rFonts w:eastAsiaTheme="minorEastAsia"/>
          <w:lang w:val="fr-CH"/>
        </w:rPr>
      </w:pPr>
      <w:r w:rsidRPr="006C4FD3">
        <w:rPr>
          <w:rFonts w:eastAsiaTheme="minorEastAsia"/>
          <w:lang w:val="fr-CH"/>
        </w:rPr>
        <w:t>4.1</w:t>
      </w:r>
      <w:r w:rsidRPr="006C4FD3">
        <w:rPr>
          <w:rFonts w:eastAsiaTheme="minorEastAsia"/>
          <w:lang w:val="fr-CH"/>
        </w:rPr>
        <w:tab/>
        <w:t>Résultats de l'AMNT-12</w:t>
      </w:r>
      <w:r>
        <w:rPr>
          <w:rFonts w:eastAsiaTheme="minorEastAsia"/>
          <w:lang w:val="fr-CH"/>
        </w:rPr>
        <w:t xml:space="preserve"> </w:t>
      </w:r>
      <w:r w:rsidRPr="006C4FD3">
        <w:rPr>
          <w:rFonts w:eastAsiaTheme="minorEastAsia"/>
          <w:lang w:val="fr-CH"/>
        </w:rPr>
        <w:t>intéressant</w:t>
      </w:r>
      <w:r>
        <w:rPr>
          <w:rFonts w:eastAsiaTheme="minorEastAsia"/>
          <w:lang w:val="fr-CH"/>
        </w:rPr>
        <w:t xml:space="preserve"> </w:t>
      </w:r>
      <w:r w:rsidRPr="006C4FD3">
        <w:rPr>
          <w:rFonts w:eastAsiaTheme="minorEastAsia"/>
          <w:lang w:val="fr-CH"/>
        </w:rPr>
        <w:t>directement l'UIT-R</w:t>
      </w:r>
    </w:p>
    <w:p w:rsidR="00BA7363" w:rsidRDefault="00BA7363" w:rsidP="00747C87">
      <w:pPr>
        <w:rPr>
          <w:rFonts w:eastAsiaTheme="minorEastAsia"/>
          <w:lang w:val="fr-CH"/>
        </w:rPr>
      </w:pPr>
      <w:r>
        <w:rPr>
          <w:rFonts w:eastAsiaTheme="minorEastAsia"/>
          <w:lang w:val="fr-CH"/>
        </w:rPr>
        <w:t>L</w:t>
      </w:r>
      <w:r w:rsidRPr="006C4FD3">
        <w:rPr>
          <w:rFonts w:eastAsiaTheme="minorEastAsia"/>
          <w:lang w:val="fr-CH"/>
        </w:rPr>
        <w:t>a présente section traite de certaines décisions de l'</w:t>
      </w:r>
      <w:r>
        <w:rPr>
          <w:rFonts w:eastAsiaTheme="minorEastAsia"/>
          <w:lang w:val="fr-CH"/>
        </w:rPr>
        <w:t>A</w:t>
      </w:r>
      <w:r w:rsidRPr="006C4FD3">
        <w:rPr>
          <w:rFonts w:eastAsiaTheme="minorEastAsia"/>
          <w:lang w:val="fr-CH"/>
        </w:rPr>
        <w:t xml:space="preserve">ssemblée mondiale de normalisation des télécommunications de </w:t>
      </w:r>
      <w:r>
        <w:rPr>
          <w:rFonts w:eastAsiaTheme="minorEastAsia"/>
          <w:lang w:val="fr-CH"/>
        </w:rPr>
        <w:t>20</w:t>
      </w:r>
      <w:r w:rsidRPr="006C4FD3">
        <w:rPr>
          <w:rFonts w:eastAsiaTheme="minorEastAsia"/>
          <w:lang w:val="fr-CH"/>
        </w:rPr>
        <w:t>12</w:t>
      </w:r>
      <w:r>
        <w:rPr>
          <w:rFonts w:eastAsiaTheme="minorEastAsia"/>
          <w:lang w:val="fr-CH"/>
        </w:rPr>
        <w:t xml:space="preserve"> (</w:t>
      </w:r>
      <w:hyperlink r:id="rId19" w:history="1">
        <w:r w:rsidR="00747C87">
          <w:rPr>
            <w:rStyle w:val="Hyperlink"/>
            <w:rFonts w:eastAsiaTheme="minorEastAsia"/>
            <w:lang w:val="fr-CH"/>
          </w:rPr>
          <w:t>AMNT</w:t>
        </w:r>
        <w:r w:rsidR="00747C87" w:rsidRPr="00747C87">
          <w:rPr>
            <w:rStyle w:val="Hyperlink"/>
            <w:rFonts w:eastAsiaTheme="minorEastAsia"/>
            <w:lang w:val="fr-CH"/>
          </w:rPr>
          <w:t>-12</w:t>
        </w:r>
      </w:hyperlink>
      <w:r>
        <w:rPr>
          <w:rFonts w:eastAsiaTheme="minorEastAsia"/>
          <w:lang w:val="fr-CH"/>
        </w:rPr>
        <w:t xml:space="preserve">) se rapportant aux travaux de l'UIT-R. Il est prévu que le Président du </w:t>
      </w:r>
      <w:r w:rsidRPr="006C4FD3">
        <w:rPr>
          <w:rFonts w:eastAsiaTheme="minorEastAsia"/>
          <w:lang w:val="fr-CH"/>
        </w:rPr>
        <w:t>TSB</w:t>
      </w:r>
      <w:r>
        <w:rPr>
          <w:rFonts w:eastAsiaTheme="minorEastAsia"/>
          <w:lang w:val="fr-CH"/>
        </w:rPr>
        <w:t xml:space="preserve"> présente un document d'information plus détaillé lors de </w:t>
      </w:r>
      <w:r w:rsidRPr="006C4FD3">
        <w:rPr>
          <w:rFonts w:eastAsiaTheme="minorEastAsia"/>
          <w:lang w:val="fr-CH"/>
        </w:rPr>
        <w:t>la</w:t>
      </w:r>
      <w:r>
        <w:rPr>
          <w:rFonts w:eastAsiaTheme="minorEastAsia"/>
          <w:lang w:val="fr-CH"/>
        </w:rPr>
        <w:t xml:space="preserve"> réunion du GCR.</w:t>
      </w:r>
    </w:p>
    <w:p w:rsidR="00BA7363" w:rsidRPr="00B45AC9" w:rsidRDefault="00BA7363" w:rsidP="00BA7363">
      <w:pPr>
        <w:rPr>
          <w:szCs w:val="24"/>
          <w:lang w:val="fr-CH"/>
        </w:rPr>
      </w:pPr>
      <w:r w:rsidRPr="00B45AC9">
        <w:rPr>
          <w:rFonts w:eastAsiaTheme="minorEastAsia"/>
          <w:lang w:val="fr-CH"/>
        </w:rPr>
        <w:t>Résolution 18 (</w:t>
      </w:r>
      <w:r w:rsidRPr="00B45AC9">
        <w:rPr>
          <w:lang w:val="fr-CH"/>
        </w:rPr>
        <w:t>Principes et procédures applicables à la répartition des tâches et à la coordination entre</w:t>
      </w:r>
      <w:r>
        <w:rPr>
          <w:lang w:val="fr-CH"/>
        </w:rPr>
        <w:t xml:space="preserve"> </w:t>
      </w:r>
      <w:r w:rsidRPr="00B45AC9">
        <w:rPr>
          <w:lang w:val="fr-CH"/>
        </w:rPr>
        <w:t>l'UIT</w:t>
      </w:r>
      <w:r>
        <w:rPr>
          <w:lang w:val="fr-CH"/>
        </w:rPr>
        <w:t xml:space="preserve"> </w:t>
      </w:r>
      <w:r w:rsidRPr="00B45AC9">
        <w:rPr>
          <w:lang w:val="fr-CH"/>
        </w:rPr>
        <w:noBreakHyphen/>
        <w:t>R</w:t>
      </w:r>
      <w:r>
        <w:rPr>
          <w:lang w:val="fr-CH"/>
        </w:rPr>
        <w:t xml:space="preserve"> et l'</w:t>
      </w:r>
      <w:r w:rsidRPr="00B45AC9">
        <w:rPr>
          <w:lang w:val="fr-CH"/>
        </w:rPr>
        <w:t>UIT</w:t>
      </w:r>
      <w:r w:rsidRPr="00B45AC9">
        <w:rPr>
          <w:lang w:val="fr-CH"/>
        </w:rPr>
        <w:noBreakHyphen/>
        <w:t>T</w:t>
      </w:r>
      <w:r w:rsidRPr="00B45AC9">
        <w:rPr>
          <w:rFonts w:eastAsiaTheme="minorEastAsia"/>
          <w:lang w:val="fr-CH"/>
        </w:rPr>
        <w:t xml:space="preserve">): </w:t>
      </w:r>
      <w:r>
        <w:rPr>
          <w:rFonts w:eastAsiaTheme="minorEastAsia"/>
          <w:lang w:val="fr-CH"/>
        </w:rPr>
        <w:t xml:space="preserve">contient des dispositions applicables aux </w:t>
      </w:r>
      <w:r>
        <w:rPr>
          <w:lang w:val="fr-CH"/>
        </w:rPr>
        <w:t>G</w:t>
      </w:r>
      <w:r w:rsidRPr="00233913">
        <w:rPr>
          <w:lang w:val="fr-CH"/>
        </w:rPr>
        <w:t>roupes d</w:t>
      </w:r>
      <w:r>
        <w:rPr>
          <w:lang w:val="fr-CH"/>
        </w:rPr>
        <w:t>e</w:t>
      </w:r>
      <w:r w:rsidRPr="00233913">
        <w:rPr>
          <w:lang w:val="fr-CH"/>
        </w:rPr>
        <w:t xml:space="preserve"> Rapporteur intersectoriels</w:t>
      </w:r>
      <w:r w:rsidRPr="00B45AC9">
        <w:rPr>
          <w:lang w:val="fr-CH"/>
        </w:rPr>
        <w:t xml:space="preserve"> (</w:t>
      </w:r>
      <w:r>
        <w:rPr>
          <w:lang w:val="fr-CH"/>
        </w:rPr>
        <w:t>GRI</w:t>
      </w:r>
      <w:r w:rsidRPr="00B45AC9">
        <w:rPr>
          <w:lang w:val="fr-CH"/>
        </w:rPr>
        <w:t xml:space="preserve">), </w:t>
      </w:r>
      <w:r>
        <w:rPr>
          <w:lang w:val="fr-CH"/>
        </w:rPr>
        <w:t>dont la création est plus facile que celle des G</w:t>
      </w:r>
      <w:r w:rsidRPr="00233913">
        <w:rPr>
          <w:lang w:val="fr-CH"/>
        </w:rPr>
        <w:t>roupes de coordination intersectorielle</w:t>
      </w:r>
      <w:r w:rsidRPr="00B45AC9">
        <w:rPr>
          <w:lang w:val="fr-CH"/>
        </w:rPr>
        <w:t xml:space="preserve"> (</w:t>
      </w:r>
      <w:r>
        <w:rPr>
          <w:lang w:val="fr-CH"/>
        </w:rPr>
        <w:t>GCI</w:t>
      </w:r>
      <w:r w:rsidRPr="00B45AC9">
        <w:rPr>
          <w:lang w:val="fr-CH"/>
        </w:rPr>
        <w:t>).</w:t>
      </w:r>
    </w:p>
    <w:p w:rsidR="00BA7363" w:rsidRPr="00210C73" w:rsidRDefault="00D16078" w:rsidP="00BA7363">
      <w:pPr>
        <w:rPr>
          <w:szCs w:val="24"/>
          <w:lang w:val="fr-CH"/>
        </w:rPr>
      </w:pPr>
      <w:hyperlink r:id="rId20" w:history="1">
        <w:r w:rsidR="00BA7363" w:rsidRPr="00B45AC9">
          <w:rPr>
            <w:rFonts w:eastAsiaTheme="minorEastAsia"/>
            <w:lang w:val="fr-CH"/>
          </w:rPr>
          <w:t xml:space="preserve">Résolution </w:t>
        </w:r>
        <w:r w:rsidR="00BA7363" w:rsidRPr="00210C73">
          <w:rPr>
            <w:szCs w:val="24"/>
            <w:lang w:val="fr-CH"/>
          </w:rPr>
          <w:t>55 (Intégration du principe de l'égalité entre les femmes et</w:t>
        </w:r>
        <w:r w:rsidR="00BA7363">
          <w:rPr>
            <w:szCs w:val="24"/>
            <w:lang w:val="fr-CH"/>
          </w:rPr>
          <w:t xml:space="preserve"> </w:t>
        </w:r>
        <w:r w:rsidR="00BA7363" w:rsidRPr="00210C73">
          <w:rPr>
            <w:szCs w:val="24"/>
            <w:lang w:val="fr-CH"/>
          </w:rPr>
          <w:t>les hommes</w:t>
        </w:r>
        <w:r w:rsidR="00BA7363">
          <w:rPr>
            <w:szCs w:val="24"/>
            <w:lang w:val="fr-CH"/>
          </w:rPr>
          <w:t xml:space="preserve"> </w:t>
        </w:r>
        <w:r w:rsidR="00BA7363" w:rsidRPr="00210C73">
          <w:rPr>
            <w:szCs w:val="24"/>
            <w:lang w:val="fr-CH"/>
          </w:rPr>
          <w:t>dans les activités</w:t>
        </w:r>
        <w:r w:rsidR="00BA7363">
          <w:rPr>
            <w:szCs w:val="24"/>
            <w:lang w:val="fr-CH"/>
          </w:rPr>
          <w:t xml:space="preserve"> </w:t>
        </w:r>
        <w:r w:rsidR="00BA7363" w:rsidRPr="00210C73">
          <w:rPr>
            <w:szCs w:val="24"/>
            <w:lang w:val="fr-CH"/>
          </w:rPr>
          <w:t>de l'UIT</w:t>
        </w:r>
      </w:hyperlink>
      <w:r w:rsidR="00BA7363" w:rsidRPr="00210C73">
        <w:rPr>
          <w:szCs w:val="24"/>
          <w:lang w:val="fr-CH"/>
        </w:rPr>
        <w:t>-T):</w:t>
      </w:r>
      <w:r w:rsidR="00BA7363">
        <w:rPr>
          <w:szCs w:val="24"/>
          <w:lang w:val="fr-CH"/>
        </w:rPr>
        <w:t xml:space="preserve"> en vertu de cette Résolution, il a été décidé</w:t>
      </w:r>
      <w:r w:rsidR="00BA7363" w:rsidRPr="00210C73">
        <w:rPr>
          <w:lang w:val="fr-CH"/>
        </w:rPr>
        <w:t xml:space="preserve"> d'inviter</w:t>
      </w:r>
      <w:r w:rsidR="00BA7363">
        <w:rPr>
          <w:lang w:val="fr-CH"/>
        </w:rPr>
        <w:t xml:space="preserve"> </w:t>
      </w:r>
      <w:r w:rsidR="00BA7363" w:rsidRPr="00210C73">
        <w:rPr>
          <w:lang w:val="fr-CH"/>
        </w:rPr>
        <w:t>le</w:t>
      </w:r>
      <w:r w:rsidR="00BA7363">
        <w:rPr>
          <w:lang w:val="fr-CH"/>
        </w:rPr>
        <w:t>s</w:t>
      </w:r>
      <w:r w:rsidR="00BA7363" w:rsidRPr="00210C73">
        <w:rPr>
          <w:lang w:val="fr-CH"/>
        </w:rPr>
        <w:t xml:space="preserve"> Groupe</w:t>
      </w:r>
      <w:r w:rsidR="00BA7363">
        <w:rPr>
          <w:lang w:val="fr-CH"/>
        </w:rPr>
        <w:t>s</w:t>
      </w:r>
      <w:r w:rsidR="00BA7363" w:rsidRPr="00210C73">
        <w:rPr>
          <w:lang w:val="fr-CH"/>
        </w:rPr>
        <w:t xml:space="preserve"> consultatif</w:t>
      </w:r>
      <w:r w:rsidR="00BA7363">
        <w:rPr>
          <w:lang w:val="fr-CH"/>
        </w:rPr>
        <w:t>s</w:t>
      </w:r>
      <w:r w:rsidR="00BA7363" w:rsidRPr="00210C73">
        <w:rPr>
          <w:lang w:val="fr-CH"/>
        </w:rPr>
        <w:t xml:space="preserve"> des</w:t>
      </w:r>
      <w:r w:rsidR="00BA7363">
        <w:rPr>
          <w:lang w:val="fr-CH"/>
        </w:rPr>
        <w:t xml:space="preserve"> Secteurs</w:t>
      </w:r>
      <w:r w:rsidR="00BA7363" w:rsidRPr="00210C73">
        <w:rPr>
          <w:lang w:val="fr-CH"/>
        </w:rPr>
        <w:t xml:space="preserve"> à contribuer à identifier les sujets et les mécanismes propres à favoriser l'intégration du principe de l'égalité hommes/femmes, ainsi que les questions présentant un intérêt mutuel à cet égard</w:t>
      </w:r>
      <w:r w:rsidR="00BA7363">
        <w:rPr>
          <w:lang w:val="fr-CH"/>
        </w:rPr>
        <w:t>.</w:t>
      </w:r>
    </w:p>
    <w:p w:rsidR="00BA7363" w:rsidRDefault="00D16078" w:rsidP="00BA7363">
      <w:pPr>
        <w:rPr>
          <w:lang w:val="fr-CH"/>
        </w:rPr>
      </w:pPr>
      <w:hyperlink r:id="rId21" w:history="1">
        <w:r w:rsidR="00BA7363" w:rsidRPr="00B45AC9">
          <w:rPr>
            <w:rFonts w:eastAsiaTheme="minorEastAsia"/>
            <w:lang w:val="fr-CH"/>
          </w:rPr>
          <w:t xml:space="preserve">Résolution </w:t>
        </w:r>
        <w:r w:rsidR="00BA7363" w:rsidRPr="00511080">
          <w:rPr>
            <w:szCs w:val="24"/>
            <w:lang w:val="fr-CH"/>
          </w:rPr>
          <w:t>57 (Renforcer la coordination et la coopération entre les trois Secteurs de l'UIT sur des questions d'intérêt mutuel</w:t>
        </w:r>
      </w:hyperlink>
      <w:r w:rsidR="00BA7363" w:rsidRPr="00511080">
        <w:rPr>
          <w:szCs w:val="24"/>
          <w:lang w:val="fr-CH"/>
        </w:rPr>
        <w:t xml:space="preserve">): </w:t>
      </w:r>
      <w:r w:rsidR="00BA7363">
        <w:rPr>
          <w:szCs w:val="24"/>
          <w:lang w:val="fr-CH"/>
        </w:rPr>
        <w:t>en vertu de cette Résolution, il a été décidé</w:t>
      </w:r>
      <w:r w:rsidR="00BA7363" w:rsidRPr="00210C73">
        <w:rPr>
          <w:lang w:val="fr-CH"/>
        </w:rPr>
        <w:t xml:space="preserve"> </w:t>
      </w:r>
      <w:r w:rsidR="00BA7363" w:rsidRPr="00511080">
        <w:rPr>
          <w:lang w:val="fr-CH"/>
        </w:rPr>
        <w:t>d'inviter les Groupes consultatifs</w:t>
      </w:r>
      <w:r w:rsidR="00BA7363">
        <w:rPr>
          <w:lang w:val="fr-CH"/>
        </w:rPr>
        <w:t xml:space="preserve"> </w:t>
      </w:r>
      <w:r w:rsidR="00BA7363" w:rsidRPr="00210C73">
        <w:rPr>
          <w:lang w:val="fr-CH"/>
        </w:rPr>
        <w:t>des</w:t>
      </w:r>
      <w:r w:rsidR="00BA7363">
        <w:rPr>
          <w:lang w:val="fr-CH"/>
        </w:rPr>
        <w:t xml:space="preserve"> Secteurs </w:t>
      </w:r>
      <w:r w:rsidR="00BA7363" w:rsidRPr="00511080">
        <w:rPr>
          <w:lang w:val="fr-CH"/>
        </w:rPr>
        <w:t xml:space="preserve">à apporter leur assistance pour identifier les sujets communs aux trois Secteurs </w:t>
      </w:r>
      <w:r w:rsidR="00BA7363">
        <w:rPr>
          <w:lang w:val="fr-CH"/>
        </w:rPr>
        <w:t>ainsi que</w:t>
      </w:r>
      <w:r w:rsidR="00BA7363" w:rsidRPr="00511080">
        <w:rPr>
          <w:lang w:val="fr-CH"/>
        </w:rPr>
        <w:t xml:space="preserve"> les mécanismes visant à renforcer la coopération et la collaboration dans tous les Secteurs sur les questions présentant pour eux un intérêt commun</w:t>
      </w:r>
      <w:r w:rsidR="009707F5">
        <w:rPr>
          <w:lang w:val="fr-CH"/>
        </w:rPr>
        <w:t>.</w:t>
      </w:r>
      <w:r w:rsidR="00BA7363">
        <w:rPr>
          <w:lang w:val="fr-CH"/>
        </w:rPr>
        <w:t xml:space="preserve"> </w:t>
      </w:r>
    </w:p>
    <w:p w:rsidR="00BA7363" w:rsidRPr="002F3321" w:rsidRDefault="00BA7363" w:rsidP="00BA7363">
      <w:pPr>
        <w:pStyle w:val="Heading1"/>
        <w:rPr>
          <w:lang w:val="fr-CH"/>
        </w:rPr>
      </w:pPr>
      <w:r w:rsidRPr="002F3321">
        <w:rPr>
          <w:lang w:val="fr-CH"/>
        </w:rPr>
        <w:t>5</w:t>
      </w:r>
      <w:r w:rsidRPr="002F3321">
        <w:rPr>
          <w:lang w:val="fr-CH"/>
        </w:rPr>
        <w:tab/>
      </w:r>
      <w:r w:rsidRPr="007D3525">
        <w:rPr>
          <w:lang w:val="fr-CH"/>
        </w:rPr>
        <w:t>Travaux préparatoires en vue de la</w:t>
      </w:r>
      <w:r>
        <w:rPr>
          <w:lang w:val="pt-BR"/>
        </w:rPr>
        <w:t xml:space="preserve"> CMR-15</w:t>
      </w:r>
    </w:p>
    <w:p w:rsidR="00BA7363" w:rsidRPr="00E04959" w:rsidRDefault="00BA7363" w:rsidP="00FA02D5">
      <w:pPr>
        <w:rPr>
          <w:rFonts w:eastAsia="SimSun"/>
          <w:szCs w:val="24"/>
          <w:lang w:val="fr-CH" w:eastAsia="zh-CN"/>
        </w:rPr>
      </w:pPr>
      <w:r>
        <w:rPr>
          <w:lang w:val="fr-CH" w:eastAsia="zh-CN"/>
        </w:rPr>
        <w:t>Suite à</w:t>
      </w:r>
      <w:r w:rsidRPr="00C034C9">
        <w:rPr>
          <w:lang w:val="fr-CH" w:eastAsia="zh-CN"/>
        </w:rPr>
        <w:t xml:space="preserve"> l'adoption de </w:t>
      </w:r>
      <w:r>
        <w:rPr>
          <w:lang w:val="fr-CH" w:eastAsia="zh-CN"/>
        </w:rPr>
        <w:t xml:space="preserve">la </w:t>
      </w:r>
      <w:r w:rsidRPr="00B45AC9">
        <w:rPr>
          <w:rFonts w:eastAsiaTheme="minorEastAsia"/>
          <w:lang w:val="fr-CH"/>
        </w:rPr>
        <w:t xml:space="preserve">Résolution </w:t>
      </w:r>
      <w:r w:rsidRPr="002F3321">
        <w:rPr>
          <w:lang w:val="fr-CH" w:eastAsia="zh-CN"/>
        </w:rPr>
        <w:t xml:space="preserve">1343 </w:t>
      </w:r>
      <w:r>
        <w:rPr>
          <w:lang w:val="fr-CH" w:eastAsia="zh-CN"/>
        </w:rPr>
        <w:t xml:space="preserve">du Conseil </w:t>
      </w:r>
      <w:r w:rsidRPr="002F3321">
        <w:rPr>
          <w:lang w:val="fr-CH" w:eastAsia="zh-CN"/>
        </w:rPr>
        <w:t>(</w:t>
      </w:r>
      <w:r>
        <w:rPr>
          <w:lang w:val="fr-CH" w:eastAsia="zh-CN"/>
        </w:rPr>
        <w:t xml:space="preserve">voir le § </w:t>
      </w:r>
      <w:r w:rsidRPr="002F3321">
        <w:rPr>
          <w:lang w:val="fr-CH" w:eastAsia="zh-CN"/>
        </w:rPr>
        <w:t xml:space="preserve">2.2 </w:t>
      </w:r>
      <w:r>
        <w:rPr>
          <w:lang w:val="fr-CH" w:eastAsia="zh-CN"/>
        </w:rPr>
        <w:t>ci-dessus</w:t>
      </w:r>
      <w:r w:rsidRPr="002F3321">
        <w:rPr>
          <w:lang w:val="fr-CH" w:eastAsia="zh-CN"/>
        </w:rPr>
        <w:t>),</w:t>
      </w:r>
      <w:r w:rsidRPr="00C034C9">
        <w:rPr>
          <w:lang w:val="fr-CH" w:eastAsia="zh-CN"/>
        </w:rPr>
        <w:t xml:space="preserve"> la Commission de direction de la RPC s'est réunie </w:t>
      </w:r>
      <w:r w:rsidRPr="002F3321">
        <w:rPr>
          <w:lang w:val="fr-CH" w:eastAsia="zh-CN"/>
        </w:rPr>
        <w:t>le 18 décembre 2012</w:t>
      </w:r>
      <w:r>
        <w:rPr>
          <w:lang w:val="fr-CH" w:eastAsia="zh-CN"/>
        </w:rPr>
        <w:t>,</w:t>
      </w:r>
      <w:r w:rsidRPr="002F3321">
        <w:rPr>
          <w:lang w:val="fr-CH" w:eastAsia="zh-CN"/>
        </w:rPr>
        <w:t xml:space="preserve"> </w:t>
      </w:r>
      <w:r w:rsidRPr="00C034C9">
        <w:rPr>
          <w:lang w:val="fr-CH" w:eastAsia="zh-CN"/>
        </w:rPr>
        <w:t xml:space="preserve">pour examiner l'avancement </w:t>
      </w:r>
      <w:r w:rsidR="00BB2991">
        <w:rPr>
          <w:lang w:val="fr-CH" w:eastAsia="zh-CN"/>
        </w:rPr>
        <w:t>de la préparation du projet de R</w:t>
      </w:r>
      <w:r w:rsidRPr="00C034C9">
        <w:rPr>
          <w:lang w:val="fr-CH" w:eastAsia="zh-CN"/>
        </w:rPr>
        <w:t>apport de la RPC à la CMR-1</w:t>
      </w:r>
      <w:r>
        <w:rPr>
          <w:lang w:val="fr-CH" w:eastAsia="zh-CN"/>
        </w:rPr>
        <w:t>5</w:t>
      </w:r>
      <w:r w:rsidRPr="00C034C9">
        <w:rPr>
          <w:lang w:val="fr-CH" w:eastAsia="zh-CN"/>
        </w:rPr>
        <w:t>. Les Présidents de</w:t>
      </w:r>
      <w:r>
        <w:rPr>
          <w:lang w:val="fr-CH" w:eastAsia="zh-CN"/>
        </w:rPr>
        <w:t>s</w:t>
      </w:r>
      <w:r w:rsidRPr="00C034C9">
        <w:rPr>
          <w:lang w:val="fr-CH" w:eastAsia="zh-CN"/>
        </w:rPr>
        <w:t xml:space="preserve"> commissions d'études et des </w:t>
      </w:r>
      <w:r>
        <w:rPr>
          <w:lang w:val="fr-CH" w:eastAsia="zh-CN"/>
        </w:rPr>
        <w:t xml:space="preserve">autres </w:t>
      </w:r>
      <w:r w:rsidRPr="00C034C9">
        <w:rPr>
          <w:lang w:val="fr-CH" w:eastAsia="zh-CN"/>
        </w:rPr>
        <w:t xml:space="preserve">groupes responsables </w:t>
      </w:r>
      <w:r>
        <w:rPr>
          <w:lang w:val="fr-CH" w:eastAsia="zh-CN"/>
        </w:rPr>
        <w:t xml:space="preserve">de l'UIT-R </w:t>
      </w:r>
      <w:r w:rsidRPr="00C034C9">
        <w:rPr>
          <w:lang w:val="fr-CH" w:eastAsia="zh-CN"/>
        </w:rPr>
        <w:t>ont été invités à assister à cette réunion</w:t>
      </w:r>
      <w:r>
        <w:rPr>
          <w:lang w:val="fr-CH" w:eastAsia="zh-CN"/>
        </w:rPr>
        <w:t>,</w:t>
      </w:r>
      <w:r w:rsidRPr="00C034C9">
        <w:rPr>
          <w:lang w:val="fr-CH" w:eastAsia="zh-CN"/>
        </w:rPr>
        <w:t xml:space="preserve"> </w:t>
      </w:r>
      <w:r>
        <w:rPr>
          <w:lang w:val="fr-CH" w:eastAsia="zh-CN"/>
        </w:rPr>
        <w:t>p</w:t>
      </w:r>
      <w:r w:rsidRPr="00C034C9">
        <w:rPr>
          <w:lang w:val="fr-CH" w:eastAsia="zh-CN"/>
        </w:rPr>
        <w:t>our l</w:t>
      </w:r>
      <w:r>
        <w:rPr>
          <w:lang w:val="fr-CH" w:eastAsia="zh-CN"/>
        </w:rPr>
        <w:t>es</w:t>
      </w:r>
      <w:r w:rsidRPr="00C034C9">
        <w:rPr>
          <w:lang w:val="fr-CH" w:eastAsia="zh-CN"/>
        </w:rPr>
        <w:t>quelle</w:t>
      </w:r>
      <w:r>
        <w:rPr>
          <w:lang w:val="fr-CH" w:eastAsia="zh-CN"/>
        </w:rPr>
        <w:t>s</w:t>
      </w:r>
      <w:r w:rsidRPr="00C034C9">
        <w:rPr>
          <w:lang w:val="fr-CH" w:eastAsia="zh-CN"/>
        </w:rPr>
        <w:t xml:space="preserve"> les installations de participation à distance o</w:t>
      </w:r>
      <w:r>
        <w:rPr>
          <w:lang w:val="fr-CH" w:eastAsia="zh-CN"/>
        </w:rPr>
        <w:t>nt été particulièrement utiles.</w:t>
      </w:r>
      <w:r w:rsidRPr="00C034C9">
        <w:rPr>
          <w:lang w:val="fr-CH" w:eastAsia="zh-CN"/>
        </w:rPr>
        <w:t xml:space="preserve"> Sur la base de la Résolution</w:t>
      </w:r>
      <w:r w:rsidR="00BB2991">
        <w:rPr>
          <w:lang w:val="fr-CH" w:eastAsia="zh-CN"/>
        </w:rPr>
        <w:t> </w:t>
      </w:r>
      <w:r w:rsidRPr="002F3321">
        <w:rPr>
          <w:lang w:val="fr-CH" w:eastAsia="zh-CN"/>
        </w:rPr>
        <w:t>1343</w:t>
      </w:r>
      <w:r>
        <w:rPr>
          <w:lang w:val="fr-CH" w:eastAsia="zh-CN"/>
        </w:rPr>
        <w:t xml:space="preserve"> </w:t>
      </w:r>
      <w:r w:rsidRPr="00C034C9">
        <w:rPr>
          <w:lang w:val="fr-CH" w:eastAsia="zh-CN"/>
        </w:rPr>
        <w:t>(C</w:t>
      </w:r>
      <w:r>
        <w:rPr>
          <w:lang w:val="fr-CH" w:eastAsia="zh-CN"/>
        </w:rPr>
        <w:t>12</w:t>
      </w:r>
      <w:r w:rsidRPr="00C034C9">
        <w:rPr>
          <w:lang w:val="fr-CH" w:eastAsia="zh-CN"/>
        </w:rPr>
        <w:t>)</w:t>
      </w:r>
      <w:r>
        <w:rPr>
          <w:lang w:val="fr-CH" w:eastAsia="zh-CN"/>
        </w:rPr>
        <w:t xml:space="preserve"> et</w:t>
      </w:r>
      <w:r w:rsidRPr="00C034C9">
        <w:rPr>
          <w:lang w:val="fr-CH" w:eastAsia="zh-CN"/>
        </w:rPr>
        <w:t xml:space="preserve"> de la Résolution UIT-R 2-</w:t>
      </w:r>
      <w:r>
        <w:rPr>
          <w:lang w:val="fr-CH" w:eastAsia="zh-CN"/>
        </w:rPr>
        <w:t xml:space="preserve">6, </w:t>
      </w:r>
      <w:r w:rsidRPr="00C034C9">
        <w:rPr>
          <w:lang w:val="fr-CH" w:eastAsia="zh-CN"/>
        </w:rPr>
        <w:t>et compte tenu de la disponibilité du CICG, il a été décidé que la seconde session de la RPC-1</w:t>
      </w:r>
      <w:r>
        <w:rPr>
          <w:lang w:val="fr-CH" w:eastAsia="zh-CN"/>
        </w:rPr>
        <w:t>5</w:t>
      </w:r>
      <w:r w:rsidR="00BB2991">
        <w:rPr>
          <w:lang w:val="fr-CH" w:eastAsia="zh-CN"/>
        </w:rPr>
        <w:t xml:space="preserve"> (RPC</w:t>
      </w:r>
      <w:r w:rsidRPr="00C034C9">
        <w:rPr>
          <w:lang w:val="fr-CH" w:eastAsia="zh-CN"/>
        </w:rPr>
        <w:t>1</w:t>
      </w:r>
      <w:r>
        <w:rPr>
          <w:lang w:val="fr-CH" w:eastAsia="zh-CN"/>
        </w:rPr>
        <w:t>5</w:t>
      </w:r>
      <w:r w:rsidRPr="00C034C9">
        <w:rPr>
          <w:lang w:val="fr-CH" w:eastAsia="zh-CN"/>
        </w:rPr>
        <w:t>-2) se t</w:t>
      </w:r>
      <w:r w:rsidR="00BB2991">
        <w:rPr>
          <w:lang w:val="fr-CH" w:eastAsia="zh-CN"/>
        </w:rPr>
        <w:t>iendrait à Genève du 23 mars au</w:t>
      </w:r>
      <w:r w:rsidR="009707F5">
        <w:rPr>
          <w:lang w:val="fr-CH" w:eastAsia="zh-CN"/>
        </w:rPr>
        <w:t> </w:t>
      </w:r>
      <w:r w:rsidRPr="00C034C9">
        <w:rPr>
          <w:lang w:val="fr-CH" w:eastAsia="zh-CN"/>
        </w:rPr>
        <w:t>2</w:t>
      </w:r>
      <w:r>
        <w:rPr>
          <w:lang w:val="fr-CH" w:eastAsia="zh-CN"/>
        </w:rPr>
        <w:t> </w:t>
      </w:r>
      <w:r w:rsidRPr="00C034C9">
        <w:rPr>
          <w:lang w:val="fr-CH" w:eastAsia="zh-CN"/>
        </w:rPr>
        <w:t>avril</w:t>
      </w:r>
      <w:r>
        <w:rPr>
          <w:lang w:val="fr-CH" w:eastAsia="zh-CN"/>
        </w:rPr>
        <w:t> </w:t>
      </w:r>
      <w:r w:rsidRPr="00C034C9">
        <w:rPr>
          <w:lang w:val="fr-CH" w:eastAsia="zh-CN"/>
        </w:rPr>
        <w:t>2015.</w:t>
      </w:r>
      <w:r>
        <w:rPr>
          <w:lang w:val="fr-CH" w:eastAsia="zh-CN"/>
        </w:rPr>
        <w:t xml:space="preserve"> </w:t>
      </w:r>
      <w:r w:rsidRPr="00C034C9">
        <w:rPr>
          <w:lang w:val="fr-CH" w:eastAsia="zh-CN"/>
        </w:rPr>
        <w:t xml:space="preserve">Il a en outre été décidé que la version finale des </w:t>
      </w:r>
      <w:r>
        <w:rPr>
          <w:lang w:val="fr-CH" w:eastAsia="zh-CN"/>
        </w:rPr>
        <w:t>projets de texte</w:t>
      </w:r>
      <w:r w:rsidR="00EA7D7B">
        <w:rPr>
          <w:lang w:val="fr-CH" w:eastAsia="zh-CN"/>
        </w:rPr>
        <w:t xml:space="preserve"> du rap</w:t>
      </w:r>
      <w:r w:rsidR="009707F5">
        <w:rPr>
          <w:lang w:val="fr-CH" w:eastAsia="zh-CN"/>
        </w:rPr>
        <w:t>port de la </w:t>
      </w:r>
      <w:r w:rsidRPr="00C034C9">
        <w:rPr>
          <w:lang w:val="fr-CH" w:eastAsia="zh-CN"/>
        </w:rPr>
        <w:t xml:space="preserve">RPC établis par les groupes responsables devrait être reçue par les différents </w:t>
      </w:r>
      <w:r>
        <w:rPr>
          <w:lang w:val="fr-CH" w:eastAsia="zh-CN"/>
        </w:rPr>
        <w:t>R</w:t>
      </w:r>
      <w:r w:rsidRPr="00C034C9">
        <w:rPr>
          <w:lang w:val="fr-CH" w:eastAsia="zh-CN"/>
        </w:rPr>
        <w:t xml:space="preserve">apporteurs des différents </w:t>
      </w:r>
      <w:r>
        <w:rPr>
          <w:lang w:val="fr-CH" w:eastAsia="zh-CN"/>
        </w:rPr>
        <w:t>C</w:t>
      </w:r>
      <w:r w:rsidRPr="00C034C9">
        <w:rPr>
          <w:lang w:val="fr-CH" w:eastAsia="zh-CN"/>
        </w:rPr>
        <w:t xml:space="preserve">hapitres </w:t>
      </w:r>
      <w:r>
        <w:rPr>
          <w:lang w:val="fr-CH" w:eastAsia="zh-CN"/>
        </w:rPr>
        <w:t xml:space="preserve">du </w:t>
      </w:r>
      <w:r w:rsidR="00EA7D7B">
        <w:rPr>
          <w:lang w:val="fr-CH" w:eastAsia="zh-CN"/>
        </w:rPr>
        <w:t>R</w:t>
      </w:r>
      <w:r w:rsidRPr="00C034C9">
        <w:rPr>
          <w:lang w:val="fr-CH" w:eastAsia="zh-CN"/>
        </w:rPr>
        <w:t>apport de la RPC</w:t>
      </w:r>
      <w:r>
        <w:rPr>
          <w:lang w:val="fr-CH" w:eastAsia="zh-CN"/>
        </w:rPr>
        <w:t>-15,</w:t>
      </w:r>
      <w:r w:rsidRPr="00C034C9">
        <w:rPr>
          <w:lang w:val="fr-CH" w:eastAsia="zh-CN"/>
        </w:rPr>
        <w:t xml:space="preserve"> avec copie au Bureau</w:t>
      </w:r>
      <w:r>
        <w:rPr>
          <w:lang w:val="fr-CH" w:eastAsia="zh-CN"/>
        </w:rPr>
        <w:t>,</w:t>
      </w:r>
      <w:r w:rsidRPr="00C034C9">
        <w:rPr>
          <w:lang w:val="fr-CH" w:eastAsia="zh-CN"/>
        </w:rPr>
        <w:t xml:space="preserve"> avant le</w:t>
      </w:r>
      <w:r>
        <w:rPr>
          <w:lang w:val="fr-CH" w:eastAsia="zh-CN"/>
        </w:rPr>
        <w:t xml:space="preserve"> </w:t>
      </w:r>
      <w:r w:rsidRPr="00C034C9">
        <w:rPr>
          <w:lang w:val="fr-CH" w:eastAsia="zh-CN"/>
        </w:rPr>
        <w:t>15 août 2014</w:t>
      </w:r>
      <w:r>
        <w:rPr>
          <w:lang w:val="fr-CH" w:eastAsia="zh-CN"/>
        </w:rPr>
        <w:t>.</w:t>
      </w:r>
      <w:r w:rsidRPr="00C034C9">
        <w:rPr>
          <w:lang w:val="fr-CH" w:eastAsia="zh-CN"/>
        </w:rPr>
        <w:t xml:space="preserve"> La réunion de l'équipe de gestion de la RPC-1</w:t>
      </w:r>
      <w:r>
        <w:rPr>
          <w:lang w:val="fr-CH" w:eastAsia="zh-CN"/>
        </w:rPr>
        <w:t xml:space="preserve">5 </w:t>
      </w:r>
      <w:r w:rsidRPr="00C034C9">
        <w:rPr>
          <w:lang w:val="fr-CH" w:eastAsia="zh-CN"/>
        </w:rPr>
        <w:t>se tiendra à Genève</w:t>
      </w:r>
      <w:r>
        <w:rPr>
          <w:lang w:val="fr-CH" w:eastAsia="zh-CN"/>
        </w:rPr>
        <w:t xml:space="preserve"> </w:t>
      </w:r>
      <w:r w:rsidRPr="00C034C9">
        <w:rPr>
          <w:lang w:val="fr-CH"/>
        </w:rPr>
        <w:t>du 1er au 5 septembre 2014</w:t>
      </w:r>
      <w:r>
        <w:rPr>
          <w:lang w:val="fr-CH"/>
        </w:rPr>
        <w:t xml:space="preserve">, </w:t>
      </w:r>
      <w:r w:rsidRPr="00C034C9">
        <w:rPr>
          <w:lang w:val="fr-CH" w:eastAsia="zh-CN"/>
        </w:rPr>
        <w:t xml:space="preserve">pour </w:t>
      </w:r>
      <w:r>
        <w:rPr>
          <w:lang w:val="fr-CH" w:eastAsia="zh-CN"/>
        </w:rPr>
        <w:t xml:space="preserve">regrouper </w:t>
      </w:r>
      <w:r w:rsidR="00EA7D7B">
        <w:rPr>
          <w:lang w:val="fr-CH" w:eastAsia="zh-CN"/>
        </w:rPr>
        <w:t>les projets de texte du R</w:t>
      </w:r>
      <w:r w:rsidRPr="00C034C9">
        <w:rPr>
          <w:lang w:val="fr-CH" w:eastAsia="zh-CN"/>
        </w:rPr>
        <w:t xml:space="preserve">apport de la RPC </w:t>
      </w:r>
      <w:r>
        <w:rPr>
          <w:lang w:val="fr-CH" w:eastAsia="zh-CN"/>
        </w:rPr>
        <w:t xml:space="preserve">établis par les groupes responsables </w:t>
      </w:r>
      <w:r w:rsidRPr="00C034C9">
        <w:rPr>
          <w:lang w:val="fr-CH" w:eastAsia="zh-CN"/>
        </w:rPr>
        <w:t xml:space="preserve">et en faire le projet de Rapport de la RPC. Il </w:t>
      </w:r>
      <w:r>
        <w:rPr>
          <w:lang w:val="fr-CH" w:eastAsia="zh-CN"/>
        </w:rPr>
        <w:t>a été noté qu'il était</w:t>
      </w:r>
      <w:r w:rsidRPr="00C034C9">
        <w:rPr>
          <w:lang w:val="fr-CH" w:eastAsia="zh-CN"/>
        </w:rPr>
        <w:t xml:space="preserve"> prévu que la réunion </w:t>
      </w:r>
      <w:r>
        <w:rPr>
          <w:lang w:val="fr-CH" w:eastAsia="zh-CN"/>
        </w:rPr>
        <w:t xml:space="preserve">du groupe de travail </w:t>
      </w:r>
      <w:r w:rsidRPr="00C034C9">
        <w:rPr>
          <w:lang w:val="fr-CH" w:eastAsia="zh-CN"/>
        </w:rPr>
        <w:t>de la Commission spéciale se tien</w:t>
      </w:r>
      <w:r>
        <w:rPr>
          <w:lang w:val="fr-CH" w:eastAsia="zh-CN"/>
        </w:rPr>
        <w:t xml:space="preserve">ne en décembre 2013 et que la réunion de la Commission spéciale ait </w:t>
      </w:r>
      <w:r>
        <w:rPr>
          <w:lang w:val="fr-CH" w:eastAsia="zh-CN"/>
        </w:rPr>
        <w:lastRenderedPageBreak/>
        <w:t>lieu</w:t>
      </w:r>
      <w:r w:rsidRPr="00C034C9">
        <w:rPr>
          <w:lang w:val="fr-CH" w:eastAsia="zh-CN"/>
        </w:rPr>
        <w:t xml:space="preserve"> pendant le dernier trimestre de 201</w:t>
      </w:r>
      <w:r>
        <w:rPr>
          <w:lang w:val="fr-CH" w:eastAsia="zh-CN"/>
        </w:rPr>
        <w:t>4</w:t>
      </w:r>
      <w:r w:rsidRPr="00C034C9">
        <w:rPr>
          <w:lang w:val="fr-CH" w:eastAsia="zh-CN"/>
        </w:rPr>
        <w:t>. En outre, la Commission de direction de la RPC-1</w:t>
      </w:r>
      <w:r>
        <w:rPr>
          <w:lang w:val="fr-CH" w:eastAsia="zh-CN"/>
        </w:rPr>
        <w:t xml:space="preserve">5 </w:t>
      </w:r>
      <w:r w:rsidRPr="00C034C9">
        <w:rPr>
          <w:lang w:val="fr-CH" w:eastAsia="zh-CN"/>
        </w:rPr>
        <w:t>a mis à jour la répartition des travaux préparatoires de l'UIT-R pour la CMR-1</w:t>
      </w:r>
      <w:r>
        <w:rPr>
          <w:lang w:val="fr-CH" w:eastAsia="zh-CN"/>
        </w:rPr>
        <w:t>5</w:t>
      </w:r>
      <w:r w:rsidRPr="00C034C9">
        <w:rPr>
          <w:lang w:val="fr-CH" w:eastAsia="zh-CN"/>
        </w:rPr>
        <w:t xml:space="preserve"> (voir l'Annexe de l'Addendum 1 à la </w:t>
      </w:r>
      <w:r>
        <w:rPr>
          <w:lang w:val="fr-CH" w:eastAsia="zh-CN"/>
        </w:rPr>
        <w:t xml:space="preserve">Circulaire </w:t>
      </w:r>
      <w:r w:rsidRPr="00C034C9">
        <w:rPr>
          <w:lang w:val="fr-CH" w:eastAsia="zh-CN"/>
        </w:rPr>
        <w:t>CA/</w:t>
      </w:r>
      <w:r>
        <w:rPr>
          <w:lang w:val="fr-CH" w:eastAsia="zh-CN"/>
        </w:rPr>
        <w:t>201</w:t>
      </w:r>
      <w:r w:rsidRPr="00C034C9">
        <w:rPr>
          <w:lang w:val="fr-CH" w:eastAsia="zh-CN"/>
        </w:rPr>
        <w:t xml:space="preserve">). Il a également été rappelé qu'un résumé </w:t>
      </w:r>
      <w:r>
        <w:rPr>
          <w:lang w:val="fr-CH" w:eastAsia="zh-CN"/>
        </w:rPr>
        <w:t xml:space="preserve">analytique </w:t>
      </w:r>
      <w:r w:rsidRPr="00C034C9">
        <w:rPr>
          <w:lang w:val="fr-CH" w:eastAsia="zh-CN"/>
        </w:rPr>
        <w:t>concernant chaque point de l'ordre du jour de la CMR-1</w:t>
      </w:r>
      <w:r>
        <w:rPr>
          <w:lang w:val="fr-CH" w:eastAsia="zh-CN"/>
        </w:rPr>
        <w:t xml:space="preserve">5 devrait </w:t>
      </w:r>
      <w:r w:rsidRPr="00C034C9">
        <w:rPr>
          <w:lang w:val="fr-CH" w:eastAsia="zh-CN"/>
        </w:rPr>
        <w:t>êt</w:t>
      </w:r>
      <w:r w:rsidR="00EA7D7B">
        <w:rPr>
          <w:lang w:val="fr-CH" w:eastAsia="zh-CN"/>
        </w:rPr>
        <w:t>re établi périodiquement par le </w:t>
      </w:r>
      <w:r w:rsidRPr="00C034C9">
        <w:rPr>
          <w:lang w:val="fr-CH" w:eastAsia="zh-CN"/>
        </w:rPr>
        <w:t>groupe responsable</w:t>
      </w:r>
      <w:r>
        <w:rPr>
          <w:lang w:val="fr-CH" w:eastAsia="zh-CN"/>
        </w:rPr>
        <w:t>,</w:t>
      </w:r>
      <w:r w:rsidRPr="00C034C9">
        <w:rPr>
          <w:lang w:val="fr-CH" w:eastAsia="zh-CN"/>
        </w:rPr>
        <w:t xml:space="preserve"> sous </w:t>
      </w:r>
      <w:r>
        <w:rPr>
          <w:lang w:val="fr-CH" w:eastAsia="zh-CN"/>
        </w:rPr>
        <w:t xml:space="preserve">la </w:t>
      </w:r>
      <w:r w:rsidRPr="00C034C9">
        <w:rPr>
          <w:lang w:val="fr-CH" w:eastAsia="zh-CN"/>
        </w:rPr>
        <w:t>forme de</w:t>
      </w:r>
      <w:r>
        <w:rPr>
          <w:lang w:val="fr-CH" w:eastAsia="zh-CN"/>
        </w:rPr>
        <w:t xml:space="preserve"> </w:t>
      </w:r>
      <w:r w:rsidRPr="00E04959">
        <w:rPr>
          <w:lang w:val="fr-CH" w:eastAsia="zh-CN"/>
        </w:rPr>
        <w:t>rapports sur l'état d'avancem</w:t>
      </w:r>
      <w:r w:rsidR="00EA7D7B">
        <w:rPr>
          <w:lang w:val="fr-CH" w:eastAsia="zh-CN"/>
        </w:rPr>
        <w:t>ent des études préparatoires en </w:t>
      </w:r>
      <w:r w:rsidRPr="00E04959">
        <w:rPr>
          <w:lang w:val="fr-CH" w:eastAsia="zh-CN"/>
        </w:rPr>
        <w:t>cours</w:t>
      </w:r>
      <w:r>
        <w:rPr>
          <w:lang w:val="fr-CH" w:eastAsia="zh-CN"/>
        </w:rPr>
        <w:t xml:space="preserve">. </w:t>
      </w:r>
      <w:r w:rsidRPr="00C034C9">
        <w:rPr>
          <w:lang w:val="fr-CH" w:eastAsia="zh-CN"/>
        </w:rPr>
        <w:t>Ce</w:t>
      </w:r>
      <w:r>
        <w:rPr>
          <w:lang w:val="fr-CH" w:eastAsia="zh-CN"/>
        </w:rPr>
        <w:t>s textes</w:t>
      </w:r>
      <w:r w:rsidRPr="00C034C9">
        <w:rPr>
          <w:lang w:val="fr-CH" w:eastAsia="zh-CN"/>
        </w:rPr>
        <w:t xml:space="preserve"> ser</w:t>
      </w:r>
      <w:r>
        <w:rPr>
          <w:lang w:val="fr-CH" w:eastAsia="zh-CN"/>
        </w:rPr>
        <w:t>ont</w:t>
      </w:r>
      <w:r w:rsidRPr="00C034C9">
        <w:rPr>
          <w:lang w:val="fr-CH" w:eastAsia="zh-CN"/>
        </w:rPr>
        <w:t xml:space="preserve"> utilisé</w:t>
      </w:r>
      <w:r>
        <w:rPr>
          <w:lang w:val="fr-CH" w:eastAsia="zh-CN"/>
        </w:rPr>
        <w:t>s</w:t>
      </w:r>
      <w:r w:rsidRPr="00C034C9">
        <w:rPr>
          <w:lang w:val="fr-CH" w:eastAsia="zh-CN"/>
        </w:rPr>
        <w:t xml:space="preserve"> par le Bureau pour informer les groupes régionaux</w:t>
      </w:r>
      <w:r w:rsidR="00EA7D7B">
        <w:rPr>
          <w:lang w:val="fr-CH" w:eastAsia="zh-CN"/>
        </w:rPr>
        <w:t xml:space="preserve"> des progrès </w:t>
      </w:r>
      <w:r>
        <w:rPr>
          <w:lang w:val="fr-CH" w:eastAsia="zh-CN"/>
        </w:rPr>
        <w:t>réalisés</w:t>
      </w:r>
      <w:r w:rsidRPr="00C034C9">
        <w:rPr>
          <w:lang w:val="fr-CH" w:eastAsia="zh-CN"/>
        </w:rPr>
        <w:t xml:space="preserve"> pendant tout le cycle de la CMR, conformément au </w:t>
      </w:r>
      <w:r>
        <w:rPr>
          <w:lang w:val="fr-CH" w:eastAsia="zh-CN"/>
        </w:rPr>
        <w:t>§</w:t>
      </w:r>
      <w:r w:rsidRPr="00C034C9">
        <w:rPr>
          <w:lang w:val="fr-CH" w:eastAsia="zh-CN"/>
        </w:rPr>
        <w:t xml:space="preserve"> 2.5 de l'Annexe 1 de la Résolution UIT-R</w:t>
      </w:r>
      <w:r>
        <w:rPr>
          <w:lang w:val="fr-CH" w:eastAsia="zh-CN"/>
        </w:rPr>
        <w:t xml:space="preserve"> </w:t>
      </w:r>
      <w:r w:rsidRPr="00E04959">
        <w:rPr>
          <w:lang w:val="fr-CH"/>
        </w:rPr>
        <w:t>2-6</w:t>
      </w:r>
      <w:r>
        <w:rPr>
          <w:rFonts w:eastAsia="SimSun"/>
          <w:szCs w:val="24"/>
          <w:lang w:val="fr-CH" w:eastAsia="zh-CN"/>
        </w:rPr>
        <w:t>.</w:t>
      </w:r>
    </w:p>
    <w:p w:rsidR="00BA7363" w:rsidRDefault="00BA7363" w:rsidP="00BA7363">
      <w:pPr>
        <w:rPr>
          <w:rFonts w:eastAsia="SimSun"/>
          <w:szCs w:val="24"/>
          <w:lang w:val="fr-CH" w:eastAsia="zh-CN"/>
        </w:rPr>
      </w:pPr>
      <w:r w:rsidRPr="00EF7261">
        <w:rPr>
          <w:rFonts w:eastAsia="SimSun"/>
          <w:szCs w:val="24"/>
          <w:lang w:val="fr-CH" w:eastAsia="zh-CN"/>
        </w:rPr>
        <w:t xml:space="preserve">Le Bureau projette </w:t>
      </w:r>
      <w:r>
        <w:rPr>
          <w:rFonts w:eastAsia="SimSun"/>
          <w:szCs w:val="24"/>
          <w:lang w:val="fr-CH" w:eastAsia="zh-CN"/>
        </w:rPr>
        <w:t xml:space="preserve">d'organiser </w:t>
      </w:r>
      <w:r w:rsidRPr="00EF7261">
        <w:rPr>
          <w:rFonts w:eastAsia="SimSun"/>
          <w:szCs w:val="24"/>
          <w:lang w:val="fr-CH" w:eastAsia="zh-CN"/>
        </w:rPr>
        <w:t xml:space="preserve">le premier Atelier interrégional de l'UIT sur les travaux préparatoires en vue de la CMR-15 </w:t>
      </w:r>
      <w:r>
        <w:rPr>
          <w:rFonts w:eastAsia="SimSun"/>
          <w:szCs w:val="24"/>
          <w:lang w:val="fr-CH" w:eastAsia="zh-CN"/>
        </w:rPr>
        <w:t xml:space="preserve">à Genève, les 4 et 5 décembre 2013, afin de faire le point des progrès accomplis à mi-parcours </w:t>
      </w:r>
      <w:r w:rsidRPr="00EF7261">
        <w:rPr>
          <w:rFonts w:eastAsia="SimSun"/>
          <w:szCs w:val="24"/>
          <w:lang w:val="fr-CH" w:eastAsia="zh-CN"/>
        </w:rPr>
        <w:t>du processus préparatoire</w:t>
      </w:r>
      <w:r>
        <w:rPr>
          <w:rFonts w:eastAsia="SimSun"/>
          <w:szCs w:val="24"/>
          <w:lang w:val="fr-CH" w:eastAsia="zh-CN"/>
        </w:rPr>
        <w:t xml:space="preserve"> concernant les études de l'UIT-R au titre des points de l'ordre du jour de la CMR-15 et d'offrir la possibilité d'échanger des renseignements et de mieux comprendre les avant-projets de propositions communes, les positions ou les points de vue des entités concernées, par exemple les principaux groupes régionaux et les principale</w:t>
      </w:r>
      <w:r w:rsidR="00FA02D5">
        <w:rPr>
          <w:rFonts w:eastAsia="SimSun"/>
          <w:szCs w:val="24"/>
          <w:lang w:val="fr-CH" w:eastAsia="zh-CN"/>
        </w:rPr>
        <w:t>s organisations internationales</w:t>
      </w:r>
      <w:r>
        <w:rPr>
          <w:rFonts w:eastAsia="SimSun"/>
          <w:szCs w:val="24"/>
          <w:lang w:val="fr-CH" w:eastAsia="zh-CN"/>
        </w:rPr>
        <w:t>,</w:t>
      </w:r>
      <w:r w:rsidRPr="00EF7261">
        <w:rPr>
          <w:rFonts w:eastAsia="SimSun"/>
          <w:szCs w:val="24"/>
          <w:lang w:val="fr-CH" w:eastAsia="zh-CN"/>
        </w:rPr>
        <w:t xml:space="preserve"> </w:t>
      </w:r>
      <w:r>
        <w:rPr>
          <w:rFonts w:eastAsia="SimSun"/>
          <w:szCs w:val="24"/>
          <w:lang w:val="fr-CH" w:eastAsia="zh-CN"/>
        </w:rPr>
        <w:t>sur les questions qui seront traitées par la CMR-15.</w:t>
      </w:r>
    </w:p>
    <w:p w:rsidR="00BA7363" w:rsidRDefault="00BA7363" w:rsidP="00BA7363">
      <w:pPr>
        <w:rPr>
          <w:rFonts w:eastAsia="SimSun"/>
          <w:szCs w:val="24"/>
          <w:lang w:val="fr-CH" w:eastAsia="zh-CN"/>
        </w:rPr>
      </w:pPr>
      <w:r w:rsidRPr="00E04959">
        <w:rPr>
          <w:rFonts w:eastAsia="SimSun"/>
          <w:szCs w:val="24"/>
          <w:lang w:val="fr-CH" w:eastAsia="zh-CN"/>
        </w:rPr>
        <w:t xml:space="preserve">La page web de l'UIT-R </w:t>
      </w:r>
      <w:r>
        <w:rPr>
          <w:rFonts w:eastAsia="SimSun"/>
          <w:szCs w:val="24"/>
          <w:lang w:val="fr-CH" w:eastAsia="zh-CN"/>
        </w:rPr>
        <w:t>relative à</w:t>
      </w:r>
      <w:r w:rsidRPr="00E04959">
        <w:rPr>
          <w:rFonts w:eastAsia="SimSun"/>
          <w:szCs w:val="24"/>
          <w:lang w:val="fr-CH" w:eastAsia="zh-CN"/>
        </w:rPr>
        <w:t xml:space="preserve"> la CMR-1</w:t>
      </w:r>
      <w:r>
        <w:rPr>
          <w:rFonts w:eastAsia="SimSun"/>
          <w:szCs w:val="24"/>
          <w:lang w:val="fr-CH" w:eastAsia="zh-CN"/>
        </w:rPr>
        <w:t>5</w:t>
      </w:r>
      <w:r w:rsidRPr="00E04959">
        <w:rPr>
          <w:rFonts w:eastAsia="SimSun"/>
          <w:szCs w:val="24"/>
          <w:lang w:val="fr-CH" w:eastAsia="zh-CN"/>
        </w:rPr>
        <w:t xml:space="preserve"> </w:t>
      </w:r>
      <w:r>
        <w:rPr>
          <w:rFonts w:eastAsia="SimSun"/>
          <w:szCs w:val="24"/>
          <w:lang w:val="fr-CH" w:eastAsia="zh-CN"/>
        </w:rPr>
        <w:t xml:space="preserve">est accessible </w:t>
      </w:r>
      <w:r w:rsidRPr="00E04959">
        <w:rPr>
          <w:rFonts w:eastAsia="SimSun"/>
          <w:szCs w:val="24"/>
          <w:lang w:val="fr-CH" w:eastAsia="zh-CN"/>
        </w:rPr>
        <w:t xml:space="preserve">à l'adresse </w:t>
      </w:r>
      <w:hyperlink r:id="rId22" w:history="1">
        <w:r w:rsidRPr="00E04959">
          <w:rPr>
            <w:rStyle w:val="Hyperlink"/>
            <w:rFonts w:eastAsia="SimSun"/>
            <w:szCs w:val="24"/>
            <w:lang w:val="fr-CH" w:eastAsia="zh-CN"/>
          </w:rPr>
          <w:t>www.itu.int/go/wrc-15</w:t>
        </w:r>
      </w:hyperlink>
      <w:r w:rsidR="00FA02D5">
        <w:rPr>
          <w:rFonts w:eastAsia="SimSun"/>
          <w:szCs w:val="24"/>
          <w:lang w:val="fr-CH" w:eastAsia="zh-CN"/>
        </w:rPr>
        <w:t>. On </w:t>
      </w:r>
      <w:r>
        <w:rPr>
          <w:rFonts w:eastAsia="SimSun"/>
          <w:szCs w:val="24"/>
          <w:lang w:val="fr-CH" w:eastAsia="zh-CN"/>
        </w:rPr>
        <w:t>trouvera des renseignements détaillés sur les travaux préparatoires</w:t>
      </w:r>
      <w:r w:rsidR="00FA02D5">
        <w:rPr>
          <w:rFonts w:eastAsia="SimSun"/>
          <w:szCs w:val="24"/>
          <w:lang w:val="fr-CH" w:eastAsia="zh-CN"/>
        </w:rPr>
        <w:t xml:space="preserve"> menés par l'UIT-R au titre des </w:t>
      </w:r>
      <w:r>
        <w:rPr>
          <w:rFonts w:eastAsia="SimSun"/>
          <w:szCs w:val="24"/>
          <w:lang w:val="fr-CH" w:eastAsia="zh-CN"/>
        </w:rPr>
        <w:t>points de l'ordre du jour de la CMR-15 sur la page web de l'UIT suivante:</w:t>
      </w:r>
      <w:r w:rsidRPr="005A2C27">
        <w:rPr>
          <w:lang w:val="fr-CH"/>
        </w:rPr>
        <w:t xml:space="preserve"> </w:t>
      </w:r>
      <w:hyperlink r:id="rId23" w:history="1">
        <w:r w:rsidRPr="00E04959">
          <w:rPr>
            <w:rStyle w:val="Hyperlink"/>
            <w:rFonts w:eastAsia="SimSun"/>
            <w:szCs w:val="24"/>
            <w:lang w:val="fr-CH" w:eastAsia="zh-CN"/>
          </w:rPr>
          <w:t>www.itu.int/ITU-R/go/rcpm-wrc-15-studies</w:t>
        </w:r>
      </w:hyperlink>
      <w:r w:rsidRPr="00E04959">
        <w:rPr>
          <w:rFonts w:eastAsia="SimSun"/>
          <w:szCs w:val="24"/>
          <w:lang w:val="fr-CH" w:eastAsia="zh-CN"/>
        </w:rPr>
        <w:t>.</w:t>
      </w:r>
    </w:p>
    <w:p w:rsidR="00BA7363" w:rsidRPr="00ED0EE5" w:rsidRDefault="00BA7363" w:rsidP="00FA02D5">
      <w:pPr>
        <w:pStyle w:val="Heading1"/>
        <w:spacing w:before="300"/>
      </w:pPr>
      <w:r w:rsidRPr="00ED0EE5">
        <w:t>6</w:t>
      </w:r>
      <w:r w:rsidRPr="00ED0EE5">
        <w:tab/>
        <w:t>Systèmes</w:t>
      </w:r>
      <w:r>
        <w:t xml:space="preserve"> </w:t>
      </w:r>
      <w:r w:rsidRPr="00ED0EE5">
        <w:t>d</w:t>
      </w:r>
      <w:r>
        <w:t>'</w:t>
      </w:r>
      <w:r w:rsidRPr="00ED0EE5">
        <w:t>information du</w:t>
      </w:r>
      <w:r>
        <w:t xml:space="preserve"> </w:t>
      </w:r>
      <w:r w:rsidRPr="00ED0EE5">
        <w:t>BR</w:t>
      </w:r>
      <w:r>
        <w:t xml:space="preserve"> </w:t>
      </w:r>
    </w:p>
    <w:p w:rsidR="00BA7363" w:rsidRPr="00DF0CB8" w:rsidRDefault="00BA7363" w:rsidP="009707F5">
      <w:pPr>
        <w:rPr>
          <w:lang w:eastAsia="zh-CN"/>
        </w:rPr>
      </w:pPr>
      <w:r>
        <w:rPr>
          <w:lang w:val="fr-CH" w:eastAsia="zh-CN"/>
        </w:rPr>
        <w:t xml:space="preserve">A </w:t>
      </w:r>
      <w:r w:rsidRPr="00ED0EE5">
        <w:rPr>
          <w:lang w:val="fr-CH" w:eastAsia="zh-CN"/>
        </w:rPr>
        <w:t>sa 19</w:t>
      </w:r>
      <w:r>
        <w:rPr>
          <w:lang w:val="fr-CH" w:eastAsia="zh-CN"/>
        </w:rPr>
        <w:t>ème</w:t>
      </w:r>
      <w:r w:rsidRPr="00ED0EE5">
        <w:rPr>
          <w:lang w:val="fr-CH" w:eastAsia="zh-CN"/>
        </w:rPr>
        <w:t xml:space="preserve"> réunion (2012)</w:t>
      </w:r>
      <w:r>
        <w:rPr>
          <w:lang w:val="fr-CH" w:eastAsia="zh-CN"/>
        </w:rPr>
        <w:t>, l</w:t>
      </w:r>
      <w:r w:rsidRPr="00ED0EE5">
        <w:rPr>
          <w:lang w:val="fr-CH" w:eastAsia="zh-CN"/>
        </w:rPr>
        <w:t>e GCR</w:t>
      </w:r>
      <w:r>
        <w:rPr>
          <w:lang w:val="fr-CH" w:eastAsia="zh-CN"/>
        </w:rPr>
        <w:t xml:space="preserve"> </w:t>
      </w:r>
      <w:r w:rsidRPr="00ED0EE5">
        <w:rPr>
          <w:lang w:val="fr-CH" w:eastAsia="zh-CN"/>
        </w:rPr>
        <w:t xml:space="preserve">a </w:t>
      </w:r>
      <w:r>
        <w:rPr>
          <w:lang w:val="fr-CH" w:eastAsia="zh-CN"/>
        </w:rPr>
        <w:t xml:space="preserve">invité le </w:t>
      </w:r>
      <w:r w:rsidRPr="00ED0EE5">
        <w:rPr>
          <w:lang w:val="fr-CH" w:eastAsia="zh-CN"/>
        </w:rPr>
        <w:t xml:space="preserve">Directeur </w:t>
      </w:r>
      <w:r>
        <w:rPr>
          <w:lang w:val="fr-CH" w:eastAsia="zh-CN"/>
        </w:rPr>
        <w:t xml:space="preserve">à </w:t>
      </w:r>
      <w:r w:rsidRPr="00ED0EE5">
        <w:rPr>
          <w:lang w:val="fr-CH" w:eastAsia="zh-CN"/>
        </w:rPr>
        <w:t xml:space="preserve">mettre en </w:t>
      </w:r>
      <w:r>
        <w:rPr>
          <w:lang w:val="fr-CH" w:eastAsia="zh-CN"/>
        </w:rPr>
        <w:t>oe</w:t>
      </w:r>
      <w:r w:rsidRPr="00ED0EE5">
        <w:rPr>
          <w:lang w:val="fr-CH" w:eastAsia="zh-CN"/>
        </w:rPr>
        <w:t xml:space="preserve">uvre </w:t>
      </w:r>
      <w:r>
        <w:rPr>
          <w:lang w:val="fr-CH" w:eastAsia="zh-CN"/>
        </w:rPr>
        <w:t>l</w:t>
      </w:r>
      <w:r w:rsidRPr="00ED0EE5">
        <w:rPr>
          <w:lang w:val="fr-CH" w:eastAsia="zh-CN"/>
        </w:rPr>
        <w:t>es mesures recommandé</w:t>
      </w:r>
      <w:r>
        <w:rPr>
          <w:lang w:val="fr-CH" w:eastAsia="zh-CN"/>
        </w:rPr>
        <w:t xml:space="preserve">es </w:t>
      </w:r>
      <w:r w:rsidRPr="00ED0EE5">
        <w:rPr>
          <w:lang w:val="fr-CH" w:eastAsia="zh-CN"/>
        </w:rPr>
        <w:t>dans le</w:t>
      </w:r>
      <w:r>
        <w:rPr>
          <w:lang w:val="fr-CH" w:eastAsia="zh-CN"/>
        </w:rPr>
        <w:t>s</w:t>
      </w:r>
      <w:r w:rsidRPr="00ED0EE5">
        <w:rPr>
          <w:lang w:val="fr-CH" w:eastAsia="zh-CN"/>
        </w:rPr>
        <w:t xml:space="preserve"> délai</w:t>
      </w:r>
      <w:r>
        <w:rPr>
          <w:lang w:val="fr-CH" w:eastAsia="zh-CN"/>
        </w:rPr>
        <w:t>s</w:t>
      </w:r>
      <w:r w:rsidRPr="00ED0EE5">
        <w:rPr>
          <w:lang w:val="fr-CH" w:eastAsia="zh-CN"/>
        </w:rPr>
        <w:t xml:space="preserve"> propose</w:t>
      </w:r>
      <w:r>
        <w:rPr>
          <w:lang w:val="fr-CH" w:eastAsia="zh-CN"/>
        </w:rPr>
        <w:t>s</w:t>
      </w:r>
      <w:r w:rsidRPr="00ED0EE5">
        <w:rPr>
          <w:lang w:val="fr-CH" w:eastAsia="zh-CN"/>
        </w:rPr>
        <w:t xml:space="preserve">, </w:t>
      </w:r>
      <w:r>
        <w:rPr>
          <w:lang w:val="fr-CH" w:eastAsia="zh-CN"/>
        </w:rPr>
        <w:t xml:space="preserve">comme indiqué </w:t>
      </w:r>
      <w:r w:rsidRPr="00ED0EE5">
        <w:rPr>
          <w:lang w:val="fr-CH" w:eastAsia="zh-CN"/>
        </w:rPr>
        <w:t>dans la feuille de route approuvée</w:t>
      </w:r>
      <w:r>
        <w:rPr>
          <w:lang w:val="fr-CH" w:eastAsia="zh-CN"/>
        </w:rPr>
        <w:t xml:space="preserve">. Celle-ci prévoit une </w:t>
      </w:r>
      <w:r w:rsidRPr="00ED0EE5">
        <w:rPr>
          <w:lang w:val="fr-CH" w:eastAsia="zh-CN"/>
        </w:rPr>
        <w:t>phase 1</w:t>
      </w:r>
      <w:r w:rsidR="00FA02D5">
        <w:rPr>
          <w:lang w:val="fr-CH" w:eastAsia="zh-CN"/>
        </w:rPr>
        <w:t xml:space="preserve"> </w:t>
      </w:r>
      <w:r w:rsidRPr="00ED0EE5">
        <w:rPr>
          <w:lang w:val="fr-CH" w:eastAsia="zh-CN"/>
        </w:rPr>
        <w:t>(</w:t>
      </w:r>
      <w:r w:rsidR="009707F5">
        <w:rPr>
          <w:lang w:val="fr-CH" w:eastAsia="zh-CN"/>
        </w:rPr>
        <w:t>M</w:t>
      </w:r>
      <w:r w:rsidRPr="00ED0EE5">
        <w:rPr>
          <w:lang w:val="fr-CH" w:eastAsia="zh-CN"/>
        </w:rPr>
        <w:t xml:space="preserve">ise en </w:t>
      </w:r>
      <w:r>
        <w:rPr>
          <w:lang w:val="fr-CH" w:eastAsia="zh-CN"/>
        </w:rPr>
        <w:t>oe</w:t>
      </w:r>
      <w:r w:rsidRPr="00ED0EE5">
        <w:rPr>
          <w:lang w:val="fr-CH" w:eastAsia="zh-CN"/>
        </w:rPr>
        <w:t>uvre des décisions de la CM</w:t>
      </w:r>
      <w:r>
        <w:rPr>
          <w:lang w:val="fr-CH" w:eastAsia="zh-CN"/>
        </w:rPr>
        <w:t>R</w:t>
      </w:r>
      <w:r w:rsidR="009707F5">
        <w:rPr>
          <w:lang w:val="fr-CH" w:eastAsia="zh-CN"/>
        </w:rPr>
        <w:t xml:space="preserve">-12) </w:t>
      </w:r>
      <w:r w:rsidRPr="00ED0EE5">
        <w:rPr>
          <w:lang w:val="fr-CH" w:eastAsia="zh-CN"/>
        </w:rPr>
        <w:t>jusqu</w:t>
      </w:r>
      <w:r>
        <w:rPr>
          <w:lang w:val="fr-CH" w:eastAsia="zh-CN"/>
        </w:rPr>
        <w:t>'</w:t>
      </w:r>
      <w:r w:rsidRPr="00ED0EE5">
        <w:rPr>
          <w:lang w:val="fr-CH" w:eastAsia="zh-CN"/>
        </w:rPr>
        <w:t>au</w:t>
      </w:r>
      <w:r>
        <w:rPr>
          <w:lang w:val="fr-CH" w:eastAsia="zh-CN"/>
        </w:rPr>
        <w:t xml:space="preserve"> 3</w:t>
      </w:r>
      <w:r w:rsidR="009707F5">
        <w:rPr>
          <w:lang w:val="fr-CH" w:eastAsia="zh-CN"/>
        </w:rPr>
        <w:t>1 décembre 2012), une phase 2 (R</w:t>
      </w:r>
      <w:r>
        <w:rPr>
          <w:lang w:val="fr-CH" w:eastAsia="zh-CN"/>
        </w:rPr>
        <w:t>éécriture de certains logiciel</w:t>
      </w:r>
      <w:r w:rsidR="000463BE">
        <w:rPr>
          <w:lang w:val="fr-CH" w:eastAsia="zh-CN"/>
        </w:rPr>
        <w:t>s</w:t>
      </w:r>
      <w:r>
        <w:rPr>
          <w:lang w:val="fr-CH" w:eastAsia="zh-CN"/>
        </w:rPr>
        <w:t xml:space="preserve"> existants) jusqu'au 31</w:t>
      </w:r>
      <w:r w:rsidR="009707F5">
        <w:rPr>
          <w:lang w:val="fr-CH" w:eastAsia="zh-CN"/>
        </w:rPr>
        <w:t xml:space="preserve"> décembre 2015 et une phase 3 (C</w:t>
      </w:r>
      <w:r>
        <w:rPr>
          <w:lang w:val="fr-CH" w:eastAsia="zh-CN"/>
        </w:rPr>
        <w:t>réation d'une équipe de projet chargée de mettre en place un cadre commun, un système de sécurité et une base de données centralisée sur les services spatiaux) du 1</w:t>
      </w:r>
      <w:r w:rsidRPr="007D3525">
        <w:rPr>
          <w:lang w:val="fr-CH" w:eastAsia="zh-CN"/>
        </w:rPr>
        <w:t>er</w:t>
      </w:r>
      <w:r w:rsidR="00FA02D5">
        <w:rPr>
          <w:lang w:val="fr-CH" w:eastAsia="zh-CN"/>
        </w:rPr>
        <w:t xml:space="preserve"> janvier 2016 au </w:t>
      </w:r>
      <w:r>
        <w:rPr>
          <w:lang w:val="fr-CH" w:eastAsia="zh-CN"/>
        </w:rPr>
        <w:t>31 décembre 2018. Le GCR a encouragé les Etats Membres et les Membres de Secteur à formuler leurs observations concernant la phase 3.</w:t>
      </w:r>
    </w:p>
    <w:p w:rsidR="00BA7363" w:rsidRPr="00154928" w:rsidRDefault="00BA7363" w:rsidP="00BA7363">
      <w:pPr>
        <w:rPr>
          <w:lang w:eastAsia="zh-CN"/>
        </w:rPr>
      </w:pPr>
      <w:r w:rsidRPr="00154928">
        <w:rPr>
          <w:lang w:eastAsia="zh-CN"/>
        </w:rPr>
        <w:t>Le rapport sur les progrès</w:t>
      </w:r>
      <w:r>
        <w:rPr>
          <w:lang w:eastAsia="zh-CN"/>
        </w:rPr>
        <w:t xml:space="preserve"> </w:t>
      </w:r>
      <w:r w:rsidRPr="00154928">
        <w:rPr>
          <w:lang w:eastAsia="zh-CN"/>
        </w:rPr>
        <w:t>accomplis</w:t>
      </w:r>
      <w:r>
        <w:rPr>
          <w:lang w:eastAsia="zh-CN"/>
        </w:rPr>
        <w:t xml:space="preserve"> </w:t>
      </w:r>
      <w:r w:rsidRPr="00154928">
        <w:rPr>
          <w:lang w:eastAsia="zh-CN"/>
        </w:rPr>
        <w:t xml:space="preserve">en la matière sera présenté à la </w:t>
      </w:r>
      <w:r>
        <w:rPr>
          <w:lang w:eastAsia="zh-CN"/>
        </w:rPr>
        <w:t>p</w:t>
      </w:r>
      <w:r w:rsidRPr="00154928">
        <w:rPr>
          <w:lang w:eastAsia="zh-CN"/>
        </w:rPr>
        <w:t>rochaine réunion du GCR.</w:t>
      </w:r>
    </w:p>
    <w:p w:rsidR="00BA7363" w:rsidRPr="00154928" w:rsidRDefault="00BA7363" w:rsidP="00BA7363">
      <w:pPr>
        <w:rPr>
          <w:lang w:eastAsia="zh-CN"/>
        </w:rPr>
      </w:pPr>
      <w:r w:rsidRPr="00154928">
        <w:rPr>
          <w:lang w:eastAsia="zh-CN"/>
        </w:rPr>
        <w:t>Cette question est</w:t>
      </w:r>
      <w:r>
        <w:rPr>
          <w:lang w:eastAsia="zh-CN"/>
        </w:rPr>
        <w:t xml:space="preserve"> traitée </w:t>
      </w:r>
      <w:r w:rsidRPr="00154928">
        <w:rPr>
          <w:lang w:eastAsia="zh-CN"/>
        </w:rPr>
        <w:t>dans l</w:t>
      </w:r>
      <w:r>
        <w:rPr>
          <w:lang w:eastAsia="zh-CN"/>
        </w:rPr>
        <w:t>'A</w:t>
      </w:r>
      <w:r w:rsidRPr="00154928">
        <w:rPr>
          <w:lang w:eastAsia="zh-CN"/>
        </w:rPr>
        <w:t>n</w:t>
      </w:r>
      <w:r>
        <w:rPr>
          <w:lang w:eastAsia="zh-CN"/>
        </w:rPr>
        <w:t>nex</w:t>
      </w:r>
      <w:r w:rsidRPr="00154928">
        <w:rPr>
          <w:lang w:eastAsia="zh-CN"/>
        </w:rPr>
        <w:t>e 1 du présent document.</w:t>
      </w:r>
    </w:p>
    <w:p w:rsidR="00BA7363" w:rsidRPr="008F77A5" w:rsidRDefault="00BA7363" w:rsidP="00FA02D5">
      <w:pPr>
        <w:pStyle w:val="Heading1"/>
        <w:spacing w:before="300"/>
      </w:pPr>
      <w:r>
        <w:t>7</w:t>
      </w:r>
      <w:r w:rsidRPr="0018240A">
        <w:tab/>
      </w:r>
      <w:r w:rsidRPr="008F77A5">
        <w:t>Coopération en vue de résoudre les problèmes de brouillages préjudiciables causés par des satellites</w:t>
      </w:r>
    </w:p>
    <w:p w:rsidR="00BA7363" w:rsidRPr="0018240A" w:rsidRDefault="00BA7363" w:rsidP="00FA02D5">
      <w:r w:rsidRPr="0018240A">
        <w:t>Depuis quelques années, le Bureau des radiocommunications de l'UIT (BR) est régulièrement sollicité pour apporter son assistance ou, plus récemment, mis en copie pour des échanges de correspondance entre des administrations concernant des brouillages préjudiciables qui perturbent gravement les transmissions sur divers satellites, dûment retransmises par des réseaux à satellite inscrits dans le Fichier de référence de l'UIT. Dans la plupart des cas, les renseignements fournis par l'administration affectée comportent des éléments de preuve concernant l'emplacement de la source des brouillages préjudiciables. Etant donné que les renseignements proviennent fréquemment d'une seule source, et comme l'UIT ne dispose pas de moyens appropriés pour étudier la question ou corroborer ces renseignements, la suite donnée par le BR à ce jour s'est limitée à une demande à l'intention de toutes les parties susceptibles d'être concernées, afin qu'elles fassent preuve du maximum de bonne volonté et d'entraide dans l'application des dispositions de l'article 45 de la Constitution de l'UIT et de celles de la Section VI de l'Article 15 du Règlement des radiocommunications, en vue de résoudre ces problèmes de brouillages préjudiciables.</w:t>
      </w:r>
    </w:p>
    <w:p w:rsidR="00BA7363" w:rsidRPr="0018240A" w:rsidRDefault="00BA7363" w:rsidP="00BA7363">
      <w:r w:rsidRPr="0018240A">
        <w:lastRenderedPageBreak/>
        <w:t>Dans ce contexte, le BR procède actuellement à l'élaboration de mémorandums de coopération avec des administrations disposant des moyens de contrôle de l'utilisation des bandes de fréquences attribuées aux services par satellite, afin d'aider le Bureau à effectuer des mesures relatives au cas de brouillages préjudiciables pour lesquels une administration demande l'assistance du BR. Un mémorandum de coopération a d'ores et déjà été signé par l'UIT et l'Organisation de l'aviation civile internationale (OACI) concernant les cas de brouillages relatifs au système mondial de navigation par satellite (GNSS) à bord d'aéronefs civils. D'autres contacts ont également été noués avec des organisations telles que la Satellite Industry Association (SIA), l'Association européenne des opérateurs de satellites (ESOA) et le Global VSAT Forum (GVF), en vue d'obtenir une assistance pour la fourniture de renseignements sur le contrôle par satellite et la détermination des sources de brouillages préjudiciables.</w:t>
      </w:r>
    </w:p>
    <w:p w:rsidR="00BA7363" w:rsidRPr="0018240A" w:rsidRDefault="00BA7363" w:rsidP="00BA7363">
      <w:r w:rsidRPr="0018240A">
        <w:t>L'approche décrite ci-dessus devrait permettre au BR d'obtenir des sources d'information indépendantes sur l'origine des cas de brouillages préjudiciables, de faciliter l'application des mesures réglementaires prévues au titre de l'Article 15 du Règlement des radiocommunications et d'élaborer une stratégie à long terme pour régler ce problème. L'initiative prise par le BR vise également à établir un cadre pour éviter toute dispersion des efforts, à tirer parti des synergies qui pourront être créées entre les parties, agissant dans leur domaine de compétence respectif et à concevoir une stratégie à long terme pour régler le problème des brouillages préjudiciables.</w:t>
      </w:r>
    </w:p>
    <w:p w:rsidR="00BA7363" w:rsidRPr="00D744CD" w:rsidRDefault="00BA7363" w:rsidP="00BA7363">
      <w:pPr>
        <w:pStyle w:val="Heading1"/>
      </w:pPr>
      <w:r>
        <w:t>8</w:t>
      </w:r>
      <w:r w:rsidRPr="00D744CD">
        <w:tab/>
        <w:t>Planification opérationnelle</w:t>
      </w:r>
    </w:p>
    <w:p w:rsidR="00BA7363" w:rsidRPr="00D744CD" w:rsidRDefault="00BA7363" w:rsidP="00BA7363">
      <w:r>
        <w:t>Le projet de p</w:t>
      </w:r>
      <w:r w:rsidRPr="00D744CD">
        <w:t xml:space="preserve">lan opérationnel pour la période 2014-2017 est </w:t>
      </w:r>
      <w:r>
        <w:t>accessible</w:t>
      </w:r>
      <w:r w:rsidRPr="00D744CD">
        <w:t xml:space="preserve"> à l'adresse: </w:t>
      </w:r>
      <w:hyperlink r:id="rId24" w:tgtFrame="_blank" w:history="1">
        <w:r w:rsidRPr="00D744CD">
          <w:rPr>
            <w:rStyle w:val="Hyperlink"/>
          </w:rPr>
          <w:t>http://www.itu.int/ITU-R/go/operational-plans/</w:t>
        </w:r>
      </w:hyperlink>
      <w:r w:rsidRPr="00D744CD">
        <w:t xml:space="preserve"> pour examen par le GCR. Ce plan est structuré en fonction des résultats</w:t>
      </w:r>
      <w:r>
        <w:t>,</w:t>
      </w:r>
      <w:r w:rsidRPr="00D744CD">
        <w:t xml:space="preserve"> </w:t>
      </w:r>
      <w:r w:rsidRPr="00AE5F2D">
        <w:rPr>
          <w:lang w:val="fr-CH"/>
        </w:rPr>
        <w:t xml:space="preserve">afin </w:t>
      </w:r>
      <w:r>
        <w:rPr>
          <w:lang w:val="fr-CH"/>
        </w:rPr>
        <w:t>d'assurer une parfaite</w:t>
      </w:r>
      <w:r w:rsidRPr="00AE5F2D">
        <w:rPr>
          <w:lang w:val="fr-CH"/>
        </w:rPr>
        <w:t xml:space="preserve"> coordination avec le budget et les autres outils financiers de l</w:t>
      </w:r>
      <w:r>
        <w:rPr>
          <w:lang w:val="fr-CH"/>
        </w:rPr>
        <w:t>'</w:t>
      </w:r>
      <w:r w:rsidRPr="00AE5F2D">
        <w:rPr>
          <w:lang w:val="fr-CH"/>
        </w:rPr>
        <w:t xml:space="preserve">Union. </w:t>
      </w:r>
      <w:r>
        <w:rPr>
          <w:lang w:val="fr-CH"/>
        </w:rPr>
        <w:t>Il traite également d</w:t>
      </w:r>
      <w:r w:rsidRPr="00AE5F2D">
        <w:rPr>
          <w:lang w:val="fr-CH"/>
        </w:rPr>
        <w:t>es aspects stratégiques des activités de l</w:t>
      </w:r>
      <w:r>
        <w:rPr>
          <w:lang w:val="fr-CH"/>
        </w:rPr>
        <w:t>'</w:t>
      </w:r>
      <w:r w:rsidRPr="00AE5F2D">
        <w:rPr>
          <w:lang w:val="fr-CH"/>
        </w:rPr>
        <w:t xml:space="preserve">UIT-R et </w:t>
      </w:r>
      <w:r>
        <w:rPr>
          <w:lang w:val="fr-CH"/>
        </w:rPr>
        <w:t>assure une</w:t>
      </w:r>
      <w:r w:rsidRPr="00AE5F2D">
        <w:rPr>
          <w:lang w:val="fr-CH"/>
        </w:rPr>
        <w:t xml:space="preserve"> coordination </w:t>
      </w:r>
      <w:r>
        <w:rPr>
          <w:lang w:val="fr-CH"/>
        </w:rPr>
        <w:t>appropriée avec le p</w:t>
      </w:r>
      <w:r w:rsidRPr="00AE5F2D">
        <w:rPr>
          <w:lang w:val="fr-CH"/>
        </w:rPr>
        <w:t>lan stratégique de l</w:t>
      </w:r>
      <w:r>
        <w:rPr>
          <w:lang w:val="fr-CH"/>
        </w:rPr>
        <w:t>'</w:t>
      </w:r>
      <w:r w:rsidRPr="00AE5F2D">
        <w:rPr>
          <w:lang w:val="fr-CH"/>
        </w:rPr>
        <w:t>UIT.</w:t>
      </w:r>
      <w:r w:rsidRPr="00D744CD">
        <w:t xml:space="preserve"> </w:t>
      </w:r>
    </w:p>
    <w:p w:rsidR="00BA7363" w:rsidRDefault="00BA7363" w:rsidP="00BA7363">
      <w:r w:rsidRPr="00D744CD">
        <w:t>Le rapport d'activité pour 201</w:t>
      </w:r>
      <w:r>
        <w:t>2,</w:t>
      </w:r>
      <w:r w:rsidRPr="00D744CD">
        <w:t xml:space="preserve"> </w:t>
      </w:r>
      <w:r>
        <w:t>accessible</w:t>
      </w:r>
      <w:r w:rsidRPr="00D744CD">
        <w:t xml:space="preserve"> à l'adresse: </w:t>
      </w:r>
      <w:hyperlink r:id="rId25" w:history="1">
        <w:r w:rsidRPr="00D744CD">
          <w:rPr>
            <w:rStyle w:val="Hyperlink"/>
          </w:rPr>
          <w:t>http://www.itu.int/ITU-R/go/performance-reports/</w:t>
        </w:r>
      </w:hyperlink>
      <w:r>
        <w:t>,</w:t>
      </w:r>
      <w:r w:rsidRPr="00D744CD">
        <w:t xml:space="preserve"> </w:t>
      </w:r>
      <w:r>
        <w:t>vise à</w:t>
      </w:r>
      <w:r w:rsidRPr="00D744CD">
        <w:t xml:space="preserve"> donner des informations </w:t>
      </w:r>
      <w:r>
        <w:t>sur</w:t>
      </w:r>
      <w:r w:rsidRPr="00D744CD">
        <w:t xml:space="preserve"> la mise en </w:t>
      </w:r>
      <w:r>
        <w:t>oe</w:t>
      </w:r>
      <w:r w:rsidRPr="00D744CD">
        <w:t>uvre des produi</w:t>
      </w:r>
      <w:r>
        <w:t>ts et activités prévus dans le p</w:t>
      </w:r>
      <w:r w:rsidRPr="00D744CD">
        <w:t>lan opérationnel de l'UIT</w:t>
      </w:r>
      <w:r w:rsidRPr="00D744CD">
        <w:noBreakHyphen/>
        <w:t>R pour 201</w:t>
      </w:r>
      <w:r>
        <w:t>2. C</w:t>
      </w:r>
      <w:r w:rsidRPr="00D744CD">
        <w:t xml:space="preserve">e rapport </w:t>
      </w:r>
      <w:r>
        <w:t xml:space="preserve">permet de </w:t>
      </w:r>
      <w:r w:rsidRPr="00D744CD">
        <w:t>compar</w:t>
      </w:r>
      <w:r>
        <w:t xml:space="preserve">er </w:t>
      </w:r>
      <w:r w:rsidRPr="00D744CD">
        <w:t>les résultats obtenus et les résultats escomptés</w:t>
      </w:r>
      <w:r>
        <w:t xml:space="preserve"> et</w:t>
      </w:r>
      <w:r w:rsidRPr="00D744CD">
        <w:t xml:space="preserve"> fournit les indicateurs fondamentaux de performance correspondants. Ceux-ci sont indiqués pour chaque objectif principal et dans chaque produit pertinent dans le document.</w:t>
      </w:r>
      <w:r>
        <w:t xml:space="preserve"> </w:t>
      </w:r>
    </w:p>
    <w:p w:rsidR="00BA7363" w:rsidRPr="004C3FDB" w:rsidRDefault="00BA7363" w:rsidP="00BA7363">
      <w:pPr>
        <w:pStyle w:val="Heading1"/>
        <w:rPr>
          <w:lang w:val="fr-CH" w:eastAsia="zh-CN"/>
        </w:rPr>
      </w:pPr>
      <w:r>
        <w:rPr>
          <w:lang w:val="fr-CH" w:eastAsia="zh-CN"/>
        </w:rPr>
        <w:t>9</w:t>
      </w:r>
      <w:r w:rsidRPr="004C3FDB">
        <w:rPr>
          <w:lang w:val="fr-CH" w:eastAsia="zh-CN"/>
        </w:rPr>
        <w:tab/>
        <w:t>Information</w:t>
      </w:r>
      <w:r>
        <w:rPr>
          <w:lang w:val="fr-CH" w:eastAsia="zh-CN"/>
        </w:rPr>
        <w:t xml:space="preserve"> </w:t>
      </w:r>
      <w:r w:rsidRPr="004C3FDB">
        <w:rPr>
          <w:lang w:val="fr-CH" w:eastAsia="zh-CN"/>
        </w:rPr>
        <w:t>et assistance</w:t>
      </w:r>
      <w:r>
        <w:rPr>
          <w:lang w:val="fr-CH" w:eastAsia="zh-CN"/>
        </w:rPr>
        <w:t xml:space="preserve"> </w:t>
      </w:r>
      <w:r w:rsidRPr="004C3FDB">
        <w:rPr>
          <w:lang w:val="fr-CH" w:eastAsia="zh-CN"/>
        </w:rPr>
        <w:t>aux membres</w:t>
      </w:r>
    </w:p>
    <w:p w:rsidR="00BA7363" w:rsidRDefault="00BA7363" w:rsidP="00BA7363">
      <w:pPr>
        <w:rPr>
          <w:rFonts w:cs="Calibri"/>
          <w:lang w:val="fr-CH"/>
        </w:rPr>
      </w:pPr>
      <w:r>
        <w:rPr>
          <w:rFonts w:cs="Calibri"/>
          <w:lang w:val="fr-CH"/>
        </w:rPr>
        <w:t>A</w:t>
      </w:r>
      <w:r w:rsidRPr="004C3FDB">
        <w:rPr>
          <w:rFonts w:cs="Calibri"/>
          <w:lang w:val="fr-CH"/>
        </w:rPr>
        <w:t>fin d</w:t>
      </w:r>
      <w:r>
        <w:rPr>
          <w:rFonts w:cs="Calibri"/>
          <w:lang w:val="fr-CH"/>
        </w:rPr>
        <w:t>'</w:t>
      </w:r>
      <w:r w:rsidRPr="004C3FDB">
        <w:rPr>
          <w:rFonts w:cs="Calibri"/>
          <w:lang w:val="fr-CH"/>
        </w:rPr>
        <w:t>informer les membres de l</w:t>
      </w:r>
      <w:r>
        <w:rPr>
          <w:rFonts w:cs="Calibri"/>
          <w:lang w:val="fr-CH"/>
        </w:rPr>
        <w:t>'</w:t>
      </w:r>
      <w:r w:rsidRPr="004C3FDB">
        <w:rPr>
          <w:rFonts w:cs="Calibri"/>
          <w:lang w:val="fr-CH"/>
        </w:rPr>
        <w:t>UIT</w:t>
      </w:r>
      <w:r>
        <w:rPr>
          <w:rFonts w:cs="Calibri"/>
          <w:lang w:val="fr-CH"/>
        </w:rPr>
        <w:t xml:space="preserve"> et de leur prêter une assistance</w:t>
      </w:r>
      <w:r w:rsidRPr="004C3FDB">
        <w:rPr>
          <w:rFonts w:cs="Calibri"/>
          <w:lang w:val="fr-CH"/>
        </w:rPr>
        <w:t xml:space="preserve">, </w:t>
      </w:r>
      <w:r>
        <w:rPr>
          <w:rFonts w:cs="Calibri"/>
          <w:lang w:val="fr-CH"/>
        </w:rPr>
        <w:t>en particulier dans les pays en </w:t>
      </w:r>
      <w:r w:rsidRPr="004C3FDB">
        <w:rPr>
          <w:rFonts w:cs="Calibri"/>
          <w:lang w:val="fr-CH"/>
        </w:rPr>
        <w:t xml:space="preserve">développement, </w:t>
      </w:r>
      <w:r>
        <w:rPr>
          <w:rFonts w:cs="Calibri"/>
          <w:lang w:val="fr-CH"/>
        </w:rPr>
        <w:t xml:space="preserve">pour l'examen des sujets se rapportant à des </w:t>
      </w:r>
      <w:r w:rsidRPr="004C3FDB">
        <w:rPr>
          <w:rFonts w:cs="Calibri"/>
          <w:lang w:val="fr-CH"/>
        </w:rPr>
        <w:t>questions de radiocommunication, le BR organise</w:t>
      </w:r>
      <w:r>
        <w:rPr>
          <w:rFonts w:cs="Calibri"/>
          <w:lang w:val="fr-CH"/>
        </w:rPr>
        <w:t xml:space="preserve"> </w:t>
      </w:r>
      <w:r w:rsidRPr="004C3FDB">
        <w:rPr>
          <w:rFonts w:cs="Calibri"/>
          <w:lang w:val="fr-CH"/>
        </w:rPr>
        <w:t>un certain nombre d</w:t>
      </w:r>
      <w:r>
        <w:rPr>
          <w:rFonts w:cs="Calibri"/>
          <w:lang w:val="fr-CH"/>
        </w:rPr>
        <w:t>'</w:t>
      </w:r>
      <w:r w:rsidRPr="004C3FDB">
        <w:rPr>
          <w:rFonts w:cs="Calibri"/>
          <w:lang w:val="fr-CH"/>
        </w:rPr>
        <w:t>ateliers, de séminaires</w:t>
      </w:r>
      <w:r>
        <w:rPr>
          <w:rFonts w:cs="Calibri"/>
          <w:lang w:val="fr-CH"/>
        </w:rPr>
        <w:t xml:space="preserve"> et de réunions sur le spectre des fréquences ou y participe, et prend des initiatives en matière de renforcement des capacités. </w:t>
      </w:r>
      <w:r w:rsidRPr="004C3FDB">
        <w:rPr>
          <w:rFonts w:cs="Calibri"/>
          <w:lang w:val="fr-CH"/>
        </w:rPr>
        <w:t xml:space="preserve">Il mène à bien </w:t>
      </w:r>
      <w:r>
        <w:rPr>
          <w:rFonts w:cs="Calibri"/>
          <w:lang w:val="fr-CH"/>
        </w:rPr>
        <w:t>c</w:t>
      </w:r>
      <w:r w:rsidRPr="004C3FDB">
        <w:rPr>
          <w:rFonts w:cs="Calibri"/>
          <w:lang w:val="fr-CH"/>
        </w:rPr>
        <w:t>es activités en collaboration étroite avec le BDT, les bureaux régionaux et les bureaux de zone de l</w:t>
      </w:r>
      <w:r>
        <w:rPr>
          <w:rFonts w:cs="Calibri"/>
          <w:lang w:val="fr-CH"/>
        </w:rPr>
        <w:t>'</w:t>
      </w:r>
      <w:r w:rsidRPr="004C3FDB">
        <w:rPr>
          <w:rFonts w:cs="Calibri"/>
          <w:lang w:val="fr-CH"/>
        </w:rPr>
        <w:t xml:space="preserve">UIT et les organisations internationales ou </w:t>
      </w:r>
      <w:r>
        <w:rPr>
          <w:rFonts w:cs="Calibri"/>
          <w:lang w:val="fr-CH"/>
        </w:rPr>
        <w:t xml:space="preserve">les </w:t>
      </w:r>
      <w:r w:rsidRPr="004C3FDB">
        <w:rPr>
          <w:rFonts w:cs="Calibri"/>
          <w:lang w:val="fr-CH"/>
        </w:rPr>
        <w:t>autorités nationales concernées.</w:t>
      </w:r>
      <w:r>
        <w:rPr>
          <w:rFonts w:cs="Calibri"/>
          <w:lang w:val="fr-CH"/>
        </w:rPr>
        <w:t xml:space="preserve"> Ces activités contribuent directement au renforcement des capacités et à l'échange de données d'expérience entre les membres de l'UIT sur des questions relatives au spectre. Le BR s'est tout particulièrement employé à apporter une assistance aux membres et à encourager la coopération pour le passage à la radiodiffusion télévisuelle numérique de Terre et la répartition du dividende numérique.</w:t>
      </w:r>
    </w:p>
    <w:p w:rsidR="006746C7" w:rsidRDefault="006746C7" w:rsidP="00BA7363">
      <w:pPr>
        <w:rPr>
          <w:bCs/>
          <w:lang w:val="fr-CH" w:eastAsia="zh-CN"/>
        </w:rPr>
      </w:pPr>
      <w:r>
        <w:rPr>
          <w:bCs/>
          <w:lang w:val="fr-CH" w:eastAsia="zh-CN"/>
        </w:rPr>
        <w:br w:type="page"/>
      </w:r>
    </w:p>
    <w:p w:rsidR="00BA7363" w:rsidRPr="007D7A0A" w:rsidRDefault="00BA7363" w:rsidP="00BA7363">
      <w:pPr>
        <w:rPr>
          <w:bCs/>
          <w:lang w:val="fr-CH" w:eastAsia="zh-CN"/>
        </w:rPr>
      </w:pPr>
      <w:r w:rsidRPr="007D7A0A">
        <w:rPr>
          <w:bCs/>
          <w:lang w:val="fr-CH" w:eastAsia="zh-CN"/>
        </w:rPr>
        <w:lastRenderedPageBreak/>
        <w:t xml:space="preserve">On trouvera dans </w:t>
      </w:r>
      <w:r>
        <w:rPr>
          <w:bCs/>
          <w:lang w:val="fr-CH" w:eastAsia="zh-CN"/>
        </w:rPr>
        <w:t xml:space="preserve">l'Annexe 2 </w:t>
      </w:r>
      <w:r w:rsidRPr="007D7A0A">
        <w:rPr>
          <w:bCs/>
          <w:lang w:val="fr-CH" w:eastAsia="zh-CN"/>
        </w:rPr>
        <w:t xml:space="preserve">la liste des manifestations auxquelles le BR </w:t>
      </w:r>
      <w:r>
        <w:rPr>
          <w:bCs/>
          <w:lang w:val="fr-CH" w:eastAsia="zh-CN"/>
        </w:rPr>
        <w:t xml:space="preserve">a </w:t>
      </w:r>
      <w:r w:rsidRPr="007D7A0A">
        <w:rPr>
          <w:bCs/>
          <w:lang w:val="fr-CH" w:eastAsia="zh-CN"/>
        </w:rPr>
        <w:t>particip</w:t>
      </w:r>
      <w:r>
        <w:rPr>
          <w:bCs/>
          <w:lang w:val="fr-CH" w:eastAsia="zh-CN"/>
        </w:rPr>
        <w:t xml:space="preserve">é </w:t>
      </w:r>
      <w:r w:rsidRPr="007D7A0A">
        <w:rPr>
          <w:bCs/>
          <w:lang w:val="fr-CH" w:eastAsia="zh-CN"/>
        </w:rPr>
        <w:t>en 2012.</w:t>
      </w:r>
    </w:p>
    <w:p w:rsidR="00BA7363" w:rsidRDefault="00BA7363" w:rsidP="00BA7363">
      <w:pPr>
        <w:rPr>
          <w:bCs/>
          <w:lang w:eastAsia="zh-CN"/>
        </w:rPr>
      </w:pPr>
      <w:r>
        <w:rPr>
          <w:bCs/>
          <w:lang w:eastAsia="zh-CN"/>
        </w:rPr>
        <w:t>Une liste complète des séminaires et ateliers directement organis</w:t>
      </w:r>
      <w:r w:rsidR="00FA02D5">
        <w:rPr>
          <w:bCs/>
          <w:lang w:eastAsia="zh-CN"/>
        </w:rPr>
        <w:t>és par l'UIT, ou en coopération </w:t>
      </w:r>
      <w:r>
        <w:rPr>
          <w:bCs/>
          <w:lang w:eastAsia="zh-CN"/>
        </w:rPr>
        <w:t xml:space="preserve">avec d'autres entités régionales ou nationales, figure à l'adresse </w:t>
      </w:r>
      <w:hyperlink r:id="rId26" w:history="1">
        <w:r w:rsidR="00FA02D5" w:rsidRPr="006A1D6A">
          <w:rPr>
            <w:rStyle w:val="Hyperlink"/>
            <w:rFonts w:eastAsiaTheme="majorEastAsia"/>
            <w:bCs/>
            <w:lang w:eastAsia="zh-CN"/>
          </w:rPr>
          <w:t>http://www.itu.int/ITU</w:t>
        </w:r>
        <w:r w:rsidR="00FA02D5" w:rsidRPr="006A1D6A">
          <w:rPr>
            <w:rStyle w:val="Hyperlink"/>
            <w:rFonts w:eastAsiaTheme="majorEastAsia"/>
            <w:bCs/>
            <w:lang w:eastAsia="zh-CN"/>
          </w:rPr>
          <w:noBreakHyphen/>
          <w:t>R/go/seminars</w:t>
        </w:r>
      </w:hyperlink>
      <w:r>
        <w:rPr>
          <w:bCs/>
          <w:lang w:eastAsia="zh-CN"/>
        </w:rPr>
        <w:t>.</w:t>
      </w:r>
    </w:p>
    <w:p w:rsidR="00BA7363" w:rsidRDefault="00BA7363" w:rsidP="00BA7363">
      <w:pPr>
        <w:pStyle w:val="Heading2"/>
        <w:rPr>
          <w:rFonts w:eastAsiaTheme="minorEastAsia"/>
          <w:bCs/>
        </w:rPr>
      </w:pPr>
      <w:r>
        <w:rPr>
          <w:rFonts w:eastAsiaTheme="minorEastAsia"/>
        </w:rPr>
        <w:t>9.1</w:t>
      </w:r>
      <w:r>
        <w:rPr>
          <w:rFonts w:eastAsiaTheme="minorEastAsia"/>
        </w:rPr>
        <w:tab/>
        <w:t>Séminaires des radiocommunications</w:t>
      </w:r>
    </w:p>
    <w:p w:rsidR="00BA7363" w:rsidRDefault="00BA7363" w:rsidP="00BA7363">
      <w:pPr>
        <w:pStyle w:val="Heading2"/>
        <w:rPr>
          <w:rFonts w:eastAsiaTheme="minorEastAsia"/>
          <w:b w:val="0"/>
        </w:rPr>
      </w:pPr>
      <w:r>
        <w:rPr>
          <w:rFonts w:eastAsiaTheme="minorEastAsia"/>
          <w:b w:val="0"/>
        </w:rPr>
        <w:t>Cette question fait l'objet d'un addendum au présent document</w:t>
      </w:r>
      <w:r w:rsidR="009707F5">
        <w:rPr>
          <w:rFonts w:eastAsiaTheme="minorEastAsia"/>
          <w:b w:val="0"/>
        </w:rPr>
        <w:t>.</w:t>
      </w:r>
    </w:p>
    <w:p w:rsidR="00BA7363" w:rsidRPr="00157D48" w:rsidRDefault="00BA7363" w:rsidP="00BA7363">
      <w:pPr>
        <w:pStyle w:val="Heading1"/>
        <w:rPr>
          <w:lang w:val="fr-CH" w:eastAsia="zh-CN"/>
        </w:rPr>
      </w:pPr>
      <w:r w:rsidRPr="00157D48">
        <w:rPr>
          <w:lang w:val="fr-CH" w:eastAsia="zh-CN"/>
        </w:rPr>
        <w:t>10</w:t>
      </w:r>
      <w:r>
        <w:rPr>
          <w:lang w:val="fr-CH" w:eastAsia="zh-CN"/>
        </w:rPr>
        <w:tab/>
      </w:r>
      <w:r w:rsidRPr="00157D48">
        <w:rPr>
          <w:lang w:val="fr-CH" w:eastAsia="zh-CN"/>
        </w:rPr>
        <w:t>Circulaire internationale d'information sur les fréquences du BR (BR IFIC)</w:t>
      </w:r>
    </w:p>
    <w:p w:rsidR="00BA7363" w:rsidRDefault="00BA7363" w:rsidP="00BA7363">
      <w:r>
        <w:t>Par sa Lettre circulaire CR/332 du 24 avril 2012, le Bureau a informé les administrations de sa décision de mettre à jour le logiciel et le conteneur de base de don</w:t>
      </w:r>
      <w:r w:rsidR="007C452A">
        <w:t>nées de la BR IFIC (services de </w:t>
      </w:r>
      <w:r>
        <w:t>Terre).</w:t>
      </w:r>
    </w:p>
    <w:p w:rsidR="00BA7363" w:rsidRDefault="00A92D04" w:rsidP="006746C7">
      <w:r>
        <w:t>Depuis l'édition N°</w:t>
      </w:r>
      <w:r w:rsidR="00BA7363">
        <w:t xml:space="preserve"> 2719 du 15 mai 2012, un DVD additionnel contenant </w:t>
      </w:r>
      <w:r>
        <w:t>la version beta de la BR </w:t>
      </w:r>
      <w:r w:rsidR="006746C7">
        <w:t>IFIC (services de Terre)</w:t>
      </w:r>
      <w:r w:rsidR="00BA7363">
        <w:t>, présenté sous une nouvelle forme et utilisant le système de gestion de bases de données SQLite, ainsi que de nouvelles versions améliorées des progiciels associés (</w:t>
      </w:r>
      <w:r w:rsidR="00BA7363">
        <w:rPr>
          <w:b/>
          <w:bCs/>
          <w:i/>
          <w:iCs/>
        </w:rPr>
        <w:t>TerRaQ</w:t>
      </w:r>
      <w:r w:rsidR="00BA7363">
        <w:t xml:space="preserve">, </w:t>
      </w:r>
      <w:r w:rsidR="00BA7363">
        <w:rPr>
          <w:b/>
          <w:bCs/>
          <w:i/>
          <w:iCs/>
        </w:rPr>
        <w:t>TerRaNotices</w:t>
      </w:r>
      <w:r w:rsidR="00BA7363">
        <w:t xml:space="preserve"> </w:t>
      </w:r>
      <w:r w:rsidR="006746C7">
        <w:t>et</w:t>
      </w:r>
      <w:r w:rsidR="00BA7363">
        <w:t xml:space="preserve"> </w:t>
      </w:r>
      <w:r w:rsidR="00BA7363">
        <w:rPr>
          <w:b/>
          <w:bCs/>
          <w:i/>
          <w:iCs/>
        </w:rPr>
        <w:t>TerRaNV</w:t>
      </w:r>
      <w:r w:rsidR="00BA7363">
        <w:t>), a été distribué parallèlement à la BR IFIC sur DVD normale, en vue d'être évalué par les administrations et tous les abonnés.</w:t>
      </w:r>
    </w:p>
    <w:p w:rsidR="00BA7363" w:rsidRDefault="00BA7363" w:rsidP="00BA7363">
      <w:pPr>
        <w:rPr>
          <w:rFonts w:asciiTheme="majorBidi" w:hAnsiTheme="majorBidi" w:cstheme="majorBidi"/>
          <w:szCs w:val="24"/>
          <w:lang w:eastAsia="zh-CN"/>
        </w:rPr>
      </w:pPr>
      <w:r>
        <w:rPr>
          <w:rFonts w:asciiTheme="majorBidi" w:hAnsiTheme="majorBidi" w:cstheme="majorBidi"/>
          <w:szCs w:val="24"/>
          <w:lang w:eastAsia="zh-CN"/>
        </w:rPr>
        <w:t xml:space="preserve">Les principales caractéristiques nouvelles de </w:t>
      </w:r>
      <w:r>
        <w:t xml:space="preserve">la BR IFIC sur DVD sont les suivantes: </w:t>
      </w:r>
    </w:p>
    <w:p w:rsidR="00BA7363" w:rsidRDefault="00BA7363" w:rsidP="00BA7363">
      <w:pPr>
        <w:pStyle w:val="enumlev1"/>
        <w:rPr>
          <w:lang w:eastAsia="zh-CN"/>
        </w:rPr>
      </w:pPr>
      <w:r>
        <w:rPr>
          <w:lang w:eastAsia="zh-CN"/>
        </w:rPr>
        <w:t>•</w:t>
      </w:r>
      <w:r>
        <w:rPr>
          <w:lang w:eastAsia="zh-CN"/>
        </w:rPr>
        <w:tab/>
      </w:r>
      <w:r w:rsidR="006746C7">
        <w:rPr>
          <w:lang w:eastAsia="zh-CN"/>
        </w:rPr>
        <w:t>N</w:t>
      </w:r>
      <w:r>
        <w:rPr>
          <w:lang w:eastAsia="zh-CN"/>
        </w:rPr>
        <w:t>ouveau «menu de navigation» en mode «opérationnel dès insertion» («plug-and-play»), qui permet à l'utilisateur de consulter les données, d'effectuer des recherches, de faire tourner l'un des progiciels susmentionnés directement depuis le DVD, sans avoir à effect</w:t>
      </w:r>
      <w:r w:rsidR="006746C7">
        <w:rPr>
          <w:lang w:eastAsia="zh-CN"/>
        </w:rPr>
        <w:t>uer une quelconque installation.</w:t>
      </w:r>
    </w:p>
    <w:p w:rsidR="00BA7363" w:rsidRDefault="00BA7363" w:rsidP="00BA7363">
      <w:pPr>
        <w:pStyle w:val="enumlev1"/>
        <w:rPr>
          <w:lang w:eastAsia="zh-CN"/>
        </w:rPr>
      </w:pPr>
      <w:r>
        <w:rPr>
          <w:lang w:eastAsia="zh-CN"/>
        </w:rPr>
        <w:t>•</w:t>
      </w:r>
      <w:r>
        <w:rPr>
          <w:lang w:eastAsia="zh-CN"/>
        </w:rPr>
        <w:tab/>
      </w:r>
      <w:r w:rsidR="006746C7">
        <w:rPr>
          <w:lang w:eastAsia="zh-CN"/>
        </w:rPr>
        <w:t>U</w:t>
      </w:r>
      <w:r>
        <w:rPr>
          <w:lang w:eastAsia="zh-CN"/>
        </w:rPr>
        <w:t>tilitaire «installation sur demande», qui permet à l'utilisateu</w:t>
      </w:r>
      <w:r w:rsidR="006746C7">
        <w:rPr>
          <w:lang w:eastAsia="zh-CN"/>
        </w:rPr>
        <w:t>r d'installer les données de la BR IFIC ou ses progiciels.</w:t>
      </w:r>
    </w:p>
    <w:p w:rsidR="00BA7363" w:rsidRPr="0015111C" w:rsidRDefault="00BA7363" w:rsidP="00BA7363">
      <w:pPr>
        <w:pStyle w:val="enumlev1"/>
        <w:rPr>
          <w:lang w:val="fr-CH" w:eastAsia="zh-CN"/>
        </w:rPr>
      </w:pPr>
      <w:r>
        <w:rPr>
          <w:lang w:eastAsia="zh-CN"/>
        </w:rPr>
        <w:t>•</w:t>
      </w:r>
      <w:r>
        <w:rPr>
          <w:lang w:eastAsia="zh-CN"/>
        </w:rPr>
        <w:tab/>
      </w:r>
      <w:r w:rsidR="006746C7">
        <w:rPr>
          <w:lang w:val="fr-CH" w:eastAsia="zh-CN"/>
        </w:rPr>
        <w:t>P</w:t>
      </w:r>
      <w:r w:rsidRPr="007D3525">
        <w:rPr>
          <w:lang w:val="fr-CH" w:eastAsia="zh-CN"/>
        </w:rPr>
        <w:t>arfaite compatibilité</w:t>
      </w:r>
      <w:r w:rsidRPr="0015111C">
        <w:rPr>
          <w:lang w:val="fr-CH" w:eastAsia="zh-CN"/>
        </w:rPr>
        <w:t xml:space="preserve"> avec Windows 7</w:t>
      </w:r>
      <w:r>
        <w:rPr>
          <w:vertAlign w:val="superscript"/>
        </w:rPr>
        <w:t>®</w:t>
      </w:r>
      <w:r>
        <w:rPr>
          <w:rStyle w:val="FootnoteReference"/>
          <w:rFonts w:asciiTheme="majorBidi" w:hAnsiTheme="majorBidi" w:cstheme="majorBidi"/>
          <w:szCs w:val="24"/>
          <w:lang w:val="en-US" w:eastAsia="zh-CN"/>
        </w:rPr>
        <w:footnoteReference w:id="1"/>
      </w:r>
      <w:r w:rsidR="006746C7">
        <w:rPr>
          <w:lang w:val="fr-CH" w:eastAsia="zh-CN"/>
        </w:rPr>
        <w:t>.</w:t>
      </w:r>
    </w:p>
    <w:p w:rsidR="00BA7363" w:rsidRDefault="00BA7363" w:rsidP="00BA7363">
      <w:pPr>
        <w:pStyle w:val="enumlev1"/>
        <w:rPr>
          <w:lang w:eastAsia="zh-CN"/>
        </w:rPr>
      </w:pPr>
      <w:r>
        <w:rPr>
          <w:lang w:eastAsia="zh-CN"/>
        </w:rPr>
        <w:t>•</w:t>
      </w:r>
      <w:r>
        <w:rPr>
          <w:lang w:eastAsia="zh-CN"/>
        </w:rPr>
        <w:tab/>
      </w:r>
      <w:r w:rsidR="006746C7">
        <w:rPr>
          <w:lang w:eastAsia="zh-CN"/>
        </w:rPr>
        <w:t>A</w:t>
      </w:r>
      <w:r>
        <w:rPr>
          <w:lang w:eastAsia="zh-CN"/>
        </w:rPr>
        <w:t>vec la nouvelle BR IFIC sur DVD (services de Terre), il</w:t>
      </w:r>
      <w:r>
        <w:rPr>
          <w:lang w:val="fr-CH"/>
        </w:rPr>
        <w:t xml:space="preserve"> n'est pas nécessaire que l'utilisateur: </w:t>
      </w:r>
    </w:p>
    <w:p w:rsidR="00BA7363" w:rsidRDefault="00BA7363" w:rsidP="00BA7363">
      <w:pPr>
        <w:pStyle w:val="enumlev2"/>
        <w:rPr>
          <w:lang w:eastAsia="zh-CN"/>
        </w:rPr>
      </w:pPr>
      <w:r>
        <w:rPr>
          <w:lang w:eastAsia="zh-CN"/>
        </w:rPr>
        <w:t>–</w:t>
      </w:r>
      <w:r>
        <w:rPr>
          <w:lang w:eastAsia="zh-CN"/>
        </w:rPr>
        <w:tab/>
        <w:t xml:space="preserve">dispose de </w:t>
      </w:r>
      <w:r>
        <w:t>droits d'administrateur</w:t>
      </w:r>
      <w:r>
        <w:rPr>
          <w:lang w:eastAsia="zh-CN"/>
        </w:rPr>
        <w:t xml:space="preserve"> pour l'utilisation ou l'installation de la BR IFIC;</w:t>
      </w:r>
    </w:p>
    <w:p w:rsidR="00BA7363" w:rsidRDefault="00BA7363" w:rsidP="00BA7363">
      <w:pPr>
        <w:pStyle w:val="enumlev2"/>
        <w:rPr>
          <w:lang w:eastAsia="zh-CN"/>
        </w:rPr>
      </w:pPr>
      <w:r>
        <w:rPr>
          <w:lang w:eastAsia="zh-CN"/>
        </w:rPr>
        <w:t>–</w:t>
      </w:r>
      <w:r>
        <w:rPr>
          <w:lang w:eastAsia="zh-CN"/>
        </w:rPr>
        <w:tab/>
      </w:r>
      <w:r>
        <w:t>adapte les paramètres de sécurité Windows</w:t>
      </w:r>
      <w:r w:rsidR="0016796F">
        <w:rPr>
          <w:vertAlign w:val="superscript"/>
        </w:rPr>
        <w:t>®</w:t>
      </w:r>
      <w:r>
        <w:t xml:space="preserve"> pour installer la base de données</w:t>
      </w:r>
      <w:r w:rsidR="006746C7">
        <w:t>;</w:t>
      </w:r>
      <w:r>
        <w:t xml:space="preserve"> </w:t>
      </w:r>
    </w:p>
    <w:p w:rsidR="00BA7363" w:rsidRDefault="00BA7363" w:rsidP="00BA7363">
      <w:pPr>
        <w:pStyle w:val="enumlev2"/>
        <w:rPr>
          <w:lang w:eastAsia="zh-CN"/>
        </w:rPr>
      </w:pPr>
      <w:r>
        <w:rPr>
          <w:lang w:eastAsia="zh-CN"/>
        </w:rPr>
        <w:t>–</w:t>
      </w:r>
      <w:r>
        <w:rPr>
          <w:lang w:eastAsia="zh-CN"/>
        </w:rPr>
        <w:tab/>
        <w:t>se procure une licence pour l'utilisation de la base de données</w:t>
      </w:r>
      <w:r w:rsidR="006746C7">
        <w:rPr>
          <w:lang w:eastAsia="zh-CN"/>
        </w:rPr>
        <w:t>.</w:t>
      </w:r>
      <w:r>
        <w:rPr>
          <w:lang w:eastAsia="zh-CN"/>
        </w:rPr>
        <w:t xml:space="preserve"> </w:t>
      </w:r>
    </w:p>
    <w:p w:rsidR="00BA7363" w:rsidRDefault="00BA7363" w:rsidP="00BE0E38">
      <w:r>
        <w:t>Pendant cette phase d'essai, le Bureau a recueilli les commentaires et suggestions reçus et s'est employé à améliorer en conséquence la circulaire</w:t>
      </w:r>
      <w:r>
        <w:rPr>
          <w:rFonts w:asciiTheme="majorBidi" w:hAnsiTheme="majorBidi" w:cstheme="majorBidi"/>
          <w:szCs w:val="24"/>
          <w:lang w:eastAsia="zh-CN"/>
        </w:rPr>
        <w:t xml:space="preserve"> BR IFIC (</w:t>
      </w:r>
      <w:r>
        <w:t>services de Terre), de façon à la perfectionner et à l'enrichir de nouvelles fonctionnalités, pour répondre aux besoins des Administrations et des abonnés. A l'issue de plusieu</w:t>
      </w:r>
      <w:r w:rsidR="006746C7">
        <w:t>rs mois d'essais fructueux, la C</w:t>
      </w:r>
      <w:r>
        <w:t>irculaire</w:t>
      </w:r>
      <w:r w:rsidR="006746C7">
        <w:rPr>
          <w:rFonts w:asciiTheme="majorBidi" w:hAnsiTheme="majorBidi" w:cstheme="majorBidi"/>
          <w:szCs w:val="24"/>
          <w:lang w:eastAsia="zh-CN"/>
        </w:rPr>
        <w:t xml:space="preserve"> BR </w:t>
      </w:r>
      <w:r>
        <w:rPr>
          <w:rFonts w:asciiTheme="majorBidi" w:hAnsiTheme="majorBidi" w:cstheme="majorBidi"/>
          <w:szCs w:val="24"/>
          <w:lang w:eastAsia="zh-CN"/>
        </w:rPr>
        <w:t>IFIC (</w:t>
      </w:r>
      <w:r>
        <w:t>services de Terre) sous sa nouvelle forme a fait l'objet de présentations et a été utilisée à l'occasion des ateliers organisés pendant le Séminaire mondial des radiocommunications de 2012 (</w:t>
      </w:r>
      <w:r w:rsidR="00BE0E38">
        <w:t>WRS</w:t>
      </w:r>
      <w:r>
        <w:noBreakHyphen/>
        <w:t>12). Dans l'ensemble, les réactions ont été extrêmement positives.</w:t>
      </w:r>
    </w:p>
    <w:p w:rsidR="006746C7" w:rsidRDefault="006746C7" w:rsidP="00BA7363">
      <w:r>
        <w:br w:type="page"/>
      </w:r>
    </w:p>
    <w:p w:rsidR="00BA7363" w:rsidRDefault="00BA7363" w:rsidP="00BE0E38">
      <w:r>
        <w:lastRenderedPageBreak/>
        <w:t>En conséquence, le Bureau a informé les Administrations, dans sa Lettre Circulaire CR/344 que, à compter de la publication de la BR IFIC N° 2739 du 5 mars 2013, l'ancienne publication sur DVD de la BR IFIC (services de Terre), reposant sur la base de données Microsoft Access</w:t>
      </w:r>
      <w:r w:rsidR="00BE0E38">
        <w:rPr>
          <w:vertAlign w:val="superscript"/>
        </w:rPr>
        <w:t>®</w:t>
      </w:r>
      <w:r>
        <w:t>, cesserait de paraître et serait remplacée par la nouvelle BR IFIC utilisant le système de gestion de base de données SQLite.</w:t>
      </w:r>
    </w:p>
    <w:p w:rsidR="00BA7363" w:rsidRPr="00157D48" w:rsidRDefault="00BA7363" w:rsidP="00BA7363">
      <w:pPr>
        <w:pStyle w:val="Heading1"/>
        <w:rPr>
          <w:lang w:val="fr-CH" w:eastAsia="zh-CN"/>
        </w:rPr>
      </w:pPr>
      <w:r w:rsidRPr="00157D48">
        <w:rPr>
          <w:lang w:val="fr-CH" w:eastAsia="zh-CN"/>
        </w:rPr>
        <w:t>11</w:t>
      </w:r>
      <w:r w:rsidRPr="00157D48">
        <w:rPr>
          <w:lang w:val="fr-CH" w:eastAsia="zh-CN"/>
        </w:rPr>
        <w:tab/>
        <w:t>Statistiques relatives aux Membres de Secteur, aux Associés et aux établissements universitaires</w:t>
      </w:r>
    </w:p>
    <w:p w:rsidR="00BA7363" w:rsidRDefault="00BA7363" w:rsidP="00BE0E38">
      <w:pPr>
        <w:ind w:right="-284"/>
        <w:rPr>
          <w:lang w:val="fr-CH"/>
        </w:rPr>
      </w:pPr>
      <w:r>
        <w:rPr>
          <w:lang w:val="fr-CH"/>
        </w:rPr>
        <w:t xml:space="preserve">Cette question fait l'objet d'un </w:t>
      </w:r>
      <w:r w:rsidR="00BE0E38">
        <w:rPr>
          <w:lang w:val="fr-CH"/>
        </w:rPr>
        <w:t>a</w:t>
      </w:r>
      <w:r>
        <w:rPr>
          <w:lang w:val="fr-CH"/>
        </w:rPr>
        <w:t>ddendum au présent document.</w:t>
      </w:r>
    </w:p>
    <w:p w:rsidR="00BA7363" w:rsidRPr="005C3466" w:rsidRDefault="00BA7363" w:rsidP="00BA7363">
      <w:pPr>
        <w:tabs>
          <w:tab w:val="clear" w:pos="794"/>
          <w:tab w:val="clear" w:pos="1191"/>
          <w:tab w:val="clear" w:pos="1588"/>
          <w:tab w:val="clear" w:pos="1985"/>
          <w:tab w:val="left" w:pos="1134"/>
        </w:tabs>
        <w:overflowPunct/>
        <w:autoSpaceDE/>
        <w:autoSpaceDN/>
        <w:adjustRightInd/>
        <w:spacing w:before="4080"/>
        <w:textAlignment w:val="auto"/>
        <w:rPr>
          <w:b/>
          <w:bCs/>
        </w:rPr>
      </w:pPr>
      <w:r w:rsidRPr="005C3466">
        <w:rPr>
          <w:b/>
          <w:bCs/>
        </w:rPr>
        <w:t>Annex</w:t>
      </w:r>
      <w:r>
        <w:rPr>
          <w:b/>
          <w:bCs/>
        </w:rPr>
        <w:t>es</w:t>
      </w:r>
      <w:r w:rsidRPr="006746C7">
        <w:t>:</w:t>
      </w:r>
      <w:r w:rsidR="006746C7">
        <w:t xml:space="preserve"> </w:t>
      </w:r>
      <w:r w:rsidRPr="006746C7">
        <w:t>2</w:t>
      </w:r>
    </w:p>
    <w:p w:rsidR="00BA7363" w:rsidRDefault="00BA7363" w:rsidP="00BA7363">
      <w:pPr>
        <w:pStyle w:val="BodyText2"/>
        <w:spacing w:before="60" w:after="100" w:line="240" w:lineRule="auto"/>
        <w:sectPr w:rsidR="00BA7363" w:rsidSect="007C452A">
          <w:headerReference w:type="default" r:id="rId27"/>
          <w:footerReference w:type="default" r:id="rId28"/>
          <w:footerReference w:type="first" r:id="rId29"/>
          <w:pgSz w:w="11907" w:h="16834" w:code="9"/>
          <w:pgMar w:top="1418" w:right="1134" w:bottom="1418" w:left="1134" w:header="720" w:footer="720" w:gutter="0"/>
          <w:paperSrc w:first="7" w:other="7"/>
          <w:cols w:space="720"/>
          <w:titlePg/>
          <w:docGrid w:linePitch="326"/>
        </w:sectPr>
      </w:pPr>
    </w:p>
    <w:p w:rsidR="00BA7363" w:rsidRDefault="00BA7363" w:rsidP="000F4677">
      <w:pPr>
        <w:pStyle w:val="AnnexNotitle"/>
        <w:spacing w:after="240"/>
      </w:pPr>
      <w:r w:rsidRPr="00F25E2D">
        <w:lastRenderedPageBreak/>
        <w:t>Annex</w:t>
      </w:r>
      <w:r>
        <w:t>e</w:t>
      </w:r>
      <w:r w:rsidRPr="00F25E2D">
        <w:t xml:space="preserve"> </w:t>
      </w:r>
      <w:r>
        <w:t>1</w:t>
      </w:r>
    </w:p>
    <w:tbl>
      <w:tblPr>
        <w:tblStyle w:val="TableGrid"/>
        <w:tblW w:w="0" w:type="auto"/>
        <w:tblInd w:w="392" w:type="dxa"/>
        <w:tblLook w:val="04A0" w:firstRow="1" w:lastRow="0" w:firstColumn="1" w:lastColumn="0" w:noHBand="0" w:noVBand="1"/>
      </w:tblPr>
      <w:tblGrid>
        <w:gridCol w:w="9184"/>
      </w:tblGrid>
      <w:tr w:rsidR="000F4677" w:rsidRPr="000F4677" w:rsidTr="007D6DBA">
        <w:tc>
          <w:tcPr>
            <w:tcW w:w="9184" w:type="dxa"/>
          </w:tcPr>
          <w:p w:rsidR="00BA7363" w:rsidRPr="000F4677" w:rsidRDefault="00BA7363" w:rsidP="007D6DBA">
            <w:pPr>
              <w:pStyle w:val="Tablehead"/>
              <w:rPr>
                <w:rFonts w:asciiTheme="majorBidi" w:hAnsiTheme="majorBidi" w:cstheme="majorBidi"/>
                <w:szCs w:val="22"/>
              </w:rPr>
            </w:pPr>
            <w:r w:rsidRPr="000F4677">
              <w:rPr>
                <w:rFonts w:asciiTheme="majorBidi" w:hAnsiTheme="majorBidi" w:cstheme="majorBidi"/>
                <w:szCs w:val="22"/>
                <w:lang w:eastAsia="fr-FR"/>
              </w:rPr>
              <w:t xml:space="preserve">Systèmes d'information du BR </w:t>
            </w:r>
          </w:p>
        </w:tc>
      </w:tr>
      <w:tr w:rsidR="000F4677" w:rsidRPr="000F4677" w:rsidTr="007D6DBA">
        <w:tc>
          <w:tcPr>
            <w:tcW w:w="9184" w:type="dxa"/>
          </w:tcPr>
          <w:p w:rsidR="00BA7363" w:rsidRPr="000F4677" w:rsidRDefault="00BE0E38" w:rsidP="00BE0E38">
            <w:pPr>
              <w:pStyle w:val="Tabletext"/>
              <w:spacing w:before="120" w:after="120"/>
              <w:jc w:val="center"/>
              <w:rPr>
                <w:rFonts w:asciiTheme="majorBidi" w:hAnsiTheme="majorBidi" w:cstheme="majorBidi"/>
                <w:b/>
                <w:bCs/>
                <w:szCs w:val="22"/>
              </w:rPr>
            </w:pPr>
            <w:r>
              <w:rPr>
                <w:rFonts w:asciiTheme="majorBidi" w:hAnsiTheme="majorBidi" w:cstheme="majorBidi"/>
                <w:b/>
                <w:bCs/>
                <w:szCs w:val="22"/>
                <w:lang w:eastAsia="fr-FR"/>
              </w:rPr>
              <w:t xml:space="preserve">Phase 1: </w:t>
            </w:r>
            <w:r w:rsidR="00BA7363" w:rsidRPr="000F4677">
              <w:rPr>
                <w:rFonts w:asciiTheme="majorBidi" w:hAnsiTheme="majorBidi" w:cstheme="majorBidi"/>
                <w:b/>
                <w:bCs/>
                <w:szCs w:val="22"/>
                <w:lang w:eastAsia="fr-FR"/>
              </w:rPr>
              <w:t>1er avril 2012 – 31 décembre 2012</w:t>
            </w:r>
          </w:p>
        </w:tc>
      </w:tr>
      <w:tr w:rsidR="000F4677" w:rsidRPr="000F4677" w:rsidTr="007D6DBA">
        <w:tc>
          <w:tcPr>
            <w:tcW w:w="9184" w:type="dxa"/>
          </w:tcPr>
          <w:p w:rsidR="00BA7363" w:rsidRPr="000F4677" w:rsidRDefault="00BA7363" w:rsidP="007D6DBA">
            <w:pPr>
              <w:pStyle w:val="Tabletext"/>
              <w:rPr>
                <w:rFonts w:asciiTheme="majorBidi" w:hAnsiTheme="majorBidi" w:cstheme="majorBidi"/>
                <w:szCs w:val="22"/>
              </w:rPr>
            </w:pPr>
            <w:r w:rsidRPr="00BE0E38">
              <w:rPr>
                <w:rFonts w:asciiTheme="majorBidi" w:hAnsiTheme="majorBidi" w:cstheme="majorBidi"/>
                <w:b/>
                <w:i/>
                <w:szCs w:val="22"/>
                <w:lang w:eastAsia="fr-FR"/>
              </w:rPr>
              <w:t>Mise en oeuvre des décisions de la CMR-12</w:t>
            </w:r>
            <w:r w:rsidRPr="000F4677">
              <w:rPr>
                <w:rFonts w:asciiTheme="majorBidi" w:hAnsiTheme="majorBidi" w:cstheme="majorBidi"/>
                <w:bCs/>
                <w:iCs/>
                <w:szCs w:val="22"/>
                <w:lang w:eastAsia="fr-FR"/>
              </w:rPr>
              <w:t xml:space="preserve">. La base de données du </w:t>
            </w:r>
            <w:r w:rsidRPr="000F4677">
              <w:rPr>
                <w:rFonts w:asciiTheme="majorBidi" w:hAnsiTheme="majorBidi" w:cstheme="majorBidi"/>
                <w:szCs w:val="22"/>
                <w:lang w:eastAsia="fr-FR"/>
              </w:rPr>
              <w:t xml:space="preserve">SNS </w:t>
            </w:r>
            <w:r w:rsidRPr="000F4677">
              <w:rPr>
                <w:rFonts w:asciiTheme="majorBidi" w:hAnsiTheme="majorBidi" w:cstheme="majorBidi"/>
                <w:bCs/>
                <w:iCs/>
                <w:szCs w:val="22"/>
                <w:lang w:eastAsia="fr-FR"/>
              </w:rPr>
              <w:t>a été modifiée et tous les logiciels du</w:t>
            </w:r>
            <w:r w:rsidRPr="000F4677">
              <w:rPr>
                <w:rFonts w:asciiTheme="majorBidi" w:hAnsiTheme="majorBidi" w:cstheme="majorBidi"/>
                <w:b/>
                <w:bCs/>
                <w:szCs w:val="22"/>
                <w:lang w:eastAsia="fr-FR"/>
              </w:rPr>
              <w:t xml:space="preserve"> </w:t>
            </w:r>
            <w:r w:rsidRPr="00BE0E38">
              <w:rPr>
                <w:rFonts w:asciiTheme="majorBidi" w:hAnsiTheme="majorBidi" w:cstheme="majorBidi"/>
                <w:szCs w:val="22"/>
                <w:lang w:eastAsia="fr-FR"/>
              </w:rPr>
              <w:t xml:space="preserve">BR </w:t>
            </w:r>
            <w:r w:rsidRPr="000F4677">
              <w:rPr>
                <w:rFonts w:asciiTheme="majorBidi" w:hAnsiTheme="majorBidi" w:cstheme="majorBidi"/>
                <w:bCs/>
                <w:iCs/>
                <w:szCs w:val="22"/>
                <w:lang w:eastAsia="fr-FR"/>
              </w:rPr>
              <w:t>relatifs aux services spatiaux ont été adaptés et distribués aux administrations en janvier 2013.</w:t>
            </w:r>
            <w:r w:rsidRPr="000F4677">
              <w:rPr>
                <w:rFonts w:asciiTheme="majorBidi" w:hAnsiTheme="majorBidi" w:cstheme="majorBidi"/>
                <w:b/>
                <w:bCs/>
                <w:i/>
                <w:iCs/>
                <w:szCs w:val="22"/>
                <w:lang w:eastAsia="fr-FR"/>
              </w:rPr>
              <w:t xml:space="preserve"> </w:t>
            </w:r>
          </w:p>
        </w:tc>
      </w:tr>
      <w:tr w:rsidR="000F4677" w:rsidRPr="000F4677" w:rsidTr="007D6DBA">
        <w:tc>
          <w:tcPr>
            <w:tcW w:w="9184" w:type="dxa"/>
          </w:tcPr>
          <w:p w:rsidR="00BA7363" w:rsidRPr="000F4677" w:rsidRDefault="00BA7363" w:rsidP="007D6DBA">
            <w:pPr>
              <w:pStyle w:val="Tabletext"/>
              <w:rPr>
                <w:rFonts w:asciiTheme="majorBidi" w:hAnsiTheme="majorBidi" w:cstheme="majorBidi"/>
                <w:szCs w:val="22"/>
              </w:rPr>
            </w:pPr>
            <w:r w:rsidRPr="000F4677">
              <w:rPr>
                <w:rFonts w:asciiTheme="majorBidi" w:hAnsiTheme="majorBidi" w:cstheme="majorBidi"/>
                <w:b/>
                <w:bCs/>
                <w:i/>
                <w:iCs/>
                <w:szCs w:val="22"/>
                <w:lang w:eastAsia="fr-FR"/>
              </w:rPr>
              <w:t>Résolution 907</w:t>
            </w:r>
            <w:r w:rsidRPr="000F4677">
              <w:rPr>
                <w:rFonts w:asciiTheme="majorBidi" w:hAnsiTheme="majorBidi" w:cstheme="majorBidi"/>
                <w:szCs w:val="22"/>
                <w:lang w:eastAsia="fr-FR"/>
              </w:rPr>
              <w:t xml:space="preserve"> – L'analyse et la mise au point de moyens modernes de communication au titre de la Résolution 907 ont bien avancé. Ce projet concerne de nombreux aspects du développement du web, qui seront particulièrement utiles pour le développement futur des applications web du BR. </w:t>
            </w:r>
          </w:p>
          <w:p w:rsidR="00BA7363" w:rsidRPr="000F4677" w:rsidRDefault="00BA7363" w:rsidP="007D6DBA">
            <w:pPr>
              <w:pStyle w:val="Tabletext"/>
              <w:rPr>
                <w:rFonts w:asciiTheme="majorBidi" w:hAnsiTheme="majorBidi" w:cstheme="majorBidi"/>
                <w:szCs w:val="22"/>
                <w:lang w:eastAsia="fr-FR"/>
              </w:rPr>
            </w:pPr>
            <w:r w:rsidRPr="000F4677">
              <w:rPr>
                <w:rFonts w:asciiTheme="majorBidi" w:hAnsiTheme="majorBidi" w:cstheme="majorBidi"/>
                <w:szCs w:val="22"/>
                <w:lang w:eastAsia="fr-FR"/>
              </w:rPr>
              <w:t>–</w:t>
            </w:r>
            <w:r w:rsidRPr="000F4677">
              <w:rPr>
                <w:rFonts w:asciiTheme="majorBidi" w:hAnsiTheme="majorBidi" w:cstheme="majorBidi"/>
                <w:szCs w:val="22"/>
                <w:lang w:eastAsia="fr-FR"/>
              </w:rPr>
              <w:tab/>
              <w:t>Sécurité – garantit l'identification d'une administration notificatrice.</w:t>
            </w:r>
          </w:p>
          <w:p w:rsidR="00BA7363" w:rsidRPr="000F4677" w:rsidRDefault="00BA7363" w:rsidP="007D6DBA">
            <w:pPr>
              <w:pStyle w:val="Tabletext"/>
              <w:ind w:left="284" w:hanging="284"/>
              <w:rPr>
                <w:rFonts w:asciiTheme="majorBidi" w:hAnsiTheme="majorBidi" w:cstheme="majorBidi"/>
                <w:szCs w:val="22"/>
                <w:lang w:eastAsia="fr-FR"/>
              </w:rPr>
            </w:pPr>
            <w:r w:rsidRPr="000F4677">
              <w:rPr>
                <w:rFonts w:asciiTheme="majorBidi" w:hAnsiTheme="majorBidi" w:cstheme="majorBidi"/>
                <w:szCs w:val="22"/>
                <w:lang w:eastAsia="fr-FR"/>
              </w:rPr>
              <w:t>–</w:t>
            </w:r>
            <w:r w:rsidRPr="000F4677">
              <w:rPr>
                <w:rFonts w:asciiTheme="majorBidi" w:hAnsiTheme="majorBidi" w:cstheme="majorBidi"/>
                <w:szCs w:val="22"/>
                <w:lang w:eastAsia="fr-FR"/>
              </w:rPr>
              <w:tab/>
              <w:t>Fiabilité – garantit que la soumission des fiches de notification et la correspondance sont complètes et fiables.</w:t>
            </w:r>
          </w:p>
          <w:p w:rsidR="00BA7363" w:rsidRPr="000F4677" w:rsidRDefault="00BE0E38" w:rsidP="007D6DBA">
            <w:pPr>
              <w:pStyle w:val="Tabletext"/>
              <w:ind w:left="284" w:hanging="284"/>
              <w:rPr>
                <w:rFonts w:asciiTheme="majorBidi" w:hAnsiTheme="majorBidi" w:cstheme="majorBidi"/>
                <w:szCs w:val="22"/>
                <w:lang w:eastAsia="fr-FR"/>
              </w:rPr>
            </w:pPr>
            <w:r>
              <w:rPr>
                <w:rFonts w:asciiTheme="majorBidi" w:hAnsiTheme="majorBidi" w:cstheme="majorBidi"/>
                <w:szCs w:val="22"/>
                <w:lang w:eastAsia="fr-FR"/>
              </w:rPr>
              <w:t>–</w:t>
            </w:r>
            <w:r>
              <w:rPr>
                <w:rFonts w:asciiTheme="majorBidi" w:hAnsiTheme="majorBidi" w:cstheme="majorBidi"/>
                <w:szCs w:val="22"/>
                <w:lang w:eastAsia="fr-FR"/>
              </w:rPr>
              <w:tab/>
              <w:t xml:space="preserve">Facilité d'utilisation </w:t>
            </w:r>
            <w:r w:rsidRPr="00BE0E38">
              <w:rPr>
                <w:rFonts w:asciiTheme="majorBidi" w:hAnsiTheme="majorBidi" w:cstheme="majorBidi"/>
                <w:szCs w:val="22"/>
                <w:lang w:eastAsia="fr-FR"/>
              </w:rPr>
              <w:t>–</w:t>
            </w:r>
            <w:r>
              <w:rPr>
                <w:rFonts w:asciiTheme="majorBidi" w:hAnsiTheme="majorBidi" w:cstheme="majorBidi"/>
                <w:szCs w:val="22"/>
                <w:lang w:eastAsia="fr-FR"/>
              </w:rPr>
              <w:t xml:space="preserve"> b</w:t>
            </w:r>
            <w:r w:rsidR="00BA7363" w:rsidRPr="000F4677">
              <w:rPr>
                <w:rFonts w:asciiTheme="majorBidi" w:hAnsiTheme="majorBidi" w:cstheme="majorBidi"/>
                <w:szCs w:val="22"/>
                <w:lang w:eastAsia="fr-FR"/>
              </w:rPr>
              <w:t>ien que l'application doive être sûre et fiable, elle doit aussi être facile à utiliser et l'aspect «sécurité» ne doit pas être contraignant.</w:t>
            </w:r>
          </w:p>
          <w:p w:rsidR="00BA7363" w:rsidRPr="000F4677" w:rsidRDefault="00BA7363" w:rsidP="007D6DBA">
            <w:pPr>
              <w:pStyle w:val="Tabletext"/>
              <w:ind w:left="284" w:hanging="284"/>
              <w:rPr>
                <w:rFonts w:asciiTheme="majorBidi" w:hAnsiTheme="majorBidi" w:cstheme="majorBidi"/>
                <w:szCs w:val="22"/>
                <w:lang w:eastAsia="fr-FR"/>
              </w:rPr>
            </w:pPr>
            <w:r w:rsidRPr="000F4677">
              <w:rPr>
                <w:rFonts w:asciiTheme="majorBidi" w:hAnsiTheme="majorBidi" w:cstheme="majorBidi"/>
                <w:szCs w:val="22"/>
                <w:lang w:eastAsia="fr-FR"/>
              </w:rPr>
              <w:t>–</w:t>
            </w:r>
            <w:r w:rsidRPr="000F4677">
              <w:rPr>
                <w:rFonts w:asciiTheme="majorBidi" w:hAnsiTheme="majorBidi" w:cstheme="majorBidi"/>
                <w:szCs w:val="22"/>
                <w:lang w:eastAsia="fr-FR"/>
              </w:rPr>
              <w:tab/>
              <w:t>Alerte – une administration doit être tenue informée chaque fois qu'un document est mis à sa disposition.</w:t>
            </w:r>
          </w:p>
          <w:p w:rsidR="00BA7363" w:rsidRPr="000F4677" w:rsidRDefault="00BA7363" w:rsidP="007D6DBA">
            <w:pPr>
              <w:pStyle w:val="Tabletext"/>
              <w:ind w:left="284" w:hanging="284"/>
              <w:rPr>
                <w:rFonts w:asciiTheme="majorBidi" w:hAnsiTheme="majorBidi" w:cstheme="majorBidi"/>
                <w:szCs w:val="22"/>
              </w:rPr>
            </w:pPr>
            <w:r w:rsidRPr="000F4677">
              <w:rPr>
                <w:rFonts w:asciiTheme="majorBidi" w:hAnsiTheme="majorBidi" w:cstheme="majorBidi"/>
                <w:szCs w:val="22"/>
                <w:lang w:eastAsia="fr-FR"/>
              </w:rPr>
              <w:t>–</w:t>
            </w:r>
            <w:r w:rsidRPr="000F4677">
              <w:rPr>
                <w:rFonts w:asciiTheme="majorBidi" w:hAnsiTheme="majorBidi" w:cstheme="majorBidi"/>
                <w:szCs w:val="22"/>
                <w:lang w:eastAsia="fr-FR"/>
              </w:rPr>
              <w:tab/>
              <w:t>Traçabilité – toutes les activités doivent être enregistrées, afin d'éviter que des documents ou soumissions ne soient pas traités.</w:t>
            </w:r>
          </w:p>
        </w:tc>
      </w:tr>
      <w:tr w:rsidR="000F4677" w:rsidRPr="000F4677" w:rsidTr="007D6DBA">
        <w:tc>
          <w:tcPr>
            <w:tcW w:w="9184" w:type="dxa"/>
          </w:tcPr>
          <w:p w:rsidR="00BA7363" w:rsidRPr="000F4677" w:rsidRDefault="00BA7363" w:rsidP="007D6DBA">
            <w:pPr>
              <w:pStyle w:val="Tabletext"/>
              <w:rPr>
                <w:rFonts w:asciiTheme="majorBidi" w:hAnsiTheme="majorBidi" w:cstheme="majorBidi"/>
                <w:szCs w:val="22"/>
              </w:rPr>
            </w:pPr>
            <w:r w:rsidRPr="000F4677">
              <w:rPr>
                <w:rFonts w:asciiTheme="majorBidi" w:hAnsiTheme="majorBidi" w:cstheme="majorBidi"/>
                <w:b/>
                <w:bCs/>
                <w:i/>
                <w:iCs/>
                <w:szCs w:val="22"/>
                <w:lang w:eastAsia="fr-FR"/>
              </w:rPr>
              <w:t>Résolution 908</w:t>
            </w:r>
            <w:r w:rsidRPr="000F4677">
              <w:rPr>
                <w:rFonts w:asciiTheme="majorBidi" w:hAnsiTheme="majorBidi" w:cstheme="majorBidi"/>
                <w:szCs w:val="22"/>
                <w:lang w:eastAsia="fr-FR"/>
              </w:rPr>
              <w:t xml:space="preserve"> – Soumission et publication par voie électronique des notifications pour la publication anticipée soumises à une coordination. La mise au point et l'élaboration se poursuivent. Ce projet sera mis en oeuvre au moyen des infrastructures conçues au titre de la Résolution 907. </w:t>
            </w:r>
          </w:p>
        </w:tc>
      </w:tr>
      <w:tr w:rsidR="000F4677" w:rsidRPr="000F4677" w:rsidTr="007D6DBA">
        <w:tc>
          <w:tcPr>
            <w:tcW w:w="9184" w:type="dxa"/>
          </w:tcPr>
          <w:p w:rsidR="00BA7363" w:rsidRPr="000F4677" w:rsidRDefault="00BA7363" w:rsidP="007D6DBA">
            <w:pPr>
              <w:rPr>
                <w:rStyle w:val="IntenseEmphasis"/>
                <w:rFonts w:asciiTheme="majorBidi" w:eastAsia="SimSun" w:hAnsiTheme="majorBidi" w:cstheme="majorBidi"/>
                <w:b w:val="0"/>
                <w:bCs w:val="0"/>
                <w:i w:val="0"/>
                <w:iCs w:val="0"/>
                <w:color w:val="auto"/>
                <w:sz w:val="22"/>
                <w:szCs w:val="22"/>
              </w:rPr>
            </w:pPr>
            <w:r w:rsidRPr="000F4677">
              <w:rPr>
                <w:rFonts w:asciiTheme="majorBidi" w:hAnsiTheme="majorBidi" w:cstheme="majorBidi"/>
                <w:b/>
                <w:bCs/>
                <w:i/>
                <w:iCs/>
                <w:sz w:val="22"/>
                <w:szCs w:val="22"/>
                <w:lang w:eastAsia="fr-FR"/>
              </w:rPr>
              <w:t>Continuité des opérations et reprise après sinistre - tâche en cours</w:t>
            </w:r>
          </w:p>
          <w:p w:rsidR="00BA7363" w:rsidRPr="000F4677" w:rsidRDefault="00BA7363" w:rsidP="00BE0E38">
            <w:pPr>
              <w:pStyle w:val="Tabletext"/>
              <w:spacing w:before="80" w:after="0"/>
              <w:rPr>
                <w:rFonts w:asciiTheme="majorBidi" w:hAnsiTheme="majorBidi" w:cstheme="majorBidi"/>
                <w:szCs w:val="22"/>
                <w:lang w:eastAsia="fr-FR"/>
              </w:rPr>
            </w:pPr>
            <w:r w:rsidRPr="000F4677">
              <w:rPr>
                <w:rFonts w:asciiTheme="majorBidi" w:hAnsiTheme="majorBidi" w:cstheme="majorBidi"/>
                <w:szCs w:val="22"/>
                <w:lang w:eastAsia="fr-FR"/>
              </w:rPr>
              <w:t>–</w:t>
            </w:r>
            <w:r w:rsidRPr="000F4677">
              <w:rPr>
                <w:rFonts w:asciiTheme="majorBidi" w:hAnsiTheme="majorBidi" w:cstheme="majorBidi"/>
                <w:szCs w:val="22"/>
                <w:lang w:eastAsia="fr-FR"/>
              </w:rPr>
              <w:tab/>
              <w:t>Identification du domaine de compétence du BR</w:t>
            </w:r>
            <w:r w:rsidR="00BE0E38">
              <w:rPr>
                <w:rFonts w:asciiTheme="majorBidi" w:hAnsiTheme="majorBidi" w:cstheme="majorBidi"/>
                <w:szCs w:val="22"/>
                <w:lang w:eastAsia="fr-FR"/>
              </w:rPr>
              <w:t>.</w:t>
            </w:r>
            <w:r w:rsidRPr="000F4677">
              <w:rPr>
                <w:rFonts w:asciiTheme="majorBidi" w:hAnsiTheme="majorBidi" w:cstheme="majorBidi"/>
                <w:szCs w:val="22"/>
                <w:lang w:eastAsia="fr-FR"/>
              </w:rPr>
              <w:t xml:space="preserve"> </w:t>
            </w:r>
          </w:p>
          <w:p w:rsidR="00BA7363" w:rsidRPr="000F4677" w:rsidRDefault="00BA7363" w:rsidP="00BE0E38">
            <w:pPr>
              <w:pStyle w:val="enumlev2"/>
              <w:ind w:left="794" w:hanging="477"/>
              <w:rPr>
                <w:rFonts w:asciiTheme="majorBidi" w:hAnsiTheme="majorBidi" w:cstheme="majorBidi"/>
                <w:sz w:val="22"/>
                <w:szCs w:val="22"/>
                <w:lang w:eastAsia="fr-FR"/>
              </w:rPr>
            </w:pPr>
            <w:r w:rsidRPr="000F4677">
              <w:rPr>
                <w:rFonts w:asciiTheme="majorBidi" w:hAnsiTheme="majorBidi" w:cstheme="majorBidi"/>
                <w:sz w:val="22"/>
                <w:szCs w:val="22"/>
                <w:lang w:eastAsia="fr-FR"/>
              </w:rPr>
              <w:t>•</w:t>
            </w:r>
            <w:r w:rsidRPr="000F4677">
              <w:rPr>
                <w:rFonts w:asciiTheme="majorBidi" w:hAnsiTheme="majorBidi" w:cstheme="majorBidi"/>
                <w:sz w:val="22"/>
                <w:szCs w:val="22"/>
                <w:lang w:eastAsia="fr-FR"/>
              </w:rPr>
              <w:tab/>
              <w:t>Assurer l'intégrité et l'exactitude du Fichier de référence et des différents Plans relatifs aux services spatiaux et aux services de Terre.</w:t>
            </w:r>
          </w:p>
          <w:p w:rsidR="00BA7363" w:rsidRPr="000F4677" w:rsidRDefault="00BA7363" w:rsidP="00BE0E38">
            <w:pPr>
              <w:pStyle w:val="enumlev2"/>
              <w:ind w:left="794" w:hanging="477"/>
              <w:rPr>
                <w:rFonts w:asciiTheme="majorBidi" w:hAnsiTheme="majorBidi" w:cstheme="majorBidi"/>
                <w:sz w:val="22"/>
                <w:szCs w:val="22"/>
                <w:lang w:eastAsia="fr-FR"/>
              </w:rPr>
            </w:pPr>
            <w:r w:rsidRPr="000F4677">
              <w:rPr>
                <w:rFonts w:asciiTheme="majorBidi" w:hAnsiTheme="majorBidi" w:cstheme="majorBidi"/>
                <w:sz w:val="22"/>
                <w:szCs w:val="22"/>
                <w:lang w:eastAsia="fr-FR"/>
              </w:rPr>
              <w:t>•</w:t>
            </w:r>
            <w:r w:rsidRPr="000F4677">
              <w:rPr>
                <w:rFonts w:asciiTheme="majorBidi" w:hAnsiTheme="majorBidi" w:cstheme="majorBidi"/>
                <w:sz w:val="22"/>
                <w:szCs w:val="22"/>
                <w:lang w:eastAsia="fr-FR"/>
              </w:rPr>
              <w:tab/>
              <w:t>Faire en sorte que les soumissions présentées soient traitées et que l'arriéré résultant d'</w:t>
            </w:r>
            <w:r w:rsidR="000F4677">
              <w:rPr>
                <w:rFonts w:asciiTheme="majorBidi" w:hAnsiTheme="majorBidi" w:cstheme="majorBidi"/>
                <w:sz w:val="22"/>
                <w:szCs w:val="22"/>
                <w:lang w:eastAsia="fr-FR"/>
              </w:rPr>
              <w:t xml:space="preserve">une </w:t>
            </w:r>
            <w:r w:rsidRPr="000F4677">
              <w:rPr>
                <w:rFonts w:asciiTheme="majorBidi" w:hAnsiTheme="majorBidi" w:cstheme="majorBidi"/>
                <w:sz w:val="22"/>
                <w:szCs w:val="22"/>
                <w:lang w:eastAsia="fr-FR"/>
              </w:rPr>
              <w:t>interruption de service soit acceptable.</w:t>
            </w:r>
          </w:p>
          <w:p w:rsidR="00BA7363" w:rsidRPr="000F4677" w:rsidRDefault="00BA7363" w:rsidP="00BE0E38">
            <w:pPr>
              <w:pStyle w:val="enumlev2"/>
              <w:ind w:hanging="874"/>
              <w:rPr>
                <w:rFonts w:asciiTheme="majorBidi" w:hAnsiTheme="majorBidi" w:cstheme="majorBidi"/>
                <w:sz w:val="22"/>
                <w:szCs w:val="22"/>
                <w:lang w:eastAsia="fr-FR"/>
              </w:rPr>
            </w:pPr>
            <w:r w:rsidRPr="000F4677">
              <w:rPr>
                <w:rFonts w:asciiTheme="majorBidi" w:hAnsiTheme="majorBidi" w:cstheme="majorBidi"/>
                <w:sz w:val="22"/>
                <w:szCs w:val="22"/>
                <w:lang w:eastAsia="fr-FR"/>
              </w:rPr>
              <w:t>•</w:t>
            </w:r>
            <w:r w:rsidRPr="000F4677">
              <w:rPr>
                <w:rFonts w:asciiTheme="majorBidi" w:hAnsiTheme="majorBidi" w:cstheme="majorBidi"/>
                <w:sz w:val="22"/>
                <w:szCs w:val="22"/>
                <w:lang w:eastAsia="fr-FR"/>
              </w:rPr>
              <w:tab/>
              <w:t>Garantir la publication de la BR</w:t>
            </w:r>
            <w:r w:rsidR="000F4677">
              <w:rPr>
                <w:rFonts w:asciiTheme="majorBidi" w:hAnsiTheme="majorBidi" w:cstheme="majorBidi"/>
                <w:sz w:val="22"/>
                <w:szCs w:val="22"/>
                <w:lang w:eastAsia="fr-FR"/>
              </w:rPr>
              <w:t xml:space="preserve"> </w:t>
            </w:r>
            <w:r w:rsidRPr="000F4677">
              <w:rPr>
                <w:rFonts w:asciiTheme="majorBidi" w:hAnsiTheme="majorBidi" w:cstheme="majorBidi"/>
                <w:sz w:val="22"/>
                <w:szCs w:val="22"/>
                <w:lang w:eastAsia="fr-FR"/>
              </w:rPr>
              <w:t>IFIC toutes les deux semaines.</w:t>
            </w:r>
          </w:p>
          <w:p w:rsidR="00BA7363" w:rsidRPr="000F4677" w:rsidRDefault="00BA7363" w:rsidP="00BE0E38">
            <w:pPr>
              <w:pStyle w:val="Tabletext"/>
              <w:spacing w:before="80" w:after="0"/>
              <w:ind w:left="284" w:hanging="284"/>
              <w:rPr>
                <w:rFonts w:asciiTheme="majorBidi" w:hAnsiTheme="majorBidi" w:cstheme="majorBidi"/>
                <w:szCs w:val="22"/>
                <w:lang w:eastAsia="fr-FR"/>
              </w:rPr>
            </w:pPr>
            <w:r w:rsidRPr="000F4677">
              <w:rPr>
                <w:rFonts w:asciiTheme="majorBidi" w:hAnsiTheme="majorBidi" w:cstheme="majorBidi"/>
                <w:szCs w:val="22"/>
                <w:lang w:eastAsia="fr-FR"/>
              </w:rPr>
              <w:t>–</w:t>
            </w:r>
            <w:r w:rsidRPr="000F4677">
              <w:rPr>
                <w:rFonts w:asciiTheme="majorBidi" w:hAnsiTheme="majorBidi" w:cstheme="majorBidi"/>
                <w:szCs w:val="22"/>
                <w:lang w:eastAsia="fr-FR"/>
              </w:rPr>
              <w:tab/>
              <w:t>Inventaire des données et des logiciels devant être protégés afin de garantir la continuité des opérations au sein du BR.</w:t>
            </w:r>
          </w:p>
          <w:p w:rsidR="00BA7363" w:rsidRPr="000F4677" w:rsidRDefault="00BA7363" w:rsidP="00BE0E38">
            <w:pPr>
              <w:pStyle w:val="Tabletext"/>
              <w:spacing w:before="80" w:after="0"/>
              <w:rPr>
                <w:rFonts w:asciiTheme="majorBidi" w:hAnsiTheme="majorBidi" w:cstheme="majorBidi"/>
                <w:szCs w:val="22"/>
                <w:lang w:eastAsia="fr-FR"/>
              </w:rPr>
            </w:pPr>
            <w:r w:rsidRPr="000F4677">
              <w:rPr>
                <w:rFonts w:asciiTheme="majorBidi" w:hAnsiTheme="majorBidi" w:cstheme="majorBidi"/>
                <w:szCs w:val="22"/>
                <w:lang w:eastAsia="fr-FR"/>
              </w:rPr>
              <w:t>–</w:t>
            </w:r>
            <w:r w:rsidRPr="000F4677">
              <w:rPr>
                <w:rFonts w:asciiTheme="majorBidi" w:hAnsiTheme="majorBidi" w:cstheme="majorBidi"/>
                <w:szCs w:val="22"/>
                <w:lang w:eastAsia="fr-FR"/>
              </w:rPr>
              <w:tab/>
              <w:t xml:space="preserve">Identification des services essentiels pour les opérations. </w:t>
            </w:r>
          </w:p>
          <w:p w:rsidR="00BA7363" w:rsidRPr="000F4677" w:rsidRDefault="00BA7363" w:rsidP="00BE0E38">
            <w:pPr>
              <w:pStyle w:val="Tabletext"/>
              <w:spacing w:before="80" w:after="0"/>
              <w:ind w:left="284" w:hanging="284"/>
              <w:rPr>
                <w:rFonts w:asciiTheme="majorBidi" w:hAnsiTheme="majorBidi" w:cstheme="majorBidi"/>
                <w:szCs w:val="22"/>
              </w:rPr>
            </w:pPr>
            <w:r w:rsidRPr="000F4677">
              <w:rPr>
                <w:rFonts w:asciiTheme="majorBidi" w:hAnsiTheme="majorBidi" w:cstheme="majorBidi"/>
                <w:szCs w:val="22"/>
                <w:lang w:eastAsia="fr-FR"/>
              </w:rPr>
              <w:t>–</w:t>
            </w:r>
            <w:r w:rsidRPr="000F4677">
              <w:rPr>
                <w:rFonts w:asciiTheme="majorBidi" w:hAnsiTheme="majorBidi" w:cstheme="majorBidi"/>
                <w:szCs w:val="22"/>
                <w:lang w:eastAsia="fr-FR"/>
              </w:rPr>
              <w:tab/>
              <w:t xml:space="preserve">Formation </w:t>
            </w:r>
            <w:r w:rsidR="00BE0E38" w:rsidRPr="00BE0E38">
              <w:rPr>
                <w:rFonts w:asciiTheme="majorBidi" w:hAnsiTheme="majorBidi" w:cstheme="majorBidi"/>
                <w:szCs w:val="22"/>
                <w:lang w:eastAsia="fr-FR"/>
              </w:rPr>
              <w:t>–</w:t>
            </w:r>
            <w:r w:rsidRPr="000F4677">
              <w:rPr>
                <w:rFonts w:asciiTheme="majorBidi" w:hAnsiTheme="majorBidi" w:cstheme="majorBidi"/>
                <w:szCs w:val="22"/>
                <w:lang w:eastAsia="fr-FR"/>
              </w:rPr>
              <w:t xml:space="preserve"> 2 personnes du BR ont participé à une formation pratique sur la sécurité informatique dispensée à l'EPFL </w:t>
            </w:r>
            <w:r w:rsidR="000F4677">
              <w:rPr>
                <w:rFonts w:asciiTheme="majorBidi" w:hAnsiTheme="majorBidi" w:cstheme="majorBidi"/>
                <w:szCs w:val="22"/>
                <w:lang w:eastAsia="fr-FR"/>
              </w:rPr>
              <w:t>de</w:t>
            </w:r>
            <w:r w:rsidRPr="000F4677">
              <w:rPr>
                <w:rFonts w:asciiTheme="majorBidi" w:hAnsiTheme="majorBidi" w:cstheme="majorBidi"/>
                <w:szCs w:val="22"/>
                <w:lang w:eastAsia="fr-FR"/>
              </w:rPr>
              <w:t xml:space="preserve"> Lausanne.</w:t>
            </w:r>
          </w:p>
        </w:tc>
      </w:tr>
      <w:tr w:rsidR="000F4677" w:rsidRPr="000F4677" w:rsidTr="007D6DBA">
        <w:tc>
          <w:tcPr>
            <w:tcW w:w="9184" w:type="dxa"/>
          </w:tcPr>
          <w:p w:rsidR="00BA7363" w:rsidRPr="00BE0E38" w:rsidRDefault="00BE0E38" w:rsidP="00BE0E38">
            <w:pPr>
              <w:spacing w:after="120"/>
              <w:jc w:val="center"/>
              <w:rPr>
                <w:rFonts w:asciiTheme="majorBidi" w:hAnsiTheme="majorBidi" w:cstheme="majorBidi"/>
                <w:b/>
                <w:bCs/>
                <w:sz w:val="22"/>
                <w:szCs w:val="22"/>
              </w:rPr>
            </w:pPr>
            <w:r>
              <w:rPr>
                <w:rFonts w:asciiTheme="majorBidi" w:hAnsiTheme="majorBidi" w:cstheme="majorBidi"/>
                <w:b/>
                <w:bCs/>
                <w:sz w:val="22"/>
                <w:szCs w:val="22"/>
                <w:lang w:eastAsia="fr-FR"/>
              </w:rPr>
              <w:t xml:space="preserve">Phase 2: </w:t>
            </w:r>
            <w:r w:rsidR="00BA7363" w:rsidRPr="00BE0E38">
              <w:rPr>
                <w:rFonts w:asciiTheme="majorBidi" w:hAnsiTheme="majorBidi" w:cstheme="majorBidi"/>
                <w:b/>
                <w:bCs/>
                <w:sz w:val="22"/>
                <w:szCs w:val="22"/>
                <w:lang w:eastAsia="fr-FR"/>
              </w:rPr>
              <w:t>1er avril 2012 – 30 décembre 2015</w:t>
            </w:r>
          </w:p>
        </w:tc>
      </w:tr>
      <w:tr w:rsidR="000F4677" w:rsidRPr="000F4677" w:rsidTr="007D6DBA">
        <w:tc>
          <w:tcPr>
            <w:tcW w:w="9184" w:type="dxa"/>
          </w:tcPr>
          <w:p w:rsidR="00BA7363" w:rsidRPr="000F4677" w:rsidRDefault="00BA7363" w:rsidP="007A7CA3">
            <w:pPr>
              <w:spacing w:before="40" w:after="40"/>
              <w:rPr>
                <w:rFonts w:asciiTheme="majorBidi" w:hAnsiTheme="majorBidi" w:cstheme="majorBidi"/>
                <w:sz w:val="22"/>
                <w:szCs w:val="22"/>
              </w:rPr>
            </w:pPr>
            <w:r w:rsidRPr="000F4677">
              <w:rPr>
                <w:rFonts w:asciiTheme="majorBidi" w:hAnsiTheme="majorBidi" w:cstheme="majorBidi"/>
                <w:b/>
                <w:bCs/>
                <w:i/>
                <w:iCs/>
                <w:sz w:val="22"/>
                <w:szCs w:val="22"/>
                <w:lang w:eastAsia="fr-FR"/>
              </w:rPr>
              <w:t>Résolution</w:t>
            </w:r>
            <w:r w:rsidR="007A7CA3">
              <w:rPr>
                <w:rFonts w:asciiTheme="majorBidi" w:hAnsiTheme="majorBidi" w:cstheme="majorBidi"/>
                <w:b/>
                <w:bCs/>
                <w:i/>
                <w:iCs/>
                <w:sz w:val="22"/>
                <w:szCs w:val="22"/>
                <w:lang w:eastAsia="fr-FR"/>
              </w:rPr>
              <w:t>s</w:t>
            </w:r>
            <w:r w:rsidRPr="000F4677">
              <w:rPr>
                <w:rFonts w:asciiTheme="majorBidi" w:hAnsiTheme="majorBidi" w:cstheme="majorBidi"/>
                <w:b/>
                <w:bCs/>
                <w:i/>
                <w:iCs/>
                <w:sz w:val="22"/>
                <w:szCs w:val="22"/>
                <w:lang w:eastAsia="fr-FR"/>
              </w:rPr>
              <w:t xml:space="preserve"> 907/908 – </w:t>
            </w:r>
            <w:r w:rsidR="00676D79">
              <w:rPr>
                <w:rFonts w:asciiTheme="majorBidi" w:hAnsiTheme="majorBidi" w:cstheme="majorBidi"/>
                <w:bCs/>
                <w:iCs/>
                <w:sz w:val="22"/>
                <w:szCs w:val="22"/>
                <w:lang w:eastAsia="fr-FR"/>
              </w:rPr>
              <w:t>P</w:t>
            </w:r>
            <w:r w:rsidRPr="000F4677">
              <w:rPr>
                <w:rFonts w:asciiTheme="majorBidi" w:hAnsiTheme="majorBidi" w:cstheme="majorBidi"/>
                <w:bCs/>
                <w:iCs/>
                <w:sz w:val="22"/>
                <w:szCs w:val="22"/>
                <w:lang w:eastAsia="fr-FR"/>
              </w:rPr>
              <w:t xml:space="preserve">oursuivre le développement et fournir des applications </w:t>
            </w:r>
            <w:r w:rsidR="007A7CA3">
              <w:rPr>
                <w:rFonts w:asciiTheme="majorBidi" w:hAnsiTheme="majorBidi" w:cstheme="majorBidi"/>
                <w:bCs/>
                <w:iCs/>
                <w:sz w:val="22"/>
                <w:szCs w:val="22"/>
                <w:lang w:eastAsia="fr-FR"/>
              </w:rPr>
              <w:t>w</w:t>
            </w:r>
            <w:r w:rsidRPr="000F4677">
              <w:rPr>
                <w:rFonts w:asciiTheme="majorBidi" w:hAnsiTheme="majorBidi" w:cstheme="majorBidi"/>
                <w:bCs/>
                <w:iCs/>
                <w:sz w:val="22"/>
                <w:szCs w:val="22"/>
                <w:lang w:eastAsia="fr-FR"/>
              </w:rPr>
              <w:t>eb qui seront tes</w:t>
            </w:r>
            <w:r w:rsidR="007A7CA3">
              <w:rPr>
                <w:rFonts w:asciiTheme="majorBidi" w:hAnsiTheme="majorBidi" w:cstheme="majorBidi"/>
                <w:bCs/>
                <w:iCs/>
                <w:sz w:val="22"/>
                <w:szCs w:val="22"/>
                <w:lang w:eastAsia="fr-FR"/>
              </w:rPr>
              <w:t xml:space="preserve">tées par les administrations </w:t>
            </w:r>
            <w:r w:rsidRPr="000F4677">
              <w:rPr>
                <w:rFonts w:asciiTheme="majorBidi" w:hAnsiTheme="majorBidi" w:cstheme="majorBidi"/>
                <w:bCs/>
                <w:iCs/>
                <w:sz w:val="22"/>
                <w:szCs w:val="22"/>
                <w:lang w:eastAsia="fr-FR"/>
              </w:rPr>
              <w:t xml:space="preserve">début </w:t>
            </w:r>
            <w:r w:rsidRPr="000F4677">
              <w:rPr>
                <w:rFonts w:asciiTheme="majorBidi" w:hAnsiTheme="majorBidi" w:cstheme="majorBidi"/>
                <w:sz w:val="22"/>
                <w:szCs w:val="22"/>
                <w:lang w:eastAsia="fr-FR"/>
              </w:rPr>
              <w:t>2014</w:t>
            </w:r>
          </w:p>
        </w:tc>
      </w:tr>
      <w:tr w:rsidR="000F4677" w:rsidRPr="000F4677" w:rsidTr="007D6DBA">
        <w:tc>
          <w:tcPr>
            <w:tcW w:w="9184" w:type="dxa"/>
          </w:tcPr>
          <w:p w:rsidR="00BA7363" w:rsidRPr="000F4677" w:rsidRDefault="00BA7363" w:rsidP="007D6DBA">
            <w:pPr>
              <w:rPr>
                <w:rStyle w:val="IntenseEmphasis"/>
                <w:rFonts w:asciiTheme="majorBidi" w:eastAsia="SimSun" w:hAnsiTheme="majorBidi" w:cstheme="majorBidi"/>
                <w:bCs w:val="0"/>
                <w:iCs w:val="0"/>
                <w:color w:val="auto"/>
                <w:sz w:val="22"/>
                <w:szCs w:val="22"/>
              </w:rPr>
            </w:pPr>
            <w:r w:rsidRPr="000F4677">
              <w:rPr>
                <w:rStyle w:val="IntenseEmphasis"/>
                <w:rFonts w:asciiTheme="majorBidi" w:eastAsiaTheme="majorEastAsia" w:hAnsiTheme="majorBidi" w:cstheme="majorBidi"/>
                <w:iCs w:val="0"/>
                <w:color w:val="auto"/>
                <w:sz w:val="22"/>
                <w:szCs w:val="22"/>
              </w:rPr>
              <w:t>Continuité des opérations et reprise après sinistre</w:t>
            </w:r>
          </w:p>
          <w:p w:rsidR="00BA7363" w:rsidRPr="000F4677" w:rsidRDefault="00BA7363" w:rsidP="00BE0E38">
            <w:pPr>
              <w:pStyle w:val="enumlev1"/>
              <w:tabs>
                <w:tab w:val="left" w:pos="283"/>
              </w:tabs>
              <w:spacing w:before="40" w:after="40"/>
              <w:ind w:left="283" w:hanging="283"/>
              <w:rPr>
                <w:rFonts w:asciiTheme="majorBidi" w:hAnsiTheme="majorBidi" w:cstheme="majorBidi"/>
                <w:sz w:val="22"/>
                <w:szCs w:val="22"/>
              </w:rPr>
            </w:pPr>
            <w:r w:rsidRPr="000F4677">
              <w:rPr>
                <w:rFonts w:asciiTheme="majorBidi" w:hAnsiTheme="majorBidi" w:cstheme="majorBidi"/>
                <w:sz w:val="22"/>
                <w:szCs w:val="22"/>
                <w:lang w:eastAsia="fr-FR"/>
              </w:rPr>
              <w:t>–</w:t>
            </w:r>
            <w:r w:rsidRPr="000F4677">
              <w:rPr>
                <w:rFonts w:asciiTheme="majorBidi" w:hAnsiTheme="majorBidi" w:cstheme="majorBidi"/>
                <w:sz w:val="22"/>
                <w:szCs w:val="22"/>
                <w:lang w:eastAsia="fr-FR"/>
              </w:rPr>
              <w:tab/>
              <w:t xml:space="preserve">Sur la base des travaux </w:t>
            </w:r>
            <w:r w:rsidR="009E2C18">
              <w:rPr>
                <w:rFonts w:asciiTheme="majorBidi" w:hAnsiTheme="majorBidi" w:cstheme="majorBidi"/>
                <w:sz w:val="22"/>
                <w:szCs w:val="22"/>
                <w:lang w:eastAsia="fr-FR"/>
              </w:rPr>
              <w:t>effectués lors de la Phase 1 – C</w:t>
            </w:r>
            <w:r w:rsidRPr="000F4677">
              <w:rPr>
                <w:rFonts w:asciiTheme="majorBidi" w:hAnsiTheme="majorBidi" w:cstheme="majorBidi"/>
                <w:sz w:val="22"/>
                <w:szCs w:val="22"/>
                <w:lang w:eastAsia="fr-FR"/>
              </w:rPr>
              <w:t>oncevoir et tester un plan relatif aux systèmes d'information du BR.</w:t>
            </w:r>
          </w:p>
        </w:tc>
      </w:tr>
    </w:tbl>
    <w:p w:rsidR="007A7CA3" w:rsidRDefault="007A7CA3">
      <w:r>
        <w:br w:type="page"/>
      </w:r>
    </w:p>
    <w:tbl>
      <w:tblPr>
        <w:tblStyle w:val="TableGrid"/>
        <w:tblW w:w="0" w:type="auto"/>
        <w:tblInd w:w="392" w:type="dxa"/>
        <w:tblLook w:val="04A0" w:firstRow="1" w:lastRow="0" w:firstColumn="1" w:lastColumn="0" w:noHBand="0" w:noVBand="1"/>
      </w:tblPr>
      <w:tblGrid>
        <w:gridCol w:w="9184"/>
      </w:tblGrid>
      <w:tr w:rsidR="000F4677" w:rsidRPr="000F4677" w:rsidTr="007D6DBA">
        <w:tc>
          <w:tcPr>
            <w:tcW w:w="9184" w:type="dxa"/>
          </w:tcPr>
          <w:p w:rsidR="00BA7363" w:rsidRPr="000F4677" w:rsidRDefault="00BA7363" w:rsidP="007A7CA3">
            <w:pPr>
              <w:tabs>
                <w:tab w:val="clear" w:pos="794"/>
                <w:tab w:val="left" w:pos="548"/>
              </w:tabs>
              <w:spacing w:before="40" w:after="40"/>
              <w:rPr>
                <w:rFonts w:asciiTheme="majorBidi" w:hAnsiTheme="majorBidi" w:cstheme="majorBidi"/>
                <w:sz w:val="22"/>
                <w:szCs w:val="22"/>
              </w:rPr>
            </w:pPr>
            <w:r w:rsidRPr="000F4677">
              <w:rPr>
                <w:rStyle w:val="IntenseEmphasis"/>
                <w:rFonts w:asciiTheme="majorBidi" w:eastAsiaTheme="majorEastAsia" w:hAnsiTheme="majorBidi" w:cstheme="majorBidi"/>
                <w:color w:val="auto"/>
                <w:sz w:val="22"/>
                <w:szCs w:val="22"/>
              </w:rPr>
              <w:lastRenderedPageBreak/>
              <w:t>Réécriture du logiciel d'examen technique écrit en langage Cobol - tâche commencée</w:t>
            </w:r>
          </w:p>
        </w:tc>
      </w:tr>
      <w:tr w:rsidR="000F4677" w:rsidRPr="000F4677" w:rsidTr="007D6DBA">
        <w:tc>
          <w:tcPr>
            <w:tcW w:w="9184" w:type="dxa"/>
          </w:tcPr>
          <w:p w:rsidR="00BA7363" w:rsidRPr="000F4677" w:rsidRDefault="00BA7363" w:rsidP="00676D79">
            <w:pPr>
              <w:spacing w:before="40" w:after="40"/>
              <w:rPr>
                <w:rFonts w:asciiTheme="majorBidi" w:hAnsiTheme="majorBidi" w:cstheme="majorBidi"/>
                <w:sz w:val="22"/>
                <w:szCs w:val="22"/>
              </w:rPr>
            </w:pPr>
            <w:r w:rsidRPr="000F4677">
              <w:rPr>
                <w:rStyle w:val="IntenseEmphasis"/>
                <w:rFonts w:asciiTheme="majorBidi" w:eastAsiaTheme="majorEastAsia" w:hAnsiTheme="majorBidi" w:cstheme="majorBidi"/>
                <w:color w:val="auto"/>
                <w:sz w:val="22"/>
                <w:szCs w:val="22"/>
              </w:rPr>
              <w:t>Conception et élaboration du système d'information du BR pour les systèmes spatiaux</w:t>
            </w:r>
            <w:r w:rsidRPr="000F4677">
              <w:rPr>
                <w:rFonts w:asciiTheme="majorBidi" w:hAnsiTheme="majorBidi" w:cstheme="majorBidi"/>
                <w:sz w:val="22"/>
                <w:szCs w:val="22"/>
                <w:lang w:eastAsia="fr-FR"/>
              </w:rPr>
              <w:t xml:space="preserve"> – </w:t>
            </w:r>
            <w:r w:rsidR="00676D79">
              <w:rPr>
                <w:rFonts w:asciiTheme="majorBidi" w:hAnsiTheme="majorBidi" w:cstheme="majorBidi"/>
                <w:sz w:val="22"/>
                <w:szCs w:val="22"/>
                <w:lang w:eastAsia="fr-FR"/>
              </w:rPr>
              <w:t>A</w:t>
            </w:r>
            <w:r w:rsidRPr="000F4677">
              <w:rPr>
                <w:rFonts w:asciiTheme="majorBidi" w:hAnsiTheme="majorBidi" w:cstheme="majorBidi"/>
                <w:sz w:val="22"/>
                <w:szCs w:val="22"/>
                <w:lang w:eastAsia="fr-FR"/>
              </w:rPr>
              <w:t xml:space="preserve"> l'heure actuelle, les services spatiaux du BR utilisent un grand nombre d'applications autonomes écrites en langages VB6 et VO avec leur propre interface spécifique. L'objectif est d'élaborer une interface utilisateur unique, qui intégrera à terme tous les services spatiaux du BR au moyen de techniques de pointe. Cette tâche a commencé et l'architecture proposée a été validée avec un prototype: </w:t>
            </w:r>
          </w:p>
          <w:p w:rsidR="00BA7363" w:rsidRPr="000F4677" w:rsidRDefault="00BA7363" w:rsidP="00BE0E38">
            <w:pPr>
              <w:pStyle w:val="Tabletext"/>
              <w:ind w:left="284" w:hanging="284"/>
              <w:rPr>
                <w:lang w:eastAsia="fr-FR"/>
              </w:rPr>
            </w:pPr>
            <w:r w:rsidRPr="000F4677">
              <w:rPr>
                <w:lang w:eastAsia="fr-FR"/>
              </w:rPr>
              <w:t>–</w:t>
            </w:r>
            <w:r w:rsidRPr="000F4677">
              <w:rPr>
                <w:lang w:eastAsia="fr-FR"/>
              </w:rPr>
              <w:tab/>
              <w:t>Celui-ci repose sur l'architecture orientée services</w:t>
            </w:r>
            <w:r w:rsidR="007A7CA3">
              <w:rPr>
                <w:lang w:eastAsia="fr-FR"/>
              </w:rPr>
              <w:t xml:space="preserve"> </w:t>
            </w:r>
            <w:r w:rsidRPr="000F4677">
              <w:rPr>
                <w:lang w:eastAsia="fr-FR"/>
              </w:rPr>
              <w:t xml:space="preserve">(SOA). L'architecture SOA dissocie l'interface utilisateur de la mise en oeuvre du service. Chaque application des services spatiaux du BR se présentera sous </w:t>
            </w:r>
            <w:r w:rsidR="007A7CA3">
              <w:rPr>
                <w:lang w:eastAsia="fr-FR"/>
              </w:rPr>
              <w:t xml:space="preserve">la </w:t>
            </w:r>
            <w:r w:rsidRPr="000F4677">
              <w:rPr>
                <w:lang w:eastAsia="fr-FR"/>
              </w:rPr>
              <w:t xml:space="preserve">forme d'un service autonome WCF (Windows Communication Foundation) et pourra être facilement déployée sur des plates-formes Windows et web. </w:t>
            </w:r>
          </w:p>
          <w:p w:rsidR="00BA7363" w:rsidRPr="000F4677" w:rsidRDefault="00BA7363" w:rsidP="00BE0E38">
            <w:pPr>
              <w:pStyle w:val="Tabletext"/>
              <w:ind w:left="284" w:hanging="284"/>
              <w:rPr>
                <w:lang w:eastAsia="fr-FR"/>
              </w:rPr>
            </w:pPr>
            <w:r w:rsidRPr="000F4677">
              <w:rPr>
                <w:lang w:eastAsia="fr-FR"/>
              </w:rPr>
              <w:t>–</w:t>
            </w:r>
            <w:r w:rsidRPr="000F4677">
              <w:rPr>
                <w:lang w:eastAsia="fr-FR"/>
              </w:rPr>
              <w:tab/>
              <w:t>On envisage d'utiliser la technologie WPF (Windows Presentation Foundation) pour la conception et le développement de l'interface utilisateur (UI). La technologie WPF, qui constitue le principal outil de conception d'interfaces UI utilisé actuellement, dissocie la couche de conception de la présentation de la couche logique.</w:t>
            </w:r>
          </w:p>
          <w:p w:rsidR="00BA7363" w:rsidRPr="000F4677" w:rsidRDefault="00BE0E38" w:rsidP="00BE0E38">
            <w:pPr>
              <w:pStyle w:val="Tabletext"/>
              <w:ind w:left="284" w:hanging="284"/>
            </w:pPr>
            <w:r w:rsidRPr="00BE0E38">
              <w:rPr>
                <w:lang w:eastAsia="fr-FR"/>
              </w:rPr>
              <w:t>–</w:t>
            </w:r>
            <w:r>
              <w:rPr>
                <w:lang w:eastAsia="fr-FR"/>
              </w:rPr>
              <w:tab/>
            </w:r>
            <w:r w:rsidR="00BA7363" w:rsidRPr="000F4677">
              <w:rPr>
                <w:lang w:eastAsia="fr-FR"/>
              </w:rPr>
              <w:t>L'ensemble du système utilise une configuration de conception d'application composite (prism est le guide d'application composite (Composite Application Guidance) pour la technologie WPF), ce qui améliore la modularité du système et permet aux concepteurs d'élaborer et de tenir à jour de manière indé</w:t>
            </w:r>
            <w:r w:rsidR="007A7CA3">
              <w:rPr>
                <w:lang w:eastAsia="fr-FR"/>
              </w:rPr>
              <w:t>pendante des modules de système</w:t>
            </w:r>
            <w:r w:rsidR="00BA7363" w:rsidRPr="000F4677">
              <w:rPr>
                <w:lang w:eastAsia="fr-FR"/>
              </w:rPr>
              <w:t>.</w:t>
            </w:r>
          </w:p>
        </w:tc>
      </w:tr>
      <w:tr w:rsidR="000F4677" w:rsidRPr="000F4677" w:rsidTr="007D6DBA">
        <w:tc>
          <w:tcPr>
            <w:tcW w:w="9184" w:type="dxa"/>
          </w:tcPr>
          <w:p w:rsidR="00BA7363" w:rsidRPr="000F4677" w:rsidRDefault="00BA7363" w:rsidP="007A7CA3">
            <w:pPr>
              <w:spacing w:before="40" w:after="40"/>
              <w:rPr>
                <w:rFonts w:asciiTheme="majorBidi" w:hAnsiTheme="majorBidi" w:cstheme="majorBidi"/>
                <w:sz w:val="22"/>
                <w:szCs w:val="22"/>
              </w:rPr>
            </w:pPr>
            <w:r w:rsidRPr="000F4677">
              <w:rPr>
                <w:rStyle w:val="IntenseEmphasis"/>
                <w:rFonts w:asciiTheme="majorBidi" w:eastAsiaTheme="majorEastAsia" w:hAnsiTheme="majorBidi" w:cstheme="majorBidi"/>
                <w:color w:val="auto"/>
                <w:sz w:val="22"/>
                <w:szCs w:val="22"/>
              </w:rPr>
              <w:t>Réécriture du logiciel SpaceQry écrit en langage VO</w:t>
            </w:r>
            <w:r w:rsidR="00676D79">
              <w:rPr>
                <w:rFonts w:asciiTheme="majorBidi" w:hAnsiTheme="majorBidi" w:cstheme="majorBidi"/>
                <w:sz w:val="22"/>
                <w:szCs w:val="22"/>
              </w:rPr>
              <w:t xml:space="preserve"> – L</w:t>
            </w:r>
            <w:r w:rsidRPr="000F4677">
              <w:rPr>
                <w:rFonts w:asciiTheme="majorBidi" w:hAnsiTheme="majorBidi" w:cstheme="majorBidi"/>
                <w:sz w:val="22"/>
                <w:szCs w:val="22"/>
              </w:rPr>
              <w:t>'analyse et la conception ont commencé.</w:t>
            </w:r>
          </w:p>
          <w:p w:rsidR="00BA7363" w:rsidRPr="000F4677" w:rsidRDefault="00BA7363" w:rsidP="007A7CA3">
            <w:pPr>
              <w:spacing w:before="40" w:after="40"/>
              <w:rPr>
                <w:rFonts w:asciiTheme="majorBidi" w:hAnsiTheme="majorBidi" w:cstheme="majorBidi"/>
                <w:sz w:val="22"/>
                <w:szCs w:val="22"/>
                <w:lang w:eastAsia="fr-FR"/>
              </w:rPr>
            </w:pPr>
            <w:r w:rsidRPr="000F4677">
              <w:rPr>
                <w:rFonts w:asciiTheme="majorBidi" w:hAnsiTheme="majorBidi" w:cstheme="majorBidi"/>
                <w:sz w:val="22"/>
                <w:szCs w:val="22"/>
                <w:lang w:eastAsia="fr-FR"/>
              </w:rPr>
              <w:t xml:space="preserve">L'application SpaceQry sera la première à être réécrite dans le système d'information du </w:t>
            </w:r>
            <w:r w:rsidRPr="000F4677">
              <w:rPr>
                <w:rFonts w:asciiTheme="majorBidi" w:hAnsiTheme="majorBidi" w:cstheme="majorBidi"/>
                <w:i/>
                <w:iCs/>
                <w:sz w:val="22"/>
                <w:szCs w:val="22"/>
                <w:lang w:eastAsia="fr-FR"/>
              </w:rPr>
              <w:t>BR</w:t>
            </w:r>
            <w:r w:rsidRPr="000F4677">
              <w:rPr>
                <w:rFonts w:asciiTheme="majorBidi" w:hAnsiTheme="majorBidi" w:cstheme="majorBidi"/>
                <w:sz w:val="22"/>
                <w:szCs w:val="22"/>
                <w:lang w:eastAsia="fr-FR"/>
              </w:rPr>
              <w:t xml:space="preserve"> pour les services spatiaux conformément à l'architecture retenue.</w:t>
            </w:r>
          </w:p>
          <w:p w:rsidR="00BA7363" w:rsidRPr="000F4677" w:rsidRDefault="00676D79" w:rsidP="00676D79">
            <w:pPr>
              <w:pStyle w:val="enumlev1"/>
              <w:tabs>
                <w:tab w:val="clear" w:pos="794"/>
                <w:tab w:val="left" w:pos="308"/>
                <w:tab w:val="left" w:pos="573"/>
              </w:tabs>
              <w:spacing w:before="40" w:after="40"/>
              <w:ind w:left="308" w:hanging="308"/>
              <w:rPr>
                <w:rFonts w:asciiTheme="majorBidi" w:hAnsiTheme="majorBidi" w:cstheme="majorBidi"/>
                <w:sz w:val="22"/>
                <w:szCs w:val="22"/>
                <w:lang w:eastAsia="fr-FR"/>
              </w:rPr>
            </w:pPr>
            <w:r w:rsidRPr="00676D79">
              <w:rPr>
                <w:rFonts w:asciiTheme="majorBidi" w:hAnsiTheme="majorBidi" w:cstheme="majorBidi"/>
                <w:sz w:val="22"/>
                <w:szCs w:val="22"/>
                <w:lang w:eastAsia="fr-FR"/>
              </w:rPr>
              <w:t>–</w:t>
            </w:r>
            <w:r w:rsidR="00BA7363" w:rsidRPr="000F4677">
              <w:rPr>
                <w:rFonts w:asciiTheme="majorBidi" w:hAnsiTheme="majorBidi" w:cstheme="majorBidi"/>
                <w:sz w:val="22"/>
                <w:szCs w:val="22"/>
                <w:lang w:eastAsia="fr-FR"/>
              </w:rPr>
              <w:tab/>
              <w:t xml:space="preserve">Cette </w:t>
            </w:r>
            <w:r w:rsidR="00BA7363" w:rsidRPr="000F4677">
              <w:rPr>
                <w:rFonts w:asciiTheme="majorBidi" w:hAnsiTheme="majorBidi" w:cstheme="majorBidi"/>
                <w:sz w:val="22"/>
                <w:szCs w:val="22"/>
                <w:lang w:val="fr-CH" w:eastAsia="fr-FR"/>
              </w:rPr>
              <w:t>application</w:t>
            </w:r>
            <w:r w:rsidR="00BA7363" w:rsidRPr="000F4677">
              <w:rPr>
                <w:rFonts w:asciiTheme="majorBidi" w:hAnsiTheme="majorBidi" w:cstheme="majorBidi"/>
                <w:sz w:val="22"/>
                <w:szCs w:val="22"/>
                <w:lang w:eastAsia="fr-FR"/>
              </w:rPr>
              <w:t xml:space="preserve"> servira de modèle pour le développement futur du système, afin que tous les logiciels du </w:t>
            </w:r>
            <w:r w:rsidR="00BA7363" w:rsidRPr="000F4677">
              <w:rPr>
                <w:rFonts w:asciiTheme="majorBidi" w:hAnsiTheme="majorBidi" w:cstheme="majorBidi"/>
                <w:i/>
                <w:iCs/>
                <w:sz w:val="22"/>
                <w:szCs w:val="22"/>
                <w:lang w:eastAsia="fr-FR"/>
              </w:rPr>
              <w:t>BR</w:t>
            </w:r>
            <w:r w:rsidR="00BA7363" w:rsidRPr="000F4677">
              <w:rPr>
                <w:rFonts w:asciiTheme="majorBidi" w:hAnsiTheme="majorBidi" w:cstheme="majorBidi"/>
                <w:sz w:val="22"/>
                <w:szCs w:val="22"/>
                <w:lang w:eastAsia="fr-FR"/>
              </w:rPr>
              <w:t xml:space="preserve"> aient la même présentation et le même aspect</w:t>
            </w:r>
            <w:r w:rsidR="007A7CA3">
              <w:rPr>
                <w:rFonts w:asciiTheme="majorBidi" w:hAnsiTheme="majorBidi" w:cstheme="majorBidi"/>
                <w:sz w:val="22"/>
                <w:szCs w:val="22"/>
                <w:lang w:eastAsia="fr-FR"/>
              </w:rPr>
              <w:t>.</w:t>
            </w:r>
            <w:r w:rsidR="00BA7363" w:rsidRPr="000F4677">
              <w:rPr>
                <w:rFonts w:asciiTheme="majorBidi" w:hAnsiTheme="majorBidi" w:cstheme="majorBidi"/>
                <w:sz w:val="22"/>
                <w:szCs w:val="22"/>
                <w:lang w:eastAsia="fr-FR"/>
              </w:rPr>
              <w:t xml:space="preserve"> </w:t>
            </w:r>
          </w:p>
          <w:p w:rsidR="00BA7363" w:rsidRDefault="00676D79" w:rsidP="00676D79">
            <w:pPr>
              <w:pStyle w:val="enumlev1"/>
              <w:tabs>
                <w:tab w:val="clear" w:pos="794"/>
                <w:tab w:val="left" w:pos="308"/>
                <w:tab w:val="left" w:pos="535"/>
              </w:tabs>
              <w:spacing w:before="40" w:after="40"/>
              <w:ind w:left="0" w:firstLine="0"/>
              <w:rPr>
                <w:rFonts w:asciiTheme="majorBidi" w:hAnsiTheme="majorBidi" w:cstheme="majorBidi"/>
                <w:sz w:val="22"/>
                <w:szCs w:val="22"/>
                <w:lang w:eastAsia="fr-FR"/>
              </w:rPr>
            </w:pPr>
            <w:r w:rsidRPr="00676D79">
              <w:rPr>
                <w:rFonts w:asciiTheme="majorBidi" w:hAnsiTheme="majorBidi" w:cstheme="majorBidi"/>
                <w:sz w:val="22"/>
                <w:szCs w:val="22"/>
                <w:lang w:eastAsia="fr-FR"/>
              </w:rPr>
              <w:t>–</w:t>
            </w:r>
            <w:r w:rsidR="00BA7363" w:rsidRPr="000F4677">
              <w:rPr>
                <w:rFonts w:asciiTheme="majorBidi" w:hAnsiTheme="majorBidi" w:cstheme="majorBidi"/>
                <w:sz w:val="22"/>
                <w:szCs w:val="22"/>
                <w:lang w:eastAsia="fr-FR"/>
              </w:rPr>
              <w:tab/>
              <w:t>Elle offrira une interface conviviale, capable d'exécuter des requêtes complexes.</w:t>
            </w:r>
          </w:p>
          <w:p w:rsidR="00BA7363" w:rsidRPr="000F4677" w:rsidRDefault="00676D79" w:rsidP="00676D79">
            <w:pPr>
              <w:pStyle w:val="enumlev1"/>
              <w:tabs>
                <w:tab w:val="clear" w:pos="794"/>
                <w:tab w:val="left" w:pos="308"/>
                <w:tab w:val="left" w:pos="535"/>
              </w:tabs>
              <w:spacing w:before="40" w:after="40"/>
              <w:ind w:left="0" w:firstLine="0"/>
              <w:rPr>
                <w:rFonts w:asciiTheme="majorBidi" w:hAnsiTheme="majorBidi" w:cstheme="majorBidi"/>
                <w:sz w:val="22"/>
                <w:szCs w:val="22"/>
                <w:lang w:val="fr-CH"/>
              </w:rPr>
            </w:pPr>
            <w:r w:rsidRPr="00676D79">
              <w:rPr>
                <w:rFonts w:asciiTheme="majorBidi" w:hAnsiTheme="majorBidi" w:cstheme="majorBidi"/>
                <w:sz w:val="22"/>
                <w:szCs w:val="22"/>
                <w:lang w:eastAsia="fr-FR"/>
              </w:rPr>
              <w:t>–</w:t>
            </w:r>
            <w:r>
              <w:rPr>
                <w:rFonts w:asciiTheme="majorBidi" w:hAnsiTheme="majorBidi" w:cstheme="majorBidi"/>
                <w:sz w:val="22"/>
                <w:szCs w:val="22"/>
                <w:lang w:eastAsia="fr-FR"/>
              </w:rPr>
              <w:tab/>
            </w:r>
            <w:r w:rsidR="00BA7363" w:rsidRPr="000F4677">
              <w:rPr>
                <w:rFonts w:asciiTheme="majorBidi" w:hAnsiTheme="majorBidi" w:cstheme="majorBidi"/>
                <w:sz w:val="22"/>
                <w:szCs w:val="22"/>
                <w:lang w:eastAsia="fr-FR"/>
              </w:rPr>
              <w:t>E</w:t>
            </w:r>
            <w:r w:rsidR="00BA7363" w:rsidRPr="000F4677">
              <w:rPr>
                <w:rFonts w:asciiTheme="majorBidi" w:hAnsiTheme="majorBidi" w:cstheme="majorBidi"/>
                <w:sz w:val="22"/>
                <w:szCs w:val="22"/>
                <w:lang w:val="fr-CH" w:eastAsia="fr-FR"/>
              </w:rPr>
              <w:t xml:space="preserve">n outre, le service de requête sera utilisé pour le SNS en ligne comme service web. </w:t>
            </w:r>
          </w:p>
        </w:tc>
      </w:tr>
      <w:tr w:rsidR="000F4677" w:rsidRPr="000F4677" w:rsidTr="007D6DBA">
        <w:tc>
          <w:tcPr>
            <w:tcW w:w="9184" w:type="dxa"/>
          </w:tcPr>
          <w:p w:rsidR="00BA7363" w:rsidRPr="000F4677" w:rsidRDefault="00BA7363" w:rsidP="007A7CA3">
            <w:pPr>
              <w:spacing w:before="40" w:after="40"/>
              <w:rPr>
                <w:rFonts w:asciiTheme="majorBidi" w:hAnsiTheme="majorBidi" w:cstheme="majorBidi"/>
                <w:sz w:val="22"/>
                <w:szCs w:val="22"/>
              </w:rPr>
            </w:pPr>
            <w:r w:rsidRPr="000F4677">
              <w:rPr>
                <w:rStyle w:val="IntenseEmphasis"/>
                <w:rFonts w:asciiTheme="majorBidi" w:eastAsiaTheme="majorEastAsia" w:hAnsiTheme="majorBidi" w:cstheme="majorBidi"/>
                <w:color w:val="auto"/>
                <w:sz w:val="22"/>
                <w:szCs w:val="22"/>
              </w:rPr>
              <w:t>Réexamen du SNS</w:t>
            </w:r>
            <w:r w:rsidRPr="000F4677">
              <w:rPr>
                <w:rFonts w:asciiTheme="majorBidi" w:hAnsiTheme="majorBidi" w:cstheme="majorBidi"/>
                <w:sz w:val="22"/>
                <w:szCs w:val="22"/>
                <w:lang w:eastAsia="fr-FR"/>
              </w:rPr>
              <w:t xml:space="preserve"> </w:t>
            </w:r>
            <w:r w:rsidRPr="000F4677">
              <w:rPr>
                <w:rStyle w:val="IntenseEmphasis"/>
                <w:rFonts w:asciiTheme="majorBidi" w:eastAsiaTheme="majorEastAsia" w:hAnsiTheme="majorBidi" w:cstheme="majorBidi"/>
                <w:color w:val="auto"/>
                <w:sz w:val="22"/>
                <w:szCs w:val="22"/>
              </w:rPr>
              <w:t>en ligne</w:t>
            </w:r>
            <w:r w:rsidR="00676D79">
              <w:rPr>
                <w:rStyle w:val="IntenseEmphasis"/>
                <w:rFonts w:asciiTheme="majorBidi" w:eastAsiaTheme="majorEastAsia" w:hAnsiTheme="majorBidi" w:cstheme="majorBidi"/>
                <w:color w:val="auto"/>
                <w:sz w:val="22"/>
                <w:szCs w:val="22"/>
              </w:rPr>
              <w:t xml:space="preserve"> </w:t>
            </w:r>
            <w:r w:rsidRPr="000F4677">
              <w:rPr>
                <w:rFonts w:asciiTheme="majorBidi" w:hAnsiTheme="majorBidi" w:cstheme="majorBidi"/>
                <w:sz w:val="22"/>
                <w:szCs w:val="22"/>
                <w:lang w:eastAsia="fr-FR"/>
              </w:rPr>
              <w:t>– Cette application est écrite au moyen de scripts AWK, ce qui rend particulièrement difficile sa tenue à jour. Il convient de la réexaminer, afin d'offrir la possibilité d'utiliser le service de requête (SpaceQry) qui sera mis en oeuvre d</w:t>
            </w:r>
            <w:r w:rsidR="000F4677">
              <w:rPr>
                <w:rFonts w:asciiTheme="majorBidi" w:hAnsiTheme="majorBidi" w:cstheme="majorBidi"/>
                <w:sz w:val="22"/>
                <w:szCs w:val="22"/>
                <w:lang w:eastAsia="fr-FR"/>
              </w:rPr>
              <w:t>ans le système d'information du </w:t>
            </w:r>
            <w:r w:rsidRPr="000F4677">
              <w:rPr>
                <w:rFonts w:asciiTheme="majorBidi" w:hAnsiTheme="majorBidi" w:cstheme="majorBidi"/>
                <w:sz w:val="22"/>
                <w:szCs w:val="22"/>
                <w:lang w:eastAsia="fr-FR"/>
              </w:rPr>
              <w:t>BR pour les services spatiaux.</w:t>
            </w:r>
          </w:p>
        </w:tc>
      </w:tr>
      <w:tr w:rsidR="000F4677" w:rsidRPr="000F4677" w:rsidTr="007D6DBA">
        <w:tc>
          <w:tcPr>
            <w:tcW w:w="9184" w:type="dxa"/>
          </w:tcPr>
          <w:p w:rsidR="00BA7363" w:rsidRPr="000F4677" w:rsidRDefault="00BA7363" w:rsidP="007A7CA3">
            <w:pPr>
              <w:spacing w:before="40" w:after="40"/>
              <w:rPr>
                <w:rFonts w:asciiTheme="majorBidi" w:hAnsiTheme="majorBidi" w:cstheme="majorBidi"/>
                <w:sz w:val="22"/>
                <w:szCs w:val="22"/>
              </w:rPr>
            </w:pPr>
            <w:r w:rsidRPr="000F4677">
              <w:rPr>
                <w:rStyle w:val="IntenseEmphasis"/>
                <w:rFonts w:asciiTheme="majorBidi" w:eastAsiaTheme="majorEastAsia" w:hAnsiTheme="majorBidi" w:cstheme="majorBidi"/>
                <w:color w:val="auto"/>
                <w:sz w:val="22"/>
                <w:szCs w:val="22"/>
              </w:rPr>
              <w:t>Réécriture des applications logicielles du BR écrites en langage VB6</w:t>
            </w:r>
            <w:r w:rsidRPr="000F4677">
              <w:rPr>
                <w:rFonts w:asciiTheme="majorBidi" w:hAnsiTheme="majorBidi" w:cstheme="majorBidi"/>
                <w:sz w:val="22"/>
                <w:szCs w:val="22"/>
                <w:lang w:eastAsia="fr-FR"/>
              </w:rPr>
              <w:t xml:space="preserve">. Toutes les applications logicielles du BR écrites en langage VB6 seront réécrites dans le système d'information du BR pour les services spatiaux conformément à l'architecture établie. </w:t>
            </w:r>
          </w:p>
        </w:tc>
      </w:tr>
      <w:tr w:rsidR="000F4677" w:rsidRPr="000F4677" w:rsidTr="007D6DBA">
        <w:tc>
          <w:tcPr>
            <w:tcW w:w="9184" w:type="dxa"/>
          </w:tcPr>
          <w:p w:rsidR="00BA7363" w:rsidRPr="000F4677" w:rsidRDefault="00BA7363" w:rsidP="007A7CA3">
            <w:pPr>
              <w:spacing w:before="40" w:after="40"/>
              <w:rPr>
                <w:rFonts w:asciiTheme="majorBidi" w:hAnsiTheme="majorBidi" w:cstheme="majorBidi"/>
                <w:sz w:val="22"/>
                <w:szCs w:val="22"/>
              </w:rPr>
            </w:pPr>
            <w:r w:rsidRPr="000F4677">
              <w:rPr>
                <w:rStyle w:val="IntenseEmphasis"/>
                <w:rFonts w:asciiTheme="majorBidi" w:eastAsiaTheme="majorEastAsia" w:hAnsiTheme="majorBidi" w:cstheme="majorBidi"/>
                <w:color w:val="auto"/>
                <w:sz w:val="22"/>
                <w:szCs w:val="22"/>
              </w:rPr>
              <w:t xml:space="preserve">Envisager de réécrire du regroupement </w:t>
            </w:r>
            <w:r w:rsidRPr="000F4677">
              <w:rPr>
                <w:rFonts w:asciiTheme="majorBidi" w:hAnsiTheme="majorBidi" w:cstheme="majorBidi"/>
                <w:sz w:val="22"/>
                <w:szCs w:val="22"/>
                <w:lang w:eastAsia="fr-FR"/>
              </w:rPr>
              <w:t>–</w:t>
            </w:r>
            <w:r w:rsidR="007A7CA3">
              <w:rPr>
                <w:rFonts w:asciiTheme="majorBidi" w:hAnsiTheme="majorBidi" w:cstheme="majorBidi"/>
                <w:sz w:val="22"/>
                <w:szCs w:val="22"/>
                <w:lang w:eastAsia="fr-FR"/>
              </w:rPr>
              <w:t xml:space="preserve"> </w:t>
            </w:r>
            <w:r w:rsidR="00676D79">
              <w:rPr>
                <w:rFonts w:asciiTheme="majorBidi" w:hAnsiTheme="majorBidi" w:cstheme="majorBidi"/>
                <w:sz w:val="22"/>
                <w:szCs w:val="22"/>
                <w:lang w:eastAsia="fr-FR"/>
              </w:rPr>
              <w:t>P</w:t>
            </w:r>
            <w:r w:rsidRPr="000F4677">
              <w:rPr>
                <w:rFonts w:asciiTheme="majorBidi" w:hAnsiTheme="majorBidi" w:cstheme="majorBidi"/>
                <w:sz w:val="22"/>
                <w:szCs w:val="22"/>
                <w:lang w:eastAsia="fr-FR"/>
              </w:rPr>
              <w:t>riorité moindre. Nous n'avons trouvé aucune information émanant de Microsoft selon laquelle l'utilitaire «remote shell» ne sera pas pris en charge sous Windows 8. De plus, lors du réexamen du flux de traitement de la fiche de notification, on pourra envisager de supprimer l'obligation de regroupement.</w:t>
            </w:r>
          </w:p>
        </w:tc>
      </w:tr>
      <w:tr w:rsidR="000F4677" w:rsidRPr="000F4677" w:rsidTr="007D6DBA">
        <w:tc>
          <w:tcPr>
            <w:tcW w:w="9184" w:type="dxa"/>
          </w:tcPr>
          <w:p w:rsidR="00BA7363" w:rsidRPr="000F4677" w:rsidRDefault="00BA7363" w:rsidP="007A7CA3">
            <w:pPr>
              <w:spacing w:before="40" w:after="40"/>
              <w:rPr>
                <w:rFonts w:asciiTheme="majorBidi" w:hAnsiTheme="majorBidi" w:cstheme="majorBidi"/>
                <w:sz w:val="22"/>
                <w:szCs w:val="22"/>
              </w:rPr>
            </w:pPr>
            <w:r w:rsidRPr="000F4677">
              <w:rPr>
                <w:rStyle w:val="IntenseEmphasis"/>
                <w:rFonts w:asciiTheme="majorBidi" w:eastAsiaTheme="majorEastAsia" w:hAnsiTheme="majorBidi" w:cstheme="majorBidi"/>
                <w:color w:val="auto"/>
                <w:sz w:val="22"/>
                <w:szCs w:val="22"/>
              </w:rPr>
              <w:t>Réexamen de SNTrack</w:t>
            </w:r>
            <w:r w:rsidRPr="000F4677">
              <w:rPr>
                <w:rFonts w:asciiTheme="majorBidi" w:hAnsiTheme="majorBidi" w:cstheme="majorBidi"/>
                <w:sz w:val="22"/>
                <w:szCs w:val="22"/>
                <w:lang w:eastAsia="fr-FR"/>
              </w:rPr>
              <w:t xml:space="preserve"> – Cette tâche devrait être accomplie dans le cadre de la mise en oeuvre des Résolutions 907 et 908. Le BR étudie la possibilité d'utiliser Nintex (application relative au déroulement des opérations fondée sur Sharepoint) pour mettre au point une nouvelle application SNTrack.</w:t>
            </w:r>
          </w:p>
        </w:tc>
      </w:tr>
      <w:tr w:rsidR="000F4677" w:rsidRPr="000F4677" w:rsidTr="007D6DBA">
        <w:tc>
          <w:tcPr>
            <w:tcW w:w="9184" w:type="dxa"/>
          </w:tcPr>
          <w:p w:rsidR="00BA7363" w:rsidRPr="000F4677" w:rsidRDefault="00BA7363" w:rsidP="007A7CA3">
            <w:pPr>
              <w:spacing w:before="40" w:after="40"/>
              <w:rPr>
                <w:rFonts w:asciiTheme="majorBidi" w:hAnsiTheme="majorBidi" w:cstheme="majorBidi"/>
                <w:sz w:val="22"/>
                <w:szCs w:val="22"/>
              </w:rPr>
            </w:pPr>
            <w:r w:rsidRPr="000F4677">
              <w:rPr>
                <w:rStyle w:val="IntenseEmphasis"/>
                <w:rFonts w:asciiTheme="majorBidi" w:eastAsiaTheme="majorEastAsia" w:hAnsiTheme="majorBidi" w:cstheme="majorBidi"/>
                <w:color w:val="auto"/>
                <w:sz w:val="22"/>
                <w:szCs w:val="22"/>
              </w:rPr>
              <w:t xml:space="preserve">Migration vers SRS.mdb </w:t>
            </w:r>
            <w:r w:rsidRPr="000F4677">
              <w:rPr>
                <w:rFonts w:asciiTheme="majorBidi" w:hAnsiTheme="majorBidi" w:cstheme="majorBidi"/>
                <w:sz w:val="22"/>
                <w:szCs w:val="22"/>
                <w:lang w:eastAsia="fr-FR"/>
              </w:rPr>
              <w:t>– En raison des contraintes d'espace sur MS Access, nous envisageons de migrer vers un nouveau conteneur, par exemple SQL Server localdb ou SQLite.</w:t>
            </w:r>
          </w:p>
        </w:tc>
      </w:tr>
    </w:tbl>
    <w:p w:rsidR="00BA7363" w:rsidRPr="00B24DFE" w:rsidRDefault="00BA7363" w:rsidP="00BA7363"/>
    <w:p w:rsidR="00BA7363" w:rsidRPr="00B24DFE" w:rsidRDefault="00BA7363" w:rsidP="00BA7363">
      <w:pPr>
        <w:tabs>
          <w:tab w:val="clear" w:pos="794"/>
          <w:tab w:val="clear" w:pos="1191"/>
          <w:tab w:val="clear" w:pos="1588"/>
          <w:tab w:val="clear" w:pos="1985"/>
        </w:tabs>
        <w:overflowPunct/>
        <w:autoSpaceDE/>
        <w:autoSpaceDN/>
        <w:adjustRightInd/>
        <w:spacing w:before="0"/>
        <w:textAlignment w:val="auto"/>
      </w:pPr>
      <w:r w:rsidRPr="00B24DFE">
        <w:br w:type="page"/>
      </w:r>
    </w:p>
    <w:p w:rsidR="00BA7363" w:rsidRPr="00A150B7" w:rsidRDefault="00BA7363" w:rsidP="00DC03E9">
      <w:pPr>
        <w:pStyle w:val="AnnexNotitle"/>
        <w:spacing w:after="240"/>
      </w:pPr>
      <w:r w:rsidRPr="00A150B7">
        <w:lastRenderedPageBreak/>
        <w:t>Annexe 2</w:t>
      </w:r>
      <w:r>
        <w:br/>
      </w:r>
      <w:r>
        <w:br/>
      </w:r>
      <w:r>
        <w:rPr>
          <w:bCs/>
          <w:lang w:val="fr-CH" w:eastAsia="zh-CN"/>
        </w:rPr>
        <w:t>L</w:t>
      </w:r>
      <w:r w:rsidRPr="007D7A0A">
        <w:rPr>
          <w:bCs/>
          <w:lang w:val="fr-CH" w:eastAsia="zh-CN"/>
        </w:rPr>
        <w:t xml:space="preserve">iste des manifestations auxquelles le BR </w:t>
      </w:r>
      <w:r>
        <w:rPr>
          <w:bCs/>
          <w:lang w:val="fr-CH" w:eastAsia="zh-CN"/>
        </w:rPr>
        <w:t xml:space="preserve">a </w:t>
      </w:r>
      <w:r w:rsidRPr="007D7A0A">
        <w:rPr>
          <w:bCs/>
          <w:lang w:val="fr-CH" w:eastAsia="zh-CN"/>
        </w:rPr>
        <w:t>particip</w:t>
      </w:r>
      <w:r>
        <w:rPr>
          <w:bCs/>
          <w:lang w:val="fr-CH" w:eastAsia="zh-CN"/>
        </w:rPr>
        <w:t xml:space="preserve">é </w:t>
      </w:r>
      <w:r w:rsidRPr="007D7A0A">
        <w:rPr>
          <w:bCs/>
          <w:lang w:val="fr-CH" w:eastAsia="zh-CN"/>
        </w:rPr>
        <w:t>en 2012</w:t>
      </w:r>
    </w:p>
    <w:tbl>
      <w:tblPr>
        <w:tblW w:w="93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9"/>
        <w:gridCol w:w="1276"/>
        <w:gridCol w:w="1276"/>
        <w:gridCol w:w="1559"/>
      </w:tblGrid>
      <w:tr w:rsidR="00BA7363" w:rsidRPr="001F3536" w:rsidTr="00A13EEC">
        <w:trPr>
          <w:trHeight w:val="225"/>
        </w:trPr>
        <w:tc>
          <w:tcPr>
            <w:tcW w:w="5259" w:type="dxa"/>
            <w:tcBorders>
              <w:bottom w:val="single" w:sz="4" w:space="0" w:color="auto"/>
            </w:tcBorders>
            <w:shd w:val="clear" w:color="auto" w:fill="auto"/>
            <w:noWrap/>
            <w:hideMark/>
          </w:tcPr>
          <w:p w:rsidR="00BA7363" w:rsidRPr="001F3536" w:rsidRDefault="00BA7363" w:rsidP="00DC03E9">
            <w:pPr>
              <w:pStyle w:val="Tablehead"/>
              <w:spacing w:before="40" w:after="40"/>
              <w:rPr>
                <w:rFonts w:asciiTheme="majorBidi" w:hAnsiTheme="majorBidi" w:cstheme="majorBidi"/>
                <w:sz w:val="20"/>
                <w:lang w:val="fr-CH" w:eastAsia="zh-CN"/>
              </w:rPr>
            </w:pPr>
            <w:r w:rsidRPr="001F3536">
              <w:rPr>
                <w:rFonts w:asciiTheme="majorBidi" w:hAnsiTheme="majorBidi" w:cstheme="majorBidi"/>
                <w:sz w:val="20"/>
                <w:lang w:val="fr-CH" w:eastAsia="zh-CN"/>
              </w:rPr>
              <w:t>Titre</w:t>
            </w:r>
          </w:p>
        </w:tc>
        <w:tc>
          <w:tcPr>
            <w:tcW w:w="1276" w:type="dxa"/>
            <w:tcBorders>
              <w:bottom w:val="single" w:sz="4" w:space="0" w:color="auto"/>
            </w:tcBorders>
            <w:shd w:val="clear" w:color="auto" w:fill="auto"/>
            <w:noWrap/>
            <w:hideMark/>
          </w:tcPr>
          <w:p w:rsidR="00BA7363" w:rsidRPr="001F3536" w:rsidRDefault="00DC03E9" w:rsidP="00DC03E9">
            <w:pPr>
              <w:pStyle w:val="Tablehead"/>
              <w:spacing w:before="40" w:after="40"/>
              <w:rPr>
                <w:rFonts w:asciiTheme="majorBidi" w:hAnsiTheme="majorBidi" w:cstheme="majorBidi"/>
                <w:sz w:val="20"/>
                <w:lang w:val="en-US" w:eastAsia="zh-CN"/>
              </w:rPr>
            </w:pPr>
            <w:r w:rsidRPr="001F3536">
              <w:rPr>
                <w:rFonts w:asciiTheme="majorBidi" w:hAnsiTheme="majorBidi" w:cstheme="majorBidi"/>
                <w:sz w:val="20"/>
                <w:lang w:val="en-US" w:eastAsia="zh-CN"/>
              </w:rPr>
              <w:t>D</w:t>
            </w:r>
            <w:r w:rsidR="00BA7363" w:rsidRPr="001F3536">
              <w:rPr>
                <w:rFonts w:asciiTheme="majorBidi" w:hAnsiTheme="majorBidi" w:cstheme="majorBidi"/>
                <w:sz w:val="20"/>
                <w:lang w:val="en-US" w:eastAsia="zh-CN"/>
              </w:rPr>
              <w:t>ébut</w:t>
            </w:r>
          </w:p>
        </w:tc>
        <w:tc>
          <w:tcPr>
            <w:tcW w:w="1276" w:type="dxa"/>
            <w:tcBorders>
              <w:bottom w:val="single" w:sz="4" w:space="0" w:color="auto"/>
            </w:tcBorders>
            <w:shd w:val="clear" w:color="auto" w:fill="auto"/>
            <w:noWrap/>
            <w:hideMark/>
          </w:tcPr>
          <w:p w:rsidR="00BA7363" w:rsidRPr="001F3536" w:rsidRDefault="00DC03E9" w:rsidP="00DC03E9">
            <w:pPr>
              <w:pStyle w:val="Tablehead"/>
              <w:spacing w:before="40" w:after="40"/>
              <w:rPr>
                <w:rFonts w:asciiTheme="majorBidi" w:hAnsiTheme="majorBidi" w:cstheme="majorBidi"/>
                <w:sz w:val="20"/>
                <w:lang w:val="en-US" w:eastAsia="zh-CN"/>
              </w:rPr>
            </w:pPr>
            <w:r w:rsidRPr="001F3536">
              <w:rPr>
                <w:rFonts w:asciiTheme="majorBidi" w:hAnsiTheme="majorBidi" w:cstheme="majorBidi"/>
                <w:sz w:val="20"/>
                <w:lang w:val="en-US" w:eastAsia="zh-CN"/>
              </w:rPr>
              <w:t>F</w:t>
            </w:r>
            <w:r w:rsidR="00BA7363" w:rsidRPr="001F3536">
              <w:rPr>
                <w:rFonts w:asciiTheme="majorBidi" w:hAnsiTheme="majorBidi" w:cstheme="majorBidi"/>
                <w:sz w:val="20"/>
                <w:lang w:val="en-US" w:eastAsia="zh-CN"/>
              </w:rPr>
              <w:t>in</w:t>
            </w:r>
          </w:p>
        </w:tc>
        <w:tc>
          <w:tcPr>
            <w:tcW w:w="1559" w:type="dxa"/>
            <w:tcBorders>
              <w:bottom w:val="single" w:sz="4" w:space="0" w:color="auto"/>
            </w:tcBorders>
            <w:shd w:val="clear" w:color="auto" w:fill="auto"/>
            <w:noWrap/>
            <w:hideMark/>
          </w:tcPr>
          <w:p w:rsidR="00BA7363" w:rsidRPr="001F3536" w:rsidRDefault="00DC03E9" w:rsidP="00DC03E9">
            <w:pPr>
              <w:pStyle w:val="Tablehead"/>
              <w:spacing w:before="40" w:after="40"/>
              <w:rPr>
                <w:rFonts w:asciiTheme="majorBidi" w:hAnsiTheme="majorBidi" w:cstheme="majorBidi"/>
                <w:sz w:val="20"/>
                <w:lang w:val="en-US" w:eastAsia="zh-CN"/>
              </w:rPr>
            </w:pPr>
            <w:r w:rsidRPr="001F3536">
              <w:rPr>
                <w:rFonts w:asciiTheme="majorBidi" w:hAnsiTheme="majorBidi" w:cstheme="majorBidi"/>
                <w:sz w:val="20"/>
                <w:lang w:val="en-US" w:eastAsia="zh-CN"/>
              </w:rPr>
              <w:t>L</w:t>
            </w:r>
            <w:r w:rsidR="00BA7363" w:rsidRPr="001F3536">
              <w:rPr>
                <w:rFonts w:asciiTheme="majorBidi" w:hAnsiTheme="majorBidi" w:cstheme="majorBidi"/>
                <w:sz w:val="20"/>
                <w:lang w:val="en-US" w:eastAsia="zh-CN"/>
              </w:rPr>
              <w:t>ieu</w:t>
            </w:r>
          </w:p>
        </w:tc>
      </w:tr>
      <w:tr w:rsidR="00DC03E9" w:rsidRPr="001F3536" w:rsidTr="00A13EEC">
        <w:trPr>
          <w:trHeight w:val="225"/>
        </w:trPr>
        <w:tc>
          <w:tcPr>
            <w:tcW w:w="5259" w:type="dxa"/>
            <w:shd w:val="clear" w:color="auto" w:fill="D9D9D9"/>
            <w:noWrap/>
            <w:hideMark/>
          </w:tcPr>
          <w:p w:rsidR="00BA7363" w:rsidRPr="001F3536" w:rsidRDefault="00BA7363" w:rsidP="00DC03E9">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sz w:val="20"/>
                <w:lang w:val="en-US" w:eastAsia="zh-CN"/>
              </w:rPr>
            </w:pPr>
            <w:r w:rsidRPr="001F3536">
              <w:rPr>
                <w:rFonts w:asciiTheme="majorBidi" w:hAnsiTheme="majorBidi" w:cstheme="majorBidi"/>
                <w:b/>
                <w:bCs/>
                <w:sz w:val="20"/>
                <w:lang w:val="en-US" w:eastAsia="zh-CN"/>
              </w:rPr>
              <w:t>INSTITUTIONS SPÉCIALISÉES DE L'ONU</w:t>
            </w:r>
          </w:p>
        </w:tc>
        <w:tc>
          <w:tcPr>
            <w:tcW w:w="1276" w:type="dxa"/>
            <w:shd w:val="clear" w:color="auto" w:fill="D9D9D9"/>
            <w:noWrap/>
            <w:hideMark/>
          </w:tcPr>
          <w:p w:rsidR="00BA7363" w:rsidRPr="001F3536" w:rsidRDefault="00BA7363" w:rsidP="00DC03E9">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sz w:val="20"/>
                <w:lang w:val="en-US" w:eastAsia="zh-CN"/>
              </w:rPr>
            </w:pPr>
          </w:p>
        </w:tc>
        <w:tc>
          <w:tcPr>
            <w:tcW w:w="1276" w:type="dxa"/>
            <w:shd w:val="clear" w:color="auto" w:fill="D9D9D9"/>
            <w:noWrap/>
            <w:hideMark/>
          </w:tcPr>
          <w:p w:rsidR="00BA7363" w:rsidRPr="001F3536" w:rsidRDefault="00BA7363" w:rsidP="00DC03E9">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sz w:val="20"/>
                <w:lang w:val="en-US" w:eastAsia="zh-CN"/>
              </w:rPr>
            </w:pPr>
          </w:p>
        </w:tc>
        <w:tc>
          <w:tcPr>
            <w:tcW w:w="1559" w:type="dxa"/>
            <w:shd w:val="clear" w:color="auto" w:fill="D9D9D9"/>
            <w:noWrap/>
            <w:hideMark/>
          </w:tcPr>
          <w:p w:rsidR="00BA7363" w:rsidRPr="001F3536" w:rsidRDefault="00BA7363" w:rsidP="00DC03E9">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sz w:val="20"/>
                <w:lang w:val="en-US" w:eastAsia="zh-CN"/>
              </w:rPr>
            </w:pP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49ème session du Sous-Comité scientifique et technique du COPUOS (STS-49)</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13/2/12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13/2/12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Vienne</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 xml:space="preserve">UNIDROIT </w:t>
            </w:r>
            <w:r w:rsidR="009F15A6" w:rsidRPr="001F3536">
              <w:rPr>
                <w:rFonts w:asciiTheme="majorBidi" w:hAnsiTheme="majorBidi" w:cstheme="majorBidi"/>
                <w:sz w:val="20"/>
              </w:rPr>
              <w:t>–</w:t>
            </w:r>
            <w:r w:rsidRPr="001F3536">
              <w:rPr>
                <w:rFonts w:asciiTheme="majorBidi" w:hAnsiTheme="majorBidi" w:cstheme="majorBidi"/>
                <w:sz w:val="20"/>
              </w:rPr>
              <w:t xml:space="preserve"> Conférence diplomatique</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27/2/12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2/3/12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Berlin</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 xml:space="preserve">32ème session de la réunion </w:t>
            </w:r>
            <w:r w:rsidRPr="001F3536">
              <w:rPr>
                <w:rFonts w:asciiTheme="majorBidi" w:hAnsiTheme="majorBidi" w:cstheme="majorBidi"/>
                <w:sz w:val="20"/>
                <w:lang w:val="fr-CH"/>
              </w:rPr>
              <w:t>interinstitutions</w:t>
            </w:r>
            <w:r w:rsidRPr="001F3536">
              <w:rPr>
                <w:rFonts w:asciiTheme="majorBidi" w:hAnsiTheme="majorBidi" w:cstheme="majorBidi"/>
                <w:sz w:val="20"/>
              </w:rPr>
              <w:t xml:space="preserve"> sur les activités liées à l'espace extra atmosphérique </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7/3/12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9/3/12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Rome</w:t>
            </w:r>
          </w:p>
        </w:tc>
      </w:tr>
      <w:tr w:rsidR="00BA7363" w:rsidRPr="001F3536" w:rsidTr="00A13EEC">
        <w:trPr>
          <w:trHeight w:val="225"/>
        </w:trPr>
        <w:tc>
          <w:tcPr>
            <w:tcW w:w="5259" w:type="dxa"/>
            <w:shd w:val="clear" w:color="auto" w:fill="auto"/>
            <w:noWrap/>
            <w:hideMark/>
          </w:tcPr>
          <w:p w:rsidR="00BA7363" w:rsidRPr="001F3536" w:rsidRDefault="009F15A6" w:rsidP="00DC03E9">
            <w:pPr>
              <w:pStyle w:val="Tabletext"/>
              <w:rPr>
                <w:rFonts w:asciiTheme="majorBidi" w:hAnsiTheme="majorBidi" w:cstheme="majorBidi"/>
                <w:sz w:val="20"/>
                <w:lang w:val="fr-CH" w:eastAsia="zh-CN"/>
              </w:rPr>
            </w:pPr>
            <w:r w:rsidRPr="001F3536">
              <w:rPr>
                <w:rFonts w:asciiTheme="majorBidi" w:hAnsiTheme="majorBidi" w:cstheme="majorBidi"/>
                <w:sz w:val="20"/>
                <w:lang w:val="fr-CH" w:eastAsia="zh-CN"/>
              </w:rPr>
              <w:t xml:space="preserve">16ème session de l'OMI </w:t>
            </w:r>
            <w:r w:rsidR="00BA7363" w:rsidRPr="001F3536">
              <w:rPr>
                <w:rFonts w:asciiTheme="majorBidi" w:hAnsiTheme="majorBidi" w:cstheme="majorBidi"/>
                <w:sz w:val="20"/>
                <w:lang w:val="fr-CH" w:eastAsia="zh-CN"/>
              </w:rPr>
              <w:t>COMSAR</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12/3/12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16/3/12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Londres</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lang w:val="fr-CH" w:eastAsia="zh-CN"/>
              </w:rPr>
            </w:pPr>
            <w:r w:rsidRPr="001F3536">
              <w:rPr>
                <w:rFonts w:asciiTheme="majorBidi" w:hAnsiTheme="majorBidi" w:cstheme="majorBidi"/>
                <w:sz w:val="20"/>
                <w:lang w:val="fr-CH" w:eastAsia="zh-CN"/>
              </w:rPr>
              <w:t>26ème réunion du Groupe de travail F du Groupe d'experts des communications aéronautiques de l'OACI</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21/3/12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30/3/12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Montréal</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lang w:val="fr-CH" w:eastAsia="zh-CN"/>
              </w:rPr>
            </w:pPr>
            <w:r w:rsidRPr="001F3536">
              <w:rPr>
                <w:rFonts w:asciiTheme="majorBidi" w:hAnsiTheme="majorBidi" w:cstheme="majorBidi"/>
                <w:sz w:val="20"/>
                <w:lang w:val="fr-CH" w:eastAsia="zh-CN"/>
              </w:rPr>
              <w:t>51ème session du Sous-Comité juridique du COPUOS (19</w:t>
            </w:r>
            <w:r w:rsidRPr="001F3536">
              <w:rPr>
                <w:rFonts w:asciiTheme="majorBidi" w:hAnsiTheme="majorBidi" w:cstheme="majorBidi"/>
                <w:sz w:val="20"/>
                <w:lang w:val="fr-CH" w:eastAsia="zh-CN"/>
              </w:rPr>
              <w:noBreakHyphen/>
              <w:t>30 mars)</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26/3/12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28/3/12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Vienne</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lang w:val="fr-CH" w:eastAsia="zh-CN"/>
              </w:rPr>
            </w:pPr>
            <w:r w:rsidRPr="001F3536">
              <w:rPr>
                <w:rFonts w:asciiTheme="majorBidi" w:hAnsiTheme="majorBidi" w:cstheme="majorBidi"/>
                <w:sz w:val="20"/>
                <w:lang w:val="fr-CH" w:eastAsia="zh-CN"/>
              </w:rPr>
              <w:t>12ème réunion plénière annuelle du Groupe de travail des Nations Unies sur l'information géographique</w:t>
            </w:r>
            <w:r w:rsidRPr="001F3536">
              <w:rPr>
                <w:rFonts w:asciiTheme="majorBidi" w:hAnsiTheme="majorBidi" w:cstheme="majorBidi"/>
                <w:sz w:val="20"/>
                <w:lang w:val="fr-CH"/>
              </w:rPr>
              <w:t xml:space="preserve"> </w:t>
            </w:r>
            <w:r w:rsidRPr="001F3536">
              <w:rPr>
                <w:rFonts w:asciiTheme="majorBidi" w:hAnsiTheme="majorBidi" w:cstheme="majorBidi"/>
                <w:sz w:val="20"/>
                <w:lang w:val="fr-CH" w:eastAsia="zh-CN"/>
              </w:rPr>
              <w:t>(</w:t>
            </w:r>
            <w:bookmarkStart w:id="6" w:name="hit1"/>
            <w:bookmarkEnd w:id="6"/>
            <w:r w:rsidRPr="001F3536">
              <w:rPr>
                <w:rFonts w:asciiTheme="majorBidi" w:hAnsiTheme="majorBidi" w:cstheme="majorBidi"/>
                <w:sz w:val="20"/>
                <w:lang w:val="fr-CH" w:eastAsia="zh-CN"/>
              </w:rPr>
              <w:t>UNGIWG) (28-30 mars)</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29/3/12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30/3/12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Vienne</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lang w:val="fr-CH" w:eastAsia="zh-CN"/>
              </w:rPr>
            </w:pPr>
            <w:r w:rsidRPr="001F3536">
              <w:rPr>
                <w:rFonts w:asciiTheme="majorBidi" w:hAnsiTheme="majorBidi" w:cstheme="majorBidi"/>
                <w:sz w:val="20"/>
                <w:lang w:val="fr-CH" w:eastAsia="zh-CN"/>
              </w:rPr>
              <w:t>Conférence sur la sécurité spatiale de l'UNIDIR</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29/3/12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30/3/12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Genève</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lang w:val="fr-CH" w:eastAsia="zh-CN"/>
              </w:rPr>
            </w:pPr>
            <w:r w:rsidRPr="001F3536">
              <w:rPr>
                <w:rFonts w:asciiTheme="majorBidi" w:hAnsiTheme="majorBidi" w:cstheme="majorBidi"/>
                <w:sz w:val="20"/>
                <w:lang w:val="fr-CH" w:eastAsia="zh-CN"/>
              </w:rPr>
              <w:t>55ème session du COPUOS</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6/6/12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15/6/12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Vienne</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lang w:val="fr-CH" w:eastAsia="zh-CN"/>
              </w:rPr>
            </w:pPr>
            <w:r w:rsidRPr="001F3536">
              <w:rPr>
                <w:rFonts w:asciiTheme="majorBidi" w:hAnsiTheme="majorBidi" w:cstheme="majorBidi"/>
                <w:sz w:val="20"/>
                <w:lang w:val="fr-CH" w:eastAsia="zh-CN"/>
              </w:rPr>
              <w:t>Dialogue sur le développement durable</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16/6/12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19/6/12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Rio de Janeiro</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lang w:val="en-US" w:eastAsia="zh-CN"/>
              </w:rPr>
            </w:pPr>
            <w:r w:rsidRPr="001F3536">
              <w:rPr>
                <w:rFonts w:asciiTheme="majorBidi" w:hAnsiTheme="majorBidi" w:cstheme="majorBidi"/>
                <w:sz w:val="20"/>
                <w:lang w:val="fr-CH" w:eastAsia="zh-CN"/>
              </w:rPr>
              <w:t>Sommet</w:t>
            </w:r>
            <w:r w:rsidRPr="001F3536">
              <w:rPr>
                <w:rFonts w:asciiTheme="majorBidi" w:hAnsiTheme="majorBidi" w:cstheme="majorBidi"/>
                <w:sz w:val="20"/>
                <w:lang w:val="en-US" w:eastAsia="zh-CN"/>
              </w:rPr>
              <w:t xml:space="preserve"> Rio</w:t>
            </w:r>
            <w:r w:rsidR="009F15A6" w:rsidRPr="001F3536">
              <w:rPr>
                <w:rFonts w:asciiTheme="majorBidi" w:hAnsiTheme="majorBidi" w:cstheme="majorBidi"/>
                <w:sz w:val="20"/>
                <w:lang w:val="en-US" w:eastAsia="zh-CN"/>
              </w:rPr>
              <w:t xml:space="preserve"> </w:t>
            </w:r>
            <w:r w:rsidRPr="001F3536">
              <w:rPr>
                <w:rFonts w:asciiTheme="majorBidi" w:hAnsiTheme="majorBidi" w:cstheme="majorBidi"/>
                <w:sz w:val="20"/>
                <w:lang w:val="en-US" w:eastAsia="zh-CN"/>
              </w:rPr>
              <w:t>+</w:t>
            </w:r>
            <w:r w:rsidR="009F15A6" w:rsidRPr="001F3536">
              <w:rPr>
                <w:rFonts w:asciiTheme="majorBidi" w:hAnsiTheme="majorBidi" w:cstheme="majorBidi"/>
                <w:sz w:val="20"/>
                <w:lang w:val="en-US" w:eastAsia="zh-CN"/>
              </w:rPr>
              <w:t xml:space="preserve"> </w:t>
            </w:r>
            <w:r w:rsidRPr="001F3536">
              <w:rPr>
                <w:rFonts w:asciiTheme="majorBidi" w:hAnsiTheme="majorBidi" w:cstheme="majorBidi"/>
                <w:sz w:val="20"/>
                <w:lang w:val="en-US" w:eastAsia="zh-CN"/>
              </w:rPr>
              <w:t xml:space="preserve">20 </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20/6/12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22/6/12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Rio de Janeiro</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lang w:val="fr-CH" w:eastAsia="zh-CN"/>
              </w:rPr>
            </w:pPr>
            <w:r w:rsidRPr="001F3536">
              <w:rPr>
                <w:rFonts w:asciiTheme="majorBidi" w:hAnsiTheme="majorBidi" w:cstheme="majorBidi"/>
                <w:sz w:val="20"/>
                <w:lang w:val="fr-CH" w:eastAsia="zh-CN"/>
              </w:rPr>
              <w:t>27ème réunion du Groupe de travail F du Groupe d'experts des communications aéronautiques de l'OACI</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17/9/12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26/9/12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Montréal</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lang w:val="fr-CH" w:eastAsia="zh-CN"/>
              </w:rPr>
            </w:pPr>
            <w:r w:rsidRPr="001F3536">
              <w:rPr>
                <w:rFonts w:asciiTheme="majorBidi" w:hAnsiTheme="majorBidi" w:cstheme="majorBidi"/>
                <w:sz w:val="20"/>
                <w:lang w:val="fr-CH" w:eastAsia="zh-CN"/>
              </w:rPr>
              <w:t>8ème réunion du Groupe mixte d'experts de l'OMI/UIT</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8/10/12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12/10/12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Londres</w:t>
            </w:r>
          </w:p>
        </w:tc>
      </w:tr>
      <w:tr w:rsidR="00BA7363" w:rsidRPr="001F3536" w:rsidTr="00A13EEC">
        <w:trPr>
          <w:trHeight w:val="225"/>
        </w:trPr>
        <w:tc>
          <w:tcPr>
            <w:tcW w:w="5259" w:type="dxa"/>
            <w:tcBorders>
              <w:bottom w:val="single" w:sz="4" w:space="0" w:color="auto"/>
            </w:tcBorders>
            <w:shd w:val="clear" w:color="auto" w:fill="auto"/>
            <w:noWrap/>
            <w:hideMark/>
          </w:tcPr>
          <w:p w:rsidR="00BA7363" w:rsidRPr="001F3536" w:rsidRDefault="00BA7363" w:rsidP="00DC03E9">
            <w:pPr>
              <w:pStyle w:val="Tabletext"/>
              <w:rPr>
                <w:rFonts w:asciiTheme="majorBidi" w:hAnsiTheme="majorBidi" w:cstheme="majorBidi"/>
                <w:sz w:val="20"/>
                <w:lang w:val="fr-CH" w:eastAsia="zh-CN"/>
              </w:rPr>
            </w:pPr>
            <w:r w:rsidRPr="001F3536">
              <w:rPr>
                <w:rFonts w:asciiTheme="majorBidi" w:hAnsiTheme="majorBidi" w:cstheme="majorBidi"/>
                <w:sz w:val="20"/>
                <w:lang w:val="fr-CH" w:eastAsia="zh-CN"/>
              </w:rPr>
              <w:t xml:space="preserve">Colloque ONU/Japon sur les nano-satellites </w:t>
            </w:r>
          </w:p>
        </w:tc>
        <w:tc>
          <w:tcPr>
            <w:tcW w:w="1276" w:type="dxa"/>
            <w:tcBorders>
              <w:bottom w:val="single" w:sz="4" w:space="0" w:color="auto"/>
            </w:tcBorders>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10/10/12</w:t>
            </w:r>
          </w:p>
        </w:tc>
        <w:tc>
          <w:tcPr>
            <w:tcW w:w="1276" w:type="dxa"/>
            <w:tcBorders>
              <w:bottom w:val="single" w:sz="4" w:space="0" w:color="auto"/>
            </w:tcBorders>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13/10/12</w:t>
            </w:r>
          </w:p>
        </w:tc>
        <w:tc>
          <w:tcPr>
            <w:tcW w:w="1559" w:type="dxa"/>
            <w:tcBorders>
              <w:bottom w:val="single" w:sz="4" w:space="0" w:color="auto"/>
            </w:tcBorders>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Nagoya</w:t>
            </w:r>
          </w:p>
        </w:tc>
      </w:tr>
      <w:tr w:rsidR="00BA7363" w:rsidRPr="001F3536" w:rsidTr="00A13EEC">
        <w:trPr>
          <w:trHeight w:val="225"/>
        </w:trPr>
        <w:tc>
          <w:tcPr>
            <w:tcW w:w="5259" w:type="dxa"/>
            <w:tcBorders>
              <w:bottom w:val="single" w:sz="4" w:space="0" w:color="auto"/>
            </w:tcBorders>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 xml:space="preserve">OMM </w:t>
            </w:r>
            <w:r w:rsidR="002C0D5D" w:rsidRPr="001F3536">
              <w:rPr>
                <w:rFonts w:asciiTheme="majorBidi" w:hAnsiTheme="majorBidi" w:cstheme="majorBidi"/>
                <w:sz w:val="20"/>
              </w:rPr>
              <w:t>–</w:t>
            </w:r>
            <w:r w:rsidRPr="001F3536">
              <w:rPr>
                <w:rFonts w:asciiTheme="majorBidi" w:hAnsiTheme="majorBidi" w:cstheme="majorBidi"/>
                <w:sz w:val="20"/>
              </w:rPr>
              <w:t xml:space="preserve"> Dialogue entre utilisateurs et fournisseurs de services climatiques (GCS)</w:t>
            </w:r>
          </w:p>
        </w:tc>
        <w:tc>
          <w:tcPr>
            <w:tcW w:w="1276" w:type="dxa"/>
            <w:tcBorders>
              <w:bottom w:val="single" w:sz="4" w:space="0" w:color="auto"/>
            </w:tcBorders>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26/10/12</w:t>
            </w:r>
          </w:p>
        </w:tc>
        <w:tc>
          <w:tcPr>
            <w:tcW w:w="1276" w:type="dxa"/>
            <w:tcBorders>
              <w:bottom w:val="single" w:sz="4" w:space="0" w:color="auto"/>
            </w:tcBorders>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27/10/12</w:t>
            </w:r>
          </w:p>
        </w:tc>
        <w:tc>
          <w:tcPr>
            <w:tcW w:w="1559" w:type="dxa"/>
            <w:tcBorders>
              <w:bottom w:val="single" w:sz="4" w:space="0" w:color="auto"/>
            </w:tcBorders>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Genève</w:t>
            </w:r>
          </w:p>
        </w:tc>
      </w:tr>
      <w:tr w:rsidR="00BA7363" w:rsidRPr="001F3536" w:rsidTr="00A13EEC">
        <w:trPr>
          <w:trHeight w:val="225"/>
        </w:trPr>
        <w:tc>
          <w:tcPr>
            <w:tcW w:w="5259" w:type="dxa"/>
            <w:tcBorders>
              <w:bottom w:val="single" w:sz="4" w:space="0" w:color="auto"/>
            </w:tcBorders>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 xml:space="preserve">OMM </w:t>
            </w:r>
            <w:r w:rsidR="002C0D5D" w:rsidRPr="001F3536">
              <w:rPr>
                <w:rFonts w:asciiTheme="majorBidi" w:hAnsiTheme="majorBidi" w:cstheme="majorBidi"/>
                <w:sz w:val="20"/>
              </w:rPr>
              <w:t>–</w:t>
            </w:r>
            <w:r w:rsidRPr="001F3536">
              <w:rPr>
                <w:rFonts w:asciiTheme="majorBidi" w:hAnsiTheme="majorBidi" w:cstheme="majorBidi"/>
                <w:sz w:val="20"/>
              </w:rPr>
              <w:t xml:space="preserve"> Congrès météorologique mondial -session extraordinaire 2012 </w:t>
            </w:r>
          </w:p>
        </w:tc>
        <w:tc>
          <w:tcPr>
            <w:tcW w:w="1276" w:type="dxa"/>
            <w:tcBorders>
              <w:bottom w:val="single" w:sz="4" w:space="0" w:color="auto"/>
            </w:tcBorders>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29/10/12</w:t>
            </w:r>
          </w:p>
        </w:tc>
        <w:tc>
          <w:tcPr>
            <w:tcW w:w="1276" w:type="dxa"/>
            <w:tcBorders>
              <w:bottom w:val="single" w:sz="4" w:space="0" w:color="auto"/>
            </w:tcBorders>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31/10/12</w:t>
            </w:r>
          </w:p>
        </w:tc>
        <w:tc>
          <w:tcPr>
            <w:tcW w:w="1559" w:type="dxa"/>
            <w:tcBorders>
              <w:bottom w:val="single" w:sz="4" w:space="0" w:color="auto"/>
            </w:tcBorders>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Genève</w:t>
            </w:r>
          </w:p>
        </w:tc>
      </w:tr>
      <w:tr w:rsidR="00BA7363" w:rsidRPr="001F3536" w:rsidTr="00A13EEC">
        <w:trPr>
          <w:trHeight w:val="225"/>
        </w:trPr>
        <w:tc>
          <w:tcPr>
            <w:tcW w:w="5259" w:type="dxa"/>
            <w:tcBorders>
              <w:bottom w:val="single" w:sz="4" w:space="0" w:color="auto"/>
            </w:tcBorders>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Sessions de la Convention-cadre des Nations Unies sur les changements climatiques et Protocole de Kyoto</w:t>
            </w:r>
          </w:p>
        </w:tc>
        <w:tc>
          <w:tcPr>
            <w:tcW w:w="1276" w:type="dxa"/>
            <w:tcBorders>
              <w:bottom w:val="single" w:sz="4" w:space="0" w:color="auto"/>
            </w:tcBorders>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26/11/12</w:t>
            </w:r>
          </w:p>
        </w:tc>
        <w:tc>
          <w:tcPr>
            <w:tcW w:w="1276" w:type="dxa"/>
            <w:tcBorders>
              <w:bottom w:val="single" w:sz="4" w:space="0" w:color="auto"/>
            </w:tcBorders>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30/11/12</w:t>
            </w:r>
          </w:p>
        </w:tc>
        <w:tc>
          <w:tcPr>
            <w:tcW w:w="1559" w:type="dxa"/>
            <w:tcBorders>
              <w:bottom w:val="single" w:sz="4" w:space="0" w:color="auto"/>
            </w:tcBorders>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Doha</w:t>
            </w:r>
          </w:p>
        </w:tc>
      </w:tr>
      <w:tr w:rsidR="00DC03E9" w:rsidRPr="001F3536" w:rsidTr="00A13EEC">
        <w:trPr>
          <w:trHeight w:val="225"/>
        </w:trPr>
        <w:tc>
          <w:tcPr>
            <w:tcW w:w="5259" w:type="dxa"/>
            <w:shd w:val="clear" w:color="auto" w:fill="D9D9D9"/>
            <w:noWrap/>
            <w:hideMark/>
          </w:tcPr>
          <w:p w:rsidR="00BA7363" w:rsidRPr="001F3536" w:rsidRDefault="002C0D5D" w:rsidP="002C0D5D">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sz w:val="20"/>
                <w:lang w:val="en-US" w:eastAsia="zh-CN"/>
              </w:rPr>
            </w:pPr>
            <w:r w:rsidRPr="001F3536">
              <w:rPr>
                <w:rFonts w:asciiTheme="majorBidi" w:hAnsiTheme="majorBidi" w:cstheme="majorBidi"/>
                <w:b/>
                <w:bCs/>
                <w:sz w:val="20"/>
                <w:lang w:val="en-US" w:eastAsia="zh-CN"/>
              </w:rPr>
              <w:t>ORGANISATIONS RÉGIONALES DE TÉLÉCOMMUNICATION</w:t>
            </w:r>
          </w:p>
        </w:tc>
        <w:tc>
          <w:tcPr>
            <w:tcW w:w="1276" w:type="dxa"/>
            <w:shd w:val="clear" w:color="auto" w:fill="D9D9D9"/>
            <w:noWrap/>
            <w:hideMark/>
          </w:tcPr>
          <w:p w:rsidR="00BA7363" w:rsidRPr="001F3536" w:rsidRDefault="00BA7363" w:rsidP="00DC03E9">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sz w:val="20"/>
                <w:lang w:val="en-US" w:eastAsia="zh-CN"/>
              </w:rPr>
            </w:pPr>
          </w:p>
        </w:tc>
        <w:tc>
          <w:tcPr>
            <w:tcW w:w="1276" w:type="dxa"/>
            <w:shd w:val="clear" w:color="auto" w:fill="D9D9D9"/>
            <w:noWrap/>
            <w:hideMark/>
          </w:tcPr>
          <w:p w:rsidR="00BA7363" w:rsidRPr="001F3536" w:rsidRDefault="00BA7363" w:rsidP="00DC03E9">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sz w:val="20"/>
                <w:lang w:val="en-US" w:eastAsia="zh-CN"/>
              </w:rPr>
            </w:pPr>
          </w:p>
        </w:tc>
        <w:tc>
          <w:tcPr>
            <w:tcW w:w="1559" w:type="dxa"/>
            <w:shd w:val="clear" w:color="auto" w:fill="D9D9D9"/>
            <w:noWrap/>
            <w:hideMark/>
          </w:tcPr>
          <w:p w:rsidR="00BA7363" w:rsidRPr="001F3536" w:rsidRDefault="00BA7363" w:rsidP="00DC03E9">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sz w:val="20"/>
                <w:lang w:val="en-US" w:eastAsia="zh-CN"/>
              </w:rPr>
            </w:pP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2ème réunion du Groupe d</w:t>
            </w:r>
            <w:r w:rsidR="001F3536">
              <w:rPr>
                <w:rFonts w:asciiTheme="majorBidi" w:hAnsiTheme="majorBidi" w:cstheme="majorBidi"/>
                <w:sz w:val="20"/>
              </w:rPr>
              <w:t>u Forum maritime (ancien groupe </w:t>
            </w:r>
            <w:r w:rsidRPr="001F3536">
              <w:rPr>
                <w:rFonts w:asciiTheme="majorBidi" w:hAnsiTheme="majorBidi" w:cstheme="majorBidi"/>
                <w:sz w:val="20"/>
              </w:rPr>
              <w:t>FM46)</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7/3/12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8/3/12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Hambourg</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lang w:val="fr-CH" w:eastAsia="zh-CN"/>
              </w:rPr>
            </w:pPr>
            <w:r w:rsidRPr="001F3536">
              <w:rPr>
                <w:rFonts w:asciiTheme="majorBidi" w:hAnsiTheme="majorBidi" w:cstheme="majorBidi"/>
                <w:sz w:val="20"/>
                <w:lang w:val="fr-CH" w:eastAsia="zh-CN"/>
              </w:rPr>
              <w:t>3ème réunion de l'Equipe de projet 49 su</w:t>
            </w:r>
            <w:r w:rsidR="002C0D5D" w:rsidRPr="001F3536">
              <w:rPr>
                <w:rFonts w:asciiTheme="majorBidi" w:hAnsiTheme="majorBidi" w:cstheme="majorBidi"/>
                <w:sz w:val="20"/>
                <w:lang w:val="fr-CH" w:eastAsia="zh-CN"/>
              </w:rPr>
              <w:t>r la gestion des fréquences (FM</w:t>
            </w:r>
            <w:r w:rsidR="009F15A6" w:rsidRPr="001F3536">
              <w:rPr>
                <w:rFonts w:asciiTheme="majorBidi" w:hAnsiTheme="majorBidi" w:cstheme="majorBidi"/>
                <w:sz w:val="20"/>
                <w:lang w:val="fr-CH" w:eastAsia="zh-CN"/>
              </w:rPr>
              <w:t xml:space="preserve"> </w:t>
            </w:r>
            <w:r w:rsidRPr="001F3536">
              <w:rPr>
                <w:rFonts w:asciiTheme="majorBidi" w:hAnsiTheme="majorBidi" w:cstheme="majorBidi"/>
                <w:sz w:val="20"/>
                <w:lang w:val="fr-CH" w:eastAsia="zh-CN"/>
              </w:rPr>
              <w:t>PT 49)</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20/3/12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21/3/12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Copenhague</w:t>
            </w:r>
          </w:p>
        </w:tc>
      </w:tr>
      <w:tr w:rsidR="009F15A6" w:rsidRPr="001F3536" w:rsidTr="00A13EEC">
        <w:trPr>
          <w:trHeight w:val="225"/>
        </w:trPr>
        <w:tc>
          <w:tcPr>
            <w:tcW w:w="5259" w:type="dxa"/>
            <w:shd w:val="clear" w:color="auto" w:fill="auto"/>
            <w:noWrap/>
          </w:tcPr>
          <w:p w:rsidR="009F15A6" w:rsidRPr="001F3536" w:rsidRDefault="009F15A6" w:rsidP="00DC03E9">
            <w:pPr>
              <w:pStyle w:val="Tabletext"/>
              <w:rPr>
                <w:rFonts w:asciiTheme="majorBidi" w:hAnsiTheme="majorBidi" w:cstheme="majorBidi"/>
                <w:sz w:val="20"/>
                <w:lang w:val="fr-CH" w:eastAsia="zh-CN"/>
              </w:rPr>
            </w:pPr>
            <w:r w:rsidRPr="001F3536">
              <w:rPr>
                <w:rFonts w:asciiTheme="majorBidi" w:hAnsiTheme="majorBidi" w:cstheme="majorBidi"/>
                <w:sz w:val="20"/>
              </w:rPr>
              <w:t>Assemblée générale de l'ETSI</w:t>
            </w:r>
          </w:p>
        </w:tc>
        <w:tc>
          <w:tcPr>
            <w:tcW w:w="1276" w:type="dxa"/>
            <w:shd w:val="clear" w:color="auto" w:fill="auto"/>
            <w:noWrap/>
          </w:tcPr>
          <w:p w:rsidR="009F15A6" w:rsidRPr="001F3536" w:rsidRDefault="009F15A6" w:rsidP="00BE2445">
            <w:pPr>
              <w:pStyle w:val="Tabletext"/>
              <w:rPr>
                <w:rFonts w:asciiTheme="majorBidi" w:hAnsiTheme="majorBidi" w:cstheme="majorBidi"/>
                <w:sz w:val="20"/>
              </w:rPr>
            </w:pPr>
            <w:r w:rsidRPr="001F3536">
              <w:rPr>
                <w:rFonts w:asciiTheme="majorBidi" w:hAnsiTheme="majorBidi" w:cstheme="majorBidi"/>
                <w:sz w:val="20"/>
              </w:rPr>
              <w:t>20/3/12</w:t>
            </w:r>
          </w:p>
        </w:tc>
        <w:tc>
          <w:tcPr>
            <w:tcW w:w="1276" w:type="dxa"/>
            <w:shd w:val="clear" w:color="auto" w:fill="auto"/>
            <w:noWrap/>
          </w:tcPr>
          <w:p w:rsidR="009F15A6" w:rsidRPr="001F3536" w:rsidRDefault="009F15A6" w:rsidP="00BE2445">
            <w:pPr>
              <w:pStyle w:val="Tabletext"/>
              <w:rPr>
                <w:rFonts w:asciiTheme="majorBidi" w:hAnsiTheme="majorBidi" w:cstheme="majorBidi"/>
                <w:sz w:val="20"/>
              </w:rPr>
            </w:pPr>
            <w:r w:rsidRPr="001F3536">
              <w:rPr>
                <w:rFonts w:asciiTheme="majorBidi" w:hAnsiTheme="majorBidi" w:cstheme="majorBidi"/>
                <w:sz w:val="20"/>
              </w:rPr>
              <w:t>21/3/12</w:t>
            </w:r>
          </w:p>
        </w:tc>
        <w:tc>
          <w:tcPr>
            <w:tcW w:w="1559" w:type="dxa"/>
            <w:shd w:val="clear" w:color="auto" w:fill="auto"/>
            <w:noWrap/>
          </w:tcPr>
          <w:p w:rsidR="009F15A6" w:rsidRPr="001F3536" w:rsidRDefault="009F15A6" w:rsidP="00DC03E9">
            <w:pPr>
              <w:pStyle w:val="Tabletext"/>
              <w:rPr>
                <w:rFonts w:asciiTheme="majorBidi" w:hAnsiTheme="majorBidi" w:cstheme="majorBidi"/>
                <w:sz w:val="20"/>
              </w:rPr>
            </w:pPr>
            <w:r w:rsidRPr="001F3536">
              <w:rPr>
                <w:rFonts w:asciiTheme="majorBidi" w:hAnsiTheme="majorBidi" w:cstheme="majorBidi"/>
                <w:sz w:val="20"/>
              </w:rPr>
              <w:t>Cannes</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lang w:val="fr-CH" w:eastAsia="zh-CN"/>
              </w:rPr>
            </w:pPr>
            <w:r w:rsidRPr="001F3536">
              <w:rPr>
                <w:rFonts w:asciiTheme="majorBidi" w:hAnsiTheme="majorBidi" w:cstheme="majorBidi"/>
                <w:sz w:val="20"/>
                <w:lang w:val="fr-CH" w:eastAsia="zh-CN"/>
              </w:rPr>
              <w:t>Réunion régionale d'ANCOM sur l'harmonisation du spectre pour les communications mobiles</w:t>
            </w:r>
          </w:p>
        </w:tc>
        <w:tc>
          <w:tcPr>
            <w:tcW w:w="1276" w:type="dxa"/>
            <w:shd w:val="clear" w:color="auto" w:fill="auto"/>
            <w:noWrap/>
            <w:hideMark/>
          </w:tcPr>
          <w:p w:rsidR="00BA7363" w:rsidRPr="001F3536" w:rsidRDefault="00AF5ADE" w:rsidP="00DC03E9">
            <w:pPr>
              <w:pStyle w:val="Tabletext"/>
              <w:rPr>
                <w:rFonts w:asciiTheme="majorBidi" w:hAnsiTheme="majorBidi" w:cstheme="majorBidi"/>
                <w:sz w:val="20"/>
              </w:rPr>
            </w:pPr>
            <w:r w:rsidRPr="001F3536">
              <w:rPr>
                <w:rFonts w:asciiTheme="majorBidi" w:hAnsiTheme="majorBidi" w:cstheme="majorBidi"/>
                <w:sz w:val="20"/>
              </w:rPr>
              <w:t>29</w:t>
            </w:r>
            <w:r w:rsidR="00BA7363" w:rsidRPr="001F3536">
              <w:rPr>
                <w:rFonts w:asciiTheme="majorBidi" w:hAnsiTheme="majorBidi" w:cstheme="majorBidi"/>
                <w:sz w:val="20"/>
              </w:rPr>
              <w:t>/3/12</w:t>
            </w:r>
          </w:p>
        </w:tc>
        <w:tc>
          <w:tcPr>
            <w:tcW w:w="1276" w:type="dxa"/>
            <w:shd w:val="clear" w:color="auto" w:fill="auto"/>
            <w:noWrap/>
            <w:hideMark/>
          </w:tcPr>
          <w:p w:rsidR="00BA7363" w:rsidRPr="001F3536" w:rsidRDefault="00AF5ADE" w:rsidP="00DC03E9">
            <w:pPr>
              <w:pStyle w:val="Tabletext"/>
              <w:rPr>
                <w:rFonts w:asciiTheme="majorBidi" w:hAnsiTheme="majorBidi" w:cstheme="majorBidi"/>
                <w:sz w:val="20"/>
              </w:rPr>
            </w:pPr>
            <w:r w:rsidRPr="001F3536">
              <w:rPr>
                <w:rFonts w:asciiTheme="majorBidi" w:hAnsiTheme="majorBidi" w:cstheme="majorBidi"/>
                <w:sz w:val="20"/>
              </w:rPr>
              <w:t>30</w:t>
            </w:r>
            <w:r w:rsidR="00BA7363" w:rsidRPr="001F3536">
              <w:rPr>
                <w:rFonts w:asciiTheme="majorBidi" w:hAnsiTheme="majorBidi" w:cstheme="majorBidi"/>
                <w:sz w:val="20"/>
              </w:rPr>
              <w:t>/3/12</w:t>
            </w:r>
          </w:p>
        </w:tc>
        <w:tc>
          <w:tcPr>
            <w:tcW w:w="1559" w:type="dxa"/>
            <w:shd w:val="clear" w:color="auto" w:fill="auto"/>
            <w:noWrap/>
            <w:hideMark/>
          </w:tcPr>
          <w:p w:rsidR="00BA7363" w:rsidRPr="001F3536" w:rsidRDefault="00AF5ADE" w:rsidP="00DC03E9">
            <w:pPr>
              <w:pStyle w:val="Tabletext"/>
              <w:rPr>
                <w:rFonts w:asciiTheme="majorBidi" w:hAnsiTheme="majorBidi" w:cstheme="majorBidi"/>
                <w:sz w:val="20"/>
              </w:rPr>
            </w:pPr>
            <w:r w:rsidRPr="001F3536">
              <w:rPr>
                <w:rFonts w:asciiTheme="majorBidi" w:hAnsiTheme="majorBidi" w:cstheme="majorBidi"/>
                <w:sz w:val="20"/>
              </w:rPr>
              <w:t>Bucarest</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lang w:val="fr-CH" w:eastAsia="zh-CN"/>
              </w:rPr>
            </w:pPr>
            <w:r w:rsidRPr="001F3536">
              <w:rPr>
                <w:rFonts w:asciiTheme="majorBidi" w:hAnsiTheme="majorBidi" w:cstheme="majorBidi"/>
                <w:sz w:val="20"/>
                <w:lang w:val="fr-CH" w:eastAsia="zh-CN"/>
              </w:rPr>
              <w:t>12ème réunion du Groupe sur les communications hertziennes de l'APT (AWG-12)</w:t>
            </w:r>
          </w:p>
        </w:tc>
        <w:tc>
          <w:tcPr>
            <w:tcW w:w="1276" w:type="dxa"/>
            <w:shd w:val="clear" w:color="auto" w:fill="auto"/>
            <w:noWrap/>
            <w:hideMark/>
          </w:tcPr>
          <w:p w:rsidR="00BA7363" w:rsidRPr="001F3536" w:rsidRDefault="00AF5ADE" w:rsidP="00DC03E9">
            <w:pPr>
              <w:pStyle w:val="Tabletext"/>
              <w:rPr>
                <w:rFonts w:asciiTheme="majorBidi" w:hAnsiTheme="majorBidi" w:cstheme="majorBidi"/>
                <w:sz w:val="20"/>
              </w:rPr>
            </w:pPr>
            <w:r w:rsidRPr="001F3536">
              <w:rPr>
                <w:rFonts w:asciiTheme="majorBidi" w:hAnsiTheme="majorBidi" w:cstheme="majorBidi"/>
                <w:sz w:val="20"/>
              </w:rPr>
              <w:t>10/4/12</w:t>
            </w:r>
          </w:p>
        </w:tc>
        <w:tc>
          <w:tcPr>
            <w:tcW w:w="1276" w:type="dxa"/>
            <w:shd w:val="clear" w:color="auto" w:fill="auto"/>
            <w:noWrap/>
            <w:hideMark/>
          </w:tcPr>
          <w:p w:rsidR="00BA7363" w:rsidRPr="001F3536" w:rsidRDefault="00AF5ADE" w:rsidP="00DC03E9">
            <w:pPr>
              <w:pStyle w:val="Tabletext"/>
              <w:rPr>
                <w:rFonts w:asciiTheme="majorBidi" w:hAnsiTheme="majorBidi" w:cstheme="majorBidi"/>
                <w:sz w:val="20"/>
              </w:rPr>
            </w:pPr>
            <w:r w:rsidRPr="001F3536">
              <w:rPr>
                <w:rFonts w:asciiTheme="majorBidi" w:hAnsiTheme="majorBidi" w:cstheme="majorBidi"/>
                <w:sz w:val="20"/>
              </w:rPr>
              <w:t>13/4/12</w:t>
            </w:r>
          </w:p>
        </w:tc>
        <w:tc>
          <w:tcPr>
            <w:tcW w:w="1559" w:type="dxa"/>
            <w:shd w:val="clear" w:color="auto" w:fill="auto"/>
            <w:noWrap/>
            <w:hideMark/>
          </w:tcPr>
          <w:p w:rsidR="00BA7363" w:rsidRPr="001F3536" w:rsidRDefault="00AF5ADE" w:rsidP="00DC03E9">
            <w:pPr>
              <w:pStyle w:val="Tabletext"/>
              <w:rPr>
                <w:rFonts w:asciiTheme="majorBidi" w:hAnsiTheme="majorBidi" w:cstheme="majorBidi"/>
                <w:sz w:val="20"/>
              </w:rPr>
            </w:pPr>
            <w:r w:rsidRPr="001F3536">
              <w:rPr>
                <w:rFonts w:asciiTheme="majorBidi" w:hAnsiTheme="majorBidi" w:cstheme="majorBidi"/>
                <w:sz w:val="20"/>
              </w:rPr>
              <w:t>Xiamen</w:t>
            </w:r>
          </w:p>
        </w:tc>
      </w:tr>
      <w:tr w:rsidR="00AF5ADE" w:rsidRPr="001F3536" w:rsidTr="00A13EEC">
        <w:trPr>
          <w:trHeight w:val="225"/>
        </w:trPr>
        <w:tc>
          <w:tcPr>
            <w:tcW w:w="5259" w:type="dxa"/>
            <w:shd w:val="clear" w:color="auto" w:fill="auto"/>
            <w:noWrap/>
            <w:hideMark/>
          </w:tcPr>
          <w:p w:rsidR="00AF5ADE" w:rsidRPr="001F3536" w:rsidRDefault="00AF5ADE" w:rsidP="00DC03E9">
            <w:pPr>
              <w:pStyle w:val="Tabletext"/>
              <w:rPr>
                <w:rFonts w:asciiTheme="majorBidi" w:hAnsiTheme="majorBidi" w:cstheme="majorBidi"/>
                <w:sz w:val="20"/>
                <w:lang w:val="en-US" w:eastAsia="zh-CN"/>
              </w:rPr>
            </w:pPr>
            <w:r w:rsidRPr="001F3536">
              <w:rPr>
                <w:rFonts w:asciiTheme="majorBidi" w:hAnsiTheme="majorBidi" w:cstheme="majorBidi"/>
                <w:sz w:val="20"/>
                <w:lang w:val="fr-CH" w:eastAsia="zh-CN"/>
              </w:rPr>
              <w:t>Réunion</w:t>
            </w:r>
            <w:r w:rsidRPr="001F3536">
              <w:rPr>
                <w:rFonts w:asciiTheme="majorBidi" w:hAnsiTheme="majorBidi" w:cstheme="majorBidi"/>
                <w:sz w:val="20"/>
                <w:lang w:val="en-US" w:eastAsia="zh-CN"/>
              </w:rPr>
              <w:t xml:space="preserve"> CEPT/CPG </w:t>
            </w:r>
          </w:p>
        </w:tc>
        <w:tc>
          <w:tcPr>
            <w:tcW w:w="1276" w:type="dxa"/>
            <w:shd w:val="clear" w:color="auto" w:fill="auto"/>
            <w:noWrap/>
            <w:hideMark/>
          </w:tcPr>
          <w:p w:rsidR="00AF5ADE" w:rsidRPr="001F3536" w:rsidRDefault="00AF5ADE" w:rsidP="00BE2445">
            <w:pPr>
              <w:pStyle w:val="Tabletext"/>
              <w:rPr>
                <w:rFonts w:asciiTheme="majorBidi" w:hAnsiTheme="majorBidi" w:cstheme="majorBidi"/>
                <w:sz w:val="20"/>
              </w:rPr>
            </w:pPr>
            <w:r w:rsidRPr="001F3536">
              <w:rPr>
                <w:rFonts w:asciiTheme="majorBidi" w:hAnsiTheme="majorBidi" w:cstheme="majorBidi"/>
                <w:sz w:val="20"/>
              </w:rPr>
              <w:t>16/4/12</w:t>
            </w:r>
          </w:p>
        </w:tc>
        <w:tc>
          <w:tcPr>
            <w:tcW w:w="1276" w:type="dxa"/>
            <w:shd w:val="clear" w:color="auto" w:fill="auto"/>
            <w:noWrap/>
            <w:hideMark/>
          </w:tcPr>
          <w:p w:rsidR="00AF5ADE" w:rsidRPr="001F3536" w:rsidRDefault="00AF5ADE" w:rsidP="00BE2445">
            <w:pPr>
              <w:pStyle w:val="Tabletext"/>
              <w:rPr>
                <w:rFonts w:asciiTheme="majorBidi" w:hAnsiTheme="majorBidi" w:cstheme="majorBidi"/>
                <w:sz w:val="20"/>
              </w:rPr>
            </w:pPr>
            <w:r w:rsidRPr="001F3536">
              <w:rPr>
                <w:rFonts w:asciiTheme="majorBidi" w:hAnsiTheme="majorBidi" w:cstheme="majorBidi"/>
                <w:sz w:val="20"/>
              </w:rPr>
              <w:t>18/4/12</w:t>
            </w:r>
          </w:p>
        </w:tc>
        <w:tc>
          <w:tcPr>
            <w:tcW w:w="1559" w:type="dxa"/>
            <w:shd w:val="clear" w:color="auto" w:fill="auto"/>
            <w:noWrap/>
            <w:hideMark/>
          </w:tcPr>
          <w:p w:rsidR="00AF5ADE" w:rsidRPr="001F3536" w:rsidRDefault="00AF5ADE" w:rsidP="00DC03E9">
            <w:pPr>
              <w:pStyle w:val="Tabletext"/>
              <w:rPr>
                <w:rFonts w:asciiTheme="majorBidi" w:hAnsiTheme="majorBidi" w:cstheme="majorBidi"/>
                <w:sz w:val="20"/>
              </w:rPr>
            </w:pPr>
            <w:r w:rsidRPr="001F3536">
              <w:rPr>
                <w:rFonts w:asciiTheme="majorBidi" w:hAnsiTheme="majorBidi" w:cstheme="majorBidi"/>
                <w:sz w:val="20"/>
              </w:rPr>
              <w:t>Mainz</w:t>
            </w:r>
          </w:p>
        </w:tc>
      </w:tr>
      <w:tr w:rsidR="00AF5ADE" w:rsidRPr="001F3536" w:rsidTr="00A13EEC">
        <w:trPr>
          <w:trHeight w:val="225"/>
        </w:trPr>
        <w:tc>
          <w:tcPr>
            <w:tcW w:w="5259" w:type="dxa"/>
            <w:shd w:val="clear" w:color="auto" w:fill="auto"/>
            <w:noWrap/>
          </w:tcPr>
          <w:p w:rsidR="00AF5ADE" w:rsidRPr="001F3536" w:rsidRDefault="00AF5ADE" w:rsidP="00DC03E9">
            <w:pPr>
              <w:pStyle w:val="Tabletext"/>
              <w:rPr>
                <w:rFonts w:asciiTheme="majorBidi" w:hAnsiTheme="majorBidi" w:cstheme="majorBidi"/>
                <w:sz w:val="20"/>
                <w:lang w:val="fr-CH" w:eastAsia="zh-CN"/>
              </w:rPr>
            </w:pPr>
            <w:r w:rsidRPr="001F3536">
              <w:rPr>
                <w:rFonts w:asciiTheme="majorBidi" w:hAnsiTheme="majorBidi" w:cstheme="majorBidi"/>
                <w:sz w:val="20"/>
                <w:lang w:val="fr-CH" w:eastAsia="zh-CN"/>
              </w:rPr>
              <w:t>Conférence annuelle de l'Association des télécommunications des Iles du Pacifique (PITA)</w:t>
            </w:r>
          </w:p>
        </w:tc>
        <w:tc>
          <w:tcPr>
            <w:tcW w:w="1276" w:type="dxa"/>
            <w:shd w:val="clear" w:color="auto" w:fill="auto"/>
            <w:noWrap/>
          </w:tcPr>
          <w:p w:rsidR="00AF5ADE" w:rsidRPr="001F3536" w:rsidRDefault="00AF5ADE" w:rsidP="00BE2445">
            <w:pPr>
              <w:pStyle w:val="Tabletext"/>
              <w:rPr>
                <w:rFonts w:asciiTheme="majorBidi" w:hAnsiTheme="majorBidi" w:cstheme="majorBidi"/>
                <w:sz w:val="20"/>
              </w:rPr>
            </w:pPr>
            <w:r w:rsidRPr="001F3536">
              <w:rPr>
                <w:rFonts w:asciiTheme="majorBidi" w:hAnsiTheme="majorBidi" w:cstheme="majorBidi"/>
                <w:sz w:val="20"/>
              </w:rPr>
              <w:t>16/4/12</w:t>
            </w:r>
          </w:p>
        </w:tc>
        <w:tc>
          <w:tcPr>
            <w:tcW w:w="1276" w:type="dxa"/>
            <w:shd w:val="clear" w:color="auto" w:fill="auto"/>
            <w:noWrap/>
          </w:tcPr>
          <w:p w:rsidR="00AF5ADE" w:rsidRPr="001F3536" w:rsidRDefault="00AF5ADE" w:rsidP="00BE2445">
            <w:pPr>
              <w:pStyle w:val="Tabletext"/>
              <w:rPr>
                <w:rFonts w:asciiTheme="majorBidi" w:hAnsiTheme="majorBidi" w:cstheme="majorBidi"/>
                <w:sz w:val="20"/>
              </w:rPr>
            </w:pPr>
            <w:r w:rsidRPr="001F3536">
              <w:rPr>
                <w:rFonts w:asciiTheme="majorBidi" w:hAnsiTheme="majorBidi" w:cstheme="majorBidi"/>
                <w:sz w:val="20"/>
              </w:rPr>
              <w:t>20/4/12</w:t>
            </w:r>
          </w:p>
        </w:tc>
        <w:tc>
          <w:tcPr>
            <w:tcW w:w="1559" w:type="dxa"/>
            <w:shd w:val="clear" w:color="auto" w:fill="auto"/>
            <w:noWrap/>
          </w:tcPr>
          <w:p w:rsidR="00AF5ADE" w:rsidRPr="001F3536" w:rsidRDefault="00AF5ADE" w:rsidP="00DC03E9">
            <w:pPr>
              <w:pStyle w:val="Tabletext"/>
              <w:rPr>
                <w:rFonts w:asciiTheme="majorBidi" w:hAnsiTheme="majorBidi" w:cstheme="majorBidi"/>
                <w:sz w:val="20"/>
              </w:rPr>
            </w:pPr>
            <w:r w:rsidRPr="001F3536">
              <w:rPr>
                <w:rFonts w:asciiTheme="majorBidi" w:hAnsiTheme="majorBidi" w:cstheme="majorBidi"/>
                <w:sz w:val="20"/>
              </w:rPr>
              <w:t>Norfolk</w:t>
            </w:r>
          </w:p>
        </w:tc>
      </w:tr>
      <w:tr w:rsidR="00BA7363" w:rsidRPr="001F3536" w:rsidTr="00A13EEC">
        <w:trPr>
          <w:trHeight w:val="225"/>
        </w:trPr>
        <w:tc>
          <w:tcPr>
            <w:tcW w:w="5259" w:type="dxa"/>
            <w:shd w:val="clear" w:color="auto" w:fill="auto"/>
            <w:noWrap/>
            <w:hideMark/>
          </w:tcPr>
          <w:p w:rsidR="00BA7363" w:rsidRPr="001F3536" w:rsidRDefault="00AF5ADE" w:rsidP="001F3536">
            <w:pPr>
              <w:pStyle w:val="Tabletext"/>
              <w:keepNext/>
              <w:keepLines/>
              <w:rPr>
                <w:rFonts w:asciiTheme="majorBidi" w:hAnsiTheme="majorBidi" w:cstheme="majorBidi"/>
                <w:sz w:val="20"/>
                <w:lang w:val="fr-CH" w:eastAsia="zh-CN"/>
              </w:rPr>
            </w:pPr>
            <w:r w:rsidRPr="001F3536">
              <w:rPr>
                <w:rFonts w:asciiTheme="majorBidi" w:hAnsiTheme="majorBidi" w:cstheme="majorBidi"/>
                <w:sz w:val="20"/>
                <w:lang w:val="fr-CH" w:eastAsia="zh-CN"/>
              </w:rPr>
              <w:lastRenderedPageBreak/>
              <w:t>74ème réunion du Groupe de travail sur la gestion des fréquences (WGFM)</w:t>
            </w:r>
          </w:p>
        </w:tc>
        <w:tc>
          <w:tcPr>
            <w:tcW w:w="1276" w:type="dxa"/>
            <w:shd w:val="clear" w:color="auto" w:fill="auto"/>
            <w:noWrap/>
            <w:hideMark/>
          </w:tcPr>
          <w:p w:rsidR="00BA7363" w:rsidRPr="001F3536" w:rsidRDefault="00BA7363" w:rsidP="001F3536">
            <w:pPr>
              <w:pStyle w:val="Tabletext"/>
              <w:keepNext/>
              <w:keepLines/>
              <w:rPr>
                <w:rFonts w:asciiTheme="majorBidi" w:hAnsiTheme="majorBidi" w:cstheme="majorBidi"/>
                <w:sz w:val="20"/>
              </w:rPr>
            </w:pPr>
            <w:r w:rsidRPr="001F3536">
              <w:rPr>
                <w:rFonts w:asciiTheme="majorBidi" w:hAnsiTheme="majorBidi" w:cstheme="majorBidi"/>
                <w:sz w:val="20"/>
              </w:rPr>
              <w:t>23/4/12</w:t>
            </w:r>
          </w:p>
        </w:tc>
        <w:tc>
          <w:tcPr>
            <w:tcW w:w="1276" w:type="dxa"/>
            <w:shd w:val="clear" w:color="auto" w:fill="auto"/>
            <w:noWrap/>
            <w:hideMark/>
          </w:tcPr>
          <w:p w:rsidR="00BA7363" w:rsidRPr="001F3536" w:rsidRDefault="00BA7363" w:rsidP="001F3536">
            <w:pPr>
              <w:pStyle w:val="Tabletext"/>
              <w:keepNext/>
              <w:keepLines/>
              <w:rPr>
                <w:rFonts w:asciiTheme="majorBidi" w:hAnsiTheme="majorBidi" w:cstheme="majorBidi"/>
                <w:sz w:val="20"/>
              </w:rPr>
            </w:pPr>
            <w:r w:rsidRPr="001F3536">
              <w:rPr>
                <w:rFonts w:asciiTheme="majorBidi" w:hAnsiTheme="majorBidi" w:cstheme="majorBidi"/>
                <w:sz w:val="20"/>
              </w:rPr>
              <w:t>27/4/12</w:t>
            </w:r>
          </w:p>
        </w:tc>
        <w:tc>
          <w:tcPr>
            <w:tcW w:w="1559" w:type="dxa"/>
            <w:shd w:val="clear" w:color="auto" w:fill="auto"/>
            <w:noWrap/>
            <w:hideMark/>
          </w:tcPr>
          <w:p w:rsidR="00BA7363" w:rsidRPr="001F3536" w:rsidRDefault="00BA7363" w:rsidP="001F3536">
            <w:pPr>
              <w:pStyle w:val="Tabletext"/>
              <w:keepNext/>
              <w:keepLines/>
              <w:rPr>
                <w:rFonts w:asciiTheme="majorBidi" w:hAnsiTheme="majorBidi" w:cstheme="majorBidi"/>
                <w:sz w:val="20"/>
              </w:rPr>
            </w:pPr>
            <w:r w:rsidRPr="001F3536">
              <w:rPr>
                <w:rFonts w:asciiTheme="majorBidi" w:hAnsiTheme="majorBidi" w:cstheme="majorBidi"/>
                <w:sz w:val="20"/>
              </w:rPr>
              <w:t>Berne</w:t>
            </w:r>
          </w:p>
        </w:tc>
      </w:tr>
      <w:tr w:rsidR="00BA7363" w:rsidRPr="001F3536" w:rsidTr="00A13EEC">
        <w:trPr>
          <w:trHeight w:val="225"/>
        </w:trPr>
        <w:tc>
          <w:tcPr>
            <w:tcW w:w="5259" w:type="dxa"/>
            <w:shd w:val="clear" w:color="auto" w:fill="auto"/>
            <w:noWrap/>
            <w:hideMark/>
          </w:tcPr>
          <w:p w:rsidR="00BA7363" w:rsidRPr="001F3536" w:rsidRDefault="00AF5ADE" w:rsidP="00DC03E9">
            <w:pPr>
              <w:pStyle w:val="Tabletext"/>
              <w:rPr>
                <w:rFonts w:asciiTheme="majorBidi" w:hAnsiTheme="majorBidi" w:cstheme="majorBidi"/>
                <w:sz w:val="20"/>
                <w:lang w:val="fr-CH" w:eastAsia="zh-CN"/>
              </w:rPr>
            </w:pPr>
            <w:r w:rsidRPr="001F3536">
              <w:rPr>
                <w:rFonts w:asciiTheme="majorBidi" w:hAnsiTheme="majorBidi" w:cstheme="majorBidi"/>
                <w:sz w:val="20"/>
                <w:lang w:val="fr-CH" w:eastAsia="zh-CN"/>
              </w:rPr>
              <w:t>Atelier commun CEE/ETSI/COST-TERRA sur les systèmes de radiocommunication cognitifs</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2/5/12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3/5/12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Mainz</w:t>
            </w:r>
          </w:p>
        </w:tc>
      </w:tr>
      <w:tr w:rsidR="00BA7363" w:rsidRPr="001F3536" w:rsidTr="00A13EEC">
        <w:trPr>
          <w:trHeight w:val="225"/>
        </w:trPr>
        <w:tc>
          <w:tcPr>
            <w:tcW w:w="5259" w:type="dxa"/>
            <w:shd w:val="clear" w:color="auto" w:fill="auto"/>
            <w:noWrap/>
          </w:tcPr>
          <w:p w:rsidR="00BA7363" w:rsidRPr="001F3536" w:rsidRDefault="00AF5ADE" w:rsidP="00DC03E9">
            <w:pPr>
              <w:pStyle w:val="Tabletext"/>
              <w:rPr>
                <w:rFonts w:asciiTheme="majorBidi" w:hAnsiTheme="majorBidi" w:cstheme="majorBidi"/>
                <w:sz w:val="20"/>
                <w:lang w:val="fr-CH" w:eastAsia="zh-CN"/>
              </w:rPr>
            </w:pPr>
            <w:r w:rsidRPr="001F3536">
              <w:rPr>
                <w:rFonts w:asciiTheme="majorBidi" w:hAnsiTheme="majorBidi" w:cstheme="majorBidi"/>
                <w:sz w:val="20"/>
                <w:lang w:val="fr-CH" w:eastAsia="zh-CN"/>
              </w:rPr>
              <w:t>Groupe de travail de la RCC sur les travaux préparatoires en vue de la CMR-15</w:t>
            </w:r>
          </w:p>
        </w:tc>
        <w:tc>
          <w:tcPr>
            <w:tcW w:w="1276" w:type="dxa"/>
            <w:shd w:val="clear" w:color="auto" w:fill="auto"/>
            <w:noWrap/>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21/5/12</w:t>
            </w:r>
          </w:p>
        </w:tc>
        <w:tc>
          <w:tcPr>
            <w:tcW w:w="1276" w:type="dxa"/>
            <w:shd w:val="clear" w:color="auto" w:fill="auto"/>
            <w:noWrap/>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25/5/12</w:t>
            </w:r>
          </w:p>
        </w:tc>
        <w:tc>
          <w:tcPr>
            <w:tcW w:w="1559" w:type="dxa"/>
            <w:shd w:val="clear" w:color="auto" w:fill="auto"/>
            <w:noWrap/>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Moscou</w:t>
            </w:r>
          </w:p>
        </w:tc>
      </w:tr>
      <w:tr w:rsidR="00BA7363" w:rsidRPr="001F3536" w:rsidTr="00A13EEC">
        <w:trPr>
          <w:trHeight w:val="225"/>
        </w:trPr>
        <w:tc>
          <w:tcPr>
            <w:tcW w:w="5259" w:type="dxa"/>
            <w:shd w:val="clear" w:color="auto" w:fill="auto"/>
            <w:noWrap/>
            <w:hideMark/>
          </w:tcPr>
          <w:p w:rsidR="00BA7363" w:rsidRPr="001F3536" w:rsidRDefault="00AF5ADE" w:rsidP="00DC03E9">
            <w:pPr>
              <w:pStyle w:val="Tabletext"/>
              <w:rPr>
                <w:rFonts w:asciiTheme="majorBidi" w:hAnsiTheme="majorBidi" w:cstheme="majorBidi"/>
                <w:sz w:val="20"/>
                <w:lang w:val="fr-CH" w:eastAsia="zh-CN"/>
              </w:rPr>
            </w:pPr>
            <w:r w:rsidRPr="001F3536">
              <w:rPr>
                <w:rFonts w:asciiTheme="majorBidi" w:hAnsiTheme="majorBidi" w:cstheme="majorBidi"/>
                <w:sz w:val="20"/>
                <w:lang w:val="en-US" w:eastAsia="zh-CN"/>
              </w:rPr>
              <w:t>COSPAS SARSAT JC-26</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12/6/12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20/6/12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Montréal</w:t>
            </w:r>
          </w:p>
        </w:tc>
      </w:tr>
      <w:tr w:rsidR="00AF5ADE" w:rsidRPr="001F3536" w:rsidTr="00A13EEC">
        <w:trPr>
          <w:trHeight w:val="225"/>
        </w:trPr>
        <w:tc>
          <w:tcPr>
            <w:tcW w:w="5259" w:type="dxa"/>
            <w:shd w:val="clear" w:color="auto" w:fill="auto"/>
            <w:noWrap/>
          </w:tcPr>
          <w:p w:rsidR="00AF5ADE" w:rsidRPr="001F3536" w:rsidRDefault="00AF5ADE" w:rsidP="00DC03E9">
            <w:pPr>
              <w:pStyle w:val="Tabletext"/>
              <w:rPr>
                <w:rFonts w:asciiTheme="majorBidi" w:hAnsiTheme="majorBidi" w:cstheme="majorBidi"/>
                <w:sz w:val="20"/>
                <w:lang w:val="fr-CH" w:eastAsia="zh-CN"/>
              </w:rPr>
            </w:pPr>
            <w:r w:rsidRPr="001F3536">
              <w:rPr>
                <w:rFonts w:asciiTheme="majorBidi" w:hAnsiTheme="majorBidi" w:cstheme="majorBidi"/>
                <w:sz w:val="20"/>
                <w:lang w:val="fr-CH" w:eastAsia="zh-CN"/>
              </w:rPr>
              <w:t>CEPT/CEE GT FM PT 49 (PPDR) (Protection du public et secours en cas de catastrophe)</w:t>
            </w:r>
          </w:p>
        </w:tc>
        <w:tc>
          <w:tcPr>
            <w:tcW w:w="1276" w:type="dxa"/>
            <w:shd w:val="clear" w:color="auto" w:fill="auto"/>
            <w:noWrap/>
          </w:tcPr>
          <w:p w:rsidR="00AF5ADE" w:rsidRPr="001F3536" w:rsidRDefault="00AF5ADE" w:rsidP="00DC03E9">
            <w:pPr>
              <w:pStyle w:val="Tabletext"/>
              <w:rPr>
                <w:rFonts w:asciiTheme="majorBidi" w:hAnsiTheme="majorBidi" w:cstheme="majorBidi"/>
                <w:sz w:val="20"/>
              </w:rPr>
            </w:pPr>
            <w:r w:rsidRPr="001F3536">
              <w:rPr>
                <w:rFonts w:asciiTheme="majorBidi" w:hAnsiTheme="majorBidi" w:cstheme="majorBidi"/>
                <w:sz w:val="20"/>
              </w:rPr>
              <w:t>14/6/12</w:t>
            </w:r>
          </w:p>
        </w:tc>
        <w:tc>
          <w:tcPr>
            <w:tcW w:w="1276" w:type="dxa"/>
            <w:shd w:val="clear" w:color="auto" w:fill="auto"/>
            <w:noWrap/>
          </w:tcPr>
          <w:p w:rsidR="00AF5ADE" w:rsidRPr="001F3536" w:rsidRDefault="00AF5ADE" w:rsidP="00DC03E9">
            <w:pPr>
              <w:pStyle w:val="Tabletext"/>
              <w:rPr>
                <w:rFonts w:asciiTheme="majorBidi" w:hAnsiTheme="majorBidi" w:cstheme="majorBidi"/>
                <w:sz w:val="20"/>
              </w:rPr>
            </w:pPr>
            <w:r w:rsidRPr="001F3536">
              <w:rPr>
                <w:rFonts w:asciiTheme="majorBidi" w:hAnsiTheme="majorBidi" w:cstheme="majorBidi"/>
                <w:sz w:val="20"/>
              </w:rPr>
              <w:t>15/6/12</w:t>
            </w:r>
          </w:p>
        </w:tc>
        <w:tc>
          <w:tcPr>
            <w:tcW w:w="1559" w:type="dxa"/>
            <w:shd w:val="clear" w:color="auto" w:fill="auto"/>
            <w:noWrap/>
          </w:tcPr>
          <w:p w:rsidR="00AF5ADE" w:rsidRPr="001F3536" w:rsidRDefault="00AF5ADE" w:rsidP="00DC03E9">
            <w:pPr>
              <w:pStyle w:val="Tabletext"/>
              <w:rPr>
                <w:rFonts w:asciiTheme="majorBidi" w:hAnsiTheme="majorBidi" w:cstheme="majorBidi"/>
                <w:sz w:val="20"/>
              </w:rPr>
            </w:pPr>
            <w:r w:rsidRPr="001F3536">
              <w:rPr>
                <w:rFonts w:asciiTheme="majorBidi" w:hAnsiTheme="majorBidi" w:cstheme="majorBidi"/>
                <w:sz w:val="20"/>
              </w:rPr>
              <w:t>Allemagne</w:t>
            </w:r>
          </w:p>
        </w:tc>
      </w:tr>
      <w:tr w:rsidR="00BA7363" w:rsidRPr="001F3536" w:rsidTr="00A13EEC">
        <w:trPr>
          <w:trHeight w:val="225"/>
        </w:trPr>
        <w:tc>
          <w:tcPr>
            <w:tcW w:w="5259" w:type="dxa"/>
            <w:shd w:val="clear" w:color="auto" w:fill="auto"/>
            <w:noWrap/>
            <w:hideMark/>
          </w:tcPr>
          <w:p w:rsidR="00BA7363" w:rsidRPr="001F3536" w:rsidRDefault="009F15A6" w:rsidP="00DC03E9">
            <w:pPr>
              <w:pStyle w:val="Tabletext"/>
              <w:rPr>
                <w:rFonts w:asciiTheme="majorBidi" w:hAnsiTheme="majorBidi" w:cstheme="majorBidi"/>
                <w:sz w:val="20"/>
              </w:rPr>
            </w:pPr>
            <w:r w:rsidRPr="001F3536">
              <w:rPr>
                <w:rFonts w:asciiTheme="majorBidi" w:hAnsiTheme="majorBidi" w:cstheme="majorBidi"/>
                <w:sz w:val="20"/>
              </w:rPr>
              <w:t>XIXème</w:t>
            </w:r>
            <w:r w:rsidR="00BA7363" w:rsidRPr="001F3536">
              <w:rPr>
                <w:rFonts w:asciiTheme="majorBidi" w:hAnsiTheme="majorBidi" w:cstheme="majorBidi"/>
                <w:sz w:val="20"/>
              </w:rPr>
              <w:t xml:space="preserve"> réunion du CCP.II de la CITEL + Séminaire sur la CMR-12 +</w:t>
            </w:r>
            <w:r w:rsidR="002C0D5D" w:rsidRPr="001F3536">
              <w:rPr>
                <w:rFonts w:asciiTheme="majorBidi" w:hAnsiTheme="majorBidi" w:cstheme="majorBidi"/>
                <w:sz w:val="20"/>
              </w:rPr>
              <w:t xml:space="preserve"> </w:t>
            </w:r>
            <w:r w:rsidR="00BA7363" w:rsidRPr="001F3536">
              <w:rPr>
                <w:rFonts w:asciiTheme="majorBidi" w:hAnsiTheme="majorBidi" w:cstheme="majorBidi"/>
                <w:sz w:val="20"/>
              </w:rPr>
              <w:t>questions relatives aux satellites (3 juillet)</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2/7/12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6/7/12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Bucaramanga</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Réunion de la CITEL + Séminaire sur la CMR-12 +</w:t>
            </w:r>
            <w:r w:rsidR="002C0D5D" w:rsidRPr="001F3536">
              <w:rPr>
                <w:rFonts w:asciiTheme="majorBidi" w:hAnsiTheme="majorBidi" w:cstheme="majorBidi"/>
                <w:sz w:val="20"/>
              </w:rPr>
              <w:t xml:space="preserve"> </w:t>
            </w:r>
            <w:r w:rsidRPr="001F3536">
              <w:rPr>
                <w:rFonts w:asciiTheme="majorBidi" w:hAnsiTheme="majorBidi" w:cstheme="majorBidi"/>
                <w:sz w:val="20"/>
              </w:rPr>
              <w:t>questions relatives aux satellites (3 juillet)</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2/7/12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6/7/12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Bucaramanga</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Réunion du PTB de la CEPT</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3/9/12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5/9/12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Londres</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Réunion du PTA de la CEPT</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5/9/12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7/9/12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Londres</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Réunion de l'APT CPG en vue de la CMR-15 (APG15</w:t>
            </w:r>
            <w:r w:rsidRPr="001F3536">
              <w:rPr>
                <w:rFonts w:asciiTheme="majorBidi" w:hAnsiTheme="majorBidi" w:cstheme="majorBidi"/>
                <w:sz w:val="20"/>
              </w:rPr>
              <w:noBreakHyphen/>
              <w:t>1) &amp; AWG-13</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10/9/12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15/9/12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Danang (Viet Nam)</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 xml:space="preserve">Groupe de travail sur la gestion des fréquences </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24/9/12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28/9/12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Minsk</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4ème réunion du Groupe du Forum mari</w:t>
            </w:r>
            <w:r w:rsidR="002C0D5D" w:rsidRPr="001F3536">
              <w:rPr>
                <w:rFonts w:asciiTheme="majorBidi" w:hAnsiTheme="majorBidi" w:cstheme="majorBidi"/>
                <w:sz w:val="20"/>
              </w:rPr>
              <w:t>time (ancien </w:t>
            </w:r>
            <w:r w:rsidRPr="001F3536">
              <w:rPr>
                <w:rFonts w:asciiTheme="majorBidi" w:hAnsiTheme="majorBidi" w:cstheme="majorBidi"/>
                <w:sz w:val="20"/>
              </w:rPr>
              <w:t xml:space="preserve">groupe FM46) </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2/10/12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4/10/12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Malte</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 xml:space="preserve">5ème réunion de l'Equipe de projet 49 sur la gestion des fréquences (FM PT 49) de l'ECC </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16/10/12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17/10/12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Helsinki</w:t>
            </w:r>
          </w:p>
        </w:tc>
      </w:tr>
      <w:tr w:rsidR="00BA7363" w:rsidRPr="001F3536" w:rsidTr="00A13EEC">
        <w:trPr>
          <w:trHeight w:val="225"/>
        </w:trPr>
        <w:tc>
          <w:tcPr>
            <w:tcW w:w="5259" w:type="dxa"/>
            <w:shd w:val="clear" w:color="auto" w:fill="auto"/>
            <w:noWrap/>
            <w:hideMark/>
          </w:tcPr>
          <w:p w:rsidR="00BA7363" w:rsidRPr="001F3536" w:rsidRDefault="002C0D5D" w:rsidP="00DC03E9">
            <w:pPr>
              <w:pStyle w:val="Tabletext"/>
              <w:rPr>
                <w:rFonts w:asciiTheme="majorBidi" w:hAnsiTheme="majorBidi" w:cstheme="majorBidi"/>
                <w:sz w:val="20"/>
              </w:rPr>
            </w:pPr>
            <w:r w:rsidRPr="001F3536">
              <w:rPr>
                <w:rFonts w:asciiTheme="majorBidi" w:hAnsiTheme="majorBidi" w:cstheme="majorBidi"/>
                <w:sz w:val="20"/>
              </w:rPr>
              <w:t>XXème</w:t>
            </w:r>
            <w:r w:rsidR="00BA7363" w:rsidRPr="001F3536">
              <w:rPr>
                <w:rFonts w:asciiTheme="majorBidi" w:hAnsiTheme="majorBidi" w:cstheme="majorBidi"/>
                <w:sz w:val="20"/>
              </w:rPr>
              <w:t xml:space="preserve"> réunion du CCP.II de la CITEL </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22/10/12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27/10/12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 xml:space="preserve">Mexico </w:t>
            </w:r>
          </w:p>
        </w:tc>
      </w:tr>
      <w:tr w:rsidR="00BA7363" w:rsidRPr="001F3536" w:rsidTr="00A13EEC">
        <w:trPr>
          <w:trHeight w:val="225"/>
        </w:trPr>
        <w:tc>
          <w:tcPr>
            <w:tcW w:w="5259" w:type="dxa"/>
            <w:shd w:val="clear" w:color="auto" w:fill="auto"/>
            <w:noWrap/>
            <w:hideMark/>
          </w:tcPr>
          <w:p w:rsidR="00BA7363" w:rsidRPr="001F3536" w:rsidRDefault="002C0D5D" w:rsidP="00DC03E9">
            <w:pPr>
              <w:pStyle w:val="Tabletext"/>
              <w:rPr>
                <w:rFonts w:asciiTheme="majorBidi" w:hAnsiTheme="majorBidi" w:cstheme="majorBidi"/>
                <w:sz w:val="20"/>
              </w:rPr>
            </w:pPr>
            <w:r w:rsidRPr="001F3536">
              <w:rPr>
                <w:rFonts w:asciiTheme="majorBidi" w:hAnsiTheme="majorBidi" w:cstheme="majorBidi"/>
                <w:sz w:val="20"/>
              </w:rPr>
              <w:t>XXème</w:t>
            </w:r>
            <w:r w:rsidR="00BA7363" w:rsidRPr="001F3536">
              <w:rPr>
                <w:rFonts w:asciiTheme="majorBidi" w:hAnsiTheme="majorBidi" w:cstheme="majorBidi"/>
                <w:sz w:val="20"/>
              </w:rPr>
              <w:t xml:space="preserve"> réunion du CCP.II de la CITEL </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25/10/12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25/10/12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 xml:space="preserve">Mexico </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 xml:space="preserve">60ème réunion de l'Assemblée générale de l'ETSI </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13/11/12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14/11/12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Mandelieu</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Réunion du PTC de la CEPT</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11/12/12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13/12/12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Copenhague</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 xml:space="preserve">6ème réunion de l'Equipe de projet 49 sur la gestion des fréquences (FM PT 49) de l'ECC </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12/12/12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13/12/12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Biel</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 xml:space="preserve">Groupe de travail de la RCC sur les travaux préparatoires en vue de la CMR-15 </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17/12/12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21/12/12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Kiev</w:t>
            </w:r>
          </w:p>
        </w:tc>
      </w:tr>
      <w:tr w:rsidR="00DC03E9" w:rsidRPr="001F3536" w:rsidTr="00A13EEC">
        <w:trPr>
          <w:trHeight w:val="225"/>
        </w:trPr>
        <w:tc>
          <w:tcPr>
            <w:tcW w:w="5259" w:type="dxa"/>
            <w:shd w:val="clear" w:color="auto" w:fill="D9D9D9"/>
            <w:noWrap/>
            <w:hideMark/>
          </w:tcPr>
          <w:p w:rsidR="00BA7363" w:rsidRPr="001F3536" w:rsidRDefault="00BA7363" w:rsidP="00DC03E9">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sz w:val="20"/>
                <w:lang w:val="fr-CH" w:eastAsia="zh-CN"/>
              </w:rPr>
            </w:pPr>
            <w:r w:rsidRPr="001F3536">
              <w:rPr>
                <w:rFonts w:asciiTheme="majorBidi" w:hAnsiTheme="majorBidi" w:cstheme="majorBidi"/>
                <w:b/>
                <w:bCs/>
                <w:sz w:val="20"/>
                <w:lang w:val="fr-CH" w:eastAsia="zh-CN"/>
              </w:rPr>
              <w:t>CONFÉRENCES ET COLLOQUES NON ORGANISÉS PAR L'UIT</w:t>
            </w:r>
          </w:p>
        </w:tc>
        <w:tc>
          <w:tcPr>
            <w:tcW w:w="1276" w:type="dxa"/>
            <w:shd w:val="clear" w:color="auto" w:fill="D9D9D9"/>
            <w:noWrap/>
            <w:hideMark/>
          </w:tcPr>
          <w:p w:rsidR="00BA7363" w:rsidRPr="001F3536" w:rsidRDefault="00BA7363" w:rsidP="00DC03E9">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sz w:val="20"/>
                <w:lang w:val="fr-CH" w:eastAsia="zh-CN"/>
              </w:rPr>
            </w:pPr>
          </w:p>
        </w:tc>
        <w:tc>
          <w:tcPr>
            <w:tcW w:w="1276" w:type="dxa"/>
            <w:shd w:val="clear" w:color="auto" w:fill="D9D9D9"/>
            <w:noWrap/>
            <w:hideMark/>
          </w:tcPr>
          <w:p w:rsidR="00BA7363" w:rsidRPr="001F3536" w:rsidRDefault="00BA7363" w:rsidP="00DC03E9">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sz w:val="20"/>
                <w:lang w:val="fr-CH" w:eastAsia="zh-CN"/>
              </w:rPr>
            </w:pPr>
          </w:p>
        </w:tc>
        <w:tc>
          <w:tcPr>
            <w:tcW w:w="1559" w:type="dxa"/>
            <w:shd w:val="clear" w:color="auto" w:fill="D9D9D9"/>
            <w:noWrap/>
            <w:hideMark/>
          </w:tcPr>
          <w:p w:rsidR="00BA7363" w:rsidRPr="001F3536" w:rsidRDefault="00BA7363" w:rsidP="00DC03E9">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sz w:val="20"/>
                <w:lang w:val="fr-CH" w:eastAsia="zh-CN"/>
              </w:rPr>
            </w:pP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lang w:val="fr-CH" w:eastAsia="zh-CN"/>
              </w:rPr>
            </w:pPr>
            <w:r w:rsidRPr="001F3536">
              <w:rPr>
                <w:rFonts w:asciiTheme="majorBidi" w:hAnsiTheme="majorBidi" w:cstheme="majorBidi"/>
                <w:sz w:val="20"/>
                <w:lang w:val="fr-CH" w:eastAsia="zh-CN"/>
              </w:rPr>
              <w:t xml:space="preserve">Réunions de coordination ABU-HFC et HFCC/ASBU </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9/1/12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13/1/12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Kuala Lumpur</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lang w:val="fr-CH" w:eastAsia="zh-CN"/>
              </w:rPr>
            </w:pPr>
            <w:r w:rsidRPr="001F3536">
              <w:rPr>
                <w:rFonts w:asciiTheme="majorBidi" w:hAnsiTheme="majorBidi" w:cstheme="majorBidi"/>
                <w:sz w:val="20"/>
                <w:lang w:val="fr-CH" w:eastAsia="zh-CN"/>
              </w:rPr>
              <w:t>Congrès mondial 2012 sur la téléphonie mobile de la GSMA – Programme ministériel</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27/2/12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1/3/12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Barcelone</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lang w:val="en-US" w:eastAsia="zh-CN"/>
              </w:rPr>
            </w:pPr>
            <w:r w:rsidRPr="001F3536">
              <w:rPr>
                <w:rFonts w:asciiTheme="majorBidi" w:hAnsiTheme="majorBidi" w:cstheme="majorBidi"/>
                <w:sz w:val="20"/>
                <w:lang w:val="en-US" w:eastAsia="zh-CN"/>
              </w:rPr>
              <w:t>Salon CABSAT &amp; Satellite MENA</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29/2/12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29/2/12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Dubaï</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lang w:val="fr-CH" w:eastAsia="zh-CN"/>
              </w:rPr>
            </w:pPr>
            <w:r w:rsidRPr="001F3536">
              <w:rPr>
                <w:rFonts w:asciiTheme="majorBidi" w:hAnsiTheme="majorBidi" w:cstheme="majorBidi"/>
                <w:sz w:val="20"/>
                <w:lang w:val="fr-CH" w:eastAsia="zh-CN"/>
              </w:rPr>
              <w:t xml:space="preserve">Conférence sur le spectre dynamique </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7/3/12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7/3/12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Bruxelles</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lang w:val="en-US" w:eastAsia="zh-CN"/>
              </w:rPr>
            </w:pPr>
            <w:r w:rsidRPr="001F3536">
              <w:rPr>
                <w:rFonts w:asciiTheme="majorBidi" w:hAnsiTheme="majorBidi" w:cstheme="majorBidi"/>
                <w:sz w:val="20"/>
                <w:lang w:val="en-US" w:eastAsia="zh-CN"/>
              </w:rPr>
              <w:t xml:space="preserve">Satellite 2012 </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12/3/12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15/3/12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Washington</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lang w:val="fr-CH" w:eastAsia="zh-CN"/>
              </w:rPr>
            </w:pPr>
            <w:r w:rsidRPr="001F3536">
              <w:rPr>
                <w:rFonts w:asciiTheme="majorBidi" w:hAnsiTheme="majorBidi" w:cstheme="majorBidi"/>
                <w:sz w:val="20"/>
                <w:lang w:val="fr-CH" w:eastAsia="zh-CN"/>
              </w:rPr>
              <w:t>Sommet de la navigation par satellite de Munich – GNSS</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13/3/12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15/3/12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Munich</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lang w:val="fr-CH" w:eastAsia="zh-CN"/>
              </w:rPr>
            </w:pPr>
            <w:r w:rsidRPr="001F3536">
              <w:rPr>
                <w:rFonts w:asciiTheme="majorBidi" w:hAnsiTheme="majorBidi" w:cstheme="majorBidi"/>
                <w:sz w:val="20"/>
                <w:lang w:val="fr-CH" w:eastAsia="zh-CN"/>
              </w:rPr>
              <w:t>Colloque sur les radiocommunications</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12/3/12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12/3/12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Tokyo</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lang w:val="en-US" w:eastAsia="zh-CN"/>
              </w:rPr>
            </w:pPr>
            <w:r w:rsidRPr="001F3536">
              <w:rPr>
                <w:rFonts w:asciiTheme="majorBidi" w:hAnsiTheme="majorBidi" w:cstheme="majorBidi"/>
                <w:sz w:val="20"/>
                <w:lang w:val="fr-CH" w:eastAsia="zh-CN"/>
              </w:rPr>
              <w:t>Réunion</w:t>
            </w:r>
            <w:r w:rsidRPr="001F3536">
              <w:rPr>
                <w:rFonts w:asciiTheme="majorBidi" w:hAnsiTheme="majorBidi" w:cstheme="majorBidi"/>
                <w:sz w:val="20"/>
                <w:lang w:val="en-US" w:eastAsia="zh-CN"/>
              </w:rPr>
              <w:t xml:space="preserve"> du CJK </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14/3/12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16/3/12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Miyazaki</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lang w:val="fr-CH" w:eastAsia="zh-CN"/>
              </w:rPr>
            </w:pPr>
            <w:r w:rsidRPr="001F3536">
              <w:rPr>
                <w:rFonts w:asciiTheme="majorBidi" w:hAnsiTheme="majorBidi" w:cstheme="majorBidi"/>
                <w:sz w:val="20"/>
                <w:lang w:val="fr-CH" w:eastAsia="zh-CN"/>
              </w:rPr>
              <w:t xml:space="preserve">8ème </w:t>
            </w:r>
            <w:r w:rsidRPr="001F3536">
              <w:rPr>
                <w:rFonts w:asciiTheme="majorBidi" w:hAnsiTheme="majorBidi" w:cstheme="majorBidi"/>
                <w:sz w:val="20"/>
              </w:rPr>
              <w:t xml:space="preserve">Conférence </w:t>
            </w:r>
            <w:r w:rsidRPr="001F3536">
              <w:rPr>
                <w:rFonts w:asciiTheme="majorBidi" w:hAnsiTheme="majorBidi" w:cstheme="majorBidi"/>
                <w:sz w:val="20"/>
                <w:lang w:val="fr-CH" w:eastAsia="zh-CN"/>
              </w:rPr>
              <w:t>professionnelle annuelle CERD 2012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15/3/12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16/3/12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Bratislava</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lang w:val="fr-CH" w:eastAsia="zh-CN"/>
              </w:rPr>
            </w:pPr>
            <w:r w:rsidRPr="001F3536">
              <w:rPr>
                <w:rFonts w:asciiTheme="majorBidi" w:hAnsiTheme="majorBidi" w:cstheme="majorBidi"/>
                <w:sz w:val="20"/>
                <w:lang w:val="fr-CH" w:eastAsia="zh-CN"/>
              </w:rPr>
              <w:t>Conférence sur le spectre pour le Moyen</w:t>
            </w:r>
            <w:r w:rsidRPr="001F3536">
              <w:rPr>
                <w:rFonts w:asciiTheme="majorBidi" w:hAnsiTheme="majorBidi" w:cstheme="majorBidi"/>
                <w:sz w:val="20"/>
                <w:lang w:val="fr-CH" w:eastAsia="zh-CN"/>
              </w:rPr>
              <w:noBreakHyphen/>
              <w:t>Orient</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20/3/12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21/3/12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Bahreïn</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lang w:val="fr-CH" w:eastAsia="zh-CN"/>
              </w:rPr>
            </w:pPr>
            <w:r w:rsidRPr="001F3536">
              <w:rPr>
                <w:rFonts w:asciiTheme="majorBidi" w:hAnsiTheme="majorBidi" w:cstheme="majorBidi"/>
                <w:sz w:val="20"/>
                <w:lang w:val="fr-CH" w:eastAsia="zh-CN"/>
              </w:rPr>
              <w:t>Colloque annuel du Journal de régulation</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22/3/12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22/3/12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Paris</w:t>
            </w:r>
          </w:p>
        </w:tc>
      </w:tr>
      <w:tr w:rsidR="00A13EEC" w:rsidRPr="001F3536" w:rsidTr="00A13EEC">
        <w:trPr>
          <w:trHeight w:val="225"/>
        </w:trPr>
        <w:tc>
          <w:tcPr>
            <w:tcW w:w="5259" w:type="dxa"/>
            <w:shd w:val="clear" w:color="auto" w:fill="auto"/>
            <w:noWrap/>
          </w:tcPr>
          <w:p w:rsidR="00A13EEC" w:rsidRPr="001F3536" w:rsidRDefault="00A13EEC" w:rsidP="00DC03E9">
            <w:pPr>
              <w:pStyle w:val="Tabletext"/>
              <w:rPr>
                <w:rFonts w:asciiTheme="majorBidi" w:hAnsiTheme="majorBidi" w:cstheme="majorBidi"/>
                <w:sz w:val="20"/>
                <w:lang w:val="fr-CH" w:eastAsia="zh-CN"/>
              </w:rPr>
            </w:pPr>
            <w:r w:rsidRPr="001F3536">
              <w:rPr>
                <w:rFonts w:asciiTheme="majorBidi" w:hAnsiTheme="majorBidi" w:cstheme="majorBidi"/>
                <w:sz w:val="20"/>
                <w:lang w:val="fr-CH" w:eastAsia="zh-CN"/>
              </w:rPr>
              <w:t>2ème Séminaire sur la gestion du spectre pour les Caraïbes: passage au numérique</w:t>
            </w:r>
          </w:p>
        </w:tc>
        <w:tc>
          <w:tcPr>
            <w:tcW w:w="1276" w:type="dxa"/>
            <w:shd w:val="clear" w:color="auto" w:fill="auto"/>
            <w:noWrap/>
          </w:tcPr>
          <w:p w:rsidR="00A13EEC" w:rsidRPr="001F3536" w:rsidRDefault="00A13EEC" w:rsidP="00BE2445">
            <w:pPr>
              <w:pStyle w:val="Tabletext"/>
              <w:rPr>
                <w:sz w:val="20"/>
                <w:lang w:val="en-US"/>
              </w:rPr>
            </w:pPr>
            <w:r w:rsidRPr="001F3536">
              <w:rPr>
                <w:sz w:val="20"/>
                <w:lang w:val="en-US"/>
              </w:rPr>
              <w:t>2/4/12</w:t>
            </w:r>
          </w:p>
        </w:tc>
        <w:tc>
          <w:tcPr>
            <w:tcW w:w="1276" w:type="dxa"/>
            <w:shd w:val="clear" w:color="auto" w:fill="auto"/>
            <w:noWrap/>
          </w:tcPr>
          <w:p w:rsidR="00A13EEC" w:rsidRPr="001F3536" w:rsidRDefault="00A13EEC" w:rsidP="00BE2445">
            <w:pPr>
              <w:pStyle w:val="Tabletext"/>
              <w:rPr>
                <w:sz w:val="20"/>
                <w:lang w:val="en-US"/>
              </w:rPr>
            </w:pPr>
            <w:r w:rsidRPr="001F3536">
              <w:rPr>
                <w:sz w:val="20"/>
                <w:lang w:val="en-US"/>
              </w:rPr>
              <w:t>3/4/12</w:t>
            </w:r>
          </w:p>
        </w:tc>
        <w:tc>
          <w:tcPr>
            <w:tcW w:w="1559" w:type="dxa"/>
            <w:shd w:val="clear" w:color="auto" w:fill="auto"/>
            <w:noWrap/>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Port of Spain</w:t>
            </w:r>
          </w:p>
        </w:tc>
      </w:tr>
      <w:tr w:rsidR="00A13EEC" w:rsidRPr="001F3536" w:rsidTr="00A13EEC">
        <w:trPr>
          <w:trHeight w:val="225"/>
        </w:trPr>
        <w:tc>
          <w:tcPr>
            <w:tcW w:w="5259" w:type="dxa"/>
            <w:shd w:val="clear" w:color="auto" w:fill="auto"/>
            <w:noWrap/>
          </w:tcPr>
          <w:p w:rsidR="00A13EEC" w:rsidRPr="001F3536" w:rsidRDefault="00A13EEC" w:rsidP="001F3536">
            <w:pPr>
              <w:pStyle w:val="Tabletext"/>
              <w:keepNext/>
              <w:keepLines/>
              <w:rPr>
                <w:rFonts w:asciiTheme="majorBidi" w:hAnsiTheme="majorBidi" w:cstheme="majorBidi"/>
                <w:sz w:val="20"/>
                <w:lang w:val="fr-CH" w:eastAsia="zh-CN"/>
              </w:rPr>
            </w:pPr>
            <w:r w:rsidRPr="001F3536">
              <w:rPr>
                <w:rFonts w:asciiTheme="majorBidi" w:hAnsiTheme="majorBidi" w:cstheme="majorBidi"/>
                <w:sz w:val="20"/>
                <w:lang w:val="fr-CH" w:eastAsia="zh-CN"/>
              </w:rPr>
              <w:lastRenderedPageBreak/>
              <w:t>Conférence 2012 sur le spectre radioélectrique pour la région Asie-Pacifique</w:t>
            </w:r>
          </w:p>
        </w:tc>
        <w:tc>
          <w:tcPr>
            <w:tcW w:w="1276" w:type="dxa"/>
            <w:shd w:val="clear" w:color="auto" w:fill="auto"/>
            <w:noWrap/>
          </w:tcPr>
          <w:p w:rsidR="00A13EEC" w:rsidRPr="001F3536" w:rsidRDefault="00A13EEC" w:rsidP="001F3536">
            <w:pPr>
              <w:pStyle w:val="Tabletext"/>
              <w:keepNext/>
              <w:keepLines/>
              <w:rPr>
                <w:sz w:val="20"/>
                <w:lang w:val="en-US"/>
              </w:rPr>
            </w:pPr>
            <w:r w:rsidRPr="001F3536">
              <w:rPr>
                <w:sz w:val="20"/>
                <w:lang w:val="en-US"/>
              </w:rPr>
              <w:t>12/4/12</w:t>
            </w:r>
          </w:p>
        </w:tc>
        <w:tc>
          <w:tcPr>
            <w:tcW w:w="1276" w:type="dxa"/>
            <w:shd w:val="clear" w:color="auto" w:fill="auto"/>
            <w:noWrap/>
          </w:tcPr>
          <w:p w:rsidR="00A13EEC" w:rsidRPr="001F3536" w:rsidRDefault="00A13EEC" w:rsidP="001F3536">
            <w:pPr>
              <w:pStyle w:val="Tabletext"/>
              <w:keepNext/>
              <w:keepLines/>
              <w:rPr>
                <w:sz w:val="20"/>
                <w:lang w:val="en-US"/>
              </w:rPr>
            </w:pPr>
            <w:r w:rsidRPr="001F3536">
              <w:rPr>
                <w:sz w:val="20"/>
                <w:lang w:val="en-US"/>
              </w:rPr>
              <w:t>13/4/12</w:t>
            </w:r>
          </w:p>
        </w:tc>
        <w:tc>
          <w:tcPr>
            <w:tcW w:w="1559" w:type="dxa"/>
            <w:shd w:val="clear" w:color="auto" w:fill="auto"/>
            <w:noWrap/>
          </w:tcPr>
          <w:p w:rsidR="00A13EEC" w:rsidRPr="001F3536" w:rsidRDefault="00A13EEC" w:rsidP="001F3536">
            <w:pPr>
              <w:keepNext/>
              <w:keepLines/>
              <w:spacing w:before="40" w:after="40"/>
              <w:rPr>
                <w:rFonts w:asciiTheme="majorBidi" w:hAnsiTheme="majorBidi" w:cstheme="majorBidi"/>
                <w:sz w:val="20"/>
              </w:rPr>
            </w:pPr>
            <w:r w:rsidRPr="001F3536">
              <w:rPr>
                <w:rFonts w:asciiTheme="majorBidi" w:hAnsiTheme="majorBidi" w:cstheme="majorBidi"/>
                <w:sz w:val="20"/>
              </w:rPr>
              <w:t>Hong Kong</w:t>
            </w:r>
          </w:p>
        </w:tc>
      </w:tr>
      <w:tr w:rsidR="00A13EEC" w:rsidRPr="001F3536" w:rsidTr="00A13EEC">
        <w:trPr>
          <w:trHeight w:val="225"/>
        </w:trPr>
        <w:tc>
          <w:tcPr>
            <w:tcW w:w="5259" w:type="dxa"/>
            <w:shd w:val="clear" w:color="auto" w:fill="auto"/>
            <w:noWrap/>
          </w:tcPr>
          <w:p w:rsidR="00A13EEC" w:rsidRPr="001F3536" w:rsidRDefault="00A13EEC" w:rsidP="00DC03E9">
            <w:pPr>
              <w:pStyle w:val="Tabletext"/>
              <w:rPr>
                <w:rFonts w:asciiTheme="majorBidi" w:hAnsiTheme="majorBidi" w:cstheme="majorBidi"/>
                <w:sz w:val="20"/>
                <w:lang w:val="fr-CH" w:eastAsia="zh-CN"/>
              </w:rPr>
            </w:pPr>
            <w:r w:rsidRPr="001F3536">
              <w:rPr>
                <w:rFonts w:asciiTheme="majorBidi" w:hAnsiTheme="majorBidi" w:cstheme="majorBidi"/>
                <w:sz w:val="20"/>
                <w:lang w:val="fr-CH" w:eastAsia="zh-CN"/>
              </w:rPr>
              <w:t>Conférence sur la télévision</w:t>
            </w:r>
            <w:r w:rsidR="001F3536">
              <w:rPr>
                <w:rFonts w:asciiTheme="majorBidi" w:hAnsiTheme="majorBidi" w:cstheme="majorBidi"/>
                <w:sz w:val="20"/>
                <w:lang w:val="fr-CH" w:eastAsia="zh-CN"/>
              </w:rPr>
              <w:t xml:space="preserve"> numérique pour l'Europe du Sud</w:t>
            </w:r>
            <w:r w:rsidR="001F3536">
              <w:rPr>
                <w:rFonts w:asciiTheme="majorBidi" w:hAnsiTheme="majorBidi" w:cstheme="majorBidi"/>
                <w:sz w:val="20"/>
                <w:lang w:val="fr-CH" w:eastAsia="zh-CN"/>
              </w:rPr>
              <w:noBreakHyphen/>
            </w:r>
            <w:r w:rsidRPr="001F3536">
              <w:rPr>
                <w:rFonts w:asciiTheme="majorBidi" w:hAnsiTheme="majorBidi" w:cstheme="majorBidi"/>
                <w:sz w:val="20"/>
                <w:lang w:val="fr-CH" w:eastAsia="zh-CN"/>
              </w:rPr>
              <w:t>Est (digi-TV)</w:t>
            </w:r>
          </w:p>
        </w:tc>
        <w:tc>
          <w:tcPr>
            <w:tcW w:w="1276" w:type="dxa"/>
            <w:shd w:val="clear" w:color="auto" w:fill="auto"/>
            <w:noWrap/>
          </w:tcPr>
          <w:p w:rsidR="00A13EEC" w:rsidRPr="001F3536" w:rsidRDefault="00A13EEC" w:rsidP="00BE2445">
            <w:pPr>
              <w:pStyle w:val="Tabletext"/>
              <w:rPr>
                <w:sz w:val="20"/>
                <w:lang w:val="en-US"/>
              </w:rPr>
            </w:pPr>
            <w:r w:rsidRPr="001F3536">
              <w:rPr>
                <w:sz w:val="20"/>
                <w:lang w:val="en-US"/>
              </w:rPr>
              <w:t>19/4/12</w:t>
            </w:r>
          </w:p>
        </w:tc>
        <w:tc>
          <w:tcPr>
            <w:tcW w:w="1276" w:type="dxa"/>
            <w:shd w:val="clear" w:color="auto" w:fill="auto"/>
            <w:noWrap/>
          </w:tcPr>
          <w:p w:rsidR="00A13EEC" w:rsidRPr="001F3536" w:rsidRDefault="00A13EEC" w:rsidP="00BE2445">
            <w:pPr>
              <w:pStyle w:val="Tabletext"/>
              <w:rPr>
                <w:sz w:val="20"/>
                <w:lang w:val="en-US"/>
              </w:rPr>
            </w:pPr>
            <w:r w:rsidRPr="001F3536">
              <w:rPr>
                <w:sz w:val="20"/>
                <w:lang w:val="en-US"/>
              </w:rPr>
              <w:t>20/4/12</w:t>
            </w:r>
          </w:p>
        </w:tc>
        <w:tc>
          <w:tcPr>
            <w:tcW w:w="1559" w:type="dxa"/>
            <w:shd w:val="clear" w:color="auto" w:fill="auto"/>
            <w:noWrap/>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Trieste</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Atelier IISC concernant l'Association des données satellitaires (SDA)</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9/5/12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9/5/12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Ile de Man</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Atelier sur les TIC et les femmes à l'occasion de la Journée mondiale des télécommunications</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17/5/12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17/5/12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Izmir</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12ème Conférence annuelle internationale de Rio sur les techniques hertziennes</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21/5/12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22/5/12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Rio de Janeiro</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Séminaire international sur le passage au tout numérique dans le secteur de la radiodiffusion</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22/5/12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23/5/12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Conakry</w:t>
            </w:r>
          </w:p>
        </w:tc>
      </w:tr>
      <w:tr w:rsidR="00A13EEC" w:rsidRPr="001F3536" w:rsidTr="00A13EEC">
        <w:trPr>
          <w:trHeight w:hRule="exact" w:val="353"/>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Conférence sur l'exploration spatiale à l'échelle mondiale</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22/5/12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24/5/12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 xml:space="preserve">Washington </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Atelier international consacré aux services spatiaux compte tenu des résultats de la CMR-12 – SES University</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24/5/12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25/5/12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Luxembourg</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CASETEL «Grandes lignes du programme numérique»</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7/6/12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7/6/12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Caracas</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XVème Sommet des Régulateurs et des Opérateurs</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11/6/12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12/6/12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Bogota</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32ème réunion annuelle du Groupe sur la coordination des fréquences pour les services spatiaux (SFCG)</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12/6/12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20/6/12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Darmstadt</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 xml:space="preserve">CASBAA </w:t>
            </w:r>
            <w:r w:rsidR="000463BE" w:rsidRPr="000463BE">
              <w:rPr>
                <w:rFonts w:asciiTheme="majorBidi" w:hAnsiTheme="majorBidi" w:cstheme="majorBidi"/>
                <w:sz w:val="20"/>
              </w:rPr>
              <w:t>–</w:t>
            </w:r>
            <w:r w:rsidRPr="001F3536">
              <w:rPr>
                <w:rFonts w:asciiTheme="majorBidi" w:hAnsiTheme="majorBidi" w:cstheme="majorBidi"/>
                <w:sz w:val="20"/>
              </w:rPr>
              <w:t xml:space="preserve"> Forum des professionnels de l'industrie des satellites</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18/6/12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18/6/12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Shangri-La</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Sommet CommunicAsia2012 - Satellite Communications Track</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19/6/12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20/6/12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Singapour</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Conférence sur la gestion du spectre dans l'Union européenne (UE)</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19/6/12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20/6/12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Bruxelles</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Le large bande pour tous – Séminaire annuel d'Ericsson</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25/6/12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26/6/12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Stockholm</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Droit spatial et politiques spatiales – Manifestation organisée à l'occasion de la Semaine internationale des applications spatiales</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26/6/12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26/6/12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Toulouse</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Sommet du Digital TV Group (DTG) – Séminaire sur le spectre</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28/6/12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28/6/12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London</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Tall Ships Race (Course des grands voiliers)</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5/7/12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7/7/12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St. Malo</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5ème atelier de l'OCDE sur la sécurité spatiale</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9/7/12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9/7/12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Paris</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 xml:space="preserve">Forum 2012 sur le large bande dans la région Asie-Pacifique </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26/7/12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28/7/12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Fiji</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 xml:space="preserve">Passage à la radiodiffusion numérique dans la région des caraïbes – réunion des directeurs techniques </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13/8/12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14/8/12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St. John's</w:t>
            </w:r>
          </w:p>
        </w:tc>
      </w:tr>
      <w:tr w:rsidR="00A13EEC" w:rsidRPr="001F3536" w:rsidTr="00A13EEC">
        <w:trPr>
          <w:trHeight w:val="225"/>
        </w:trPr>
        <w:tc>
          <w:tcPr>
            <w:tcW w:w="5259" w:type="dxa"/>
            <w:shd w:val="clear" w:color="auto" w:fill="auto"/>
            <w:noWrap/>
            <w:hideMark/>
          </w:tcPr>
          <w:p w:rsidR="00A13EEC" w:rsidRPr="001F3536" w:rsidRDefault="00A13EEC" w:rsidP="002C0D5D">
            <w:pPr>
              <w:pStyle w:val="Tabletext"/>
              <w:keepNext/>
              <w:keepLines/>
              <w:rPr>
                <w:rFonts w:asciiTheme="majorBidi" w:hAnsiTheme="majorBidi" w:cstheme="majorBidi"/>
                <w:sz w:val="20"/>
              </w:rPr>
            </w:pPr>
            <w:r w:rsidRPr="001F3536">
              <w:rPr>
                <w:rFonts w:asciiTheme="majorBidi" w:hAnsiTheme="majorBidi" w:cstheme="majorBidi"/>
                <w:sz w:val="20"/>
              </w:rPr>
              <w:t xml:space="preserve">Vème Congrès des télécommunications et des </w:t>
            </w:r>
            <w:r w:rsidRPr="001F3536">
              <w:rPr>
                <w:rFonts w:asciiTheme="majorBidi" w:hAnsiTheme="majorBidi" w:cstheme="majorBidi"/>
                <w:sz w:val="20"/>
                <w:lang w:val="fr-CH"/>
              </w:rPr>
              <w:t>technologies</w:t>
            </w:r>
            <w:r w:rsidRPr="001F3536">
              <w:rPr>
                <w:rFonts w:asciiTheme="majorBidi" w:hAnsiTheme="majorBidi" w:cstheme="majorBidi"/>
                <w:sz w:val="20"/>
              </w:rPr>
              <w:t xml:space="preserve"> de l'information</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4/9/12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6/9/12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Galápagos</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 xml:space="preserve">Conférence IBC2012 </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6/9/12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11/9/12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Amsterdam</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lang w:val="fr-CH"/>
              </w:rPr>
            </w:pPr>
            <w:r w:rsidRPr="001F3536">
              <w:rPr>
                <w:rFonts w:asciiTheme="majorBidi" w:hAnsiTheme="majorBidi" w:cstheme="majorBidi"/>
                <w:sz w:val="20"/>
              </w:rPr>
              <w:t>Forum international sur la responsabilisation de la jeunesse arabe grâce aux TIC</w:t>
            </w:r>
            <w:r w:rsidRPr="001F3536">
              <w:rPr>
                <w:rFonts w:asciiTheme="majorBidi" w:hAnsiTheme="majorBidi" w:cstheme="majorBidi"/>
                <w:sz w:val="20"/>
                <w:lang w:val="fr-CH"/>
              </w:rPr>
              <w:t xml:space="preserve"> </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17/9/12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18/9/12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Tunis</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 xml:space="preserve">1er Congrès annuel mondial sur les océans-techniques hertziennes (BIT) </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20/9/12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23/9/12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Dalian (Chine)</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lang w:val="en-US"/>
              </w:rPr>
            </w:pPr>
            <w:r w:rsidRPr="001F3536">
              <w:rPr>
                <w:rFonts w:asciiTheme="majorBidi" w:hAnsiTheme="majorBidi" w:cstheme="majorBidi"/>
                <w:sz w:val="20"/>
                <w:lang w:val="en-US"/>
              </w:rPr>
              <w:t>11ème Forum Italradio - Celebration of 80 Years of Radio Monte</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21/9/12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21/9/12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Lugano</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APSCC 2012 – Conférence et exposition sur les satellites</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25/9/12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27/9/12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Séoul</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 xml:space="preserve">76ème réunion du Conseil de la CEI et réunions du Bureau de gestion de la normalisation (SMB) </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1/10/12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5/10/12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Oslo</w:t>
            </w:r>
          </w:p>
        </w:tc>
      </w:tr>
      <w:tr w:rsidR="00A13EEC" w:rsidRPr="001F3536" w:rsidTr="00A13EEC">
        <w:trPr>
          <w:trHeight w:val="225"/>
        </w:trPr>
        <w:tc>
          <w:tcPr>
            <w:tcW w:w="5259" w:type="dxa"/>
            <w:shd w:val="clear" w:color="auto" w:fill="auto"/>
            <w:noWrap/>
            <w:hideMark/>
          </w:tcPr>
          <w:p w:rsidR="00A13EEC" w:rsidRPr="001F3536" w:rsidRDefault="00A13EEC" w:rsidP="001F3536">
            <w:pPr>
              <w:pStyle w:val="Tabletext"/>
              <w:keepNext/>
              <w:keepLines/>
              <w:rPr>
                <w:rFonts w:asciiTheme="majorBidi" w:hAnsiTheme="majorBidi" w:cstheme="majorBidi"/>
                <w:sz w:val="20"/>
              </w:rPr>
            </w:pPr>
            <w:r w:rsidRPr="001F3536">
              <w:rPr>
                <w:rFonts w:asciiTheme="majorBidi" w:hAnsiTheme="majorBidi" w:cstheme="majorBidi"/>
                <w:sz w:val="20"/>
              </w:rPr>
              <w:lastRenderedPageBreak/>
              <w:t xml:space="preserve">63ème Congrès astronautique international – Communication sur les résultats de la CMR-12 </w:t>
            </w:r>
          </w:p>
        </w:tc>
        <w:tc>
          <w:tcPr>
            <w:tcW w:w="1276" w:type="dxa"/>
            <w:shd w:val="clear" w:color="auto" w:fill="auto"/>
            <w:noWrap/>
            <w:hideMark/>
          </w:tcPr>
          <w:p w:rsidR="00A13EEC" w:rsidRPr="001F3536" w:rsidRDefault="00A13EEC" w:rsidP="001F3536">
            <w:pPr>
              <w:pStyle w:val="Tabletext"/>
              <w:keepNext/>
              <w:keepLines/>
              <w:rPr>
                <w:sz w:val="20"/>
                <w:lang w:val="en-US"/>
              </w:rPr>
            </w:pPr>
            <w:r w:rsidRPr="001F3536">
              <w:rPr>
                <w:sz w:val="20"/>
                <w:lang w:val="en-US"/>
              </w:rPr>
              <w:t>1/10/12</w:t>
            </w:r>
          </w:p>
        </w:tc>
        <w:tc>
          <w:tcPr>
            <w:tcW w:w="1276" w:type="dxa"/>
            <w:shd w:val="clear" w:color="auto" w:fill="auto"/>
            <w:noWrap/>
            <w:hideMark/>
          </w:tcPr>
          <w:p w:rsidR="00A13EEC" w:rsidRPr="001F3536" w:rsidRDefault="00A13EEC" w:rsidP="001F3536">
            <w:pPr>
              <w:pStyle w:val="Tabletext"/>
              <w:keepNext/>
              <w:keepLines/>
              <w:rPr>
                <w:sz w:val="20"/>
                <w:lang w:val="en-US"/>
              </w:rPr>
            </w:pPr>
            <w:r w:rsidRPr="001F3536">
              <w:rPr>
                <w:sz w:val="20"/>
                <w:lang w:val="en-US"/>
              </w:rPr>
              <w:t>5/10/12</w:t>
            </w:r>
          </w:p>
        </w:tc>
        <w:tc>
          <w:tcPr>
            <w:tcW w:w="1559" w:type="dxa"/>
            <w:shd w:val="clear" w:color="auto" w:fill="auto"/>
            <w:noWrap/>
            <w:hideMark/>
          </w:tcPr>
          <w:p w:rsidR="00A13EEC" w:rsidRPr="001F3536" w:rsidRDefault="00A13EEC" w:rsidP="001F3536">
            <w:pPr>
              <w:keepNext/>
              <w:keepLines/>
              <w:spacing w:before="40" w:after="40"/>
              <w:rPr>
                <w:rFonts w:asciiTheme="majorBidi" w:hAnsiTheme="majorBidi" w:cstheme="majorBidi"/>
                <w:sz w:val="20"/>
              </w:rPr>
            </w:pPr>
            <w:r w:rsidRPr="001F3536">
              <w:rPr>
                <w:rFonts w:asciiTheme="majorBidi" w:hAnsiTheme="majorBidi" w:cstheme="majorBidi"/>
                <w:sz w:val="20"/>
              </w:rPr>
              <w:t>Naples</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 xml:space="preserve">Réunion du Comité technique de l'ABU </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12/10/12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14/10/12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Séoul</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Forum mondial sur le large bande</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17/10/12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17/10/12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Amsterdam</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 xml:space="preserve">9ème réunion de consultation sur la Résolution 609 </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17/10/12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19/10/12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Tokyo</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 xml:space="preserve">10ème Forum annuel de la CTO et 52ème réunion du Conseil </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22/10/12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26/10/12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Maurice</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lang w:val="en-US"/>
              </w:rPr>
            </w:pPr>
            <w:r w:rsidRPr="001F3536">
              <w:rPr>
                <w:rFonts w:asciiTheme="majorBidi" w:hAnsiTheme="majorBidi" w:cstheme="majorBidi"/>
                <w:sz w:val="20"/>
                <w:lang w:val="en-US"/>
              </w:rPr>
              <w:t xml:space="preserve">Atelier WWRF + Wireless World 2020 (WW2020) </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23/10/12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25/10/12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Berlin</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14ème Congrès annuel de l'ISRMM</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23/10/12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25/10/12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Shenzhen (Chine)</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 xml:space="preserve">2ème Conférence annuelle sur la gestion du spectre dans la région Amériques </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23/10/12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23/10/12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 xml:space="preserve">Washington </w:t>
            </w:r>
          </w:p>
        </w:tc>
      </w:tr>
      <w:tr w:rsidR="00A13EEC" w:rsidRPr="001F3536" w:rsidTr="00A13EEC">
        <w:trPr>
          <w:trHeight w:val="225"/>
        </w:trPr>
        <w:tc>
          <w:tcPr>
            <w:tcW w:w="5259" w:type="dxa"/>
            <w:shd w:val="clear" w:color="auto" w:fill="auto"/>
            <w:noWrap/>
            <w:hideMark/>
          </w:tcPr>
          <w:p w:rsidR="00A13EEC" w:rsidRPr="001F3536" w:rsidRDefault="00A13EEC" w:rsidP="002C0D5D">
            <w:pPr>
              <w:pStyle w:val="Tabletext"/>
              <w:rPr>
                <w:rFonts w:asciiTheme="majorBidi" w:hAnsiTheme="majorBidi" w:cstheme="majorBidi"/>
                <w:sz w:val="20"/>
              </w:rPr>
            </w:pPr>
            <w:r w:rsidRPr="001F3536">
              <w:rPr>
                <w:rFonts w:asciiTheme="majorBidi" w:hAnsiTheme="majorBidi" w:cstheme="majorBidi"/>
                <w:sz w:val="20"/>
              </w:rPr>
              <w:t xml:space="preserve">Conférence sur le spectre dans la région Amérique latine </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24/10/12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25/10/12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 xml:space="preserve">Mexico </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Réunion organisée par l'Institut polytechnique national de Mexico</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25/10/12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26/10/12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 xml:space="preserve">Mexico </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 xml:space="preserve">Forum sur la gestion du spectre </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5/11/12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7/11/12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Munich</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7ème réunion du Comité international sur les systèmes mondiaux de navigation par satellite. (ICG)</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5/11/12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9/11/12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Beijing</w:t>
            </w:r>
          </w:p>
        </w:tc>
      </w:tr>
      <w:tr w:rsidR="00A13EEC" w:rsidRPr="001F3536" w:rsidTr="00A13EEC">
        <w:trPr>
          <w:trHeight w:val="225"/>
        </w:trPr>
        <w:tc>
          <w:tcPr>
            <w:tcW w:w="5259" w:type="dxa"/>
            <w:shd w:val="clear" w:color="auto" w:fill="auto"/>
            <w:noWrap/>
            <w:hideMark/>
          </w:tcPr>
          <w:p w:rsidR="00A13EEC" w:rsidRPr="001F3536" w:rsidRDefault="00A13EEC" w:rsidP="00DE54D8">
            <w:pPr>
              <w:pStyle w:val="Tabletext"/>
              <w:rPr>
                <w:rFonts w:asciiTheme="majorBidi" w:hAnsiTheme="majorBidi" w:cstheme="majorBidi"/>
                <w:sz w:val="20"/>
              </w:rPr>
            </w:pPr>
            <w:r w:rsidRPr="001F3536">
              <w:rPr>
                <w:rFonts w:asciiTheme="majorBidi" w:hAnsiTheme="majorBidi" w:cstheme="majorBidi"/>
                <w:sz w:val="20"/>
              </w:rPr>
              <w:t>UER – Forecast'12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14/11/12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15/11/12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Genève</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6ème Colloque international sur les télécommunications</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6/11/12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8/11/12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Téhéran</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GS Forum 2012 – La radiodiffusion numérique dans le monde</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7/11/12/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8/11/12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Kaliningrad</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 xml:space="preserve">Conférence annuelle du Groupe sur la réduction des brouillages causés par des systèmes à satellites </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18/11/12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20/11/12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Dubaï</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 xml:space="preserve">BBC – la radiodiffusion internationale sans frontières </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20/11/12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20/11/12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Londres</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 xml:space="preserve">Réunion de lancement en vue du passage à la radiodiffusion numérique </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27/11/12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28/11/12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San Salvador</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 xml:space="preserve">Forum WBU-ISOG </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27/11/12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28/11/12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Genève</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keepNext/>
              <w:keepLines/>
              <w:rPr>
                <w:rFonts w:asciiTheme="majorBidi" w:hAnsiTheme="majorBidi" w:cstheme="majorBidi"/>
                <w:sz w:val="20"/>
              </w:rPr>
            </w:pPr>
            <w:r w:rsidRPr="001F3536">
              <w:rPr>
                <w:rFonts w:asciiTheme="majorBidi" w:hAnsiTheme="majorBidi" w:cstheme="majorBidi"/>
                <w:sz w:val="20"/>
              </w:rPr>
              <w:t xml:space="preserve">Table ronde de Bruxelles sur la politique spatiale organisée par la SWF: lancement de l'Index de sécurité spatiale 2012 en Europe </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29/11/12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29/11/12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Bruxelles</w:t>
            </w:r>
          </w:p>
        </w:tc>
      </w:tr>
      <w:tr w:rsidR="00A13EEC" w:rsidRPr="001F3536" w:rsidTr="00A13EEC">
        <w:trPr>
          <w:trHeight w:val="225"/>
        </w:trPr>
        <w:tc>
          <w:tcPr>
            <w:tcW w:w="5259" w:type="dxa"/>
            <w:shd w:val="clear" w:color="auto" w:fill="auto"/>
            <w:noWrap/>
            <w:hideMark/>
          </w:tcPr>
          <w:p w:rsidR="00A13EEC" w:rsidRPr="001F3536" w:rsidRDefault="00A13EEC" w:rsidP="00DC03E9">
            <w:pPr>
              <w:pStyle w:val="Tabletext"/>
              <w:rPr>
                <w:rFonts w:asciiTheme="majorBidi" w:hAnsiTheme="majorBidi" w:cstheme="majorBidi"/>
                <w:sz w:val="20"/>
              </w:rPr>
            </w:pPr>
            <w:r w:rsidRPr="001F3536">
              <w:rPr>
                <w:rFonts w:asciiTheme="majorBidi" w:hAnsiTheme="majorBidi" w:cstheme="majorBidi"/>
                <w:sz w:val="20"/>
              </w:rPr>
              <w:t xml:space="preserve">UER – Groupe sur la gestion durable du spectre </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17/12/12</w:t>
            </w:r>
          </w:p>
        </w:tc>
        <w:tc>
          <w:tcPr>
            <w:tcW w:w="1276" w:type="dxa"/>
            <w:shd w:val="clear" w:color="auto" w:fill="auto"/>
            <w:noWrap/>
            <w:hideMark/>
          </w:tcPr>
          <w:p w:rsidR="00A13EEC" w:rsidRPr="001F3536" w:rsidRDefault="00A13EEC" w:rsidP="00BE2445">
            <w:pPr>
              <w:pStyle w:val="Tabletext"/>
              <w:rPr>
                <w:sz w:val="20"/>
                <w:lang w:val="en-US"/>
              </w:rPr>
            </w:pPr>
            <w:r w:rsidRPr="001F3536">
              <w:rPr>
                <w:sz w:val="20"/>
                <w:lang w:val="en-US"/>
              </w:rPr>
              <w:t>17/12/12</w:t>
            </w:r>
          </w:p>
        </w:tc>
        <w:tc>
          <w:tcPr>
            <w:tcW w:w="1559" w:type="dxa"/>
            <w:shd w:val="clear" w:color="auto" w:fill="auto"/>
            <w:noWrap/>
            <w:hideMark/>
          </w:tcPr>
          <w:p w:rsidR="00A13EEC" w:rsidRPr="001F3536" w:rsidRDefault="00A13EEC" w:rsidP="00DC03E9">
            <w:pPr>
              <w:spacing w:before="40" w:after="40"/>
              <w:rPr>
                <w:rFonts w:asciiTheme="majorBidi" w:hAnsiTheme="majorBidi" w:cstheme="majorBidi"/>
                <w:sz w:val="20"/>
              </w:rPr>
            </w:pPr>
            <w:r w:rsidRPr="001F3536">
              <w:rPr>
                <w:rFonts w:asciiTheme="majorBidi" w:hAnsiTheme="majorBidi" w:cstheme="majorBidi"/>
                <w:sz w:val="20"/>
              </w:rPr>
              <w:t>Genève</w:t>
            </w:r>
          </w:p>
        </w:tc>
      </w:tr>
      <w:tr w:rsidR="00DC03E9" w:rsidRPr="001F3536" w:rsidTr="00A13EEC">
        <w:trPr>
          <w:trHeight w:val="225"/>
        </w:trPr>
        <w:tc>
          <w:tcPr>
            <w:tcW w:w="5259" w:type="dxa"/>
            <w:shd w:val="clear" w:color="auto" w:fill="D9D9D9"/>
            <w:noWrap/>
            <w:hideMark/>
          </w:tcPr>
          <w:p w:rsidR="00BA7363" w:rsidRPr="001F3536" w:rsidRDefault="00BA7363" w:rsidP="002C0D5D">
            <w:pPr>
              <w:keepNext/>
              <w:keepLines/>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sz w:val="20"/>
                <w:lang w:val="fr-CH" w:eastAsia="zh-CN"/>
              </w:rPr>
            </w:pPr>
            <w:r w:rsidRPr="001F3536">
              <w:rPr>
                <w:rFonts w:asciiTheme="majorBidi" w:hAnsiTheme="majorBidi" w:cstheme="majorBidi"/>
                <w:b/>
                <w:bCs/>
                <w:sz w:val="20"/>
                <w:lang w:val="fr-CH" w:eastAsia="zh-CN"/>
              </w:rPr>
              <w:t>S</w:t>
            </w:r>
            <w:r w:rsidR="002C0D5D" w:rsidRPr="001F3536">
              <w:rPr>
                <w:rFonts w:asciiTheme="majorBidi" w:hAnsiTheme="majorBidi" w:cstheme="majorBidi"/>
                <w:b/>
                <w:bCs/>
                <w:sz w:val="20"/>
                <w:lang w:val="fr-CH" w:eastAsia="zh-CN"/>
              </w:rPr>
              <w:t>É</w:t>
            </w:r>
            <w:r w:rsidRPr="001F3536">
              <w:rPr>
                <w:rFonts w:asciiTheme="majorBidi" w:hAnsiTheme="majorBidi" w:cstheme="majorBidi"/>
                <w:b/>
                <w:bCs/>
                <w:sz w:val="20"/>
                <w:lang w:val="fr-CH" w:eastAsia="zh-CN"/>
              </w:rPr>
              <w:t xml:space="preserve">MINAIRES, ATELIERS ET RÉUNIONS DE L'UIT </w:t>
            </w:r>
          </w:p>
        </w:tc>
        <w:tc>
          <w:tcPr>
            <w:tcW w:w="1276" w:type="dxa"/>
            <w:shd w:val="clear" w:color="auto" w:fill="D9D9D9"/>
            <w:noWrap/>
            <w:hideMark/>
          </w:tcPr>
          <w:p w:rsidR="00BA7363" w:rsidRPr="001F3536" w:rsidRDefault="00BA7363" w:rsidP="002C0D5D">
            <w:pPr>
              <w:keepNext/>
              <w:keepLines/>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sz w:val="20"/>
                <w:lang w:val="fr-CH" w:eastAsia="zh-CN"/>
              </w:rPr>
            </w:pPr>
          </w:p>
        </w:tc>
        <w:tc>
          <w:tcPr>
            <w:tcW w:w="1276" w:type="dxa"/>
            <w:shd w:val="clear" w:color="auto" w:fill="D9D9D9"/>
            <w:noWrap/>
            <w:hideMark/>
          </w:tcPr>
          <w:p w:rsidR="00BA7363" w:rsidRPr="001F3536" w:rsidRDefault="00BA7363" w:rsidP="002C0D5D">
            <w:pPr>
              <w:keepNext/>
              <w:keepLines/>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sz w:val="20"/>
                <w:lang w:val="fr-CH" w:eastAsia="zh-CN"/>
              </w:rPr>
            </w:pPr>
          </w:p>
        </w:tc>
        <w:tc>
          <w:tcPr>
            <w:tcW w:w="1559" w:type="dxa"/>
            <w:shd w:val="clear" w:color="auto" w:fill="D9D9D9"/>
            <w:noWrap/>
            <w:hideMark/>
          </w:tcPr>
          <w:p w:rsidR="00BA7363" w:rsidRPr="001F3536" w:rsidRDefault="00BA7363" w:rsidP="002C0D5D">
            <w:pPr>
              <w:keepNext/>
              <w:keepLines/>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sz w:val="20"/>
                <w:lang w:val="fr-CH" w:eastAsia="zh-CN"/>
              </w:rPr>
            </w:pP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Atelier régional de l'UIT sur le passage à la télévision numérique</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27/2/12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2/3/12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Bangkok</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Séminaire UIT/AICTO</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28/2/12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29/2/12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Tunis</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Sommet Connecter les Etats arabes</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5/3/12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7/3/12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Doha</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 xml:space="preserve">Atelier UAT/UIT sur le passage à la télévision numérique </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12/3/12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15/3/12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Bamako</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 xml:space="preserve">Formation du Centre d'excellence sur le passage au numérique et le dividende numérique </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14/3/12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16/3/12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Athènes</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 xml:space="preserve">Atelier régional de l'UIT sur le passage à la télévision numérique </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16/4/12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20/4/12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Kampala</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Forum de développement régional pour la région Amériques</w:t>
            </w:r>
          </w:p>
        </w:tc>
        <w:tc>
          <w:tcPr>
            <w:tcW w:w="1276" w:type="dxa"/>
            <w:shd w:val="clear" w:color="auto" w:fill="auto"/>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18/4/12</w:t>
            </w:r>
          </w:p>
        </w:tc>
        <w:tc>
          <w:tcPr>
            <w:tcW w:w="1276" w:type="dxa"/>
            <w:shd w:val="clear" w:color="auto" w:fill="auto"/>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19/4/12</w:t>
            </w:r>
          </w:p>
        </w:tc>
        <w:tc>
          <w:tcPr>
            <w:tcW w:w="1559" w:type="dxa"/>
            <w:shd w:val="clear" w:color="auto" w:fill="auto"/>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Mexico City</w:t>
            </w:r>
          </w:p>
        </w:tc>
      </w:tr>
      <w:tr w:rsidR="00BA7363" w:rsidRPr="001F3536" w:rsidTr="00A13EEC">
        <w:trPr>
          <w:trHeight w:val="225"/>
        </w:trPr>
        <w:tc>
          <w:tcPr>
            <w:tcW w:w="5259" w:type="dxa"/>
            <w:shd w:val="clear" w:color="auto" w:fill="auto"/>
            <w:noWrap/>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Atelier régional de l'UIT sur les services spatiaux</w:t>
            </w:r>
          </w:p>
        </w:tc>
        <w:tc>
          <w:tcPr>
            <w:tcW w:w="1276" w:type="dxa"/>
            <w:shd w:val="clear" w:color="auto" w:fill="auto"/>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23/4/12</w:t>
            </w:r>
          </w:p>
        </w:tc>
        <w:tc>
          <w:tcPr>
            <w:tcW w:w="1276" w:type="dxa"/>
            <w:shd w:val="clear" w:color="auto" w:fill="auto"/>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27/4/12</w:t>
            </w:r>
          </w:p>
        </w:tc>
        <w:tc>
          <w:tcPr>
            <w:tcW w:w="1559" w:type="dxa"/>
            <w:shd w:val="clear" w:color="auto" w:fill="auto"/>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Bangkok</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Atelier sur la gestion du spectre et le dividende numérique</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7/5/12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8/5/12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Varsovie</w:t>
            </w:r>
          </w:p>
        </w:tc>
      </w:tr>
      <w:tr w:rsidR="00BA7363" w:rsidRPr="001F3536" w:rsidTr="00A13EEC">
        <w:trPr>
          <w:trHeight w:val="214"/>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Forum de développement régional l'Afrique</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9/5/12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11/5/12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Kigali</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Réunion préparatoire de la région Amériques pour l'AMNT-12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14/5/12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15/5/12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Buenos Aires</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Forum de développeme</w:t>
            </w:r>
            <w:r w:rsidR="002C0D5D" w:rsidRPr="001F3536">
              <w:rPr>
                <w:rFonts w:asciiTheme="majorBidi" w:hAnsiTheme="majorBidi" w:cstheme="majorBidi"/>
                <w:sz w:val="20"/>
              </w:rPr>
              <w:t>nt régional pour la région Asie</w:t>
            </w:r>
            <w:r w:rsidR="002C0D5D" w:rsidRPr="001F3536">
              <w:rPr>
                <w:rFonts w:asciiTheme="majorBidi" w:hAnsiTheme="majorBidi" w:cstheme="majorBidi"/>
                <w:sz w:val="20"/>
              </w:rPr>
              <w:noBreakHyphen/>
            </w:r>
            <w:r w:rsidRPr="001F3536">
              <w:rPr>
                <w:rFonts w:asciiTheme="majorBidi" w:hAnsiTheme="majorBidi" w:cstheme="majorBidi"/>
                <w:sz w:val="20"/>
              </w:rPr>
              <w:t>Pacifique</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16/5/12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18/5/12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Bangkok</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lastRenderedPageBreak/>
              <w:t xml:space="preserve">Atelier de formation des Centres d'excellence de la région Asie-Pacifique de l'UIT </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20/5/12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23/5/12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Ispahan</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 xml:space="preserve">Atelier régional pour les Caraïbes </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21/5/12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25/5/12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La Barbade</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Forum de développeme</w:t>
            </w:r>
            <w:r w:rsidR="00DE54D8" w:rsidRPr="001F3536">
              <w:rPr>
                <w:rFonts w:asciiTheme="majorBidi" w:hAnsiTheme="majorBidi" w:cstheme="majorBidi"/>
                <w:sz w:val="20"/>
              </w:rPr>
              <w:t>nt régional pour les pays de la </w:t>
            </w:r>
            <w:r w:rsidRPr="001F3536">
              <w:rPr>
                <w:rFonts w:asciiTheme="majorBidi" w:hAnsiTheme="majorBidi" w:cstheme="majorBidi"/>
                <w:sz w:val="20"/>
              </w:rPr>
              <w:t>CEI</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23/5/12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23/5/12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Chisinau</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 xml:space="preserve">7ème Colloque de l'UIT sur les TIC, l'environnement et les changements climatiques </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29/5/12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31/5/12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Montréal</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 xml:space="preserve">Séminaire sur le passage à la télévision numérique </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30/5/12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1/6/12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Montevideo</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 xml:space="preserve">Atelier sur le développement des radiocommunications à la lumière des résultats de la CMR-12 </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5/6/12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8/6/12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St. Petersburg</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 xml:space="preserve">FTRA 2012 </w:t>
            </w:r>
            <w:r w:rsidR="00DE54D8" w:rsidRPr="001F3536">
              <w:rPr>
                <w:rFonts w:asciiTheme="majorBidi" w:hAnsiTheme="majorBidi" w:cstheme="majorBidi"/>
                <w:sz w:val="20"/>
              </w:rPr>
              <w:t>–</w:t>
            </w:r>
            <w:r w:rsidRPr="001F3536">
              <w:rPr>
                <w:rFonts w:asciiTheme="majorBidi" w:hAnsiTheme="majorBidi" w:cstheme="majorBidi"/>
                <w:sz w:val="20"/>
              </w:rPr>
              <w:t xml:space="preserve"> 13ème Forum sur la régulation des télécommunications/TIC et les partenariats en Afrique </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18/6/12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20/6/12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Libreville</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 xml:space="preserve">Atelier de l'UIT sur la gestion du spectre </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18/6/12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21/6/12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Bogota</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 xml:space="preserve">Sommet Connecter les Amériques </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17/7/12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19/7/12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 xml:space="preserve">Panama </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 xml:space="preserve">Forum multi-parties prenantes CLM/UIT – Rôle des TIC en cas de catastrophe </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24/7/12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26/7/12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Bogota</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 xml:space="preserve">Atelier régional UIT/TTA sur la réduction de l'écart en matière de normalisation dans la région Asie-Pacifique </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30/7/12</w:t>
            </w:r>
          </w:p>
        </w:tc>
        <w:tc>
          <w:tcPr>
            <w:tcW w:w="1276"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31/7/12</w:t>
            </w:r>
          </w:p>
        </w:tc>
        <w:tc>
          <w:tcPr>
            <w:tcW w:w="1559" w:type="dxa"/>
            <w:shd w:val="clear" w:color="auto" w:fill="auto"/>
            <w:noWrap/>
            <w:hideMark/>
          </w:tcPr>
          <w:p w:rsidR="00BA7363" w:rsidRPr="001F3536" w:rsidRDefault="00BA7363" w:rsidP="00DC03E9">
            <w:pPr>
              <w:pStyle w:val="Tabletext"/>
              <w:rPr>
                <w:rFonts w:asciiTheme="majorBidi" w:hAnsiTheme="majorBidi" w:cstheme="majorBidi"/>
                <w:sz w:val="20"/>
              </w:rPr>
            </w:pPr>
            <w:r w:rsidRPr="001F3536">
              <w:rPr>
                <w:rFonts w:asciiTheme="majorBidi" w:hAnsiTheme="majorBidi" w:cstheme="majorBidi"/>
                <w:sz w:val="20"/>
              </w:rPr>
              <w:t>Ventiane</w:t>
            </w:r>
          </w:p>
        </w:tc>
      </w:tr>
      <w:tr w:rsidR="00BA7363" w:rsidRPr="001F3536" w:rsidTr="00A13EEC">
        <w:trPr>
          <w:trHeight w:val="225"/>
        </w:trPr>
        <w:tc>
          <w:tcPr>
            <w:tcW w:w="5259" w:type="dxa"/>
            <w:shd w:val="clear" w:color="auto" w:fill="auto"/>
            <w:noWrap/>
            <w:hideMark/>
          </w:tcPr>
          <w:p w:rsidR="00BA7363" w:rsidRPr="001F3536" w:rsidRDefault="00BA7363" w:rsidP="00DC03E9">
            <w:pPr>
              <w:pStyle w:val="Tabletext"/>
              <w:keepNext/>
              <w:keepLines/>
              <w:rPr>
                <w:rFonts w:asciiTheme="majorBidi" w:hAnsiTheme="majorBidi" w:cstheme="majorBidi"/>
                <w:sz w:val="20"/>
                <w:lang w:val="fr-CH"/>
              </w:rPr>
            </w:pPr>
            <w:r w:rsidRPr="001F3536">
              <w:rPr>
                <w:rFonts w:asciiTheme="majorBidi" w:hAnsiTheme="majorBidi" w:cstheme="majorBidi"/>
                <w:sz w:val="20"/>
              </w:rPr>
              <w:t xml:space="preserve">Atelier sous-régional de l'UIT sur la coordination des fréquences GE06 pour les pays de la SADC – Passage à la radiodiffusion télévisuelle numérique de Terre </w:t>
            </w:r>
          </w:p>
        </w:tc>
        <w:tc>
          <w:tcPr>
            <w:tcW w:w="1276" w:type="dxa"/>
            <w:shd w:val="clear" w:color="auto" w:fill="auto"/>
            <w:noWrap/>
            <w:hideMark/>
          </w:tcPr>
          <w:p w:rsidR="00BA7363" w:rsidRPr="001F3536" w:rsidRDefault="00BA7363" w:rsidP="00DC03E9">
            <w:pPr>
              <w:pStyle w:val="Tabletext"/>
              <w:keepNext/>
              <w:keepLines/>
              <w:rPr>
                <w:rFonts w:asciiTheme="majorBidi" w:hAnsiTheme="majorBidi" w:cstheme="majorBidi"/>
                <w:sz w:val="20"/>
              </w:rPr>
            </w:pPr>
            <w:r w:rsidRPr="001F3536">
              <w:rPr>
                <w:rFonts w:asciiTheme="majorBidi" w:hAnsiTheme="majorBidi" w:cstheme="majorBidi"/>
                <w:sz w:val="20"/>
              </w:rPr>
              <w:t>20/8/12</w:t>
            </w:r>
          </w:p>
        </w:tc>
        <w:tc>
          <w:tcPr>
            <w:tcW w:w="1276" w:type="dxa"/>
            <w:shd w:val="clear" w:color="auto" w:fill="auto"/>
            <w:noWrap/>
            <w:hideMark/>
          </w:tcPr>
          <w:p w:rsidR="00BA7363" w:rsidRPr="001F3536" w:rsidRDefault="00BA7363" w:rsidP="00DC03E9">
            <w:pPr>
              <w:pStyle w:val="Tabletext"/>
              <w:keepNext/>
              <w:keepLines/>
              <w:rPr>
                <w:rFonts w:asciiTheme="majorBidi" w:hAnsiTheme="majorBidi" w:cstheme="majorBidi"/>
                <w:sz w:val="20"/>
              </w:rPr>
            </w:pPr>
            <w:r w:rsidRPr="001F3536">
              <w:rPr>
                <w:rFonts w:asciiTheme="majorBidi" w:hAnsiTheme="majorBidi" w:cstheme="majorBidi"/>
                <w:sz w:val="20"/>
              </w:rPr>
              <w:t>24/8/12</w:t>
            </w:r>
          </w:p>
        </w:tc>
        <w:tc>
          <w:tcPr>
            <w:tcW w:w="1559" w:type="dxa"/>
            <w:shd w:val="clear" w:color="auto" w:fill="auto"/>
            <w:noWrap/>
            <w:hideMark/>
          </w:tcPr>
          <w:p w:rsidR="00BA7363" w:rsidRPr="001F3536" w:rsidRDefault="00BA7363" w:rsidP="00DC03E9">
            <w:pPr>
              <w:pStyle w:val="Tabletext"/>
              <w:keepNext/>
              <w:keepLines/>
              <w:rPr>
                <w:rFonts w:asciiTheme="majorBidi" w:hAnsiTheme="majorBidi" w:cstheme="majorBidi"/>
                <w:sz w:val="20"/>
              </w:rPr>
            </w:pPr>
            <w:r w:rsidRPr="001F3536">
              <w:rPr>
                <w:rFonts w:asciiTheme="majorBidi" w:hAnsiTheme="majorBidi" w:cstheme="majorBidi"/>
                <w:sz w:val="20"/>
              </w:rPr>
              <w:t>Johannesburg</w:t>
            </w:r>
          </w:p>
        </w:tc>
      </w:tr>
      <w:tr w:rsidR="00BA7363" w:rsidRPr="001F3536" w:rsidTr="00A13EEC">
        <w:trPr>
          <w:trHeight w:val="225"/>
        </w:trPr>
        <w:tc>
          <w:tcPr>
            <w:tcW w:w="52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Réunion r</w:t>
            </w:r>
            <w:r w:rsidR="00DE54D8" w:rsidRPr="001F3536">
              <w:rPr>
                <w:rFonts w:asciiTheme="majorBidi" w:hAnsiTheme="majorBidi" w:cstheme="majorBidi"/>
                <w:sz w:val="20"/>
              </w:rPr>
              <w:t>égionale des Membres de Secteur –</w:t>
            </w:r>
            <w:r w:rsidRPr="001F3536">
              <w:rPr>
                <w:rFonts w:asciiTheme="majorBidi" w:hAnsiTheme="majorBidi" w:cstheme="majorBidi"/>
                <w:sz w:val="20"/>
              </w:rPr>
              <w:t xml:space="preserve"> Partenariats secteur public-secteur privé pour les pays de la CEI </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21/8/12</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24/8/12</w:t>
            </w:r>
          </w:p>
        </w:tc>
        <w:tc>
          <w:tcPr>
            <w:tcW w:w="15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Issyk-Koul Lake</w:t>
            </w:r>
          </w:p>
        </w:tc>
      </w:tr>
      <w:tr w:rsidR="00BA7363" w:rsidRPr="001F3536" w:rsidTr="00A13EEC">
        <w:trPr>
          <w:trHeight w:val="225"/>
        </w:trPr>
        <w:tc>
          <w:tcPr>
            <w:tcW w:w="52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Workshop Key event</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5/9/12</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7/9/12</w:t>
            </w:r>
          </w:p>
        </w:tc>
        <w:tc>
          <w:tcPr>
            <w:tcW w:w="15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Kazakhstan</w:t>
            </w:r>
          </w:p>
        </w:tc>
      </w:tr>
      <w:tr w:rsidR="00BA7363" w:rsidRPr="001F3536" w:rsidTr="00A13EEC">
        <w:trPr>
          <w:trHeight w:val="225"/>
        </w:trPr>
        <w:tc>
          <w:tcPr>
            <w:tcW w:w="52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Forum de développeme</w:t>
            </w:r>
            <w:r w:rsidR="002C0D5D" w:rsidRPr="001F3536">
              <w:rPr>
                <w:rFonts w:asciiTheme="majorBidi" w:hAnsiTheme="majorBidi" w:cstheme="majorBidi"/>
                <w:sz w:val="20"/>
              </w:rPr>
              <w:t>nt régional pour les pays de la </w:t>
            </w:r>
            <w:r w:rsidRPr="001F3536">
              <w:rPr>
                <w:rFonts w:asciiTheme="majorBidi" w:hAnsiTheme="majorBidi" w:cstheme="majorBidi"/>
                <w:sz w:val="20"/>
              </w:rPr>
              <w:t>CEI</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11/9/12</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13/9/12</w:t>
            </w:r>
          </w:p>
        </w:tc>
        <w:tc>
          <w:tcPr>
            <w:tcW w:w="15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Kiev</w:t>
            </w:r>
          </w:p>
        </w:tc>
      </w:tr>
      <w:tr w:rsidR="00BA7363" w:rsidRPr="001F3536" w:rsidTr="00A13EEC">
        <w:trPr>
          <w:trHeight w:val="225"/>
        </w:trPr>
        <w:tc>
          <w:tcPr>
            <w:tcW w:w="52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Forum de développement régional + ICT4all</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17/9/12</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20/9/12</w:t>
            </w:r>
          </w:p>
        </w:tc>
        <w:tc>
          <w:tcPr>
            <w:tcW w:w="15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Hammamet</w:t>
            </w:r>
          </w:p>
        </w:tc>
      </w:tr>
      <w:tr w:rsidR="00BA7363" w:rsidRPr="001F3536" w:rsidTr="00A13EEC">
        <w:trPr>
          <w:trHeight w:val="225"/>
        </w:trPr>
        <w:tc>
          <w:tcPr>
            <w:tcW w:w="52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 xml:space="preserve">Séminaire de l'UIT sur la gestion du spectre pour la région Amériques </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20/9/12</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21/9/12</w:t>
            </w:r>
          </w:p>
        </w:tc>
        <w:tc>
          <w:tcPr>
            <w:tcW w:w="15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Manta</w:t>
            </w:r>
          </w:p>
        </w:tc>
      </w:tr>
      <w:tr w:rsidR="00BA7363" w:rsidRPr="001F3536" w:rsidTr="00A13EEC">
        <w:trPr>
          <w:trHeight w:val="225"/>
        </w:trPr>
        <w:tc>
          <w:tcPr>
            <w:tcW w:w="5259" w:type="dxa"/>
            <w:shd w:val="clear" w:color="auto" w:fill="auto"/>
            <w:noWrap/>
            <w:hideMark/>
          </w:tcPr>
          <w:p w:rsidR="00BA7363" w:rsidRPr="001F3536" w:rsidRDefault="00BA7363" w:rsidP="00A13EEC">
            <w:pPr>
              <w:spacing w:before="40" w:after="40"/>
              <w:rPr>
                <w:rFonts w:asciiTheme="majorBidi" w:hAnsiTheme="majorBidi" w:cstheme="majorBidi"/>
                <w:sz w:val="20"/>
              </w:rPr>
            </w:pPr>
            <w:r w:rsidRPr="001F3536">
              <w:rPr>
                <w:rFonts w:asciiTheme="majorBidi" w:hAnsiTheme="majorBidi" w:cstheme="majorBidi"/>
                <w:sz w:val="20"/>
              </w:rPr>
              <w:t xml:space="preserve">Sommet UIT/UAT sur le passage à la radiodiffusion numérique et les politiques relatives au spectre </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27/9/12</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28/9/12</w:t>
            </w:r>
          </w:p>
        </w:tc>
        <w:tc>
          <w:tcPr>
            <w:tcW w:w="15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Accra</w:t>
            </w:r>
          </w:p>
        </w:tc>
      </w:tr>
      <w:tr w:rsidR="00BA7363" w:rsidRPr="001F3536" w:rsidTr="00A13EEC">
        <w:trPr>
          <w:trHeight w:val="225"/>
        </w:trPr>
        <w:tc>
          <w:tcPr>
            <w:tcW w:w="52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GSR-12</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2/10/12</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4/10/12</w:t>
            </w:r>
          </w:p>
        </w:tc>
        <w:tc>
          <w:tcPr>
            <w:tcW w:w="15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Colombo</w:t>
            </w:r>
          </w:p>
        </w:tc>
      </w:tr>
      <w:tr w:rsidR="00BA7363" w:rsidRPr="001F3536" w:rsidTr="00A13EEC">
        <w:trPr>
          <w:trHeight w:val="225"/>
        </w:trPr>
        <w:tc>
          <w:tcPr>
            <w:tcW w:w="52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ITU Telecom</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14/10/12</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18/10/12</w:t>
            </w:r>
          </w:p>
        </w:tc>
        <w:tc>
          <w:tcPr>
            <w:tcW w:w="15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Dubaï</w:t>
            </w:r>
          </w:p>
        </w:tc>
      </w:tr>
      <w:tr w:rsidR="00BA7363" w:rsidRPr="001F3536" w:rsidTr="00A13EEC">
        <w:trPr>
          <w:trHeight w:val="225"/>
        </w:trPr>
        <w:tc>
          <w:tcPr>
            <w:tcW w:w="52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Forum mondial de l'UIT sur le renforcement des capacités humaines</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22/10/12</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25/10/12</w:t>
            </w:r>
          </w:p>
        </w:tc>
        <w:tc>
          <w:tcPr>
            <w:tcW w:w="15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Cape Town</w:t>
            </w:r>
          </w:p>
        </w:tc>
      </w:tr>
      <w:tr w:rsidR="00BA7363" w:rsidRPr="001F3536" w:rsidTr="00A13EEC">
        <w:trPr>
          <w:trHeight w:val="225"/>
        </w:trPr>
        <w:tc>
          <w:tcPr>
            <w:tcW w:w="52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 xml:space="preserve">Séminaire régional de l'UIT sur les radiocommunications </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30/10/12</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2/11/12</w:t>
            </w:r>
          </w:p>
        </w:tc>
        <w:tc>
          <w:tcPr>
            <w:tcW w:w="15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San José</w:t>
            </w:r>
          </w:p>
        </w:tc>
      </w:tr>
      <w:tr w:rsidR="00BA7363" w:rsidRPr="001F3536" w:rsidTr="00A13EEC">
        <w:trPr>
          <w:trHeight w:val="225"/>
        </w:trPr>
        <w:tc>
          <w:tcPr>
            <w:tcW w:w="5259" w:type="dxa"/>
            <w:shd w:val="clear" w:color="auto" w:fill="auto"/>
            <w:noWrap/>
            <w:hideMark/>
          </w:tcPr>
          <w:p w:rsidR="00BA7363" w:rsidRPr="001F3536" w:rsidRDefault="00BA7363" w:rsidP="00DC03E9">
            <w:pPr>
              <w:spacing w:before="40" w:after="40"/>
              <w:rPr>
                <w:rFonts w:asciiTheme="majorBidi" w:hAnsiTheme="majorBidi" w:cstheme="majorBidi"/>
                <w:sz w:val="20"/>
                <w:lang w:val="fr-CH"/>
              </w:rPr>
            </w:pPr>
            <w:r w:rsidRPr="001F3536">
              <w:rPr>
                <w:rFonts w:asciiTheme="majorBidi" w:hAnsiTheme="majorBidi" w:cstheme="majorBidi"/>
                <w:sz w:val="20"/>
              </w:rPr>
              <w:t>Séminaire de l'UIT sur la réglementation de la radiodiffusion numérique</w:t>
            </w:r>
            <w:r w:rsidRPr="001F3536">
              <w:rPr>
                <w:rFonts w:asciiTheme="majorBidi" w:hAnsiTheme="majorBidi" w:cstheme="majorBidi"/>
                <w:sz w:val="20"/>
                <w:lang w:val="fr-CH"/>
              </w:rPr>
              <w:t xml:space="preserve"> </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5/11/12</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7/11/12</w:t>
            </w:r>
          </w:p>
        </w:tc>
        <w:tc>
          <w:tcPr>
            <w:tcW w:w="15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Budapest</w:t>
            </w:r>
          </w:p>
        </w:tc>
      </w:tr>
      <w:tr w:rsidR="00BA7363" w:rsidRPr="001F3536" w:rsidTr="00A13EEC">
        <w:trPr>
          <w:trHeight w:val="225"/>
        </w:trPr>
        <w:tc>
          <w:tcPr>
            <w:tcW w:w="52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 xml:space="preserve">4ème réunion des directeurs techniques organisée par l'UIT + Réception en présence d'orateurs du GSS et de fonctionnaires élus </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18/11/12</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18/11/12</w:t>
            </w:r>
          </w:p>
        </w:tc>
        <w:tc>
          <w:tcPr>
            <w:tcW w:w="15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Dubaï</w:t>
            </w:r>
          </w:p>
        </w:tc>
      </w:tr>
      <w:tr w:rsidR="00BA7363" w:rsidRPr="001F3536" w:rsidTr="00A13EEC">
        <w:trPr>
          <w:trHeight w:val="225"/>
        </w:trPr>
        <w:tc>
          <w:tcPr>
            <w:tcW w:w="52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GSS &amp; AMNT-12</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19/11/12</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29/11/12</w:t>
            </w:r>
          </w:p>
        </w:tc>
        <w:tc>
          <w:tcPr>
            <w:tcW w:w="15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Dubaï</w:t>
            </w:r>
          </w:p>
        </w:tc>
      </w:tr>
      <w:tr w:rsidR="00BA7363" w:rsidRPr="001F3536" w:rsidTr="00A13EEC">
        <w:trPr>
          <w:trHeight w:val="225"/>
        </w:trPr>
        <w:tc>
          <w:tcPr>
            <w:tcW w:w="52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AMNT-12</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25/11/12</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29/11/12</w:t>
            </w:r>
          </w:p>
        </w:tc>
        <w:tc>
          <w:tcPr>
            <w:tcW w:w="15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Dubaï</w:t>
            </w:r>
          </w:p>
        </w:tc>
      </w:tr>
      <w:tr w:rsidR="00BA7363" w:rsidRPr="001F3536" w:rsidTr="00A13EEC">
        <w:trPr>
          <w:trHeight w:val="225"/>
        </w:trPr>
        <w:tc>
          <w:tcPr>
            <w:tcW w:w="52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CMTI-12</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3/12/12</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14/12/12</w:t>
            </w:r>
          </w:p>
        </w:tc>
        <w:tc>
          <w:tcPr>
            <w:tcW w:w="15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Dubaï</w:t>
            </w:r>
          </w:p>
        </w:tc>
      </w:tr>
      <w:tr w:rsidR="00BA7363" w:rsidRPr="001F3536" w:rsidTr="00A13EEC">
        <w:trPr>
          <w:trHeight w:val="225"/>
        </w:trPr>
        <w:tc>
          <w:tcPr>
            <w:tcW w:w="52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 xml:space="preserve">Atelier UIT/GISFI sur la réduction de l'écart en matière de normalisation </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17/12/12</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18/12/12</w:t>
            </w:r>
          </w:p>
        </w:tc>
        <w:tc>
          <w:tcPr>
            <w:tcW w:w="15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Bangalore</w:t>
            </w:r>
          </w:p>
        </w:tc>
      </w:tr>
      <w:tr w:rsidR="00DC03E9" w:rsidRPr="001F3536" w:rsidTr="00A13EEC">
        <w:trPr>
          <w:trHeight w:val="225"/>
        </w:trPr>
        <w:tc>
          <w:tcPr>
            <w:tcW w:w="5259" w:type="dxa"/>
            <w:shd w:val="clear" w:color="auto" w:fill="D9D9D9"/>
            <w:noWrap/>
            <w:hideMark/>
          </w:tcPr>
          <w:p w:rsidR="00BA7363" w:rsidRPr="001F3536" w:rsidRDefault="00BA7363" w:rsidP="001F3536">
            <w:pPr>
              <w:keepNext/>
              <w:keepLines/>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sz w:val="20"/>
                <w:lang w:val="en-US" w:eastAsia="zh-CN"/>
              </w:rPr>
            </w:pPr>
            <w:r w:rsidRPr="001F3536">
              <w:rPr>
                <w:rFonts w:asciiTheme="majorBidi" w:hAnsiTheme="majorBidi" w:cstheme="majorBidi"/>
                <w:b/>
                <w:bCs/>
                <w:sz w:val="20"/>
                <w:lang w:val="en-US" w:eastAsia="zh-CN"/>
              </w:rPr>
              <w:t>DEMANDES D'ASSISTANCE/D'INFORMATION</w:t>
            </w:r>
          </w:p>
        </w:tc>
        <w:tc>
          <w:tcPr>
            <w:tcW w:w="1276" w:type="dxa"/>
            <w:shd w:val="clear" w:color="auto" w:fill="D9D9D9"/>
            <w:noWrap/>
            <w:hideMark/>
          </w:tcPr>
          <w:p w:rsidR="00BA7363" w:rsidRPr="001F3536" w:rsidRDefault="00BA7363" w:rsidP="001F3536">
            <w:pPr>
              <w:keepNext/>
              <w:keepLines/>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p>
        </w:tc>
        <w:tc>
          <w:tcPr>
            <w:tcW w:w="1276" w:type="dxa"/>
            <w:shd w:val="clear" w:color="auto" w:fill="D9D9D9"/>
            <w:noWrap/>
            <w:hideMark/>
          </w:tcPr>
          <w:p w:rsidR="00BA7363" w:rsidRPr="001F3536" w:rsidRDefault="00BA7363" w:rsidP="001F3536">
            <w:pPr>
              <w:keepNext/>
              <w:keepLines/>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p>
        </w:tc>
        <w:tc>
          <w:tcPr>
            <w:tcW w:w="1559" w:type="dxa"/>
            <w:shd w:val="clear" w:color="auto" w:fill="D9D9D9"/>
            <w:noWrap/>
            <w:hideMark/>
          </w:tcPr>
          <w:p w:rsidR="00BA7363" w:rsidRPr="001F3536" w:rsidRDefault="00BA7363" w:rsidP="001F3536">
            <w:pPr>
              <w:keepNext/>
              <w:keepLines/>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sz w:val="20"/>
                <w:lang w:val="en-US" w:eastAsia="zh-CN"/>
              </w:rPr>
            </w:pPr>
          </w:p>
        </w:tc>
      </w:tr>
      <w:tr w:rsidR="00BA7363" w:rsidRPr="001F3536" w:rsidTr="00A13EEC">
        <w:trPr>
          <w:trHeight w:val="225"/>
        </w:trPr>
        <w:tc>
          <w:tcPr>
            <w:tcW w:w="5259" w:type="dxa"/>
            <w:shd w:val="clear" w:color="auto" w:fill="auto"/>
            <w:noWrap/>
            <w:hideMark/>
          </w:tcPr>
          <w:p w:rsidR="00BA7363" w:rsidRPr="001F3536" w:rsidRDefault="00BA7363" w:rsidP="001F3536">
            <w:pPr>
              <w:keepNext/>
              <w:keepLines/>
              <w:spacing w:before="40" w:after="40"/>
              <w:rPr>
                <w:rFonts w:asciiTheme="majorBidi" w:hAnsiTheme="majorBidi" w:cstheme="majorBidi"/>
                <w:sz w:val="20"/>
              </w:rPr>
            </w:pPr>
            <w:r w:rsidRPr="001F3536">
              <w:rPr>
                <w:rFonts w:asciiTheme="majorBidi" w:hAnsiTheme="majorBidi" w:cstheme="majorBidi"/>
                <w:sz w:val="20"/>
              </w:rPr>
              <w:t xml:space="preserve">Assistance à l'Albanie concernant les stratégies pour le passage à la télévision numérique </w:t>
            </w:r>
          </w:p>
        </w:tc>
        <w:tc>
          <w:tcPr>
            <w:tcW w:w="1276" w:type="dxa"/>
            <w:shd w:val="clear" w:color="auto" w:fill="auto"/>
            <w:noWrap/>
            <w:hideMark/>
          </w:tcPr>
          <w:p w:rsidR="00BA7363" w:rsidRPr="001F3536" w:rsidRDefault="00BA7363" w:rsidP="001F3536">
            <w:pPr>
              <w:keepNext/>
              <w:keepLines/>
              <w:spacing w:before="40" w:after="40"/>
              <w:rPr>
                <w:rFonts w:asciiTheme="majorBidi" w:hAnsiTheme="majorBidi" w:cstheme="majorBidi"/>
                <w:sz w:val="20"/>
              </w:rPr>
            </w:pPr>
            <w:r w:rsidRPr="001F3536">
              <w:rPr>
                <w:rFonts w:asciiTheme="majorBidi" w:hAnsiTheme="majorBidi" w:cstheme="majorBidi"/>
                <w:sz w:val="20"/>
              </w:rPr>
              <w:t>10/1/12</w:t>
            </w:r>
          </w:p>
        </w:tc>
        <w:tc>
          <w:tcPr>
            <w:tcW w:w="1276" w:type="dxa"/>
            <w:shd w:val="clear" w:color="auto" w:fill="auto"/>
            <w:noWrap/>
            <w:hideMark/>
          </w:tcPr>
          <w:p w:rsidR="00BA7363" w:rsidRPr="001F3536" w:rsidRDefault="00BA7363" w:rsidP="001F3536">
            <w:pPr>
              <w:keepNext/>
              <w:keepLines/>
              <w:spacing w:before="40" w:after="40"/>
              <w:rPr>
                <w:rFonts w:asciiTheme="majorBidi" w:hAnsiTheme="majorBidi" w:cstheme="majorBidi"/>
                <w:sz w:val="20"/>
              </w:rPr>
            </w:pPr>
            <w:r w:rsidRPr="001F3536">
              <w:rPr>
                <w:rFonts w:asciiTheme="majorBidi" w:hAnsiTheme="majorBidi" w:cstheme="majorBidi"/>
                <w:sz w:val="20"/>
              </w:rPr>
              <w:t>10/1/12</w:t>
            </w:r>
          </w:p>
        </w:tc>
        <w:tc>
          <w:tcPr>
            <w:tcW w:w="1559" w:type="dxa"/>
            <w:shd w:val="clear" w:color="auto" w:fill="auto"/>
            <w:noWrap/>
            <w:hideMark/>
          </w:tcPr>
          <w:p w:rsidR="00BA7363" w:rsidRPr="001F3536" w:rsidRDefault="00BA7363" w:rsidP="001F3536">
            <w:pPr>
              <w:keepNext/>
              <w:keepLines/>
              <w:spacing w:before="40" w:after="40"/>
              <w:rPr>
                <w:rFonts w:asciiTheme="majorBidi" w:hAnsiTheme="majorBidi" w:cstheme="majorBidi"/>
                <w:sz w:val="20"/>
              </w:rPr>
            </w:pPr>
            <w:r w:rsidRPr="001F3536">
              <w:rPr>
                <w:rFonts w:asciiTheme="majorBidi" w:hAnsiTheme="majorBidi" w:cstheme="majorBidi"/>
                <w:sz w:val="20"/>
              </w:rPr>
              <w:t>Tirana</w:t>
            </w:r>
          </w:p>
        </w:tc>
      </w:tr>
      <w:tr w:rsidR="00BA7363" w:rsidRPr="001F3536" w:rsidTr="00A13EEC">
        <w:trPr>
          <w:trHeight w:val="225"/>
        </w:trPr>
        <w:tc>
          <w:tcPr>
            <w:tcW w:w="5259" w:type="dxa"/>
            <w:shd w:val="clear" w:color="auto" w:fill="auto"/>
            <w:noWrap/>
            <w:hideMark/>
          </w:tcPr>
          <w:p w:rsidR="00BA7363" w:rsidRPr="001F3536" w:rsidRDefault="00BA7363" w:rsidP="001F3536">
            <w:pPr>
              <w:keepNext/>
              <w:keepLines/>
              <w:spacing w:before="40" w:after="40"/>
              <w:rPr>
                <w:rFonts w:asciiTheme="majorBidi" w:hAnsiTheme="majorBidi" w:cstheme="majorBidi"/>
                <w:sz w:val="20"/>
              </w:rPr>
            </w:pPr>
            <w:r w:rsidRPr="001F3536">
              <w:rPr>
                <w:rFonts w:asciiTheme="majorBidi" w:hAnsiTheme="majorBidi" w:cstheme="majorBidi"/>
                <w:sz w:val="20"/>
              </w:rPr>
              <w:t>Assistance technique à la NICTA (Papouasie</w:t>
            </w:r>
            <w:r w:rsidRPr="001F3536">
              <w:rPr>
                <w:rFonts w:asciiTheme="majorBidi" w:hAnsiTheme="majorBidi" w:cstheme="majorBidi"/>
                <w:sz w:val="20"/>
              </w:rPr>
              <w:noBreakHyphen/>
              <w:t>Nouvelle</w:t>
            </w:r>
            <w:r w:rsidRPr="001F3536">
              <w:rPr>
                <w:rFonts w:asciiTheme="majorBidi" w:hAnsiTheme="majorBidi" w:cstheme="majorBidi"/>
                <w:sz w:val="20"/>
              </w:rPr>
              <w:noBreakHyphen/>
              <w:t>Guinée)</w:t>
            </w:r>
          </w:p>
        </w:tc>
        <w:tc>
          <w:tcPr>
            <w:tcW w:w="1276" w:type="dxa"/>
            <w:shd w:val="clear" w:color="auto" w:fill="auto"/>
            <w:noWrap/>
            <w:hideMark/>
          </w:tcPr>
          <w:p w:rsidR="00BA7363" w:rsidRPr="001F3536" w:rsidRDefault="00BA7363" w:rsidP="001F3536">
            <w:pPr>
              <w:keepNext/>
              <w:keepLines/>
              <w:spacing w:before="40" w:after="40"/>
              <w:rPr>
                <w:rFonts w:asciiTheme="majorBidi" w:hAnsiTheme="majorBidi" w:cstheme="majorBidi"/>
                <w:sz w:val="20"/>
              </w:rPr>
            </w:pPr>
            <w:r w:rsidRPr="001F3536">
              <w:rPr>
                <w:rFonts w:asciiTheme="majorBidi" w:hAnsiTheme="majorBidi" w:cstheme="majorBidi"/>
                <w:sz w:val="20"/>
              </w:rPr>
              <w:t>30/7/12</w:t>
            </w:r>
          </w:p>
        </w:tc>
        <w:tc>
          <w:tcPr>
            <w:tcW w:w="1276" w:type="dxa"/>
            <w:shd w:val="clear" w:color="auto" w:fill="auto"/>
            <w:noWrap/>
            <w:hideMark/>
          </w:tcPr>
          <w:p w:rsidR="00BA7363" w:rsidRPr="001F3536" w:rsidRDefault="00BA7363" w:rsidP="001F3536">
            <w:pPr>
              <w:keepNext/>
              <w:keepLines/>
              <w:spacing w:before="40" w:after="40"/>
              <w:rPr>
                <w:rFonts w:asciiTheme="majorBidi" w:hAnsiTheme="majorBidi" w:cstheme="majorBidi"/>
                <w:sz w:val="20"/>
              </w:rPr>
            </w:pPr>
            <w:r w:rsidRPr="001F3536">
              <w:rPr>
                <w:rFonts w:asciiTheme="majorBidi" w:hAnsiTheme="majorBidi" w:cstheme="majorBidi"/>
                <w:sz w:val="20"/>
              </w:rPr>
              <w:t>3/8/12</w:t>
            </w:r>
          </w:p>
        </w:tc>
        <w:tc>
          <w:tcPr>
            <w:tcW w:w="1559" w:type="dxa"/>
            <w:shd w:val="clear" w:color="auto" w:fill="auto"/>
            <w:noWrap/>
            <w:hideMark/>
          </w:tcPr>
          <w:p w:rsidR="00BA7363" w:rsidRPr="001F3536" w:rsidRDefault="00BA7363" w:rsidP="001F3536">
            <w:pPr>
              <w:keepNext/>
              <w:keepLines/>
              <w:spacing w:before="40" w:after="40"/>
              <w:rPr>
                <w:rFonts w:asciiTheme="majorBidi" w:hAnsiTheme="majorBidi" w:cstheme="majorBidi"/>
                <w:sz w:val="20"/>
              </w:rPr>
            </w:pPr>
            <w:r w:rsidRPr="001F3536">
              <w:rPr>
                <w:rFonts w:asciiTheme="majorBidi" w:hAnsiTheme="majorBidi" w:cstheme="majorBidi"/>
                <w:sz w:val="20"/>
              </w:rPr>
              <w:t>Port Moresby</w:t>
            </w:r>
          </w:p>
        </w:tc>
      </w:tr>
      <w:tr w:rsidR="00BA7363" w:rsidRPr="001F3536" w:rsidTr="00A13EEC">
        <w:trPr>
          <w:trHeight w:val="225"/>
        </w:trPr>
        <w:tc>
          <w:tcPr>
            <w:tcW w:w="52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Assistance à la Palestine</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10/9/12</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13/9/12</w:t>
            </w:r>
          </w:p>
        </w:tc>
        <w:tc>
          <w:tcPr>
            <w:tcW w:w="15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Palestine</w:t>
            </w:r>
          </w:p>
        </w:tc>
      </w:tr>
      <w:tr w:rsidR="00BA7363" w:rsidRPr="001F3536" w:rsidTr="00A13EEC">
        <w:trPr>
          <w:trHeight w:val="225"/>
        </w:trPr>
        <w:tc>
          <w:tcPr>
            <w:tcW w:w="52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Assistance au MERCOSUR</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29/10/12</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2/11/12</w:t>
            </w:r>
          </w:p>
        </w:tc>
        <w:tc>
          <w:tcPr>
            <w:tcW w:w="15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Brasilia</w:t>
            </w:r>
          </w:p>
        </w:tc>
      </w:tr>
      <w:tr w:rsidR="00BA7363" w:rsidRPr="001F3536" w:rsidTr="00A13EEC">
        <w:trPr>
          <w:trHeight w:val="225"/>
        </w:trPr>
        <w:tc>
          <w:tcPr>
            <w:tcW w:w="52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Assistance au Gabon</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12/11/12</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16/11/12</w:t>
            </w:r>
          </w:p>
        </w:tc>
        <w:tc>
          <w:tcPr>
            <w:tcW w:w="15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Gabon</w:t>
            </w:r>
          </w:p>
        </w:tc>
      </w:tr>
      <w:tr w:rsidR="00BA7363" w:rsidRPr="001F3536" w:rsidTr="00A13EEC">
        <w:trPr>
          <w:trHeight w:val="225"/>
        </w:trPr>
        <w:tc>
          <w:tcPr>
            <w:tcW w:w="52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Assistance à la Thaïlande</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12/11/12</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15/11/12</w:t>
            </w:r>
          </w:p>
        </w:tc>
        <w:tc>
          <w:tcPr>
            <w:tcW w:w="15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Bangkok</w:t>
            </w:r>
          </w:p>
        </w:tc>
      </w:tr>
      <w:tr w:rsidR="00BA7363" w:rsidRPr="001F3536" w:rsidTr="00A13EEC">
        <w:trPr>
          <w:trHeight w:val="214"/>
        </w:trPr>
        <w:tc>
          <w:tcPr>
            <w:tcW w:w="52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Assistance aux Maldives</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26/11/12</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30/11/12</w:t>
            </w:r>
          </w:p>
        </w:tc>
        <w:tc>
          <w:tcPr>
            <w:tcW w:w="15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Maldives</w:t>
            </w:r>
          </w:p>
        </w:tc>
      </w:tr>
      <w:tr w:rsidR="00BA7363" w:rsidRPr="001F3536" w:rsidTr="00A13EEC">
        <w:trPr>
          <w:trHeight w:val="225"/>
        </w:trPr>
        <w:tc>
          <w:tcPr>
            <w:tcW w:w="52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Assistance à la NBTC (Thaïlande)</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10/12/12</w:t>
            </w:r>
          </w:p>
        </w:tc>
        <w:tc>
          <w:tcPr>
            <w:tcW w:w="1276"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14/12/12</w:t>
            </w:r>
          </w:p>
        </w:tc>
        <w:tc>
          <w:tcPr>
            <w:tcW w:w="1559" w:type="dxa"/>
            <w:shd w:val="clear" w:color="auto" w:fill="auto"/>
            <w:noWrap/>
            <w:hideMark/>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Bangkok</w:t>
            </w:r>
          </w:p>
        </w:tc>
      </w:tr>
      <w:tr w:rsidR="00DC03E9" w:rsidRPr="001F3536" w:rsidTr="00A13EEC">
        <w:trPr>
          <w:trHeight w:val="225"/>
        </w:trPr>
        <w:tc>
          <w:tcPr>
            <w:tcW w:w="5259" w:type="dxa"/>
            <w:shd w:val="pct15" w:color="auto" w:fill="auto"/>
            <w:noWrap/>
          </w:tcPr>
          <w:p w:rsidR="00BA7363" w:rsidRPr="001F3536" w:rsidRDefault="00BA7363" w:rsidP="00DC03E9">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sz w:val="20"/>
                <w:lang w:val="en-US" w:eastAsia="zh-CN"/>
              </w:rPr>
            </w:pPr>
            <w:r w:rsidRPr="001F3536">
              <w:rPr>
                <w:rFonts w:asciiTheme="majorBidi" w:hAnsiTheme="majorBidi" w:cstheme="majorBidi"/>
                <w:b/>
                <w:bCs/>
                <w:sz w:val="20"/>
                <w:lang w:val="en-US" w:eastAsia="zh-CN"/>
              </w:rPr>
              <w:t>DIVERS</w:t>
            </w:r>
          </w:p>
        </w:tc>
        <w:tc>
          <w:tcPr>
            <w:tcW w:w="1276" w:type="dxa"/>
            <w:shd w:val="pct15" w:color="auto" w:fill="auto"/>
            <w:noWrap/>
          </w:tcPr>
          <w:p w:rsidR="00BA7363" w:rsidRPr="001F3536" w:rsidRDefault="00BA7363" w:rsidP="00DC03E9">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sz w:val="20"/>
                <w:lang w:val="en-US" w:eastAsia="zh-CN"/>
              </w:rPr>
            </w:pPr>
          </w:p>
        </w:tc>
        <w:tc>
          <w:tcPr>
            <w:tcW w:w="1276" w:type="dxa"/>
            <w:shd w:val="pct15" w:color="auto" w:fill="auto"/>
            <w:noWrap/>
          </w:tcPr>
          <w:p w:rsidR="00BA7363" w:rsidRPr="001F3536" w:rsidRDefault="00BA7363" w:rsidP="00DC03E9">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sz w:val="20"/>
                <w:lang w:val="en-US" w:eastAsia="zh-CN"/>
              </w:rPr>
            </w:pPr>
          </w:p>
        </w:tc>
        <w:tc>
          <w:tcPr>
            <w:tcW w:w="1559" w:type="dxa"/>
            <w:shd w:val="pct15" w:color="auto" w:fill="auto"/>
            <w:noWrap/>
          </w:tcPr>
          <w:p w:rsidR="00BA7363" w:rsidRPr="001F3536" w:rsidRDefault="00BA7363" w:rsidP="00DC03E9">
            <w:pPr>
              <w:tabs>
                <w:tab w:val="clear" w:pos="794"/>
                <w:tab w:val="clear" w:pos="1191"/>
                <w:tab w:val="clear" w:pos="1588"/>
                <w:tab w:val="clear" w:pos="1985"/>
              </w:tabs>
              <w:overflowPunct/>
              <w:autoSpaceDE/>
              <w:autoSpaceDN/>
              <w:adjustRightInd/>
              <w:spacing w:before="40" w:after="40"/>
              <w:textAlignment w:val="auto"/>
              <w:rPr>
                <w:rFonts w:asciiTheme="majorBidi" w:hAnsiTheme="majorBidi" w:cstheme="majorBidi"/>
                <w:b/>
                <w:bCs/>
                <w:sz w:val="20"/>
                <w:lang w:val="en-US" w:eastAsia="zh-CN"/>
              </w:rPr>
            </w:pPr>
          </w:p>
        </w:tc>
      </w:tr>
      <w:tr w:rsidR="00BA7363" w:rsidRPr="001F3536" w:rsidTr="00A13EEC">
        <w:trPr>
          <w:trHeight w:val="225"/>
        </w:trPr>
        <w:tc>
          <w:tcPr>
            <w:tcW w:w="5259" w:type="dxa"/>
            <w:shd w:val="clear" w:color="auto" w:fill="auto"/>
            <w:noWrap/>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63ème EMMY Award dans le domaine de la technologie et de l'ingénierie</w:t>
            </w:r>
          </w:p>
        </w:tc>
        <w:tc>
          <w:tcPr>
            <w:tcW w:w="1276" w:type="dxa"/>
            <w:shd w:val="clear" w:color="auto" w:fill="auto"/>
            <w:noWrap/>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12/1/12</w:t>
            </w:r>
          </w:p>
        </w:tc>
        <w:tc>
          <w:tcPr>
            <w:tcW w:w="1276" w:type="dxa"/>
            <w:shd w:val="clear" w:color="auto" w:fill="auto"/>
            <w:noWrap/>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12/1/12</w:t>
            </w:r>
          </w:p>
        </w:tc>
        <w:tc>
          <w:tcPr>
            <w:tcW w:w="1559" w:type="dxa"/>
            <w:shd w:val="clear" w:color="auto" w:fill="auto"/>
            <w:noWrap/>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Las Vegas</w:t>
            </w:r>
          </w:p>
        </w:tc>
      </w:tr>
      <w:tr w:rsidR="00BA7363" w:rsidRPr="001F3536" w:rsidTr="00A13EEC">
        <w:trPr>
          <w:trHeight w:val="225"/>
        </w:trPr>
        <w:tc>
          <w:tcPr>
            <w:tcW w:w="5259" w:type="dxa"/>
            <w:shd w:val="clear" w:color="auto" w:fill="auto"/>
            <w:noWrap/>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 xml:space="preserve">100ème réunion du Groupe MPEG </w:t>
            </w:r>
          </w:p>
        </w:tc>
        <w:tc>
          <w:tcPr>
            <w:tcW w:w="1276" w:type="dxa"/>
            <w:shd w:val="clear" w:color="auto" w:fill="auto"/>
            <w:noWrap/>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2/5/12</w:t>
            </w:r>
          </w:p>
        </w:tc>
        <w:tc>
          <w:tcPr>
            <w:tcW w:w="1276" w:type="dxa"/>
            <w:shd w:val="clear" w:color="auto" w:fill="auto"/>
            <w:noWrap/>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2/5/12</w:t>
            </w:r>
          </w:p>
        </w:tc>
        <w:tc>
          <w:tcPr>
            <w:tcW w:w="1559" w:type="dxa"/>
            <w:shd w:val="clear" w:color="auto" w:fill="auto"/>
            <w:noWrap/>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Genève</w:t>
            </w:r>
          </w:p>
        </w:tc>
      </w:tr>
      <w:tr w:rsidR="00BA7363" w:rsidRPr="001F3536" w:rsidTr="00A13EEC">
        <w:trPr>
          <w:trHeight w:val="225"/>
        </w:trPr>
        <w:tc>
          <w:tcPr>
            <w:tcW w:w="5259" w:type="dxa"/>
            <w:shd w:val="clear" w:color="auto" w:fill="auto"/>
            <w:noWrap/>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Visite de l'INVAP à Bariloche et d'ARSAT à Benavidez</w:t>
            </w:r>
          </w:p>
        </w:tc>
        <w:tc>
          <w:tcPr>
            <w:tcW w:w="1276" w:type="dxa"/>
            <w:shd w:val="clear" w:color="auto" w:fill="auto"/>
            <w:noWrap/>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26/5/12</w:t>
            </w:r>
          </w:p>
        </w:tc>
        <w:tc>
          <w:tcPr>
            <w:tcW w:w="1276" w:type="dxa"/>
            <w:shd w:val="clear" w:color="auto" w:fill="auto"/>
            <w:noWrap/>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29/5/12</w:t>
            </w:r>
          </w:p>
        </w:tc>
        <w:tc>
          <w:tcPr>
            <w:tcW w:w="1559" w:type="dxa"/>
            <w:shd w:val="clear" w:color="auto" w:fill="auto"/>
            <w:noWrap/>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Buenos Aires</w:t>
            </w:r>
          </w:p>
        </w:tc>
      </w:tr>
      <w:tr w:rsidR="00DC03E9" w:rsidRPr="001F3536" w:rsidTr="00A13EEC">
        <w:trPr>
          <w:trHeight w:val="225"/>
        </w:trPr>
        <w:tc>
          <w:tcPr>
            <w:tcW w:w="5259" w:type="dxa"/>
            <w:shd w:val="clear" w:color="auto" w:fill="auto"/>
            <w:noWrap/>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Communication sur les télécommunications par satellite à l'Université du Luxembourg</w:t>
            </w:r>
          </w:p>
        </w:tc>
        <w:tc>
          <w:tcPr>
            <w:tcW w:w="1276" w:type="dxa"/>
            <w:shd w:val="clear" w:color="auto" w:fill="auto"/>
            <w:noWrap/>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20/11/12</w:t>
            </w:r>
          </w:p>
        </w:tc>
        <w:tc>
          <w:tcPr>
            <w:tcW w:w="1276" w:type="dxa"/>
            <w:shd w:val="clear" w:color="auto" w:fill="auto"/>
            <w:noWrap/>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20/11/12</w:t>
            </w:r>
          </w:p>
        </w:tc>
        <w:tc>
          <w:tcPr>
            <w:tcW w:w="1559" w:type="dxa"/>
            <w:shd w:val="clear" w:color="auto" w:fill="auto"/>
            <w:noWrap/>
          </w:tcPr>
          <w:p w:rsidR="00BA7363" w:rsidRPr="001F3536" w:rsidRDefault="00BA7363" w:rsidP="00DC03E9">
            <w:pPr>
              <w:spacing w:before="40" w:after="40"/>
              <w:rPr>
                <w:rFonts w:asciiTheme="majorBidi" w:hAnsiTheme="majorBidi" w:cstheme="majorBidi"/>
                <w:sz w:val="20"/>
              </w:rPr>
            </w:pPr>
            <w:r w:rsidRPr="001F3536">
              <w:rPr>
                <w:rFonts w:asciiTheme="majorBidi" w:hAnsiTheme="majorBidi" w:cstheme="majorBidi"/>
                <w:sz w:val="20"/>
              </w:rPr>
              <w:t>Limpertsberg</w:t>
            </w:r>
          </w:p>
        </w:tc>
      </w:tr>
    </w:tbl>
    <w:p w:rsidR="00BA7363" w:rsidRDefault="00BA7363" w:rsidP="00BA7363">
      <w:pPr>
        <w:pStyle w:val="Reasons"/>
      </w:pPr>
    </w:p>
    <w:p w:rsidR="00DC03E9" w:rsidRDefault="00DC03E9" w:rsidP="00DC03E9">
      <w:pPr>
        <w:pStyle w:val="Reasons"/>
      </w:pPr>
    </w:p>
    <w:p w:rsidR="00AC39EE" w:rsidRDefault="00DC03E9" w:rsidP="00DC03E9">
      <w:pPr>
        <w:jc w:val="center"/>
      </w:pPr>
      <w:r>
        <w:t>______________</w:t>
      </w:r>
      <w:bookmarkStart w:id="7" w:name="_GoBack"/>
      <w:bookmarkEnd w:id="7"/>
    </w:p>
    <w:sectPr w:rsidR="00AC39EE">
      <w:headerReference w:type="even" r:id="rId30"/>
      <w:headerReference w:type="default" r:id="rId31"/>
      <w:footerReference w:type="even" r:id="rId32"/>
      <w:footerReference w:type="default" r:id="rId33"/>
      <w:headerReference w:type="first" r:id="rId34"/>
      <w:footerReference w:type="first" r:id="rId3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078" w:rsidRDefault="00D16078">
      <w:r>
        <w:separator/>
      </w:r>
    </w:p>
  </w:endnote>
  <w:endnote w:type="continuationSeparator" w:id="0">
    <w:p w:rsidR="00D16078" w:rsidRDefault="00D1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078" w:rsidRDefault="00D16078" w:rsidP="007D6DBA">
    <w:pPr>
      <w:pStyle w:val="Footer"/>
    </w:pPr>
    <w:fldSimple w:instr=" FILENAME \p  \* MERGEFORMAT ">
      <w:r w:rsidR="000463BE">
        <w:t>P:\FRA\ITU-R\AG\RAG13\RAG-1\000\001F.docx</w:t>
      </w:r>
    </w:fldSimple>
    <w:r>
      <w:t xml:space="preserve"> (341203)</w:t>
    </w:r>
    <w:r>
      <w:tab/>
    </w:r>
    <w:r>
      <w:fldChar w:fldCharType="begin"/>
    </w:r>
    <w:r>
      <w:instrText xml:space="preserve"> SAVEDATE \@ DD.MM.YY </w:instrText>
    </w:r>
    <w:r>
      <w:fldChar w:fldCharType="separate"/>
    </w:r>
    <w:r w:rsidR="000463BE">
      <w:t>10.04.13</w:t>
    </w:r>
    <w:r>
      <w:fldChar w:fldCharType="end"/>
    </w:r>
    <w:r>
      <w:tab/>
    </w:r>
    <w:r>
      <w:fldChar w:fldCharType="begin"/>
    </w:r>
    <w:r>
      <w:instrText xml:space="preserve"> PRINTDATE \@ DD.MM.YY </w:instrText>
    </w:r>
    <w:r>
      <w:fldChar w:fldCharType="separate"/>
    </w:r>
    <w:r w:rsidR="000463BE">
      <w:t>10.04.13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078" w:rsidRDefault="00D16078">
    <w:pPr>
      <w:pStyle w:val="Footer"/>
    </w:pPr>
    <w:fldSimple w:instr=" FILENAME \p  \* MERGEFORMAT ">
      <w:r w:rsidR="000463BE">
        <w:t>P:\FRA\ITU-R\AG\RAG13\RAG-1\000\001F.docx</w:t>
      </w:r>
    </w:fldSimple>
    <w:r>
      <w:t xml:space="preserve"> (341203)</w:t>
    </w:r>
    <w:r>
      <w:tab/>
    </w:r>
    <w:r>
      <w:fldChar w:fldCharType="begin"/>
    </w:r>
    <w:r>
      <w:instrText xml:space="preserve"> SAVEDATE \@ DD.MM.YY </w:instrText>
    </w:r>
    <w:r>
      <w:fldChar w:fldCharType="separate"/>
    </w:r>
    <w:r w:rsidR="000463BE">
      <w:t>10.04.13</w:t>
    </w:r>
    <w:r>
      <w:fldChar w:fldCharType="end"/>
    </w:r>
    <w:r>
      <w:tab/>
    </w:r>
    <w:r>
      <w:fldChar w:fldCharType="begin"/>
    </w:r>
    <w:r>
      <w:instrText xml:space="preserve"> PRINTDATE \@ DD.MM.YY </w:instrText>
    </w:r>
    <w:r>
      <w:fldChar w:fldCharType="separate"/>
    </w:r>
    <w:r w:rsidR="000463BE">
      <w:t>10.04.13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078" w:rsidRDefault="00D16078">
    <w:pPr>
      <w:pStyle w:val="Footer"/>
      <w:rPr>
        <w:lang w:val="en-US"/>
      </w:rPr>
    </w:pPr>
    <w:r>
      <w:fldChar w:fldCharType="begin"/>
    </w:r>
    <w:r w:rsidRPr="00A9055C">
      <w:rPr>
        <w:lang w:val="en-US"/>
      </w:rPr>
      <w:instrText xml:space="preserve"> FILENAME \p \* MERGEFORMAT </w:instrText>
    </w:r>
    <w:r>
      <w:fldChar w:fldCharType="separate"/>
    </w:r>
    <w:r w:rsidR="000463BE">
      <w:rPr>
        <w:lang w:val="en-US"/>
      </w:rPr>
      <w:t>P:\FRA\ITU-R\AG\RAG13\RAG-1\000\001F.docx</w:t>
    </w:r>
    <w:r>
      <w:rPr>
        <w:lang w:val="en-US"/>
      </w:rPr>
      <w:fldChar w:fldCharType="end"/>
    </w:r>
    <w:r>
      <w:rPr>
        <w:lang w:val="en-US"/>
      </w:rPr>
      <w:tab/>
    </w:r>
    <w:r>
      <w:fldChar w:fldCharType="begin"/>
    </w:r>
    <w:r>
      <w:instrText xml:space="preserve"> savedate \@ dd.MM.yy </w:instrText>
    </w:r>
    <w:r>
      <w:fldChar w:fldCharType="separate"/>
    </w:r>
    <w:r w:rsidR="000463BE">
      <w:t>10.04.13</w:t>
    </w:r>
    <w:r>
      <w:fldChar w:fldCharType="end"/>
    </w:r>
    <w:r>
      <w:rPr>
        <w:lang w:val="en-US"/>
      </w:rPr>
      <w:tab/>
    </w:r>
    <w:r>
      <w:fldChar w:fldCharType="begin"/>
    </w:r>
    <w:r>
      <w:instrText xml:space="preserve"> printdate \@ dd.MM.yy </w:instrText>
    </w:r>
    <w:r>
      <w:fldChar w:fldCharType="separate"/>
    </w:r>
    <w:r w:rsidR="000463BE">
      <w:t>10.04.13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078" w:rsidRDefault="00D16078">
    <w:pPr>
      <w:pStyle w:val="Footer"/>
      <w:rPr>
        <w:lang w:val="en-US"/>
      </w:rPr>
    </w:pPr>
    <w:r>
      <w:fldChar w:fldCharType="begin"/>
    </w:r>
    <w:r w:rsidRPr="00A9055C">
      <w:rPr>
        <w:lang w:val="en-US"/>
      </w:rPr>
      <w:instrText xml:space="preserve"> FILENAME \p \* MERGEFORMAT </w:instrText>
    </w:r>
    <w:r>
      <w:fldChar w:fldCharType="separate"/>
    </w:r>
    <w:r w:rsidR="000463BE">
      <w:rPr>
        <w:lang w:val="en-US"/>
      </w:rPr>
      <w:t>P:\FRA\ITU-R\AG\RAG13\RAG-1\000\001F.docx</w:t>
    </w:r>
    <w:r>
      <w:rPr>
        <w:lang w:val="en-US"/>
      </w:rPr>
      <w:fldChar w:fldCharType="end"/>
    </w:r>
    <w:r>
      <w:rPr>
        <w:lang w:val="en-US"/>
      </w:rPr>
      <w:t xml:space="preserve"> (341203)</w:t>
    </w:r>
    <w:r>
      <w:rPr>
        <w:lang w:val="en-US"/>
      </w:rPr>
      <w:tab/>
    </w:r>
    <w:r>
      <w:fldChar w:fldCharType="begin"/>
    </w:r>
    <w:r>
      <w:instrText xml:space="preserve"> savedate \@ dd.MM.yy </w:instrText>
    </w:r>
    <w:r>
      <w:fldChar w:fldCharType="separate"/>
    </w:r>
    <w:r w:rsidR="000463BE">
      <w:t>10.04.13</w:t>
    </w:r>
    <w:r>
      <w:fldChar w:fldCharType="end"/>
    </w:r>
    <w:r>
      <w:rPr>
        <w:lang w:val="en-US"/>
      </w:rPr>
      <w:tab/>
    </w:r>
    <w:r>
      <w:fldChar w:fldCharType="begin"/>
    </w:r>
    <w:r>
      <w:instrText xml:space="preserve"> printdate \@ dd.MM.yy </w:instrText>
    </w:r>
    <w:r>
      <w:fldChar w:fldCharType="separate"/>
    </w:r>
    <w:r w:rsidR="000463BE">
      <w:t>10.04.13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078" w:rsidRDefault="00D16078">
    <w:pPr>
      <w:pStyle w:val="Footer"/>
      <w:rPr>
        <w:lang w:val="en-US"/>
      </w:rPr>
    </w:pPr>
    <w:r>
      <w:fldChar w:fldCharType="begin"/>
    </w:r>
    <w:r w:rsidRPr="00A9055C">
      <w:rPr>
        <w:lang w:val="en-US"/>
      </w:rPr>
      <w:instrText xml:space="preserve"> FILENAME \p \* MERGEFORMAT </w:instrText>
    </w:r>
    <w:r>
      <w:fldChar w:fldCharType="separate"/>
    </w:r>
    <w:r w:rsidR="000463BE">
      <w:rPr>
        <w:lang w:val="en-US"/>
      </w:rPr>
      <w:t>P:\FRA\ITU-R\AG\RAG13\RAG-1\000\001F.docx</w:t>
    </w:r>
    <w:r>
      <w:rPr>
        <w:lang w:val="en-US"/>
      </w:rPr>
      <w:fldChar w:fldCharType="end"/>
    </w:r>
    <w:r>
      <w:rPr>
        <w:lang w:val="en-US"/>
      </w:rPr>
      <w:tab/>
    </w:r>
    <w:r>
      <w:fldChar w:fldCharType="begin"/>
    </w:r>
    <w:r>
      <w:instrText xml:space="preserve"> savedate \@ dd.MM.yy </w:instrText>
    </w:r>
    <w:r>
      <w:fldChar w:fldCharType="separate"/>
    </w:r>
    <w:r w:rsidR="000463BE">
      <w:t>10.04.13</w:t>
    </w:r>
    <w:r>
      <w:fldChar w:fldCharType="end"/>
    </w:r>
    <w:r>
      <w:rPr>
        <w:lang w:val="en-US"/>
      </w:rPr>
      <w:tab/>
    </w:r>
    <w:r>
      <w:fldChar w:fldCharType="begin"/>
    </w:r>
    <w:r>
      <w:instrText xml:space="preserve"> printdate \@ dd.MM.yy </w:instrText>
    </w:r>
    <w:r>
      <w:fldChar w:fldCharType="separate"/>
    </w:r>
    <w:r w:rsidR="000463BE">
      <w:t>10.04.13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078" w:rsidRDefault="00D16078">
      <w:r>
        <w:t>____________________</w:t>
      </w:r>
    </w:p>
  </w:footnote>
  <w:footnote w:type="continuationSeparator" w:id="0">
    <w:p w:rsidR="00D16078" w:rsidRDefault="00D16078">
      <w:r>
        <w:continuationSeparator/>
      </w:r>
    </w:p>
  </w:footnote>
  <w:footnote w:id="1">
    <w:p w:rsidR="00D16078" w:rsidRDefault="00D16078" w:rsidP="006746C7">
      <w:pPr>
        <w:pStyle w:val="FootnoteText"/>
      </w:pPr>
      <w:r>
        <w:rPr>
          <w:rStyle w:val="FootnoteReference"/>
        </w:rPr>
        <w:footnoteRef/>
      </w:r>
      <w:r>
        <w:tab/>
        <w:t>Le BR s'emploie actuellement à améliorer l'utilitaire installation, afin d'assurer une parfaite compatibilité également avec Windows 8</w:t>
      </w:r>
      <w:r>
        <w:rPr>
          <w:vertAlign w:val="superscript"/>
        </w:rPr>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078" w:rsidRPr="00465F3E" w:rsidRDefault="00D16078">
    <w:pPr>
      <w:pStyle w:val="Header"/>
      <w:rPr>
        <w:lang w:val="en-US"/>
      </w:rPr>
    </w:pPr>
    <w:r>
      <w:fldChar w:fldCharType="begin"/>
    </w:r>
    <w:r>
      <w:instrText xml:space="preserve"> PAGE </w:instrText>
    </w:r>
    <w:r>
      <w:fldChar w:fldCharType="separate"/>
    </w:r>
    <w:r w:rsidR="000463BE">
      <w:rPr>
        <w:noProof/>
      </w:rPr>
      <w:t>12</w:t>
    </w:r>
    <w:r>
      <w:rPr>
        <w:noProof/>
      </w:rPr>
      <w:fldChar w:fldCharType="end"/>
    </w:r>
  </w:p>
  <w:p w:rsidR="00D16078" w:rsidRPr="00465F3E" w:rsidRDefault="00D16078" w:rsidP="007D6DBA">
    <w:pPr>
      <w:pStyle w:val="Header"/>
      <w:rPr>
        <w:lang w:val="en-US"/>
      </w:rPr>
    </w:pPr>
    <w:r>
      <w:rPr>
        <w:lang w:val="en-US"/>
      </w:rPr>
      <w:t>RAG13-1/1</w:t>
    </w:r>
    <w:r w:rsidRPr="00465F3E">
      <w:rPr>
        <w:lang w:val="en-US"/>
      </w:rPr>
      <w:t>-</w:t>
    </w:r>
    <w:r>
      <w:rPr>
        <w:lang w:val="en-US"/>
      </w:rPr>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078" w:rsidRDefault="00D16078">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078" w:rsidRDefault="00D16078" w:rsidP="00925627">
    <w:pPr>
      <w:pStyle w:val="Header"/>
      <w:rPr>
        <w:lang w:val="es-ES"/>
      </w:rPr>
    </w:pPr>
    <w:r>
      <w:fldChar w:fldCharType="begin"/>
    </w:r>
    <w:r>
      <w:instrText xml:space="preserve"> PAGE </w:instrText>
    </w:r>
    <w:r>
      <w:fldChar w:fldCharType="separate"/>
    </w:r>
    <w:r w:rsidR="000463BE">
      <w:rPr>
        <w:noProof/>
      </w:rPr>
      <w:t>20</w:t>
    </w:r>
    <w:r>
      <w:rPr>
        <w:noProof/>
      </w:rPr>
      <w:fldChar w:fldCharType="end"/>
    </w:r>
  </w:p>
  <w:p w:rsidR="00D16078" w:rsidRDefault="00D16078" w:rsidP="00BA0C7B">
    <w:pPr>
      <w:pStyle w:val="Header"/>
      <w:rPr>
        <w:lang w:val="es-ES"/>
      </w:rPr>
    </w:pPr>
    <w:r>
      <w:rPr>
        <w:lang w:val="es-ES"/>
      </w:rPr>
      <w:t>RAG13-1/1-F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078" w:rsidRPr="00465F3E" w:rsidRDefault="00D16078" w:rsidP="000F4677">
    <w:pPr>
      <w:pStyle w:val="Header"/>
      <w:rPr>
        <w:lang w:val="en-US"/>
      </w:rPr>
    </w:pPr>
    <w:r>
      <w:fldChar w:fldCharType="begin"/>
    </w:r>
    <w:r>
      <w:instrText xml:space="preserve"> PAGE </w:instrText>
    </w:r>
    <w:r>
      <w:fldChar w:fldCharType="separate"/>
    </w:r>
    <w:r w:rsidR="000463BE">
      <w:rPr>
        <w:noProof/>
      </w:rPr>
      <w:t>13</w:t>
    </w:r>
    <w:r>
      <w:rPr>
        <w:noProof/>
      </w:rPr>
      <w:fldChar w:fldCharType="end"/>
    </w:r>
  </w:p>
  <w:p w:rsidR="00D16078" w:rsidRPr="000F4677" w:rsidRDefault="00D16078" w:rsidP="000F4677">
    <w:pPr>
      <w:pStyle w:val="Header"/>
      <w:rPr>
        <w:lang w:val="en-US"/>
      </w:rPr>
    </w:pPr>
    <w:r>
      <w:rPr>
        <w:lang w:val="en-US"/>
      </w:rPr>
      <w:t>RAG13-1/1</w:t>
    </w:r>
    <w:r w:rsidRPr="00465F3E">
      <w:rPr>
        <w:lang w:val="en-US"/>
      </w:rPr>
      <w:t>-</w:t>
    </w:r>
    <w:r>
      <w:rPr>
        <w:lang w:val="en-US"/>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AAE"/>
    <w:multiLevelType w:val="hybridMultilevel"/>
    <w:tmpl w:val="BC220644"/>
    <w:lvl w:ilvl="0" w:tplc="A43AB9AA">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00A03"/>
    <w:multiLevelType w:val="hybridMultilevel"/>
    <w:tmpl w:val="835AB172"/>
    <w:lvl w:ilvl="0" w:tplc="A43AB9AA">
      <w:start w:val="1"/>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95600A"/>
    <w:multiLevelType w:val="hybridMultilevel"/>
    <w:tmpl w:val="48EC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8674B2"/>
    <w:multiLevelType w:val="hybridMultilevel"/>
    <w:tmpl w:val="3FDA1C84"/>
    <w:lvl w:ilvl="0" w:tplc="A43AB9AA">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D20009"/>
    <w:multiLevelType w:val="hybridMultilevel"/>
    <w:tmpl w:val="FE12B4A0"/>
    <w:lvl w:ilvl="0" w:tplc="70943740">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8790028"/>
    <w:multiLevelType w:val="multilevel"/>
    <w:tmpl w:val="46C45DE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747567F"/>
    <w:multiLevelType w:val="multilevel"/>
    <w:tmpl w:val="0D5CC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162A51"/>
    <w:multiLevelType w:val="hybridMultilevel"/>
    <w:tmpl w:val="3B50E742"/>
    <w:lvl w:ilvl="0" w:tplc="70943740">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6345B53"/>
    <w:multiLevelType w:val="hybridMultilevel"/>
    <w:tmpl w:val="A3489C4E"/>
    <w:lvl w:ilvl="0" w:tplc="85DE0DB2">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FB85225"/>
    <w:multiLevelType w:val="hybridMultilevel"/>
    <w:tmpl w:val="1534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D44D91"/>
    <w:multiLevelType w:val="multilevel"/>
    <w:tmpl w:val="DE46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8"/>
  </w:num>
  <w:num w:numId="5">
    <w:abstractNumId w:val="4"/>
  </w:num>
  <w:num w:numId="6">
    <w:abstractNumId w:val="11"/>
  </w:num>
  <w:num w:numId="7">
    <w:abstractNumId w:val="10"/>
  </w:num>
  <w:num w:numId="8">
    <w:abstractNumId w:val="9"/>
  </w:num>
  <w:num w:numId="9">
    <w:abstractNumId w:val="2"/>
  </w:num>
  <w:num w:numId="10">
    <w:abstractNumId w:val="3"/>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F09"/>
    <w:rsid w:val="000463BE"/>
    <w:rsid w:val="00091496"/>
    <w:rsid w:val="000C2F81"/>
    <w:rsid w:val="000F4677"/>
    <w:rsid w:val="00140AE6"/>
    <w:rsid w:val="0016796F"/>
    <w:rsid w:val="00192F7C"/>
    <w:rsid w:val="001F3536"/>
    <w:rsid w:val="00205EF2"/>
    <w:rsid w:val="002C0D5D"/>
    <w:rsid w:val="002D238A"/>
    <w:rsid w:val="00404AD2"/>
    <w:rsid w:val="00437872"/>
    <w:rsid w:val="005430E4"/>
    <w:rsid w:val="0067019B"/>
    <w:rsid w:val="006746C7"/>
    <w:rsid w:val="00676D79"/>
    <w:rsid w:val="00747C87"/>
    <w:rsid w:val="00773E5E"/>
    <w:rsid w:val="007A7CA3"/>
    <w:rsid w:val="007C452A"/>
    <w:rsid w:val="007D6DBA"/>
    <w:rsid w:val="00847AAC"/>
    <w:rsid w:val="00925627"/>
    <w:rsid w:val="0093101F"/>
    <w:rsid w:val="009707F5"/>
    <w:rsid w:val="0097156E"/>
    <w:rsid w:val="009E2C18"/>
    <w:rsid w:val="009F15A6"/>
    <w:rsid w:val="00A13EEC"/>
    <w:rsid w:val="00A9055C"/>
    <w:rsid w:val="00A92D04"/>
    <w:rsid w:val="00AB7F92"/>
    <w:rsid w:val="00AC39EE"/>
    <w:rsid w:val="00AF5ADE"/>
    <w:rsid w:val="00B636C8"/>
    <w:rsid w:val="00BA0C7B"/>
    <w:rsid w:val="00BA7363"/>
    <w:rsid w:val="00BB2991"/>
    <w:rsid w:val="00BE0E38"/>
    <w:rsid w:val="00C20F09"/>
    <w:rsid w:val="00CC5B9E"/>
    <w:rsid w:val="00CC7208"/>
    <w:rsid w:val="00CD1730"/>
    <w:rsid w:val="00D16078"/>
    <w:rsid w:val="00D228F7"/>
    <w:rsid w:val="00DC03E9"/>
    <w:rsid w:val="00DE54D8"/>
    <w:rsid w:val="00EA7D7B"/>
    <w:rsid w:val="00FA02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dnote text" w:uiPriority="99"/>
    <w:lsdException w:name="Title" w:qFormat="1"/>
    <w:lsdException w:name="Subtitle" w:uiPriority="11" w:qFormat="1"/>
    <w:lsdException w:name="Hyperlink" w:uiPriority="99"/>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aliases w:val="h3,H3,H31"/>
    <w:basedOn w:val="Heading1"/>
    <w:next w:val="Normal"/>
    <w:link w:val="Heading3Char1"/>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character" w:customStyle="1" w:styleId="Heading1Char">
    <w:name w:val="Heading 1 Char"/>
    <w:basedOn w:val="DefaultParagraphFont"/>
    <w:link w:val="Heading1"/>
    <w:rsid w:val="00BA7363"/>
    <w:rPr>
      <w:rFonts w:ascii="Times New Roman" w:hAnsi="Times New Roman"/>
      <w:b/>
      <w:sz w:val="24"/>
      <w:lang w:val="fr-FR" w:eastAsia="en-US"/>
    </w:rPr>
  </w:style>
  <w:style w:type="character" w:customStyle="1" w:styleId="Heading2Char">
    <w:name w:val="Heading 2 Char"/>
    <w:basedOn w:val="DefaultParagraphFont"/>
    <w:link w:val="Heading2"/>
    <w:rsid w:val="00BA7363"/>
    <w:rPr>
      <w:rFonts w:ascii="Times New Roman" w:hAnsi="Times New Roman"/>
      <w:b/>
      <w:sz w:val="24"/>
      <w:lang w:val="fr-FR" w:eastAsia="en-US"/>
    </w:rPr>
  </w:style>
  <w:style w:type="character" w:customStyle="1" w:styleId="Heading3Char">
    <w:name w:val="Heading 3 Char"/>
    <w:basedOn w:val="DefaultParagraphFont"/>
    <w:uiPriority w:val="9"/>
    <w:semiHidden/>
    <w:rsid w:val="00BA7363"/>
    <w:rPr>
      <w:rFonts w:asciiTheme="majorHAnsi" w:eastAsiaTheme="majorEastAsia" w:hAnsiTheme="majorHAnsi" w:cstheme="majorBidi"/>
      <w:b/>
      <w:bCs/>
      <w:color w:val="4F81BD" w:themeColor="accent1"/>
      <w:sz w:val="24"/>
      <w:lang w:val="en-GB" w:eastAsia="en-US"/>
    </w:rPr>
  </w:style>
  <w:style w:type="character" w:customStyle="1" w:styleId="Heading4Char">
    <w:name w:val="Heading 4 Char"/>
    <w:basedOn w:val="DefaultParagraphFont"/>
    <w:link w:val="Heading4"/>
    <w:rsid w:val="00BA7363"/>
    <w:rPr>
      <w:rFonts w:ascii="Times New Roman" w:hAnsi="Times New Roman"/>
      <w:b/>
      <w:sz w:val="24"/>
      <w:lang w:val="fr-FR" w:eastAsia="en-US"/>
    </w:rPr>
  </w:style>
  <w:style w:type="character" w:customStyle="1" w:styleId="Heading5Char">
    <w:name w:val="Heading 5 Char"/>
    <w:basedOn w:val="DefaultParagraphFont"/>
    <w:link w:val="Heading5"/>
    <w:rsid w:val="00BA7363"/>
    <w:rPr>
      <w:rFonts w:ascii="Times New Roman" w:hAnsi="Times New Roman"/>
      <w:b/>
      <w:sz w:val="24"/>
      <w:lang w:val="fr-FR" w:eastAsia="en-US"/>
    </w:rPr>
  </w:style>
  <w:style w:type="character" w:customStyle="1" w:styleId="Heading6Char">
    <w:name w:val="Heading 6 Char"/>
    <w:basedOn w:val="DefaultParagraphFont"/>
    <w:link w:val="Heading6"/>
    <w:rsid w:val="00BA7363"/>
    <w:rPr>
      <w:rFonts w:ascii="Times New Roman" w:hAnsi="Times New Roman"/>
      <w:b/>
      <w:sz w:val="24"/>
      <w:lang w:val="fr-FR" w:eastAsia="en-US"/>
    </w:rPr>
  </w:style>
  <w:style w:type="character" w:customStyle="1" w:styleId="Heading7Char">
    <w:name w:val="Heading 7 Char"/>
    <w:basedOn w:val="DefaultParagraphFont"/>
    <w:link w:val="Heading7"/>
    <w:rsid w:val="00BA7363"/>
    <w:rPr>
      <w:rFonts w:ascii="Times New Roman" w:hAnsi="Times New Roman"/>
      <w:b/>
      <w:sz w:val="24"/>
      <w:lang w:val="fr-FR" w:eastAsia="en-US"/>
    </w:rPr>
  </w:style>
  <w:style w:type="character" w:customStyle="1" w:styleId="Heading8Char">
    <w:name w:val="Heading 8 Char"/>
    <w:basedOn w:val="DefaultParagraphFont"/>
    <w:link w:val="Heading8"/>
    <w:rsid w:val="00BA7363"/>
    <w:rPr>
      <w:rFonts w:ascii="Times New Roman" w:hAnsi="Times New Roman"/>
      <w:b/>
      <w:sz w:val="24"/>
      <w:lang w:val="fr-FR" w:eastAsia="en-US"/>
    </w:rPr>
  </w:style>
  <w:style w:type="character" w:customStyle="1" w:styleId="Heading9Char">
    <w:name w:val="Heading 9 Char"/>
    <w:basedOn w:val="DefaultParagraphFont"/>
    <w:link w:val="Heading9"/>
    <w:rsid w:val="00BA7363"/>
    <w:rPr>
      <w:rFonts w:ascii="Times New Roman" w:hAnsi="Times New Roman"/>
      <w:b/>
      <w:sz w:val="24"/>
      <w:lang w:val="fr-FR" w:eastAsia="en-US"/>
    </w:rPr>
  </w:style>
  <w:style w:type="character" w:customStyle="1" w:styleId="FooterChar">
    <w:name w:val="Footer Char"/>
    <w:basedOn w:val="DefaultParagraphFont"/>
    <w:link w:val="Footer"/>
    <w:rsid w:val="00BA7363"/>
    <w:rPr>
      <w:rFonts w:ascii="Times New Roman" w:hAnsi="Times New Roman"/>
      <w:caps/>
      <w:noProof/>
      <w:sz w:val="16"/>
      <w:lang w:val="fr-FR" w:eastAsia="en-US"/>
    </w:rPr>
  </w:style>
  <w:style w:type="character" w:customStyle="1" w:styleId="FootnoteTextChar">
    <w:name w:val="Footnote Text Char"/>
    <w:basedOn w:val="DefaultParagraphFont"/>
    <w:link w:val="FootnoteText"/>
    <w:rsid w:val="00BA7363"/>
    <w:rPr>
      <w:rFonts w:ascii="Times New Roman" w:hAnsi="Times New Roman"/>
      <w:sz w:val="24"/>
      <w:lang w:val="fr-FR" w:eastAsia="en-US"/>
    </w:rPr>
  </w:style>
  <w:style w:type="character" w:customStyle="1" w:styleId="HeaderChar">
    <w:name w:val="Header Char"/>
    <w:aliases w:val="encabezado Char"/>
    <w:basedOn w:val="DefaultParagraphFont"/>
    <w:link w:val="Header"/>
    <w:rsid w:val="00BA7363"/>
    <w:rPr>
      <w:rFonts w:ascii="Times New Roman" w:hAnsi="Times New Roman"/>
      <w:sz w:val="18"/>
      <w:lang w:val="fr-FR" w:eastAsia="en-US"/>
    </w:rPr>
  </w:style>
  <w:style w:type="character" w:styleId="Hyperlink">
    <w:name w:val="Hyperlink"/>
    <w:basedOn w:val="DefaultParagraphFont"/>
    <w:uiPriority w:val="99"/>
    <w:rsid w:val="00BA7363"/>
    <w:rPr>
      <w:color w:val="0000FF"/>
      <w:u w:val="single"/>
    </w:rPr>
  </w:style>
  <w:style w:type="paragraph" w:styleId="BodyText">
    <w:name w:val="Body Text"/>
    <w:basedOn w:val="Normal"/>
    <w:link w:val="BodyTextChar"/>
    <w:rsid w:val="00BA7363"/>
    <w:rPr>
      <w:b/>
      <w:bCs/>
      <w:i/>
      <w:iCs/>
      <w:szCs w:val="24"/>
      <w:lang w:val="en-GB"/>
    </w:rPr>
  </w:style>
  <w:style w:type="character" w:customStyle="1" w:styleId="BodyTextChar">
    <w:name w:val="Body Text Char"/>
    <w:basedOn w:val="DefaultParagraphFont"/>
    <w:link w:val="BodyText"/>
    <w:rsid w:val="00BA7363"/>
    <w:rPr>
      <w:rFonts w:ascii="Times New Roman" w:hAnsi="Times New Roman"/>
      <w:b/>
      <w:bCs/>
      <w:i/>
      <w:iCs/>
      <w:sz w:val="24"/>
      <w:szCs w:val="24"/>
      <w:lang w:val="en-GB" w:eastAsia="en-US"/>
    </w:rPr>
  </w:style>
  <w:style w:type="paragraph" w:customStyle="1" w:styleId="TableNo">
    <w:name w:val="Table_No"/>
    <w:basedOn w:val="Normal"/>
    <w:next w:val="Normal"/>
    <w:rsid w:val="00BA7363"/>
    <w:pPr>
      <w:keepNext/>
      <w:tabs>
        <w:tab w:val="clear" w:pos="794"/>
        <w:tab w:val="clear" w:pos="1191"/>
        <w:tab w:val="clear" w:pos="1588"/>
        <w:tab w:val="clear" w:pos="1985"/>
        <w:tab w:val="left" w:pos="1134"/>
        <w:tab w:val="left" w:pos="1871"/>
        <w:tab w:val="left" w:pos="2268"/>
      </w:tabs>
      <w:spacing w:before="560" w:after="120"/>
      <w:jc w:val="center"/>
    </w:pPr>
    <w:rPr>
      <w:caps/>
      <w:sz w:val="20"/>
      <w:lang w:val="en-GB"/>
    </w:rPr>
  </w:style>
  <w:style w:type="paragraph" w:customStyle="1" w:styleId="Car">
    <w:name w:val="Car"/>
    <w:basedOn w:val="Normal"/>
    <w:rsid w:val="00BA7363"/>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BA7363"/>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BA7363"/>
    <w:rPr>
      <w:color w:val="606420"/>
      <w:u w:val="single"/>
    </w:rPr>
  </w:style>
  <w:style w:type="character" w:customStyle="1" w:styleId="Heading3Char1">
    <w:name w:val="Heading 3 Char1"/>
    <w:aliases w:val="h3 Char,H3 Char,H31 Char"/>
    <w:basedOn w:val="DefaultParagraphFont"/>
    <w:link w:val="Heading3"/>
    <w:rsid w:val="00BA7363"/>
    <w:rPr>
      <w:rFonts w:ascii="Times New Roman" w:hAnsi="Times New Roman"/>
      <w:b/>
      <w:sz w:val="24"/>
      <w:lang w:val="fr-FR" w:eastAsia="en-US"/>
    </w:rPr>
  </w:style>
  <w:style w:type="character" w:customStyle="1" w:styleId="itur-title1">
    <w:name w:val="itur-title1"/>
    <w:basedOn w:val="DefaultParagraphFont"/>
    <w:rsid w:val="00BA7363"/>
    <w:rPr>
      <w:b/>
      <w:bCs/>
      <w:color w:val="5B84D7"/>
      <w:sz w:val="26"/>
      <w:szCs w:val="26"/>
    </w:rPr>
  </w:style>
  <w:style w:type="character" w:styleId="Strong">
    <w:name w:val="Strong"/>
    <w:basedOn w:val="DefaultParagraphFont"/>
    <w:uiPriority w:val="22"/>
    <w:qFormat/>
    <w:rsid w:val="00BA7363"/>
    <w:rPr>
      <w:b/>
      <w:bCs/>
    </w:rPr>
  </w:style>
  <w:style w:type="character" w:customStyle="1" w:styleId="EmailStyle119">
    <w:name w:val="EmailStyle119"/>
    <w:basedOn w:val="DefaultParagraphFont"/>
    <w:semiHidden/>
    <w:rsid w:val="00BA7363"/>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uiPriority w:val="99"/>
    <w:rsid w:val="00BA7363"/>
    <w:rPr>
      <w:rFonts w:ascii="Times New Roman" w:hAnsi="Times New Roman"/>
      <w:sz w:val="22"/>
      <w:lang w:val="fr-FR" w:eastAsia="en-US"/>
    </w:rPr>
  </w:style>
  <w:style w:type="paragraph" w:customStyle="1" w:styleId="Char">
    <w:name w:val="Char"/>
    <w:basedOn w:val="Normal"/>
    <w:rsid w:val="00BA7363"/>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eastAsia="zh-CN"/>
    </w:rPr>
  </w:style>
  <w:style w:type="paragraph" w:styleId="NormalWeb">
    <w:name w:val="Normal (Web)"/>
    <w:basedOn w:val="Normal"/>
    <w:rsid w:val="00BA7363"/>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BA7363"/>
    <w:rPr>
      <w:b/>
      <w:bCs/>
      <w:color w:val="3366CC"/>
      <w:sz w:val="36"/>
      <w:szCs w:val="36"/>
    </w:rPr>
  </w:style>
  <w:style w:type="character" w:customStyle="1" w:styleId="msoins0">
    <w:name w:val="msoins"/>
    <w:basedOn w:val="DefaultParagraphFont"/>
    <w:rsid w:val="00BA7363"/>
  </w:style>
  <w:style w:type="character" w:customStyle="1" w:styleId="msoins00">
    <w:name w:val="msoins0"/>
    <w:basedOn w:val="DefaultParagraphFont"/>
    <w:rsid w:val="00BA7363"/>
  </w:style>
  <w:style w:type="paragraph" w:customStyle="1" w:styleId="CharCharCharCharCharChar">
    <w:name w:val="Char Char Char Char Char Char"/>
    <w:basedOn w:val="Normal"/>
    <w:rsid w:val="00BA7363"/>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BA7363"/>
    <w:rPr>
      <w:rFonts w:ascii="Helvetica" w:eastAsia="ヒラギノ角ゴ Pro W3" w:hAnsi="Helvetica"/>
      <w:color w:val="000000"/>
      <w:sz w:val="24"/>
      <w:lang w:eastAsia="en-US"/>
    </w:rPr>
  </w:style>
  <w:style w:type="character" w:customStyle="1" w:styleId="enumlev1Char">
    <w:name w:val="enumlev1 Char"/>
    <w:basedOn w:val="DefaultParagraphFont"/>
    <w:link w:val="enumlev1"/>
    <w:rsid w:val="00BA7363"/>
    <w:rPr>
      <w:rFonts w:ascii="Times New Roman" w:hAnsi="Times New Roman"/>
      <w:sz w:val="24"/>
      <w:lang w:val="fr-FR" w:eastAsia="en-US"/>
    </w:rPr>
  </w:style>
  <w:style w:type="character" w:customStyle="1" w:styleId="RestitleChar">
    <w:name w:val="Res_title Char"/>
    <w:basedOn w:val="DefaultParagraphFont"/>
    <w:link w:val="Restitle"/>
    <w:locked/>
    <w:rsid w:val="00BA7363"/>
    <w:rPr>
      <w:rFonts w:ascii="Times New Roman" w:hAnsi="Times New Roman"/>
      <w:b/>
      <w:sz w:val="28"/>
      <w:lang w:val="fr-FR" w:eastAsia="en-US"/>
    </w:rPr>
  </w:style>
  <w:style w:type="character" w:customStyle="1" w:styleId="CallChar">
    <w:name w:val="Call Char"/>
    <w:basedOn w:val="DefaultParagraphFont"/>
    <w:link w:val="Call"/>
    <w:locked/>
    <w:rsid w:val="00BA7363"/>
    <w:rPr>
      <w:rFonts w:ascii="Times New Roman" w:hAnsi="Times New Roman"/>
      <w:i/>
      <w:sz w:val="24"/>
      <w:lang w:val="fr-FR" w:eastAsia="en-US"/>
    </w:rPr>
  </w:style>
  <w:style w:type="paragraph" w:styleId="ListParagraph">
    <w:name w:val="List Paragraph"/>
    <w:basedOn w:val="Normal"/>
    <w:uiPriority w:val="34"/>
    <w:qFormat/>
    <w:rsid w:val="00BA7363"/>
    <w:pPr>
      <w:ind w:left="720"/>
      <w:contextualSpacing/>
      <w:jc w:val="both"/>
      <w:textAlignment w:val="auto"/>
    </w:pPr>
    <w:rPr>
      <w:lang w:val="en-GB"/>
    </w:rPr>
  </w:style>
  <w:style w:type="paragraph" w:customStyle="1" w:styleId="DecimalAligned">
    <w:name w:val="Decimal Aligned"/>
    <w:basedOn w:val="Normal"/>
    <w:uiPriority w:val="40"/>
    <w:rsid w:val="00BA7363"/>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BA7363"/>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BA7363"/>
    <w:rPr>
      <w:rFonts w:ascii="Cambria" w:eastAsia="SimSun" w:hAnsi="Cambria"/>
      <w:i/>
      <w:iCs/>
      <w:color w:val="4F81BD"/>
      <w:spacing w:val="15"/>
      <w:sz w:val="24"/>
      <w:szCs w:val="24"/>
    </w:rPr>
  </w:style>
  <w:style w:type="paragraph" w:styleId="BodyText2">
    <w:name w:val="Body Text 2"/>
    <w:basedOn w:val="Normal"/>
    <w:link w:val="BodyText2Char"/>
    <w:unhideWhenUsed/>
    <w:rsid w:val="00BA7363"/>
    <w:pPr>
      <w:spacing w:after="120" w:line="480" w:lineRule="auto"/>
      <w:textAlignment w:val="auto"/>
    </w:pPr>
    <w:rPr>
      <w:lang w:val="en-GB"/>
    </w:rPr>
  </w:style>
  <w:style w:type="character" w:customStyle="1" w:styleId="BodyText2Char">
    <w:name w:val="Body Text 2 Char"/>
    <w:basedOn w:val="DefaultParagraphFont"/>
    <w:link w:val="BodyText2"/>
    <w:rsid w:val="00BA7363"/>
    <w:rPr>
      <w:rFonts w:ascii="Times New Roman" w:hAnsi="Times New Roman"/>
      <w:sz w:val="24"/>
      <w:lang w:val="en-GB" w:eastAsia="en-US"/>
    </w:rPr>
  </w:style>
  <w:style w:type="paragraph" w:styleId="Revision">
    <w:name w:val="Revision"/>
    <w:hidden/>
    <w:uiPriority w:val="99"/>
    <w:semiHidden/>
    <w:rsid w:val="00BA7363"/>
    <w:rPr>
      <w:rFonts w:ascii="Times New Roman" w:hAnsi="Times New Roman"/>
      <w:sz w:val="24"/>
      <w:lang w:val="en-GB" w:eastAsia="en-US"/>
    </w:rPr>
  </w:style>
  <w:style w:type="paragraph" w:styleId="BodyTextIndent">
    <w:name w:val="Body Text Indent"/>
    <w:basedOn w:val="Normal"/>
    <w:link w:val="BodyTextIndentChar"/>
    <w:rsid w:val="00BA7363"/>
    <w:pPr>
      <w:spacing w:after="120"/>
      <w:ind w:left="360"/>
    </w:pPr>
    <w:rPr>
      <w:lang w:val="en-GB"/>
    </w:rPr>
  </w:style>
  <w:style w:type="character" w:customStyle="1" w:styleId="BodyTextIndentChar">
    <w:name w:val="Body Text Indent Char"/>
    <w:basedOn w:val="DefaultParagraphFont"/>
    <w:link w:val="BodyTextIndent"/>
    <w:rsid w:val="00BA7363"/>
    <w:rPr>
      <w:rFonts w:ascii="Times New Roman" w:hAnsi="Times New Roman"/>
      <w:sz w:val="24"/>
      <w:lang w:val="en-GB" w:eastAsia="en-US"/>
    </w:rPr>
  </w:style>
  <w:style w:type="paragraph" w:customStyle="1" w:styleId="Tabletitle">
    <w:name w:val="Table_title"/>
    <w:basedOn w:val="Normal"/>
    <w:next w:val="Tabletext"/>
    <w:rsid w:val="00BA7363"/>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lang w:val="en-GB"/>
    </w:rPr>
  </w:style>
  <w:style w:type="character" w:customStyle="1" w:styleId="HeadingbChar">
    <w:name w:val="Heading_b Char"/>
    <w:link w:val="Headingb"/>
    <w:locked/>
    <w:rsid w:val="00BA7363"/>
    <w:rPr>
      <w:rFonts w:ascii="Times New Roman" w:hAnsi="Times New Roman"/>
      <w:b/>
      <w:sz w:val="24"/>
      <w:lang w:val="fr-FR" w:eastAsia="en-US"/>
    </w:rPr>
  </w:style>
  <w:style w:type="paragraph" w:styleId="PlainText">
    <w:name w:val="Plain Text"/>
    <w:basedOn w:val="Normal"/>
    <w:link w:val="PlainTextChar"/>
    <w:uiPriority w:val="99"/>
    <w:unhideWhenUsed/>
    <w:rsid w:val="00BA7363"/>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BA7363"/>
    <w:rPr>
      <w:rFonts w:ascii="Calibri" w:eastAsiaTheme="minorEastAsia" w:hAnsi="Calibri" w:cstheme="minorBidi"/>
      <w:sz w:val="22"/>
      <w:szCs w:val="21"/>
    </w:rPr>
  </w:style>
  <w:style w:type="character" w:styleId="IntenseEmphasis">
    <w:name w:val="Intense Emphasis"/>
    <w:basedOn w:val="DefaultParagraphFont"/>
    <w:uiPriority w:val="21"/>
    <w:qFormat/>
    <w:rsid w:val="00BA7363"/>
    <w:rPr>
      <w:b/>
      <w:bCs/>
      <w:i/>
      <w:iCs/>
      <w:color w:val="4F81BD" w:themeColor="accent1"/>
    </w:rPr>
  </w:style>
  <w:style w:type="paragraph" w:styleId="EndnoteText">
    <w:name w:val="endnote text"/>
    <w:basedOn w:val="Normal"/>
    <w:link w:val="EndnoteTextChar"/>
    <w:uiPriority w:val="99"/>
    <w:unhideWhenUsed/>
    <w:rsid w:val="00BA7363"/>
    <w:pPr>
      <w:spacing w:before="0"/>
    </w:pPr>
    <w:rPr>
      <w:sz w:val="20"/>
      <w:lang w:val="en-GB"/>
    </w:rPr>
  </w:style>
  <w:style w:type="character" w:customStyle="1" w:styleId="EndnoteTextChar">
    <w:name w:val="Endnote Text Char"/>
    <w:basedOn w:val="DefaultParagraphFont"/>
    <w:link w:val="EndnoteText"/>
    <w:uiPriority w:val="99"/>
    <w:rsid w:val="00BA7363"/>
    <w:rPr>
      <w:rFonts w:ascii="Times New Roman" w:hAnsi="Times New Roman"/>
      <w:lang w:val="en-GB" w:eastAsia="en-US"/>
    </w:rPr>
  </w:style>
  <w:style w:type="character" w:customStyle="1" w:styleId="hps">
    <w:name w:val="hps"/>
    <w:basedOn w:val="DefaultParagraphFont"/>
    <w:rsid w:val="00BA7363"/>
  </w:style>
  <w:style w:type="paragraph" w:styleId="Title">
    <w:name w:val="Title"/>
    <w:basedOn w:val="Normal"/>
    <w:next w:val="Normal"/>
    <w:link w:val="TitleChar"/>
    <w:qFormat/>
    <w:rsid w:val="00BA7363"/>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BA7363"/>
    <w:rPr>
      <w:rFonts w:asciiTheme="majorHAnsi" w:eastAsiaTheme="majorEastAsia" w:hAnsiTheme="majorHAnsi" w:cstheme="majorBidi"/>
      <w:color w:val="17365D" w:themeColor="text2" w:themeShade="BF"/>
      <w:spacing w:val="5"/>
      <w:kern w:val="28"/>
      <w:sz w:val="52"/>
      <w:szCs w:val="52"/>
      <w:lang w:val="en-GB" w:eastAsia="en-US"/>
    </w:rPr>
  </w:style>
  <w:style w:type="paragraph" w:customStyle="1" w:styleId="Reasons">
    <w:name w:val="Reasons"/>
    <w:basedOn w:val="Normal"/>
    <w:qFormat/>
    <w:rsid w:val="00BA7363"/>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dnote text" w:uiPriority="99"/>
    <w:lsdException w:name="Title" w:qFormat="1"/>
    <w:lsdException w:name="Subtitle" w:uiPriority="11" w:qFormat="1"/>
    <w:lsdException w:name="Hyperlink" w:uiPriority="99"/>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aliases w:val="h3,H3,H31"/>
    <w:basedOn w:val="Heading1"/>
    <w:next w:val="Normal"/>
    <w:link w:val="Heading3Char1"/>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character" w:customStyle="1" w:styleId="Heading1Char">
    <w:name w:val="Heading 1 Char"/>
    <w:basedOn w:val="DefaultParagraphFont"/>
    <w:link w:val="Heading1"/>
    <w:rsid w:val="00BA7363"/>
    <w:rPr>
      <w:rFonts w:ascii="Times New Roman" w:hAnsi="Times New Roman"/>
      <w:b/>
      <w:sz w:val="24"/>
      <w:lang w:val="fr-FR" w:eastAsia="en-US"/>
    </w:rPr>
  </w:style>
  <w:style w:type="character" w:customStyle="1" w:styleId="Heading2Char">
    <w:name w:val="Heading 2 Char"/>
    <w:basedOn w:val="DefaultParagraphFont"/>
    <w:link w:val="Heading2"/>
    <w:rsid w:val="00BA7363"/>
    <w:rPr>
      <w:rFonts w:ascii="Times New Roman" w:hAnsi="Times New Roman"/>
      <w:b/>
      <w:sz w:val="24"/>
      <w:lang w:val="fr-FR" w:eastAsia="en-US"/>
    </w:rPr>
  </w:style>
  <w:style w:type="character" w:customStyle="1" w:styleId="Heading3Char">
    <w:name w:val="Heading 3 Char"/>
    <w:basedOn w:val="DefaultParagraphFont"/>
    <w:uiPriority w:val="9"/>
    <w:semiHidden/>
    <w:rsid w:val="00BA7363"/>
    <w:rPr>
      <w:rFonts w:asciiTheme="majorHAnsi" w:eastAsiaTheme="majorEastAsia" w:hAnsiTheme="majorHAnsi" w:cstheme="majorBidi"/>
      <w:b/>
      <w:bCs/>
      <w:color w:val="4F81BD" w:themeColor="accent1"/>
      <w:sz w:val="24"/>
      <w:lang w:val="en-GB" w:eastAsia="en-US"/>
    </w:rPr>
  </w:style>
  <w:style w:type="character" w:customStyle="1" w:styleId="Heading4Char">
    <w:name w:val="Heading 4 Char"/>
    <w:basedOn w:val="DefaultParagraphFont"/>
    <w:link w:val="Heading4"/>
    <w:rsid w:val="00BA7363"/>
    <w:rPr>
      <w:rFonts w:ascii="Times New Roman" w:hAnsi="Times New Roman"/>
      <w:b/>
      <w:sz w:val="24"/>
      <w:lang w:val="fr-FR" w:eastAsia="en-US"/>
    </w:rPr>
  </w:style>
  <w:style w:type="character" w:customStyle="1" w:styleId="Heading5Char">
    <w:name w:val="Heading 5 Char"/>
    <w:basedOn w:val="DefaultParagraphFont"/>
    <w:link w:val="Heading5"/>
    <w:rsid w:val="00BA7363"/>
    <w:rPr>
      <w:rFonts w:ascii="Times New Roman" w:hAnsi="Times New Roman"/>
      <w:b/>
      <w:sz w:val="24"/>
      <w:lang w:val="fr-FR" w:eastAsia="en-US"/>
    </w:rPr>
  </w:style>
  <w:style w:type="character" w:customStyle="1" w:styleId="Heading6Char">
    <w:name w:val="Heading 6 Char"/>
    <w:basedOn w:val="DefaultParagraphFont"/>
    <w:link w:val="Heading6"/>
    <w:rsid w:val="00BA7363"/>
    <w:rPr>
      <w:rFonts w:ascii="Times New Roman" w:hAnsi="Times New Roman"/>
      <w:b/>
      <w:sz w:val="24"/>
      <w:lang w:val="fr-FR" w:eastAsia="en-US"/>
    </w:rPr>
  </w:style>
  <w:style w:type="character" w:customStyle="1" w:styleId="Heading7Char">
    <w:name w:val="Heading 7 Char"/>
    <w:basedOn w:val="DefaultParagraphFont"/>
    <w:link w:val="Heading7"/>
    <w:rsid w:val="00BA7363"/>
    <w:rPr>
      <w:rFonts w:ascii="Times New Roman" w:hAnsi="Times New Roman"/>
      <w:b/>
      <w:sz w:val="24"/>
      <w:lang w:val="fr-FR" w:eastAsia="en-US"/>
    </w:rPr>
  </w:style>
  <w:style w:type="character" w:customStyle="1" w:styleId="Heading8Char">
    <w:name w:val="Heading 8 Char"/>
    <w:basedOn w:val="DefaultParagraphFont"/>
    <w:link w:val="Heading8"/>
    <w:rsid w:val="00BA7363"/>
    <w:rPr>
      <w:rFonts w:ascii="Times New Roman" w:hAnsi="Times New Roman"/>
      <w:b/>
      <w:sz w:val="24"/>
      <w:lang w:val="fr-FR" w:eastAsia="en-US"/>
    </w:rPr>
  </w:style>
  <w:style w:type="character" w:customStyle="1" w:styleId="Heading9Char">
    <w:name w:val="Heading 9 Char"/>
    <w:basedOn w:val="DefaultParagraphFont"/>
    <w:link w:val="Heading9"/>
    <w:rsid w:val="00BA7363"/>
    <w:rPr>
      <w:rFonts w:ascii="Times New Roman" w:hAnsi="Times New Roman"/>
      <w:b/>
      <w:sz w:val="24"/>
      <w:lang w:val="fr-FR" w:eastAsia="en-US"/>
    </w:rPr>
  </w:style>
  <w:style w:type="character" w:customStyle="1" w:styleId="FooterChar">
    <w:name w:val="Footer Char"/>
    <w:basedOn w:val="DefaultParagraphFont"/>
    <w:link w:val="Footer"/>
    <w:rsid w:val="00BA7363"/>
    <w:rPr>
      <w:rFonts w:ascii="Times New Roman" w:hAnsi="Times New Roman"/>
      <w:caps/>
      <w:noProof/>
      <w:sz w:val="16"/>
      <w:lang w:val="fr-FR" w:eastAsia="en-US"/>
    </w:rPr>
  </w:style>
  <w:style w:type="character" w:customStyle="1" w:styleId="FootnoteTextChar">
    <w:name w:val="Footnote Text Char"/>
    <w:basedOn w:val="DefaultParagraphFont"/>
    <w:link w:val="FootnoteText"/>
    <w:rsid w:val="00BA7363"/>
    <w:rPr>
      <w:rFonts w:ascii="Times New Roman" w:hAnsi="Times New Roman"/>
      <w:sz w:val="24"/>
      <w:lang w:val="fr-FR" w:eastAsia="en-US"/>
    </w:rPr>
  </w:style>
  <w:style w:type="character" w:customStyle="1" w:styleId="HeaderChar">
    <w:name w:val="Header Char"/>
    <w:aliases w:val="encabezado Char"/>
    <w:basedOn w:val="DefaultParagraphFont"/>
    <w:link w:val="Header"/>
    <w:rsid w:val="00BA7363"/>
    <w:rPr>
      <w:rFonts w:ascii="Times New Roman" w:hAnsi="Times New Roman"/>
      <w:sz w:val="18"/>
      <w:lang w:val="fr-FR" w:eastAsia="en-US"/>
    </w:rPr>
  </w:style>
  <w:style w:type="character" w:styleId="Hyperlink">
    <w:name w:val="Hyperlink"/>
    <w:basedOn w:val="DefaultParagraphFont"/>
    <w:uiPriority w:val="99"/>
    <w:rsid w:val="00BA7363"/>
    <w:rPr>
      <w:color w:val="0000FF"/>
      <w:u w:val="single"/>
    </w:rPr>
  </w:style>
  <w:style w:type="paragraph" w:styleId="BodyText">
    <w:name w:val="Body Text"/>
    <w:basedOn w:val="Normal"/>
    <w:link w:val="BodyTextChar"/>
    <w:rsid w:val="00BA7363"/>
    <w:rPr>
      <w:b/>
      <w:bCs/>
      <w:i/>
      <w:iCs/>
      <w:szCs w:val="24"/>
      <w:lang w:val="en-GB"/>
    </w:rPr>
  </w:style>
  <w:style w:type="character" w:customStyle="1" w:styleId="BodyTextChar">
    <w:name w:val="Body Text Char"/>
    <w:basedOn w:val="DefaultParagraphFont"/>
    <w:link w:val="BodyText"/>
    <w:rsid w:val="00BA7363"/>
    <w:rPr>
      <w:rFonts w:ascii="Times New Roman" w:hAnsi="Times New Roman"/>
      <w:b/>
      <w:bCs/>
      <w:i/>
      <w:iCs/>
      <w:sz w:val="24"/>
      <w:szCs w:val="24"/>
      <w:lang w:val="en-GB" w:eastAsia="en-US"/>
    </w:rPr>
  </w:style>
  <w:style w:type="paragraph" w:customStyle="1" w:styleId="TableNo">
    <w:name w:val="Table_No"/>
    <w:basedOn w:val="Normal"/>
    <w:next w:val="Normal"/>
    <w:rsid w:val="00BA7363"/>
    <w:pPr>
      <w:keepNext/>
      <w:tabs>
        <w:tab w:val="clear" w:pos="794"/>
        <w:tab w:val="clear" w:pos="1191"/>
        <w:tab w:val="clear" w:pos="1588"/>
        <w:tab w:val="clear" w:pos="1985"/>
        <w:tab w:val="left" w:pos="1134"/>
        <w:tab w:val="left" w:pos="1871"/>
        <w:tab w:val="left" w:pos="2268"/>
      </w:tabs>
      <w:spacing w:before="560" w:after="120"/>
      <w:jc w:val="center"/>
    </w:pPr>
    <w:rPr>
      <w:caps/>
      <w:sz w:val="20"/>
      <w:lang w:val="en-GB"/>
    </w:rPr>
  </w:style>
  <w:style w:type="paragraph" w:customStyle="1" w:styleId="Car">
    <w:name w:val="Car"/>
    <w:basedOn w:val="Normal"/>
    <w:rsid w:val="00BA7363"/>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BA7363"/>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BA7363"/>
    <w:rPr>
      <w:color w:val="606420"/>
      <w:u w:val="single"/>
    </w:rPr>
  </w:style>
  <w:style w:type="character" w:customStyle="1" w:styleId="Heading3Char1">
    <w:name w:val="Heading 3 Char1"/>
    <w:aliases w:val="h3 Char,H3 Char,H31 Char"/>
    <w:basedOn w:val="DefaultParagraphFont"/>
    <w:link w:val="Heading3"/>
    <w:rsid w:val="00BA7363"/>
    <w:rPr>
      <w:rFonts w:ascii="Times New Roman" w:hAnsi="Times New Roman"/>
      <w:b/>
      <w:sz w:val="24"/>
      <w:lang w:val="fr-FR" w:eastAsia="en-US"/>
    </w:rPr>
  </w:style>
  <w:style w:type="character" w:customStyle="1" w:styleId="itur-title1">
    <w:name w:val="itur-title1"/>
    <w:basedOn w:val="DefaultParagraphFont"/>
    <w:rsid w:val="00BA7363"/>
    <w:rPr>
      <w:b/>
      <w:bCs/>
      <w:color w:val="5B84D7"/>
      <w:sz w:val="26"/>
      <w:szCs w:val="26"/>
    </w:rPr>
  </w:style>
  <w:style w:type="character" w:styleId="Strong">
    <w:name w:val="Strong"/>
    <w:basedOn w:val="DefaultParagraphFont"/>
    <w:uiPriority w:val="22"/>
    <w:qFormat/>
    <w:rsid w:val="00BA7363"/>
    <w:rPr>
      <w:b/>
      <w:bCs/>
    </w:rPr>
  </w:style>
  <w:style w:type="character" w:customStyle="1" w:styleId="EmailStyle119">
    <w:name w:val="EmailStyle119"/>
    <w:basedOn w:val="DefaultParagraphFont"/>
    <w:semiHidden/>
    <w:rsid w:val="00BA7363"/>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uiPriority w:val="99"/>
    <w:rsid w:val="00BA7363"/>
    <w:rPr>
      <w:rFonts w:ascii="Times New Roman" w:hAnsi="Times New Roman"/>
      <w:sz w:val="22"/>
      <w:lang w:val="fr-FR" w:eastAsia="en-US"/>
    </w:rPr>
  </w:style>
  <w:style w:type="paragraph" w:customStyle="1" w:styleId="Char">
    <w:name w:val="Char"/>
    <w:basedOn w:val="Normal"/>
    <w:rsid w:val="00BA7363"/>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eastAsia="zh-CN"/>
    </w:rPr>
  </w:style>
  <w:style w:type="paragraph" w:styleId="NormalWeb">
    <w:name w:val="Normal (Web)"/>
    <w:basedOn w:val="Normal"/>
    <w:rsid w:val="00BA7363"/>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BA7363"/>
    <w:rPr>
      <w:b/>
      <w:bCs/>
      <w:color w:val="3366CC"/>
      <w:sz w:val="36"/>
      <w:szCs w:val="36"/>
    </w:rPr>
  </w:style>
  <w:style w:type="character" w:customStyle="1" w:styleId="msoins0">
    <w:name w:val="msoins"/>
    <w:basedOn w:val="DefaultParagraphFont"/>
    <w:rsid w:val="00BA7363"/>
  </w:style>
  <w:style w:type="character" w:customStyle="1" w:styleId="msoins00">
    <w:name w:val="msoins0"/>
    <w:basedOn w:val="DefaultParagraphFont"/>
    <w:rsid w:val="00BA7363"/>
  </w:style>
  <w:style w:type="paragraph" w:customStyle="1" w:styleId="CharCharCharCharCharChar">
    <w:name w:val="Char Char Char Char Char Char"/>
    <w:basedOn w:val="Normal"/>
    <w:rsid w:val="00BA7363"/>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BA7363"/>
    <w:rPr>
      <w:rFonts w:ascii="Helvetica" w:eastAsia="ヒラギノ角ゴ Pro W3" w:hAnsi="Helvetica"/>
      <w:color w:val="000000"/>
      <w:sz w:val="24"/>
      <w:lang w:eastAsia="en-US"/>
    </w:rPr>
  </w:style>
  <w:style w:type="character" w:customStyle="1" w:styleId="enumlev1Char">
    <w:name w:val="enumlev1 Char"/>
    <w:basedOn w:val="DefaultParagraphFont"/>
    <w:link w:val="enumlev1"/>
    <w:rsid w:val="00BA7363"/>
    <w:rPr>
      <w:rFonts w:ascii="Times New Roman" w:hAnsi="Times New Roman"/>
      <w:sz w:val="24"/>
      <w:lang w:val="fr-FR" w:eastAsia="en-US"/>
    </w:rPr>
  </w:style>
  <w:style w:type="character" w:customStyle="1" w:styleId="RestitleChar">
    <w:name w:val="Res_title Char"/>
    <w:basedOn w:val="DefaultParagraphFont"/>
    <w:link w:val="Restitle"/>
    <w:locked/>
    <w:rsid w:val="00BA7363"/>
    <w:rPr>
      <w:rFonts w:ascii="Times New Roman" w:hAnsi="Times New Roman"/>
      <w:b/>
      <w:sz w:val="28"/>
      <w:lang w:val="fr-FR" w:eastAsia="en-US"/>
    </w:rPr>
  </w:style>
  <w:style w:type="character" w:customStyle="1" w:styleId="CallChar">
    <w:name w:val="Call Char"/>
    <w:basedOn w:val="DefaultParagraphFont"/>
    <w:link w:val="Call"/>
    <w:locked/>
    <w:rsid w:val="00BA7363"/>
    <w:rPr>
      <w:rFonts w:ascii="Times New Roman" w:hAnsi="Times New Roman"/>
      <w:i/>
      <w:sz w:val="24"/>
      <w:lang w:val="fr-FR" w:eastAsia="en-US"/>
    </w:rPr>
  </w:style>
  <w:style w:type="paragraph" w:styleId="ListParagraph">
    <w:name w:val="List Paragraph"/>
    <w:basedOn w:val="Normal"/>
    <w:uiPriority w:val="34"/>
    <w:qFormat/>
    <w:rsid w:val="00BA7363"/>
    <w:pPr>
      <w:ind w:left="720"/>
      <w:contextualSpacing/>
      <w:jc w:val="both"/>
      <w:textAlignment w:val="auto"/>
    </w:pPr>
    <w:rPr>
      <w:lang w:val="en-GB"/>
    </w:rPr>
  </w:style>
  <w:style w:type="paragraph" w:customStyle="1" w:styleId="DecimalAligned">
    <w:name w:val="Decimal Aligned"/>
    <w:basedOn w:val="Normal"/>
    <w:uiPriority w:val="40"/>
    <w:rsid w:val="00BA7363"/>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BA7363"/>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BA7363"/>
    <w:rPr>
      <w:rFonts w:ascii="Cambria" w:eastAsia="SimSun" w:hAnsi="Cambria"/>
      <w:i/>
      <w:iCs/>
      <w:color w:val="4F81BD"/>
      <w:spacing w:val="15"/>
      <w:sz w:val="24"/>
      <w:szCs w:val="24"/>
    </w:rPr>
  </w:style>
  <w:style w:type="paragraph" w:styleId="BodyText2">
    <w:name w:val="Body Text 2"/>
    <w:basedOn w:val="Normal"/>
    <w:link w:val="BodyText2Char"/>
    <w:unhideWhenUsed/>
    <w:rsid w:val="00BA7363"/>
    <w:pPr>
      <w:spacing w:after="120" w:line="480" w:lineRule="auto"/>
      <w:textAlignment w:val="auto"/>
    </w:pPr>
    <w:rPr>
      <w:lang w:val="en-GB"/>
    </w:rPr>
  </w:style>
  <w:style w:type="character" w:customStyle="1" w:styleId="BodyText2Char">
    <w:name w:val="Body Text 2 Char"/>
    <w:basedOn w:val="DefaultParagraphFont"/>
    <w:link w:val="BodyText2"/>
    <w:rsid w:val="00BA7363"/>
    <w:rPr>
      <w:rFonts w:ascii="Times New Roman" w:hAnsi="Times New Roman"/>
      <w:sz w:val="24"/>
      <w:lang w:val="en-GB" w:eastAsia="en-US"/>
    </w:rPr>
  </w:style>
  <w:style w:type="paragraph" w:styleId="Revision">
    <w:name w:val="Revision"/>
    <w:hidden/>
    <w:uiPriority w:val="99"/>
    <w:semiHidden/>
    <w:rsid w:val="00BA7363"/>
    <w:rPr>
      <w:rFonts w:ascii="Times New Roman" w:hAnsi="Times New Roman"/>
      <w:sz w:val="24"/>
      <w:lang w:val="en-GB" w:eastAsia="en-US"/>
    </w:rPr>
  </w:style>
  <w:style w:type="paragraph" w:styleId="BodyTextIndent">
    <w:name w:val="Body Text Indent"/>
    <w:basedOn w:val="Normal"/>
    <w:link w:val="BodyTextIndentChar"/>
    <w:rsid w:val="00BA7363"/>
    <w:pPr>
      <w:spacing w:after="120"/>
      <w:ind w:left="360"/>
    </w:pPr>
    <w:rPr>
      <w:lang w:val="en-GB"/>
    </w:rPr>
  </w:style>
  <w:style w:type="character" w:customStyle="1" w:styleId="BodyTextIndentChar">
    <w:name w:val="Body Text Indent Char"/>
    <w:basedOn w:val="DefaultParagraphFont"/>
    <w:link w:val="BodyTextIndent"/>
    <w:rsid w:val="00BA7363"/>
    <w:rPr>
      <w:rFonts w:ascii="Times New Roman" w:hAnsi="Times New Roman"/>
      <w:sz w:val="24"/>
      <w:lang w:val="en-GB" w:eastAsia="en-US"/>
    </w:rPr>
  </w:style>
  <w:style w:type="paragraph" w:customStyle="1" w:styleId="Tabletitle">
    <w:name w:val="Table_title"/>
    <w:basedOn w:val="Normal"/>
    <w:next w:val="Tabletext"/>
    <w:rsid w:val="00BA7363"/>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lang w:val="en-GB"/>
    </w:rPr>
  </w:style>
  <w:style w:type="character" w:customStyle="1" w:styleId="HeadingbChar">
    <w:name w:val="Heading_b Char"/>
    <w:link w:val="Headingb"/>
    <w:locked/>
    <w:rsid w:val="00BA7363"/>
    <w:rPr>
      <w:rFonts w:ascii="Times New Roman" w:hAnsi="Times New Roman"/>
      <w:b/>
      <w:sz w:val="24"/>
      <w:lang w:val="fr-FR" w:eastAsia="en-US"/>
    </w:rPr>
  </w:style>
  <w:style w:type="paragraph" w:styleId="PlainText">
    <w:name w:val="Plain Text"/>
    <w:basedOn w:val="Normal"/>
    <w:link w:val="PlainTextChar"/>
    <w:uiPriority w:val="99"/>
    <w:unhideWhenUsed/>
    <w:rsid w:val="00BA7363"/>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BA7363"/>
    <w:rPr>
      <w:rFonts w:ascii="Calibri" w:eastAsiaTheme="minorEastAsia" w:hAnsi="Calibri" w:cstheme="minorBidi"/>
      <w:sz w:val="22"/>
      <w:szCs w:val="21"/>
    </w:rPr>
  </w:style>
  <w:style w:type="character" w:styleId="IntenseEmphasis">
    <w:name w:val="Intense Emphasis"/>
    <w:basedOn w:val="DefaultParagraphFont"/>
    <w:uiPriority w:val="21"/>
    <w:qFormat/>
    <w:rsid w:val="00BA7363"/>
    <w:rPr>
      <w:b/>
      <w:bCs/>
      <w:i/>
      <w:iCs/>
      <w:color w:val="4F81BD" w:themeColor="accent1"/>
    </w:rPr>
  </w:style>
  <w:style w:type="paragraph" w:styleId="EndnoteText">
    <w:name w:val="endnote text"/>
    <w:basedOn w:val="Normal"/>
    <w:link w:val="EndnoteTextChar"/>
    <w:uiPriority w:val="99"/>
    <w:unhideWhenUsed/>
    <w:rsid w:val="00BA7363"/>
    <w:pPr>
      <w:spacing w:before="0"/>
    </w:pPr>
    <w:rPr>
      <w:sz w:val="20"/>
      <w:lang w:val="en-GB"/>
    </w:rPr>
  </w:style>
  <w:style w:type="character" w:customStyle="1" w:styleId="EndnoteTextChar">
    <w:name w:val="Endnote Text Char"/>
    <w:basedOn w:val="DefaultParagraphFont"/>
    <w:link w:val="EndnoteText"/>
    <w:uiPriority w:val="99"/>
    <w:rsid w:val="00BA7363"/>
    <w:rPr>
      <w:rFonts w:ascii="Times New Roman" w:hAnsi="Times New Roman"/>
      <w:lang w:val="en-GB" w:eastAsia="en-US"/>
    </w:rPr>
  </w:style>
  <w:style w:type="character" w:customStyle="1" w:styleId="hps">
    <w:name w:val="hps"/>
    <w:basedOn w:val="DefaultParagraphFont"/>
    <w:rsid w:val="00BA7363"/>
  </w:style>
  <w:style w:type="paragraph" w:styleId="Title">
    <w:name w:val="Title"/>
    <w:basedOn w:val="Normal"/>
    <w:next w:val="Normal"/>
    <w:link w:val="TitleChar"/>
    <w:qFormat/>
    <w:rsid w:val="00BA7363"/>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BA7363"/>
    <w:rPr>
      <w:rFonts w:asciiTheme="majorHAnsi" w:eastAsiaTheme="majorEastAsia" w:hAnsiTheme="majorHAnsi" w:cstheme="majorBidi"/>
      <w:color w:val="17365D" w:themeColor="text2" w:themeShade="BF"/>
      <w:spacing w:val="5"/>
      <w:kern w:val="28"/>
      <w:sz w:val="52"/>
      <w:szCs w:val="52"/>
      <w:lang w:val="en-GB" w:eastAsia="en-US"/>
    </w:rPr>
  </w:style>
  <w:style w:type="paragraph" w:customStyle="1" w:styleId="Reasons">
    <w:name w:val="Reasons"/>
    <w:basedOn w:val="Normal"/>
    <w:qFormat/>
    <w:rsid w:val="00BA7363"/>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xtranet.itu.int/itu-r/conferences/rag/cg_resolution_itu_r_1_6/" TargetMode="External"/><Relationship Id="rId18" Type="http://schemas.openxmlformats.org/officeDocument/2006/relationships/hyperlink" Target="http://www.itu.int/md/R00-CR-CIR/en" TargetMode="External"/><Relationship Id="rId26" Type="http://schemas.openxmlformats.org/officeDocument/2006/relationships/hyperlink" Target="http://www.itu.int/ITUR/go/seminars" TargetMode="External"/><Relationship Id="rId3" Type="http://schemas.microsoft.com/office/2007/relationships/stylesWithEffects" Target="stylesWithEffects.xml"/><Relationship Id="rId21" Type="http://schemas.openxmlformats.org/officeDocument/2006/relationships/hyperlink" Target="http://www.itu.int/pub/T-RES/%09%09%09%09%09%09%09publications.aspx?lang=en&amp;parent=T-RES-T.57-2008"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extranet.itu.int/itu-r/conferences/rag/cg_resolution_itu_r_1_6" TargetMode="External"/><Relationship Id="rId17" Type="http://schemas.openxmlformats.org/officeDocument/2006/relationships/hyperlink" Target="https://extranet.itu.int/itu-r/conferences/rag/cg_resolution_itu_r_6_1/" TargetMode="External"/><Relationship Id="rId25" Type="http://schemas.openxmlformats.org/officeDocument/2006/relationships/hyperlink" Target="http://www.itu.int/ITU-R/go/performance-reports/%20" TargetMode="External"/><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extranet.itu.int/itu-r/conferences/rag/cg_resolution_itu_r_6_1" TargetMode="External"/><Relationship Id="rId20" Type="http://schemas.openxmlformats.org/officeDocument/2006/relationships/hyperlink" Target="http://www.itu.int/pub/T-RES/%09%09%09%09%09%09%09publications.aspx?lang=en&amp;parent=T-RES-T.55-2008"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xtranet.itu.int/ITU-R/space-assets" TargetMode="External"/><Relationship Id="rId24" Type="http://schemas.openxmlformats.org/officeDocument/2006/relationships/hyperlink" Target="http://www.itu.int/ITU-R/go/operational-plans/en"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xtranet.itu.int/itu-r/conferences/rag/cg_format_itu_r_rec/" TargetMode="External"/><Relationship Id="rId23" Type="http://schemas.openxmlformats.org/officeDocument/2006/relationships/hyperlink" Target="http://www.itu.int/ITU-R/go/rcpm-wrc-15-studies"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http://www.itu.int/council/" TargetMode="External"/><Relationship Id="rId19" Type="http://schemas.openxmlformats.org/officeDocument/2006/relationships/hyperlink" Target="http://www.itu.int/en/ITU-T/wtsa12/Pages/default.aspx"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md/R00-CA-CIR-0207" TargetMode="External"/><Relationship Id="rId14" Type="http://schemas.openxmlformats.org/officeDocument/2006/relationships/hyperlink" Target="https://extranet.itu.int/itu-r/conferences/rag/cg_format_itu_r_rec" TargetMode="External"/><Relationship Id="rId22" Type="http://schemas.openxmlformats.org/officeDocument/2006/relationships/hyperlink" Target="http://www.itu.int/go/wrc-15"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yer\Application%20Data\Microsoft\Templates\POOL%20F%20-%20ITU\PF_RAG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PF_RAG13</Template>
  <TotalTime>246</TotalTime>
  <Pages>20</Pages>
  <Words>8358</Words>
  <Characters>46721</Characters>
  <Application>Microsoft Office Word</Application>
  <DocSecurity>0</DocSecurity>
  <Lines>1425</Lines>
  <Paragraphs>943</Paragraphs>
  <ScaleCrop>false</ScaleCrop>
  <HeadingPairs>
    <vt:vector size="2" baseType="variant">
      <vt:variant>
        <vt:lpstr>Title</vt:lpstr>
      </vt:variant>
      <vt:variant>
        <vt:i4>1</vt:i4>
      </vt:variant>
    </vt:vector>
  </HeadingPairs>
  <TitlesOfParts>
    <vt:vector size="1" baseType="lpstr">
      <vt:lpstr>RAPPORT À LA VINGTIÈME RÉUNION DU GROUPE CONSULTATIF DES RADIOCOMMUNICATIONS</vt:lpstr>
    </vt:vector>
  </TitlesOfParts>
  <Manager>General Secretariat - Pool</Manager>
  <Company>International Telecommunication Union (ITU)</Company>
  <LinksUpToDate>false</LinksUpToDate>
  <CharactersWithSpaces>54336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VINGTIÈME RÉUNION DU GROUPE CONSULTATIF DES RADIOCOMMUNICATIONS</dc:title>
  <dc:subject>GROUPE CONSULTATIF DES RADIOCOMMUNICATIONS</dc:subject>
  <dc:creator>Directeur du Bureau des radiocommunications</dc:creator>
  <cp:keywords>RAG03-1</cp:keywords>
  <dc:description>Document RAG13-1/1-F  For: _x000d_Document date: 20 mars 2013_x000d_Saved by ITU51007787 at 17:52:46 on 10.04.2013</dc:description>
  <cp:lastModifiedBy>Royer, Veronique</cp:lastModifiedBy>
  <cp:revision>18</cp:revision>
  <cp:lastPrinted>2013-04-10T15:52:00Z</cp:lastPrinted>
  <dcterms:created xsi:type="dcterms:W3CDTF">2013-04-09T16:40:00Z</dcterms:created>
  <dcterms:modified xsi:type="dcterms:W3CDTF">2013-04-10T15:52:00Z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RAG13-1/1-F</vt:lpwstr>
  </property>
  <property fmtid="{D5CDD505-2E9C-101B-9397-08002B2CF9AE}" pid="3" name="Docdate">
    <vt:lpwstr>20 mars 2013</vt:lpwstr>
  </property>
  <property fmtid="{D5CDD505-2E9C-101B-9397-08002B2CF9AE}" pid="4" name="Docorlang">
    <vt:lpwstr>Original: anglais</vt:lpwstr>
  </property>
  <property fmtid="{D5CDD505-2E9C-101B-9397-08002B2CF9AE}" pid="5" name="Docauthor">
    <vt:lpwstr>Directeur du Bureau des radiocommunications</vt:lpwstr>
  </property>
</Properties>
</file>