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1D08AC" w:rsidTr="00B35BE4">
        <w:trPr>
          <w:cantSplit/>
        </w:trPr>
        <w:tc>
          <w:tcPr>
            <w:tcW w:w="6487" w:type="dxa"/>
          </w:tcPr>
          <w:p w:rsidR="0051782D" w:rsidRPr="001D08AC" w:rsidRDefault="0051782D" w:rsidP="00B35BE4">
            <w:pPr>
              <w:shd w:val="solid" w:color="FFFFFF" w:fill="FFFFFF"/>
              <w:spacing w:before="360" w:after="240"/>
              <w:rPr>
                <w:rFonts w:ascii="Verdana" w:hAnsi="Verdana" w:cs="Times New Roman Bold"/>
                <w:b/>
                <w:bCs/>
                <w:lang w:val="en-US"/>
              </w:rPr>
            </w:pPr>
            <w:r w:rsidRPr="001D08AC">
              <w:rPr>
                <w:rFonts w:ascii="Verdana" w:hAnsi="Verdana" w:cs="Times New Roman Bold"/>
                <w:b/>
                <w:sz w:val="26"/>
                <w:szCs w:val="26"/>
                <w:lang w:val="en-US"/>
              </w:rPr>
              <w:t>Radiocommunication Advisory Group</w:t>
            </w:r>
            <w:r w:rsidRPr="001D08AC">
              <w:rPr>
                <w:rFonts w:ascii="Verdana" w:hAnsi="Verdana" w:cs="Times New Roman Bold"/>
                <w:b/>
                <w:sz w:val="26"/>
                <w:szCs w:val="26"/>
                <w:lang w:val="en-US"/>
              </w:rPr>
              <w:br/>
            </w:r>
            <w:r w:rsidRPr="001D08AC">
              <w:rPr>
                <w:rFonts w:ascii="Verdana" w:hAnsi="Verdana" w:cs="Times New Roman Bold"/>
                <w:b/>
                <w:bCs/>
                <w:sz w:val="20"/>
                <w:lang w:val="en-US"/>
              </w:rPr>
              <w:t xml:space="preserve">Geneva, </w:t>
            </w:r>
            <w:r w:rsidR="00D211BC" w:rsidRPr="001D08AC">
              <w:rPr>
                <w:rFonts w:ascii="Verdana" w:hAnsi="Verdana" w:cs="Times New Roman Bold"/>
                <w:b/>
                <w:bCs/>
                <w:sz w:val="20"/>
                <w:lang w:val="en-US"/>
              </w:rPr>
              <w:t>2</w:t>
            </w:r>
            <w:r w:rsidR="00B35BE4" w:rsidRPr="001D08AC">
              <w:rPr>
                <w:rFonts w:ascii="Verdana" w:hAnsi="Verdana" w:cs="Times New Roman Bold"/>
                <w:b/>
                <w:bCs/>
                <w:sz w:val="20"/>
                <w:lang w:val="en-US"/>
              </w:rPr>
              <w:t>2</w:t>
            </w:r>
            <w:r w:rsidRPr="001D08AC">
              <w:rPr>
                <w:rFonts w:ascii="Verdana" w:hAnsi="Verdana" w:cs="Times New Roman Bold"/>
                <w:b/>
                <w:bCs/>
                <w:sz w:val="20"/>
                <w:lang w:val="en-US"/>
              </w:rPr>
              <w:t>-</w:t>
            </w:r>
            <w:r w:rsidR="00D211BC" w:rsidRPr="001D08AC">
              <w:rPr>
                <w:rFonts w:ascii="Verdana" w:hAnsi="Verdana" w:cs="Times New Roman Bold"/>
                <w:b/>
                <w:bCs/>
                <w:sz w:val="20"/>
                <w:lang w:val="en-US"/>
              </w:rPr>
              <w:t>2</w:t>
            </w:r>
            <w:r w:rsidR="00B35BE4" w:rsidRPr="001D08AC">
              <w:rPr>
                <w:rFonts w:ascii="Verdana" w:hAnsi="Verdana" w:cs="Times New Roman Bold"/>
                <w:b/>
                <w:bCs/>
                <w:sz w:val="20"/>
                <w:lang w:val="en-US"/>
              </w:rPr>
              <w:t>4</w:t>
            </w:r>
            <w:r w:rsidRPr="001D08AC">
              <w:rPr>
                <w:rFonts w:ascii="Verdana" w:hAnsi="Verdana" w:cs="Times New Roman Bold"/>
                <w:b/>
                <w:bCs/>
                <w:sz w:val="20"/>
                <w:lang w:val="en-US"/>
              </w:rPr>
              <w:t xml:space="preserve"> </w:t>
            </w:r>
            <w:r w:rsidR="00B35BE4" w:rsidRPr="001D08AC">
              <w:rPr>
                <w:rFonts w:ascii="Verdana" w:hAnsi="Verdana" w:cs="Times New Roman Bold"/>
                <w:b/>
                <w:bCs/>
                <w:sz w:val="20"/>
                <w:lang w:val="en-US"/>
              </w:rPr>
              <w:t>May</w:t>
            </w:r>
            <w:r w:rsidRPr="001D08AC">
              <w:rPr>
                <w:rFonts w:ascii="Verdana" w:hAnsi="Verdana" w:cs="Times New Roman Bold"/>
                <w:b/>
                <w:bCs/>
                <w:sz w:val="20"/>
                <w:lang w:val="en-US"/>
              </w:rPr>
              <w:t xml:space="preserve"> 20</w:t>
            </w:r>
            <w:r w:rsidR="00DD3BF8" w:rsidRPr="001D08AC">
              <w:rPr>
                <w:rFonts w:ascii="Verdana" w:hAnsi="Verdana" w:cs="Times New Roman Bold"/>
                <w:b/>
                <w:bCs/>
                <w:sz w:val="20"/>
                <w:lang w:val="en-US"/>
              </w:rPr>
              <w:t>1</w:t>
            </w:r>
            <w:r w:rsidR="00B35BE4" w:rsidRPr="001D08AC">
              <w:rPr>
                <w:rFonts w:ascii="Verdana" w:hAnsi="Verdana" w:cs="Times New Roman Bold"/>
                <w:b/>
                <w:bCs/>
                <w:sz w:val="20"/>
                <w:lang w:val="en-US"/>
              </w:rPr>
              <w:t>3</w:t>
            </w:r>
          </w:p>
        </w:tc>
        <w:tc>
          <w:tcPr>
            <w:tcW w:w="3402" w:type="dxa"/>
          </w:tcPr>
          <w:p w:rsidR="0051782D" w:rsidRPr="001D08AC" w:rsidRDefault="00FC1E29" w:rsidP="00B35BE4">
            <w:pPr>
              <w:shd w:val="solid" w:color="FFFFFF" w:fill="FFFFFF"/>
              <w:spacing w:before="0" w:line="240" w:lineRule="atLeast"/>
              <w:rPr>
                <w:lang w:val="en-US"/>
              </w:rPr>
            </w:pPr>
            <w:r w:rsidRPr="001D08AC">
              <w:rPr>
                <w:noProof/>
                <w:lang w:val="en-US" w:eastAsia="zh-CN"/>
              </w:rPr>
              <w:drawing>
                <wp:inline distT="0" distB="0" distL="0" distR="0" wp14:anchorId="22F8B399" wp14:editId="3A0EB5B2">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1D08AC" w:rsidTr="00B35BE4">
        <w:trPr>
          <w:cantSplit/>
        </w:trPr>
        <w:tc>
          <w:tcPr>
            <w:tcW w:w="6487" w:type="dxa"/>
            <w:tcBorders>
              <w:bottom w:val="single" w:sz="12" w:space="0" w:color="auto"/>
            </w:tcBorders>
          </w:tcPr>
          <w:p w:rsidR="0051782D" w:rsidRPr="001D08AC" w:rsidRDefault="0051782D" w:rsidP="00B35BE4">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rsidR="0051782D" w:rsidRPr="001D08AC" w:rsidRDefault="0051782D" w:rsidP="00B35BE4">
            <w:pPr>
              <w:shd w:val="solid" w:color="FFFFFF" w:fill="FFFFFF"/>
              <w:spacing w:before="0" w:after="48" w:line="240" w:lineRule="atLeast"/>
              <w:rPr>
                <w:sz w:val="22"/>
                <w:szCs w:val="22"/>
                <w:lang w:val="en-US"/>
              </w:rPr>
            </w:pPr>
          </w:p>
        </w:tc>
      </w:tr>
      <w:tr w:rsidR="0051782D" w:rsidRPr="001D08AC" w:rsidTr="00B35BE4">
        <w:trPr>
          <w:cantSplit/>
        </w:trPr>
        <w:tc>
          <w:tcPr>
            <w:tcW w:w="6487" w:type="dxa"/>
            <w:tcBorders>
              <w:top w:val="single" w:sz="12" w:space="0" w:color="auto"/>
            </w:tcBorders>
          </w:tcPr>
          <w:p w:rsidR="0051782D" w:rsidRPr="001D08AC" w:rsidRDefault="0051782D" w:rsidP="00B35BE4">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rsidR="0051782D" w:rsidRPr="001D08AC" w:rsidRDefault="0051782D" w:rsidP="00B35BE4">
            <w:pPr>
              <w:shd w:val="solid" w:color="FFFFFF" w:fill="FFFFFF"/>
              <w:spacing w:before="0" w:after="48" w:line="240" w:lineRule="atLeast"/>
              <w:rPr>
                <w:lang w:val="en-US"/>
              </w:rPr>
            </w:pPr>
          </w:p>
        </w:tc>
      </w:tr>
      <w:tr w:rsidR="0051782D" w:rsidRPr="001D08AC" w:rsidTr="00B35BE4">
        <w:trPr>
          <w:cantSplit/>
        </w:trPr>
        <w:tc>
          <w:tcPr>
            <w:tcW w:w="6487" w:type="dxa"/>
            <w:vMerge w:val="restart"/>
          </w:tcPr>
          <w:p w:rsidR="0051782D" w:rsidRPr="001D08AC" w:rsidRDefault="0051782D" w:rsidP="00B35BE4">
            <w:pPr>
              <w:shd w:val="solid" w:color="FFFFFF" w:fill="FFFFFF"/>
              <w:spacing w:after="240"/>
              <w:rPr>
                <w:sz w:val="20"/>
                <w:lang w:val="en-US"/>
              </w:rPr>
            </w:pPr>
            <w:bookmarkStart w:id="0" w:name="dnum" w:colFirst="1" w:colLast="1"/>
          </w:p>
        </w:tc>
        <w:tc>
          <w:tcPr>
            <w:tcW w:w="3402" w:type="dxa"/>
          </w:tcPr>
          <w:p w:rsidR="0051782D" w:rsidRPr="001D08AC" w:rsidRDefault="007A17E4" w:rsidP="007A17E4">
            <w:pPr>
              <w:shd w:val="solid" w:color="FFFFFF" w:fill="FFFFFF"/>
              <w:spacing w:before="0" w:line="240" w:lineRule="atLeast"/>
              <w:rPr>
                <w:rFonts w:ascii="Verdana" w:hAnsi="Verdana"/>
                <w:sz w:val="20"/>
                <w:lang w:val="en-US"/>
              </w:rPr>
            </w:pPr>
            <w:r w:rsidRPr="001D08AC">
              <w:rPr>
                <w:rFonts w:ascii="Verdana" w:hAnsi="Verdana"/>
                <w:b/>
                <w:sz w:val="20"/>
                <w:lang w:val="en-US"/>
              </w:rPr>
              <w:t>Document RAG13-1/1-E</w:t>
            </w:r>
          </w:p>
        </w:tc>
      </w:tr>
      <w:tr w:rsidR="0051782D" w:rsidRPr="001D08AC" w:rsidTr="00B35BE4">
        <w:trPr>
          <w:cantSplit/>
        </w:trPr>
        <w:tc>
          <w:tcPr>
            <w:tcW w:w="6487" w:type="dxa"/>
            <w:vMerge/>
          </w:tcPr>
          <w:p w:rsidR="0051782D" w:rsidRPr="001D08AC" w:rsidRDefault="0051782D" w:rsidP="00B35BE4">
            <w:pPr>
              <w:spacing w:before="60"/>
              <w:jc w:val="center"/>
              <w:rPr>
                <w:b/>
                <w:smallCaps/>
                <w:sz w:val="32"/>
                <w:lang w:val="en-US"/>
              </w:rPr>
            </w:pPr>
            <w:bookmarkStart w:id="1" w:name="ddate" w:colFirst="1" w:colLast="1"/>
            <w:bookmarkEnd w:id="0"/>
          </w:p>
        </w:tc>
        <w:tc>
          <w:tcPr>
            <w:tcW w:w="3402" w:type="dxa"/>
          </w:tcPr>
          <w:p w:rsidR="0051782D" w:rsidRPr="001D08AC" w:rsidRDefault="007A17E4" w:rsidP="007A17E4">
            <w:pPr>
              <w:shd w:val="solid" w:color="FFFFFF" w:fill="FFFFFF"/>
              <w:spacing w:before="0" w:line="240" w:lineRule="atLeast"/>
              <w:rPr>
                <w:rFonts w:ascii="Verdana" w:hAnsi="Verdana"/>
                <w:sz w:val="20"/>
                <w:lang w:val="en-US"/>
              </w:rPr>
            </w:pPr>
            <w:r w:rsidRPr="001D08AC">
              <w:rPr>
                <w:rFonts w:ascii="Verdana" w:hAnsi="Verdana"/>
                <w:b/>
                <w:sz w:val="20"/>
                <w:lang w:val="en-US"/>
              </w:rPr>
              <w:t>20 March 2013</w:t>
            </w:r>
          </w:p>
        </w:tc>
      </w:tr>
      <w:tr w:rsidR="0051782D" w:rsidRPr="001D08AC" w:rsidTr="00B35BE4">
        <w:trPr>
          <w:cantSplit/>
        </w:trPr>
        <w:tc>
          <w:tcPr>
            <w:tcW w:w="6487" w:type="dxa"/>
            <w:vMerge/>
          </w:tcPr>
          <w:p w:rsidR="0051782D" w:rsidRPr="001D08AC" w:rsidRDefault="0051782D" w:rsidP="00B35BE4">
            <w:pPr>
              <w:spacing w:before="60"/>
              <w:jc w:val="center"/>
              <w:rPr>
                <w:b/>
                <w:smallCaps/>
                <w:sz w:val="32"/>
                <w:lang w:val="en-US"/>
              </w:rPr>
            </w:pPr>
            <w:bookmarkStart w:id="2" w:name="dorlang" w:colFirst="1" w:colLast="1"/>
            <w:bookmarkEnd w:id="1"/>
          </w:p>
        </w:tc>
        <w:tc>
          <w:tcPr>
            <w:tcW w:w="3402" w:type="dxa"/>
          </w:tcPr>
          <w:p w:rsidR="0051782D" w:rsidRPr="001D08AC" w:rsidRDefault="007A17E4" w:rsidP="007A17E4">
            <w:pPr>
              <w:shd w:val="solid" w:color="FFFFFF" w:fill="FFFFFF"/>
              <w:spacing w:before="0" w:after="120" w:line="240" w:lineRule="atLeast"/>
              <w:rPr>
                <w:rFonts w:ascii="Verdana" w:hAnsi="Verdana"/>
                <w:sz w:val="20"/>
                <w:lang w:val="en-US"/>
              </w:rPr>
            </w:pPr>
            <w:r w:rsidRPr="001D08AC">
              <w:rPr>
                <w:rFonts w:ascii="Verdana" w:hAnsi="Verdana"/>
                <w:b/>
                <w:sz w:val="20"/>
                <w:lang w:val="en-US"/>
              </w:rPr>
              <w:t>Original: English</w:t>
            </w:r>
          </w:p>
        </w:tc>
      </w:tr>
      <w:tr w:rsidR="00093C73" w:rsidRPr="001D08AC" w:rsidTr="00B35BE4">
        <w:trPr>
          <w:cantSplit/>
        </w:trPr>
        <w:tc>
          <w:tcPr>
            <w:tcW w:w="9889" w:type="dxa"/>
            <w:gridSpan w:val="2"/>
          </w:tcPr>
          <w:p w:rsidR="00093C73" w:rsidRPr="001D08AC" w:rsidRDefault="007A17E4" w:rsidP="007A17E4">
            <w:pPr>
              <w:pStyle w:val="Source"/>
              <w:rPr>
                <w:lang w:val="en-US"/>
              </w:rPr>
            </w:pPr>
            <w:bookmarkStart w:id="3" w:name="dsource" w:colFirst="0" w:colLast="0"/>
            <w:bookmarkEnd w:id="2"/>
            <w:r w:rsidRPr="001D08AC">
              <w:rPr>
                <w:lang w:val="en-US"/>
              </w:rPr>
              <w:t>Director, Radiocommunication Bureau</w:t>
            </w:r>
          </w:p>
        </w:tc>
      </w:tr>
      <w:tr w:rsidR="00093C73" w:rsidRPr="001D08AC" w:rsidTr="00B35BE4">
        <w:trPr>
          <w:cantSplit/>
        </w:trPr>
        <w:tc>
          <w:tcPr>
            <w:tcW w:w="9889" w:type="dxa"/>
            <w:gridSpan w:val="2"/>
          </w:tcPr>
          <w:p w:rsidR="00093C73" w:rsidRPr="001D08AC" w:rsidRDefault="007A17E4" w:rsidP="007A17E4">
            <w:pPr>
              <w:pStyle w:val="Title1"/>
              <w:rPr>
                <w:lang w:val="en-US"/>
              </w:rPr>
            </w:pPr>
            <w:bookmarkStart w:id="4" w:name="dtitle1" w:colFirst="0" w:colLast="0"/>
            <w:bookmarkEnd w:id="3"/>
            <w:r w:rsidRPr="001D08AC">
              <w:rPr>
                <w:lang w:val="en-US"/>
              </w:rPr>
              <w:t xml:space="preserve">report to the twentieth meeting of the </w:t>
            </w:r>
            <w:r w:rsidRPr="001D08AC">
              <w:rPr>
                <w:lang w:val="en-US"/>
              </w:rPr>
              <w:br/>
              <w:t>radiocommunication advisory group</w:t>
            </w:r>
          </w:p>
        </w:tc>
      </w:tr>
    </w:tbl>
    <w:bookmarkEnd w:id="4"/>
    <w:p w:rsidR="0026766C" w:rsidRPr="001D08AC" w:rsidRDefault="0026766C" w:rsidP="00832727">
      <w:pPr>
        <w:pStyle w:val="Heading1"/>
        <w:rPr>
          <w:lang w:val="en-US"/>
        </w:rPr>
      </w:pPr>
      <w:r w:rsidRPr="001D08AC">
        <w:rPr>
          <w:lang w:val="en-US"/>
        </w:rPr>
        <w:t>1</w:t>
      </w:r>
      <w:r w:rsidRPr="001D08AC">
        <w:rPr>
          <w:lang w:val="en-US"/>
        </w:rPr>
        <w:tab/>
        <w:t>Introduction</w:t>
      </w:r>
    </w:p>
    <w:p w:rsidR="0026766C" w:rsidRPr="001D08AC" w:rsidRDefault="0026766C" w:rsidP="00832727">
      <w:pPr>
        <w:rPr>
          <w:lang w:val="en-US"/>
        </w:rPr>
      </w:pPr>
      <w:r w:rsidRPr="001D08AC">
        <w:rPr>
          <w:lang w:val="en-US"/>
        </w:rPr>
        <w:t>This document is intended to provide status reports and background information on some of the issues that are on the provisional agenda for the 20</w:t>
      </w:r>
      <w:r w:rsidRPr="008B03B9">
        <w:t>th</w:t>
      </w:r>
      <w:r w:rsidRPr="001D08AC">
        <w:rPr>
          <w:lang w:val="en-US"/>
        </w:rPr>
        <w:t xml:space="preserve"> meeting of RAG (see </w:t>
      </w:r>
      <w:hyperlink r:id="rId9" w:history="1">
        <w:r w:rsidRPr="001D08AC">
          <w:rPr>
            <w:rStyle w:val="Hyperlink"/>
            <w:lang w:val="en-US"/>
          </w:rPr>
          <w:t>CA/207</w:t>
        </w:r>
      </w:hyperlink>
      <w:r w:rsidRPr="001D08AC">
        <w:rPr>
          <w:lang w:val="en-US"/>
        </w:rPr>
        <w:t xml:space="preserve"> of 18.01.13) to assist the meeting in considering the relevant agenda items.</w:t>
      </w:r>
    </w:p>
    <w:p w:rsidR="0026766C" w:rsidRPr="001D08AC" w:rsidRDefault="0026766C" w:rsidP="00832727">
      <w:pPr>
        <w:rPr>
          <w:lang w:val="en-US"/>
        </w:rPr>
      </w:pPr>
      <w:r w:rsidRPr="001D08AC">
        <w:rPr>
          <w:lang w:val="en-US"/>
        </w:rPr>
        <w:t>Separate reports will be submitted for some of the agenda items.</w:t>
      </w:r>
    </w:p>
    <w:p w:rsidR="0026766C" w:rsidRPr="001D08AC" w:rsidRDefault="0026766C" w:rsidP="00832727">
      <w:pPr>
        <w:pStyle w:val="Heading1"/>
        <w:rPr>
          <w:lang w:val="en-US"/>
        </w:rPr>
      </w:pPr>
      <w:r w:rsidRPr="001D08AC">
        <w:rPr>
          <w:lang w:val="en-US"/>
        </w:rPr>
        <w:t>2</w:t>
      </w:r>
      <w:r w:rsidRPr="001D08AC">
        <w:rPr>
          <w:lang w:val="en-US"/>
        </w:rPr>
        <w:tab/>
        <w:t>Council issues</w:t>
      </w:r>
    </w:p>
    <w:p w:rsidR="0026766C" w:rsidRPr="001D08AC" w:rsidRDefault="0026766C" w:rsidP="00832727">
      <w:pPr>
        <w:rPr>
          <w:lang w:val="en-US"/>
        </w:rPr>
      </w:pPr>
      <w:r w:rsidRPr="001D08AC">
        <w:rPr>
          <w:lang w:val="en-US"/>
        </w:rPr>
        <w:t xml:space="preserve">This section covers the relevant issues related to the 2012 and 2013 sessions of the Council (see: </w:t>
      </w:r>
      <w:hyperlink r:id="rId10" w:history="1">
        <w:r w:rsidRPr="001D08AC">
          <w:rPr>
            <w:rStyle w:val="Hyperlink"/>
            <w:lang w:val="en-US"/>
          </w:rPr>
          <w:t>http://www.itu.int/council/</w:t>
        </w:r>
      </w:hyperlink>
      <w:r w:rsidRPr="001D08AC">
        <w:rPr>
          <w:rStyle w:val="Hyperlink"/>
          <w:lang w:val="en-US"/>
        </w:rPr>
        <w:t>)</w:t>
      </w:r>
      <w:r w:rsidRPr="001D08AC">
        <w:rPr>
          <w:lang w:val="en-US"/>
        </w:rPr>
        <w:t>.</w:t>
      </w:r>
    </w:p>
    <w:p w:rsidR="0026766C" w:rsidRPr="001D08AC" w:rsidRDefault="0026766C" w:rsidP="00832727">
      <w:pPr>
        <w:pStyle w:val="Heading2"/>
        <w:rPr>
          <w:lang w:val="en-US"/>
        </w:rPr>
      </w:pPr>
      <w:r w:rsidRPr="001D08AC">
        <w:rPr>
          <w:lang w:val="en-US"/>
        </w:rPr>
        <w:t>2.1</w:t>
      </w:r>
      <w:r w:rsidRPr="001D08AC">
        <w:rPr>
          <w:lang w:val="en-US"/>
        </w:rPr>
        <w:tab/>
        <w:t>Implementation of WRC-12 decisions – RA-15 and WRC-15 agenda, dates and venue</w:t>
      </w:r>
    </w:p>
    <w:p w:rsidR="0026766C" w:rsidRPr="001D08AC" w:rsidRDefault="0026766C" w:rsidP="00832727">
      <w:pPr>
        <w:rPr>
          <w:lang w:val="en-US"/>
        </w:rPr>
      </w:pPr>
      <w:r w:rsidRPr="001D08AC">
        <w:rPr>
          <w:lang w:val="en-US"/>
        </w:rPr>
        <w:t xml:space="preserve">Council noted that the financial implications of the decisions of WRC-12 amounted to CHF 1.1 million and agreed that this cost should be covered by efficiency measures and savings by BR. It also noted that efficiency would be improved by using the electronic communication methods based on WRC-12 Resolutions 907 and 908. </w:t>
      </w:r>
    </w:p>
    <w:p w:rsidR="0026766C" w:rsidRPr="001D08AC" w:rsidRDefault="0026766C" w:rsidP="002528E3">
      <w:pPr>
        <w:rPr>
          <w:rFonts w:eastAsia="SimSun"/>
          <w:lang w:val="en-US" w:eastAsia="zh-CN"/>
        </w:rPr>
      </w:pPr>
      <w:r w:rsidRPr="001D08AC">
        <w:rPr>
          <w:lang w:val="en-US"/>
        </w:rPr>
        <w:t xml:space="preserve">In discussing the duration of WRC-15, there was no opposition to the four-week period. </w:t>
      </w:r>
      <w:r w:rsidRPr="001D08AC">
        <w:rPr>
          <w:rFonts w:eastAsia="SimSun"/>
          <w:lang w:val="en-US" w:eastAsia="zh-CN"/>
        </w:rPr>
        <w:t>Council approved Resolution 1343 (</w:t>
      </w:r>
      <w:bookmarkStart w:id="5" w:name="_Hlk351970741"/>
      <w:r w:rsidRPr="001D08AC">
        <w:rPr>
          <w:rFonts w:eastAsia="SimSun"/>
          <w:lang w:val="en-US" w:eastAsia="zh-CN"/>
        </w:rPr>
        <w:fldChar w:fldCharType="begin"/>
      </w:r>
      <w:r w:rsidRPr="001D08AC">
        <w:rPr>
          <w:rFonts w:eastAsia="SimSun"/>
          <w:lang w:val="en-US" w:eastAsia="zh-CN"/>
        </w:rPr>
        <w:instrText xml:space="preserve"> HYPERLINK "http://web.itu.int/dms_ties/itu-s/md/12/cl/c/S12-CL-C-0085!R1!MSW-E.docx" </w:instrText>
      </w:r>
      <w:r w:rsidRPr="001D08AC">
        <w:rPr>
          <w:rFonts w:eastAsia="SimSun"/>
          <w:lang w:val="en-US" w:eastAsia="zh-CN"/>
        </w:rPr>
        <w:fldChar w:fldCharType="separate"/>
      </w:r>
      <w:r w:rsidRPr="001D08AC">
        <w:rPr>
          <w:rStyle w:val="Hyperlink"/>
          <w:rFonts w:eastAsia="SimSun"/>
          <w:szCs w:val="24"/>
          <w:lang w:val="en-US" w:eastAsia="zh-CN"/>
        </w:rPr>
        <w:t>Document C12/85(Rev.1</w:t>
      </w:r>
      <w:bookmarkEnd w:id="5"/>
      <w:r w:rsidRPr="001D08AC">
        <w:rPr>
          <w:rFonts w:eastAsia="SimSun"/>
          <w:lang w:val="en-US" w:eastAsia="zh-CN"/>
        </w:rPr>
        <w:fldChar w:fldCharType="end"/>
      </w:r>
      <w:r w:rsidRPr="001D08AC">
        <w:rPr>
          <w:rFonts w:eastAsia="SimSun"/>
          <w:lang w:val="en-US" w:eastAsia="zh-CN"/>
        </w:rPr>
        <w:t>)) containing the agenda for WRC-15 as well as the dates and venue for WRC-15 (Geneva, 2-27 November 2015) and for RA-15 (Geneva, 26</w:t>
      </w:r>
      <w:r w:rsidRPr="001D08AC">
        <w:rPr>
          <w:rFonts w:eastAsia="SimSun"/>
          <w:lang w:val="en-US" w:eastAsia="zh-CN"/>
        </w:rPr>
        <w:noBreakHyphen/>
        <w:t xml:space="preserve">30 October 2015). This Council Resolution was subsequently approved by the ITU Member States by correspondence. Council noted the dates and venue proposed for the Second Session of the CPM for WRC-15 (CPM15-2, </w:t>
      </w:r>
      <w:r w:rsidRPr="001D08AC">
        <w:rPr>
          <w:lang w:val="en-US"/>
        </w:rPr>
        <w:t>Geneva, 23 March</w:t>
      </w:r>
      <w:r w:rsidR="008B03B9">
        <w:rPr>
          <w:lang w:val="en-US"/>
        </w:rPr>
        <w:t xml:space="preserve"> </w:t>
      </w:r>
      <w:r w:rsidR="002528E3">
        <w:rPr>
          <w:lang w:val="en-US"/>
        </w:rPr>
        <w:t>-</w:t>
      </w:r>
      <w:r w:rsidR="008B03B9">
        <w:rPr>
          <w:lang w:val="en-US"/>
        </w:rPr>
        <w:t xml:space="preserve"> </w:t>
      </w:r>
      <w:r w:rsidRPr="001D08AC">
        <w:rPr>
          <w:lang w:val="en-US"/>
        </w:rPr>
        <w:t>2 April 2015)</w:t>
      </w:r>
      <w:r w:rsidRPr="001D08AC">
        <w:rPr>
          <w:rFonts w:eastAsia="SimSun"/>
          <w:lang w:val="en-US" w:eastAsia="zh-CN"/>
        </w:rPr>
        <w:t>.</w:t>
      </w:r>
    </w:p>
    <w:p w:rsidR="0026766C" w:rsidRPr="001D08AC" w:rsidRDefault="0026766C" w:rsidP="00832727">
      <w:pPr>
        <w:rPr>
          <w:lang w:val="en-US"/>
        </w:rPr>
      </w:pPr>
      <w:r w:rsidRPr="001D08AC">
        <w:rPr>
          <w:lang w:val="en-US"/>
        </w:rPr>
        <w:t xml:space="preserve">It was suggested that, in the interests of expediency, the first session of the CPM (CPM-1) should be held immediately after the WRC signing ceremony and continue on the Saturday following the end of the conference, thus, avoiding delegations having to spend the whole weekend at the venue waiting for CPM-1 to begin in the following week. Others considered that delegates should be able to rest over the weekend. This topic will be further studied in view of the past and recent experiences and will be reported at the 2014 meeting of the RAG. </w:t>
      </w:r>
    </w:p>
    <w:p w:rsidR="0026766C" w:rsidRPr="001D08AC" w:rsidRDefault="0026766C" w:rsidP="00B7349C">
      <w:pPr>
        <w:pStyle w:val="Heading2"/>
        <w:rPr>
          <w:lang w:val="en-US"/>
        </w:rPr>
      </w:pPr>
      <w:r w:rsidRPr="001D08AC">
        <w:rPr>
          <w:lang w:val="en-US"/>
        </w:rPr>
        <w:lastRenderedPageBreak/>
        <w:t>2.2</w:t>
      </w:r>
      <w:r w:rsidRPr="001D08AC">
        <w:rPr>
          <w:lang w:val="en-US"/>
        </w:rPr>
        <w:tab/>
        <w:t>Publications</w:t>
      </w:r>
    </w:p>
    <w:p w:rsidR="0026766C" w:rsidRPr="001D08AC" w:rsidRDefault="0026766C" w:rsidP="00B7349C">
      <w:pPr>
        <w:rPr>
          <w:rFonts w:asciiTheme="majorBidi" w:hAnsiTheme="majorBidi" w:cstheme="majorBidi"/>
          <w:spacing w:val="-2"/>
          <w:szCs w:val="22"/>
          <w:lang w:val="en-US"/>
        </w:rPr>
      </w:pPr>
      <w:r w:rsidRPr="001D08AC">
        <w:rPr>
          <w:lang w:val="en-US"/>
        </w:rPr>
        <w:t xml:space="preserve">By Decision 12 (Guadalajara, 2010), PP-10 expanded the free online access policy to include, </w:t>
      </w:r>
      <w:r w:rsidRPr="001D08AC">
        <w:rPr>
          <w:i/>
          <w:lang w:val="en-US"/>
        </w:rPr>
        <w:t>inter alia</w:t>
      </w:r>
      <w:r w:rsidRPr="001D08AC">
        <w:rPr>
          <w:lang w:val="en-US"/>
        </w:rPr>
        <w:t xml:space="preserve">, </w:t>
      </w:r>
      <w:r w:rsidR="004A7348">
        <w:rPr>
          <w:lang w:val="en-US"/>
        </w:rPr>
        <w:t>ITU</w:t>
      </w:r>
      <w:r w:rsidR="004A7348">
        <w:rPr>
          <w:lang w:val="en-US"/>
        </w:rPr>
        <w:noBreakHyphen/>
      </w:r>
      <w:r w:rsidRPr="001D08AC">
        <w:rPr>
          <w:lang w:val="en-US"/>
        </w:rPr>
        <w:t>R Recommendations and Reports. As previously reported, the number of downloads and number of distinct users downloading these publications has increased markedly. The free online access policy is thus resulting in dissemination of ITU standards to a broader public, especially in developing countries with financial constraints. This wide outreach via free online access will help build the visibility of ITU</w:t>
      </w:r>
      <w:r w:rsidR="008B03B9">
        <w:rPr>
          <w:lang w:val="en-US"/>
        </w:rPr>
        <w:t>’</w:t>
      </w:r>
      <w:r w:rsidRPr="001D08AC">
        <w:rPr>
          <w:lang w:val="en-US"/>
        </w:rPr>
        <w:t>s mission and mandate and reinforce ITU as a global telecommunication authority.</w:t>
      </w:r>
    </w:p>
    <w:p w:rsidR="0026766C" w:rsidRPr="001D08AC" w:rsidRDefault="0026766C" w:rsidP="00B7349C">
      <w:pPr>
        <w:rPr>
          <w:rFonts w:asciiTheme="majorBidi" w:hAnsiTheme="majorBidi" w:cstheme="majorBidi"/>
          <w:lang w:val="en-US"/>
        </w:rPr>
      </w:pPr>
      <w:r w:rsidRPr="001D08AC">
        <w:rPr>
          <w:rFonts w:asciiTheme="majorBidi" w:hAnsiTheme="majorBidi" w:cstheme="majorBidi"/>
          <w:spacing w:val="-2"/>
          <w:szCs w:val="22"/>
          <w:lang w:val="en-US"/>
        </w:rPr>
        <w:t>The issue of the f</w:t>
      </w:r>
      <w:r w:rsidRPr="001D08AC">
        <w:rPr>
          <w:rFonts w:asciiTheme="majorBidi" w:hAnsiTheme="majorBidi" w:cstheme="majorBidi"/>
          <w:szCs w:val="22"/>
          <w:lang w:val="en-US"/>
        </w:rPr>
        <w:t xml:space="preserve">ree online access to the Radio Regulations (RR) </w:t>
      </w:r>
      <w:r w:rsidRPr="001D08AC">
        <w:rPr>
          <w:rFonts w:asciiTheme="majorBidi" w:hAnsiTheme="majorBidi" w:cstheme="majorBidi"/>
          <w:spacing w:val="-2"/>
          <w:szCs w:val="22"/>
          <w:lang w:val="en-US"/>
        </w:rPr>
        <w:t xml:space="preserve">had been previously discussed in RAG which concluded that </w:t>
      </w:r>
      <w:r w:rsidR="008B03B9">
        <w:rPr>
          <w:rFonts w:asciiTheme="majorBidi" w:hAnsiTheme="majorBidi" w:cstheme="majorBidi"/>
          <w:spacing w:val="-2"/>
          <w:szCs w:val="22"/>
          <w:lang w:val="en-US"/>
        </w:rPr>
        <w:t>“</w:t>
      </w:r>
      <w:r w:rsidRPr="001D08AC">
        <w:rPr>
          <w:rFonts w:asciiTheme="majorBidi" w:hAnsiTheme="majorBidi" w:cstheme="majorBidi"/>
          <w:szCs w:val="22"/>
          <w:lang w:val="en-US"/>
        </w:rPr>
        <w:t>the extension of the free online access to the RR is encouraged although it is a matter for the Council to decide. RAG noted that the income from the sales of the online version currently represents less than 3% of the total sales of the Radio Regulations and that the statistics of the sale</w:t>
      </w:r>
      <w:r w:rsidR="008B03B9">
        <w:rPr>
          <w:rFonts w:asciiTheme="majorBidi" w:hAnsiTheme="majorBidi" w:cstheme="majorBidi"/>
          <w:szCs w:val="22"/>
          <w:lang w:val="en-US"/>
        </w:rPr>
        <w:t>’</w:t>
      </w:r>
      <w:r w:rsidRPr="001D08AC">
        <w:rPr>
          <w:rFonts w:asciiTheme="majorBidi" w:hAnsiTheme="majorBidi" w:cstheme="majorBidi"/>
          <w:szCs w:val="22"/>
          <w:lang w:val="en-US"/>
        </w:rPr>
        <w:t>s income figures of the CD and paper versions of the RR would be different once free online access would be granted.</w:t>
      </w:r>
      <w:r w:rsidR="008B03B9">
        <w:rPr>
          <w:rFonts w:asciiTheme="majorBidi" w:hAnsiTheme="majorBidi" w:cstheme="majorBidi"/>
          <w:szCs w:val="22"/>
          <w:lang w:val="en-US"/>
        </w:rPr>
        <w:t>”</w:t>
      </w:r>
      <w:r w:rsidRPr="001D08AC">
        <w:rPr>
          <w:rFonts w:asciiTheme="majorBidi" w:hAnsiTheme="majorBidi" w:cstheme="majorBidi"/>
          <w:szCs w:val="22"/>
          <w:lang w:val="en-US"/>
        </w:rPr>
        <w:t xml:space="preserve"> </w:t>
      </w:r>
      <w:r w:rsidRPr="001D08AC">
        <w:rPr>
          <w:rFonts w:asciiTheme="majorBidi" w:hAnsiTheme="majorBidi" w:cstheme="majorBidi"/>
          <w:spacing w:val="-2"/>
          <w:szCs w:val="22"/>
          <w:lang w:val="en-US"/>
        </w:rPr>
        <w:t>Counc</w:t>
      </w:r>
      <w:r w:rsidRPr="001D08AC">
        <w:rPr>
          <w:rFonts w:asciiTheme="majorBidi" w:hAnsiTheme="majorBidi" w:cstheme="majorBidi"/>
          <w:spacing w:val="-2"/>
          <w:lang w:val="en-US"/>
        </w:rPr>
        <w:t xml:space="preserve">il 2012 decided </w:t>
      </w:r>
      <w:r w:rsidRPr="001D08AC">
        <w:rPr>
          <w:rFonts w:asciiTheme="majorBidi" w:hAnsiTheme="majorBidi" w:cstheme="majorBidi"/>
          <w:lang w:val="en-US"/>
        </w:rPr>
        <w:t>to provide free online access to the Radio Regulations to the general public for a trial period until PP-14.</w:t>
      </w:r>
      <w:r w:rsidRPr="001D08AC">
        <w:rPr>
          <w:lang w:val="en-US"/>
        </w:rPr>
        <w:t xml:space="preserve"> </w:t>
      </w:r>
      <w:r w:rsidRPr="001D08AC">
        <w:rPr>
          <w:rFonts w:asciiTheme="majorBidi" w:hAnsiTheme="majorBidi" w:cstheme="majorBidi"/>
          <w:lang w:val="en-US"/>
        </w:rPr>
        <w:t>The t</w:t>
      </w:r>
      <w:r w:rsidRPr="001D08AC">
        <w:rPr>
          <w:lang w:val="en-US"/>
        </w:rPr>
        <w:t xml:space="preserve">able below reflects the sales results based on the data collected as of end February 2013: </w:t>
      </w:r>
    </w:p>
    <w:p w:rsidR="0026766C" w:rsidRPr="001D08AC" w:rsidRDefault="0026766C" w:rsidP="001D08AC">
      <w:pPr>
        <w:rPr>
          <w:lang w:val="en-US"/>
        </w:rPr>
      </w:pPr>
    </w:p>
    <w:tbl>
      <w:tblPr>
        <w:tblW w:w="8505" w:type="dxa"/>
        <w:jc w:val="center"/>
        <w:tblLook w:val="04A0" w:firstRow="1" w:lastRow="0" w:firstColumn="1" w:lastColumn="0" w:noHBand="0" w:noVBand="1"/>
      </w:tblPr>
      <w:tblGrid>
        <w:gridCol w:w="1112"/>
        <w:gridCol w:w="1327"/>
        <w:gridCol w:w="1527"/>
        <w:gridCol w:w="992"/>
        <w:gridCol w:w="851"/>
        <w:gridCol w:w="850"/>
        <w:gridCol w:w="1846"/>
      </w:tblGrid>
      <w:tr w:rsidR="0026766C" w:rsidRPr="001D08AC" w:rsidTr="00B7349C">
        <w:trPr>
          <w:trHeight w:val="264"/>
          <w:jc w:val="center"/>
        </w:trPr>
        <w:tc>
          <w:tcPr>
            <w:tcW w:w="1112" w:type="dxa"/>
            <w:tcBorders>
              <w:top w:val="single" w:sz="4" w:space="0" w:color="auto"/>
              <w:left w:val="single" w:sz="4" w:space="0" w:color="auto"/>
              <w:bottom w:val="single" w:sz="4" w:space="0" w:color="auto"/>
              <w:right w:val="single" w:sz="4" w:space="0" w:color="auto"/>
            </w:tcBorders>
            <w:vAlign w:val="center"/>
          </w:tcPr>
          <w:p w:rsidR="0026766C" w:rsidRPr="001D08AC" w:rsidRDefault="0026766C" w:rsidP="00B7349C">
            <w:pPr>
              <w:pStyle w:val="Tablehead"/>
              <w:rPr>
                <w:lang w:val="en-US"/>
              </w:rPr>
            </w:pPr>
            <w:r w:rsidRPr="001D08AC">
              <w:rPr>
                <w:lang w:val="en-US"/>
              </w:rPr>
              <w:t>Edition</w:t>
            </w:r>
          </w:p>
        </w:tc>
        <w:tc>
          <w:tcPr>
            <w:tcW w:w="1327" w:type="dxa"/>
            <w:tcBorders>
              <w:top w:val="single" w:sz="4" w:space="0" w:color="auto"/>
              <w:left w:val="single" w:sz="4" w:space="0" w:color="auto"/>
              <w:bottom w:val="single" w:sz="4" w:space="0" w:color="auto"/>
              <w:right w:val="single" w:sz="4" w:space="0" w:color="auto"/>
            </w:tcBorders>
            <w:vAlign w:val="center"/>
          </w:tcPr>
          <w:p w:rsidR="0026766C" w:rsidRPr="001D08AC" w:rsidRDefault="0026766C" w:rsidP="00B7349C">
            <w:pPr>
              <w:pStyle w:val="Tablehead"/>
              <w:rPr>
                <w:lang w:val="en-US"/>
              </w:rPr>
            </w:pPr>
            <w:r w:rsidRPr="001D08AC">
              <w:rPr>
                <w:lang w:val="en-US"/>
              </w:rPr>
              <w:t xml:space="preserve">Sales </w:t>
            </w:r>
            <w:r w:rsidR="00B7349C" w:rsidRPr="001D08AC">
              <w:rPr>
                <w:lang w:val="en-US"/>
              </w:rPr>
              <w:t>p</w:t>
            </w:r>
            <w:r w:rsidRPr="001D08AC">
              <w:rPr>
                <w:lang w:val="en-US"/>
              </w:rPr>
              <w:t>eriod</w:t>
            </w:r>
          </w:p>
        </w:tc>
        <w:tc>
          <w:tcPr>
            <w:tcW w:w="1527" w:type="dxa"/>
            <w:tcBorders>
              <w:top w:val="single" w:sz="4" w:space="0" w:color="auto"/>
              <w:left w:val="single" w:sz="4" w:space="0" w:color="auto"/>
              <w:bottom w:val="single" w:sz="4" w:space="0" w:color="auto"/>
              <w:right w:val="single" w:sz="4" w:space="0" w:color="auto"/>
            </w:tcBorders>
            <w:vAlign w:val="center"/>
          </w:tcPr>
          <w:p w:rsidR="0026766C" w:rsidRPr="001D08AC" w:rsidRDefault="0026766C" w:rsidP="00B7349C">
            <w:pPr>
              <w:pStyle w:val="Tablehead"/>
              <w:rPr>
                <w:lang w:val="en-US"/>
              </w:rPr>
            </w:pPr>
            <w:r w:rsidRPr="001D08AC">
              <w:rPr>
                <w:lang w:val="en-US"/>
              </w:rPr>
              <w:t xml:space="preserve">Total </w:t>
            </w:r>
            <w:r w:rsidR="00B7349C" w:rsidRPr="001D08AC">
              <w:rPr>
                <w:lang w:val="en-US"/>
              </w:rPr>
              <w:t>s</w:t>
            </w:r>
            <w:r w:rsidRPr="001D08AC">
              <w:rPr>
                <w:lang w:val="en-US"/>
              </w:rPr>
              <w:t>old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6C" w:rsidRPr="001D08AC" w:rsidRDefault="0026766C" w:rsidP="00B7349C">
            <w:pPr>
              <w:pStyle w:val="Tablehead"/>
              <w:rPr>
                <w:lang w:val="en-US"/>
              </w:rPr>
            </w:pPr>
            <w:r w:rsidRPr="001D08AC">
              <w:rPr>
                <w:lang w:val="en-US"/>
              </w:rPr>
              <w:t>Online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6766C" w:rsidRPr="001D08AC" w:rsidRDefault="0026766C" w:rsidP="00B7349C">
            <w:pPr>
              <w:pStyle w:val="Tablehead"/>
              <w:rPr>
                <w:lang w:val="en-US"/>
              </w:rPr>
            </w:pPr>
            <w:r w:rsidRPr="001D08AC">
              <w:rPr>
                <w:lang w:val="en-US"/>
              </w:rPr>
              <w:t>DVD</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6766C" w:rsidRPr="001D08AC" w:rsidRDefault="0026766C" w:rsidP="00B7349C">
            <w:pPr>
              <w:pStyle w:val="Tablehead"/>
              <w:rPr>
                <w:lang w:val="en-US"/>
              </w:rPr>
            </w:pPr>
            <w:r w:rsidRPr="001D08AC">
              <w:rPr>
                <w:lang w:val="en-US"/>
              </w:rPr>
              <w:t>Paper</w:t>
            </w:r>
          </w:p>
        </w:tc>
        <w:tc>
          <w:tcPr>
            <w:tcW w:w="1846" w:type="dxa"/>
            <w:tcBorders>
              <w:top w:val="single" w:sz="4" w:space="0" w:color="auto"/>
              <w:left w:val="nil"/>
              <w:bottom w:val="single" w:sz="4" w:space="0" w:color="auto"/>
              <w:right w:val="single" w:sz="4" w:space="0" w:color="auto"/>
            </w:tcBorders>
            <w:vAlign w:val="center"/>
          </w:tcPr>
          <w:p w:rsidR="0026766C" w:rsidRPr="001D08AC" w:rsidRDefault="0026766C" w:rsidP="00B7349C">
            <w:pPr>
              <w:pStyle w:val="Tablehead"/>
              <w:rPr>
                <w:lang w:val="en-US"/>
              </w:rPr>
            </w:pPr>
            <w:r w:rsidRPr="001D08AC">
              <w:rPr>
                <w:lang w:val="en-US"/>
              </w:rPr>
              <w:t xml:space="preserve">Free </w:t>
            </w:r>
            <w:r w:rsidR="00B7349C" w:rsidRPr="001D08AC">
              <w:rPr>
                <w:lang w:val="en-US"/>
              </w:rPr>
              <w:t>d</w:t>
            </w:r>
            <w:r w:rsidRPr="001D08AC">
              <w:rPr>
                <w:lang w:val="en-US"/>
              </w:rPr>
              <w:t>ownloads</w:t>
            </w:r>
          </w:p>
        </w:tc>
      </w:tr>
      <w:tr w:rsidR="0026766C" w:rsidRPr="001D08AC" w:rsidTr="00B7349C">
        <w:trPr>
          <w:trHeight w:val="264"/>
          <w:jc w:val="center"/>
        </w:trPr>
        <w:tc>
          <w:tcPr>
            <w:tcW w:w="1112" w:type="dxa"/>
            <w:tcBorders>
              <w:top w:val="nil"/>
              <w:left w:val="single" w:sz="4" w:space="0" w:color="auto"/>
              <w:bottom w:val="single" w:sz="4" w:space="0" w:color="auto"/>
              <w:right w:val="single" w:sz="4" w:space="0" w:color="auto"/>
            </w:tcBorders>
            <w:vAlign w:val="center"/>
          </w:tcPr>
          <w:p w:rsidR="0026766C" w:rsidRPr="001D08AC" w:rsidRDefault="0026766C" w:rsidP="00B7349C">
            <w:pPr>
              <w:pStyle w:val="Tabletext"/>
              <w:jc w:val="center"/>
              <w:rPr>
                <w:lang w:val="en-US"/>
              </w:rPr>
            </w:pPr>
            <w:r w:rsidRPr="001D08AC">
              <w:rPr>
                <w:lang w:val="en-US"/>
              </w:rPr>
              <w:t>2012</w:t>
            </w:r>
          </w:p>
        </w:tc>
        <w:tc>
          <w:tcPr>
            <w:tcW w:w="1327" w:type="dxa"/>
            <w:tcBorders>
              <w:top w:val="nil"/>
              <w:left w:val="single" w:sz="4" w:space="0" w:color="auto"/>
              <w:bottom w:val="single" w:sz="4" w:space="0" w:color="auto"/>
              <w:right w:val="single" w:sz="4" w:space="0" w:color="auto"/>
            </w:tcBorders>
            <w:vAlign w:val="center"/>
          </w:tcPr>
          <w:p w:rsidR="0026766C" w:rsidRPr="001D08AC" w:rsidRDefault="0026766C" w:rsidP="00B7349C">
            <w:pPr>
              <w:pStyle w:val="Tabletext"/>
              <w:jc w:val="center"/>
              <w:rPr>
                <w:lang w:val="en-US"/>
              </w:rPr>
            </w:pPr>
            <w:r w:rsidRPr="001D08AC">
              <w:rPr>
                <w:lang w:val="en-US"/>
              </w:rPr>
              <w:t xml:space="preserve">3 </w:t>
            </w:r>
            <w:r w:rsidR="00B7349C" w:rsidRPr="001D08AC">
              <w:rPr>
                <w:lang w:val="en-US"/>
              </w:rPr>
              <w:t>m</w:t>
            </w:r>
            <w:r w:rsidRPr="001D08AC">
              <w:rPr>
                <w:lang w:val="en-US"/>
              </w:rPr>
              <w:t>onths</w:t>
            </w:r>
          </w:p>
        </w:tc>
        <w:tc>
          <w:tcPr>
            <w:tcW w:w="1527" w:type="dxa"/>
            <w:tcBorders>
              <w:top w:val="nil"/>
              <w:left w:val="single" w:sz="4" w:space="0" w:color="auto"/>
              <w:bottom w:val="single" w:sz="4" w:space="0" w:color="auto"/>
              <w:right w:val="single" w:sz="4" w:space="0" w:color="auto"/>
            </w:tcBorders>
            <w:vAlign w:val="center"/>
          </w:tcPr>
          <w:p w:rsidR="0026766C" w:rsidRPr="001D08AC" w:rsidRDefault="0026766C" w:rsidP="00B7349C">
            <w:pPr>
              <w:pStyle w:val="Tabletext"/>
              <w:jc w:val="center"/>
              <w:rPr>
                <w:lang w:val="en-US"/>
              </w:rPr>
            </w:pPr>
            <w:r w:rsidRPr="001D08AC">
              <w:rPr>
                <w:lang w:val="en-US"/>
              </w:rPr>
              <w:t>3</w:t>
            </w:r>
            <w:r w:rsidR="008B03B9">
              <w:rPr>
                <w:lang w:val="en-US"/>
              </w:rPr>
              <w:t> </w:t>
            </w:r>
            <w:r w:rsidRPr="001D08AC">
              <w:rPr>
                <w:lang w:val="en-US"/>
              </w:rPr>
              <w:t>821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6766C" w:rsidRPr="001D08AC" w:rsidRDefault="0026766C" w:rsidP="00B7349C">
            <w:pPr>
              <w:pStyle w:val="Tabletext"/>
              <w:jc w:val="center"/>
              <w:rPr>
                <w:lang w:val="en-US"/>
              </w:rPr>
            </w:pPr>
            <w:r w:rsidRPr="001D08AC">
              <w:rPr>
                <w:lang w:val="en-US"/>
              </w:rPr>
              <w:t>0</w:t>
            </w:r>
          </w:p>
        </w:tc>
        <w:tc>
          <w:tcPr>
            <w:tcW w:w="851" w:type="dxa"/>
            <w:tcBorders>
              <w:top w:val="nil"/>
              <w:left w:val="nil"/>
              <w:bottom w:val="single" w:sz="4" w:space="0" w:color="auto"/>
              <w:right w:val="single" w:sz="4" w:space="0" w:color="auto"/>
            </w:tcBorders>
            <w:shd w:val="clear" w:color="auto" w:fill="auto"/>
            <w:noWrap/>
            <w:vAlign w:val="center"/>
          </w:tcPr>
          <w:p w:rsidR="0026766C" w:rsidRPr="001D08AC" w:rsidRDefault="0026766C" w:rsidP="00B7349C">
            <w:pPr>
              <w:pStyle w:val="Tabletext"/>
              <w:jc w:val="center"/>
              <w:rPr>
                <w:lang w:val="en-US"/>
              </w:rPr>
            </w:pPr>
            <w:r w:rsidRPr="001D08AC">
              <w:rPr>
                <w:lang w:val="en-US"/>
              </w:rPr>
              <w:t>7</w:t>
            </w:r>
          </w:p>
        </w:tc>
        <w:tc>
          <w:tcPr>
            <w:tcW w:w="850" w:type="dxa"/>
            <w:tcBorders>
              <w:top w:val="nil"/>
              <w:left w:val="nil"/>
              <w:bottom w:val="single" w:sz="4" w:space="0" w:color="auto"/>
              <w:right w:val="single" w:sz="4" w:space="0" w:color="auto"/>
            </w:tcBorders>
            <w:shd w:val="clear" w:color="auto" w:fill="auto"/>
            <w:noWrap/>
            <w:vAlign w:val="center"/>
          </w:tcPr>
          <w:p w:rsidR="0026766C" w:rsidRPr="001D08AC" w:rsidRDefault="0026766C" w:rsidP="00B7349C">
            <w:pPr>
              <w:pStyle w:val="Tabletext"/>
              <w:jc w:val="center"/>
              <w:rPr>
                <w:lang w:val="en-US"/>
              </w:rPr>
            </w:pPr>
            <w:r w:rsidRPr="001D08AC">
              <w:rPr>
                <w:lang w:val="en-US"/>
              </w:rPr>
              <w:t>3</w:t>
            </w:r>
            <w:r w:rsidR="008B03B9">
              <w:rPr>
                <w:lang w:val="en-US"/>
              </w:rPr>
              <w:t> </w:t>
            </w:r>
            <w:r w:rsidRPr="001D08AC">
              <w:rPr>
                <w:lang w:val="en-US"/>
              </w:rPr>
              <w:t>814</w:t>
            </w:r>
          </w:p>
        </w:tc>
        <w:tc>
          <w:tcPr>
            <w:tcW w:w="1846" w:type="dxa"/>
            <w:tcBorders>
              <w:top w:val="nil"/>
              <w:left w:val="nil"/>
              <w:bottom w:val="single" w:sz="4" w:space="0" w:color="auto"/>
              <w:right w:val="single" w:sz="4" w:space="0" w:color="auto"/>
            </w:tcBorders>
            <w:vAlign w:val="center"/>
          </w:tcPr>
          <w:p w:rsidR="0026766C" w:rsidRPr="001D08AC" w:rsidRDefault="0026766C" w:rsidP="00B7349C">
            <w:pPr>
              <w:pStyle w:val="Tabletext"/>
              <w:jc w:val="center"/>
              <w:rPr>
                <w:lang w:val="en-US"/>
              </w:rPr>
            </w:pPr>
            <w:r w:rsidRPr="001D08AC">
              <w:rPr>
                <w:lang w:val="en-US"/>
              </w:rPr>
              <w:t>4</w:t>
            </w:r>
            <w:r w:rsidR="008B03B9">
              <w:rPr>
                <w:lang w:val="en-US"/>
              </w:rPr>
              <w:t> </w:t>
            </w:r>
            <w:r w:rsidRPr="001D08AC">
              <w:rPr>
                <w:lang w:val="en-US"/>
              </w:rPr>
              <w:t>926</w:t>
            </w:r>
          </w:p>
        </w:tc>
      </w:tr>
      <w:tr w:rsidR="0026766C" w:rsidRPr="001D08AC" w:rsidTr="00B7349C">
        <w:trPr>
          <w:trHeight w:val="264"/>
          <w:jc w:val="center"/>
        </w:trPr>
        <w:tc>
          <w:tcPr>
            <w:tcW w:w="1112" w:type="dxa"/>
            <w:tcBorders>
              <w:top w:val="nil"/>
              <w:left w:val="single" w:sz="4" w:space="0" w:color="auto"/>
              <w:bottom w:val="single" w:sz="4" w:space="0" w:color="auto"/>
              <w:right w:val="single" w:sz="4" w:space="0" w:color="auto"/>
            </w:tcBorders>
            <w:vAlign w:val="center"/>
          </w:tcPr>
          <w:p w:rsidR="0026766C" w:rsidRPr="001D08AC" w:rsidRDefault="0026766C" w:rsidP="00B7349C">
            <w:pPr>
              <w:pStyle w:val="Tabletext"/>
              <w:jc w:val="center"/>
              <w:rPr>
                <w:lang w:val="en-US"/>
              </w:rPr>
            </w:pPr>
            <w:r w:rsidRPr="001D08AC">
              <w:rPr>
                <w:lang w:val="en-US"/>
              </w:rPr>
              <w:t>2008</w:t>
            </w:r>
          </w:p>
        </w:tc>
        <w:tc>
          <w:tcPr>
            <w:tcW w:w="1327" w:type="dxa"/>
            <w:tcBorders>
              <w:top w:val="nil"/>
              <w:left w:val="single" w:sz="4" w:space="0" w:color="auto"/>
              <w:bottom w:val="single" w:sz="4" w:space="0" w:color="auto"/>
              <w:right w:val="single" w:sz="4" w:space="0" w:color="auto"/>
            </w:tcBorders>
            <w:vAlign w:val="center"/>
          </w:tcPr>
          <w:p w:rsidR="0026766C" w:rsidRPr="001D08AC" w:rsidRDefault="0026766C" w:rsidP="00B7349C">
            <w:pPr>
              <w:pStyle w:val="Tabletext"/>
              <w:jc w:val="center"/>
              <w:rPr>
                <w:lang w:val="en-US"/>
              </w:rPr>
            </w:pPr>
            <w:r w:rsidRPr="001D08AC">
              <w:rPr>
                <w:lang w:val="en-US"/>
              </w:rPr>
              <w:t xml:space="preserve">52 </w:t>
            </w:r>
            <w:r w:rsidR="00B7349C" w:rsidRPr="001D08AC">
              <w:rPr>
                <w:lang w:val="en-US"/>
              </w:rPr>
              <w:t>m</w:t>
            </w:r>
            <w:r w:rsidRPr="001D08AC">
              <w:rPr>
                <w:lang w:val="en-US"/>
              </w:rPr>
              <w:t>onths</w:t>
            </w:r>
          </w:p>
        </w:tc>
        <w:tc>
          <w:tcPr>
            <w:tcW w:w="1527" w:type="dxa"/>
            <w:tcBorders>
              <w:top w:val="nil"/>
              <w:left w:val="single" w:sz="4" w:space="0" w:color="auto"/>
              <w:bottom w:val="single" w:sz="4" w:space="0" w:color="auto"/>
              <w:right w:val="single" w:sz="4" w:space="0" w:color="auto"/>
            </w:tcBorders>
            <w:vAlign w:val="center"/>
          </w:tcPr>
          <w:p w:rsidR="0026766C" w:rsidRPr="001D08AC" w:rsidRDefault="0026766C" w:rsidP="00B7349C">
            <w:pPr>
              <w:pStyle w:val="Tabletext"/>
              <w:jc w:val="center"/>
              <w:rPr>
                <w:lang w:val="en-US"/>
              </w:rPr>
            </w:pPr>
            <w:r w:rsidRPr="001D08AC">
              <w:rPr>
                <w:lang w:val="en-US"/>
              </w:rPr>
              <w:t>15</w:t>
            </w:r>
            <w:r w:rsidR="008B03B9">
              <w:rPr>
                <w:lang w:val="en-US"/>
              </w:rPr>
              <w:t> </w:t>
            </w:r>
            <w:r w:rsidRPr="001D08AC">
              <w:rPr>
                <w:lang w:val="en-US"/>
              </w:rPr>
              <w:t>183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6766C" w:rsidRPr="001D08AC" w:rsidRDefault="0026766C" w:rsidP="00B7349C">
            <w:pPr>
              <w:pStyle w:val="Tabletext"/>
              <w:jc w:val="center"/>
              <w:rPr>
                <w:lang w:val="en-US"/>
              </w:rPr>
            </w:pPr>
            <w:r w:rsidRPr="001D08AC">
              <w:rPr>
                <w:lang w:val="en-US"/>
              </w:rPr>
              <w:t>312</w:t>
            </w:r>
          </w:p>
        </w:tc>
        <w:tc>
          <w:tcPr>
            <w:tcW w:w="851" w:type="dxa"/>
            <w:tcBorders>
              <w:top w:val="nil"/>
              <w:left w:val="nil"/>
              <w:bottom w:val="single" w:sz="4" w:space="0" w:color="auto"/>
              <w:right w:val="single" w:sz="4" w:space="0" w:color="auto"/>
            </w:tcBorders>
            <w:shd w:val="clear" w:color="auto" w:fill="auto"/>
            <w:noWrap/>
            <w:vAlign w:val="center"/>
          </w:tcPr>
          <w:p w:rsidR="0026766C" w:rsidRPr="001D08AC" w:rsidRDefault="0026766C" w:rsidP="00B7349C">
            <w:pPr>
              <w:pStyle w:val="Tabletext"/>
              <w:jc w:val="center"/>
              <w:rPr>
                <w:lang w:val="en-US"/>
              </w:rPr>
            </w:pPr>
            <w:r w:rsidRPr="001D08AC">
              <w:rPr>
                <w:lang w:val="en-US"/>
              </w:rPr>
              <w:t>1</w:t>
            </w:r>
            <w:r w:rsidR="008B03B9">
              <w:rPr>
                <w:lang w:val="en-US"/>
              </w:rPr>
              <w:t> </w:t>
            </w:r>
            <w:r w:rsidRPr="001D08AC">
              <w:rPr>
                <w:lang w:val="en-US"/>
              </w:rPr>
              <w:t>077</w:t>
            </w:r>
          </w:p>
        </w:tc>
        <w:tc>
          <w:tcPr>
            <w:tcW w:w="850" w:type="dxa"/>
            <w:tcBorders>
              <w:top w:val="nil"/>
              <w:left w:val="nil"/>
              <w:bottom w:val="single" w:sz="4" w:space="0" w:color="auto"/>
              <w:right w:val="single" w:sz="4" w:space="0" w:color="auto"/>
            </w:tcBorders>
            <w:shd w:val="clear" w:color="auto" w:fill="auto"/>
            <w:noWrap/>
            <w:vAlign w:val="center"/>
          </w:tcPr>
          <w:p w:rsidR="0026766C" w:rsidRPr="001D08AC" w:rsidRDefault="0026766C" w:rsidP="00B7349C">
            <w:pPr>
              <w:pStyle w:val="Tabletext"/>
              <w:jc w:val="center"/>
              <w:rPr>
                <w:lang w:val="en-US"/>
              </w:rPr>
            </w:pPr>
            <w:r w:rsidRPr="001D08AC">
              <w:rPr>
                <w:lang w:val="en-US"/>
              </w:rPr>
              <w:t>13</w:t>
            </w:r>
            <w:r w:rsidR="008B03B9">
              <w:rPr>
                <w:lang w:val="en-US"/>
              </w:rPr>
              <w:t> </w:t>
            </w:r>
            <w:r w:rsidRPr="001D08AC">
              <w:rPr>
                <w:lang w:val="en-US"/>
              </w:rPr>
              <w:t>794</w:t>
            </w:r>
          </w:p>
        </w:tc>
        <w:tc>
          <w:tcPr>
            <w:tcW w:w="1846" w:type="dxa"/>
            <w:tcBorders>
              <w:top w:val="nil"/>
              <w:left w:val="nil"/>
              <w:bottom w:val="single" w:sz="4" w:space="0" w:color="auto"/>
              <w:right w:val="single" w:sz="4" w:space="0" w:color="auto"/>
            </w:tcBorders>
            <w:vAlign w:val="center"/>
          </w:tcPr>
          <w:p w:rsidR="0026766C" w:rsidRPr="001D08AC" w:rsidRDefault="0026766C" w:rsidP="00B7349C">
            <w:pPr>
              <w:pStyle w:val="Tabletext"/>
              <w:jc w:val="center"/>
              <w:rPr>
                <w:lang w:val="en-US"/>
              </w:rPr>
            </w:pPr>
            <w:r w:rsidRPr="001D08AC">
              <w:rPr>
                <w:lang w:val="en-US"/>
              </w:rPr>
              <w:t>Not offered</w:t>
            </w:r>
          </w:p>
        </w:tc>
      </w:tr>
    </w:tbl>
    <w:p w:rsidR="0026766C" w:rsidRPr="001D08AC" w:rsidRDefault="0026766C" w:rsidP="008B03B9">
      <w:pPr>
        <w:spacing w:before="0"/>
        <w:rPr>
          <w:lang w:val="en-US"/>
        </w:rPr>
      </w:pPr>
    </w:p>
    <w:p w:rsidR="0026766C" w:rsidRPr="001D08AC" w:rsidRDefault="0026766C" w:rsidP="004A7348">
      <w:pPr>
        <w:pStyle w:val="Heading2"/>
        <w:rPr>
          <w:lang w:val="en-US"/>
        </w:rPr>
      </w:pPr>
      <w:r w:rsidRPr="001D08AC">
        <w:rPr>
          <w:lang w:val="en-US"/>
        </w:rPr>
        <w:t>2.3</w:t>
      </w:r>
      <w:r w:rsidRPr="001D08AC">
        <w:rPr>
          <w:lang w:val="en-US"/>
        </w:rPr>
        <w:tab/>
        <w:t>Cost recovery for satellite network filings</w:t>
      </w:r>
    </w:p>
    <w:p w:rsidR="0026766C" w:rsidRPr="001D08AC" w:rsidRDefault="0026766C" w:rsidP="004A7348">
      <w:pPr>
        <w:rPr>
          <w:lang w:val="en-US"/>
        </w:rPr>
      </w:pPr>
      <w:r w:rsidRPr="001D08AC">
        <w:rPr>
          <w:lang w:val="en-US"/>
        </w:rPr>
        <w:t xml:space="preserve">In line with the instructions of Council 2011, WRC-12 was informed of the summary of discussions on the establishment or otherwise of an annual cost recovery fee for assignments recorded in the ITU MIFR. </w:t>
      </w:r>
    </w:p>
    <w:p w:rsidR="0026766C" w:rsidRPr="001D08AC" w:rsidRDefault="0026766C" w:rsidP="004A7348">
      <w:pPr>
        <w:rPr>
          <w:lang w:val="en-US"/>
        </w:rPr>
      </w:pPr>
      <w:r w:rsidRPr="001D08AC">
        <w:rPr>
          <w:lang w:val="en-US"/>
        </w:rPr>
        <w:t>Opposition to the introduction of an annual fee for the maintenance of the MIFR was reaffirmed with the argument that there was no need to change the current system that works well or that an additional fee could have a negative impact on developing countries – a two-tier fee plan had been proposed for developing and developed countries. Taking note of these, and of other comments, it was decided that Council would come back on the matter at a future session.</w:t>
      </w:r>
    </w:p>
    <w:p w:rsidR="0026766C" w:rsidRPr="001D08AC" w:rsidRDefault="0026766C" w:rsidP="004A7348">
      <w:pPr>
        <w:rPr>
          <w:lang w:val="en-US"/>
        </w:rPr>
      </w:pPr>
      <w:r w:rsidRPr="001D08AC">
        <w:rPr>
          <w:lang w:val="en-US"/>
        </w:rPr>
        <w:t>With re</w:t>
      </w:r>
      <w:r w:rsidR="008B03B9">
        <w:rPr>
          <w:lang w:val="en-US"/>
        </w:rPr>
        <w:t>ference to Resolution 555 (Rev.</w:t>
      </w:r>
      <w:r w:rsidRPr="001D08AC">
        <w:rPr>
          <w:lang w:val="en-US"/>
        </w:rPr>
        <w:t>WRC-12) concerning additional regulatory provisions for BSS networks in the band 21.4-22 GHz in Regions 1 and 3, it was noted that the objective of the Resolution is to facilitate equitable access to such networks.</w:t>
      </w:r>
      <w:r w:rsidR="001F434A">
        <w:rPr>
          <w:lang w:val="en-US"/>
        </w:rPr>
        <w:t xml:space="preserve"> </w:t>
      </w:r>
      <w:r w:rsidRPr="001D08AC">
        <w:rPr>
          <w:lang w:val="en-US"/>
        </w:rPr>
        <w:t>Moreover, given the limited scope of application of the request of cost recovery charge exemption, in terms of involved space services and associated frequency band, the Council was invited to exempt modification submissions of BSS in the band 21.4-22 GHz from cost recovery charges under Decision 482 (MOD). Accordingly, Council approved the inclusion of the following text to Decision 482:</w:t>
      </w:r>
    </w:p>
    <w:p w:rsidR="0026766C" w:rsidRPr="004A7348" w:rsidRDefault="008B03B9" w:rsidP="004A7348">
      <w:pPr>
        <w:rPr>
          <w:i/>
          <w:iCs/>
          <w:lang w:val="en-US"/>
        </w:rPr>
      </w:pPr>
      <w:r>
        <w:rPr>
          <w:i/>
          <w:iCs/>
          <w:lang w:val="en-US"/>
        </w:rPr>
        <w:t>“</w:t>
      </w:r>
      <w:r w:rsidR="0026766C" w:rsidRPr="004A7348">
        <w:rPr>
          <w:i/>
          <w:iCs/>
          <w:lang w:val="en-US"/>
        </w:rPr>
        <w:t>11</w:t>
      </w:r>
      <w:r w:rsidR="0026766C" w:rsidRPr="004A7348">
        <w:rPr>
          <w:i/>
          <w:iCs/>
          <w:lang w:val="en-US"/>
        </w:rPr>
        <w:tab/>
        <w:t xml:space="preserve">that publication of special sections for the amateur-satellite service, the notification for recording of frequency assignments for earth stations, for the conversion of an allotment into an assignment in accordance with the procedure of former Section I of Article 6 of Appendix </w:t>
      </w:r>
      <w:r w:rsidR="0026766C" w:rsidRPr="004A7348">
        <w:rPr>
          <w:bCs/>
          <w:i/>
          <w:iCs/>
          <w:lang w:val="en-US"/>
        </w:rPr>
        <w:t>30B,</w:t>
      </w:r>
      <w:r w:rsidR="0026766C" w:rsidRPr="004A7348">
        <w:rPr>
          <w:i/>
          <w:iCs/>
          <w:lang w:val="en-US"/>
        </w:rPr>
        <w:t xml:space="preserve"> </w:t>
      </w:r>
      <w:r w:rsidR="0026766C" w:rsidRPr="004A7348">
        <w:rPr>
          <w:bCs/>
          <w:i/>
          <w:iCs/>
          <w:lang w:val="en-US"/>
        </w:rPr>
        <w:t xml:space="preserve">the addition of a new allotment to the plan for a new Member State of the Union </w:t>
      </w:r>
      <w:r w:rsidR="0026766C" w:rsidRPr="004A7348">
        <w:rPr>
          <w:i/>
          <w:iCs/>
          <w:lang w:val="en-US"/>
        </w:rPr>
        <w:t xml:space="preserve">in accordance with the procedure of Article </w:t>
      </w:r>
      <w:r w:rsidR="0026766C" w:rsidRPr="004A7348">
        <w:rPr>
          <w:bCs/>
          <w:i/>
          <w:iCs/>
          <w:lang w:val="en-US"/>
        </w:rPr>
        <w:t>7</w:t>
      </w:r>
      <w:r w:rsidR="0026766C" w:rsidRPr="004A7348">
        <w:rPr>
          <w:i/>
          <w:iCs/>
          <w:lang w:val="en-US"/>
        </w:rPr>
        <w:t xml:space="preserve"> of Appendix </w:t>
      </w:r>
      <w:r w:rsidR="0026766C" w:rsidRPr="004A7348">
        <w:rPr>
          <w:bCs/>
          <w:i/>
          <w:iCs/>
          <w:lang w:val="en-US"/>
        </w:rPr>
        <w:t>30B and</w:t>
      </w:r>
      <w:r w:rsidR="0026766C" w:rsidRPr="004A7348">
        <w:rPr>
          <w:i/>
          <w:iCs/>
          <w:lang w:val="en-US"/>
        </w:rPr>
        <w:t xml:space="preserve"> submissions under resolves 3 and 4 of Resolution 555 (WRC-12) shall be exempt from any charges;</w:t>
      </w:r>
      <w:r>
        <w:rPr>
          <w:i/>
          <w:iCs/>
          <w:lang w:val="en-US"/>
        </w:rPr>
        <w:t>”</w:t>
      </w:r>
    </w:p>
    <w:p w:rsidR="0026766C" w:rsidRPr="001D08AC" w:rsidRDefault="0026766C" w:rsidP="004A7348">
      <w:pPr>
        <w:rPr>
          <w:lang w:val="en-US"/>
        </w:rPr>
      </w:pPr>
      <w:r w:rsidRPr="001D08AC">
        <w:rPr>
          <w:lang w:val="en-US"/>
        </w:rPr>
        <w:lastRenderedPageBreak/>
        <w:t xml:space="preserve">The Bureau has not received any modification of submissions of BSS satellite networks in the band 21.4-22 GHz, envisaged under </w:t>
      </w:r>
      <w:r w:rsidRPr="001D08AC">
        <w:rPr>
          <w:i/>
          <w:iCs/>
          <w:lang w:val="en-US"/>
        </w:rPr>
        <w:t>resolves</w:t>
      </w:r>
      <w:r w:rsidRPr="001D08AC">
        <w:rPr>
          <w:lang w:val="en-US"/>
        </w:rPr>
        <w:t xml:space="preserve"> 3</w:t>
      </w:r>
      <w:r w:rsidRPr="001D08AC">
        <w:rPr>
          <w:i/>
          <w:iCs/>
          <w:lang w:val="en-US"/>
        </w:rPr>
        <w:t xml:space="preserve"> </w:t>
      </w:r>
      <w:r w:rsidRPr="001D08AC">
        <w:rPr>
          <w:lang w:val="en-US"/>
        </w:rPr>
        <w:t>and</w:t>
      </w:r>
      <w:r w:rsidRPr="001D08AC">
        <w:rPr>
          <w:i/>
          <w:iCs/>
          <w:lang w:val="en-US"/>
        </w:rPr>
        <w:t xml:space="preserve"> </w:t>
      </w:r>
      <w:r w:rsidR="008B03B9">
        <w:rPr>
          <w:lang w:val="en-US"/>
        </w:rPr>
        <w:t>4 of Resolution 555 (Rev.</w:t>
      </w:r>
      <w:r w:rsidRPr="001D08AC">
        <w:rPr>
          <w:lang w:val="en-US"/>
        </w:rPr>
        <w:t>WRC-12) to be exempted from cost recovery charges.</w:t>
      </w:r>
    </w:p>
    <w:p w:rsidR="0026766C" w:rsidRPr="001D08AC" w:rsidRDefault="0026766C" w:rsidP="004A7348">
      <w:pPr>
        <w:rPr>
          <w:rFonts w:asciiTheme="majorBidi" w:hAnsiTheme="majorBidi"/>
          <w:sz w:val="28"/>
          <w:szCs w:val="22"/>
          <w:lang w:val="en-US"/>
        </w:rPr>
      </w:pPr>
      <w:r w:rsidRPr="001D08AC">
        <w:rPr>
          <w:rFonts w:asciiTheme="majorBidi" w:hAnsiTheme="majorBidi"/>
          <w:bCs/>
          <w:szCs w:val="24"/>
          <w:lang w:val="en-US"/>
        </w:rPr>
        <w:t>At its 62</w:t>
      </w:r>
      <w:r w:rsidRPr="008B03B9">
        <w:t>nd</w:t>
      </w:r>
      <w:r w:rsidRPr="001D08AC">
        <w:rPr>
          <w:rFonts w:asciiTheme="majorBidi" w:hAnsiTheme="majorBidi"/>
          <w:bCs/>
          <w:szCs w:val="24"/>
          <w:lang w:val="en-US"/>
        </w:rPr>
        <w:t xml:space="preserve"> meeting, the Radio Regulations Board approved a rule of procedure on the c</w:t>
      </w:r>
      <w:r w:rsidRPr="001D08AC">
        <w:rPr>
          <w:rFonts w:asciiTheme="majorBidi" w:eastAsia="SimSun" w:hAnsiTheme="majorBidi"/>
          <w:bCs/>
          <w:szCs w:val="24"/>
          <w:lang w:val="en-US" w:eastAsia="zh-CN"/>
        </w:rPr>
        <w:t>onsolidation of frequency assignments of different geostationary-satellite networks submitted by an administration at the same orbital position into frequency assignments of a single satellite network with an effective date of application of 1 July 2013.</w:t>
      </w:r>
      <w:r w:rsidRPr="001D08AC">
        <w:rPr>
          <w:rFonts w:asciiTheme="majorBidi" w:eastAsia="SimSun" w:hAnsiTheme="majorBidi"/>
          <w:sz w:val="28"/>
          <w:szCs w:val="22"/>
          <w:lang w:val="en-US" w:eastAsia="zh-CN"/>
        </w:rPr>
        <w:t xml:space="preserve"> </w:t>
      </w:r>
      <w:r w:rsidRPr="001D08AC">
        <w:rPr>
          <w:rFonts w:asciiTheme="majorBidi" w:eastAsia="SimSun" w:hAnsiTheme="majorBidi"/>
          <w:bCs/>
          <w:szCs w:val="24"/>
          <w:lang w:val="en-US" w:eastAsia="zh-CN"/>
        </w:rPr>
        <w:t>During the discussion, the Board noted the Bureau</w:t>
      </w:r>
      <w:r w:rsidR="008B03B9">
        <w:rPr>
          <w:rFonts w:asciiTheme="majorBidi" w:eastAsia="SimSun" w:hAnsiTheme="majorBidi"/>
          <w:bCs/>
          <w:szCs w:val="24"/>
          <w:lang w:val="en-US" w:eastAsia="zh-CN"/>
        </w:rPr>
        <w:t>’</w:t>
      </w:r>
      <w:r w:rsidRPr="001D08AC">
        <w:rPr>
          <w:rFonts w:asciiTheme="majorBidi" w:eastAsia="SimSun" w:hAnsiTheme="majorBidi"/>
          <w:bCs/>
          <w:szCs w:val="24"/>
          <w:lang w:val="en-US" w:eastAsia="zh-CN"/>
        </w:rPr>
        <w:t>s information that the consolidation of recorded frequency assignments from different satellite network notices into one notice would entail significant data processing and publication by the Bureau that could incur a cost recovery charge under Decision 482 to be considered by the Council at its June 2013 meeting.</w:t>
      </w:r>
    </w:p>
    <w:p w:rsidR="0026766C" w:rsidRPr="001D08AC" w:rsidRDefault="008B03B9" w:rsidP="004A7348">
      <w:pPr>
        <w:pStyle w:val="Heading2"/>
        <w:rPr>
          <w:lang w:val="en-US"/>
        </w:rPr>
      </w:pPr>
      <w:r>
        <w:rPr>
          <w:lang w:val="en-US"/>
        </w:rPr>
        <w:t>2.4</w:t>
      </w:r>
      <w:r>
        <w:rPr>
          <w:lang w:val="en-US"/>
        </w:rPr>
        <w:tab/>
        <w:t>Conformance and inter</w:t>
      </w:r>
      <w:r w:rsidR="0026766C" w:rsidRPr="001D08AC">
        <w:rPr>
          <w:lang w:val="en-US"/>
        </w:rPr>
        <w:t>operability</w:t>
      </w:r>
    </w:p>
    <w:p w:rsidR="0026766C" w:rsidRPr="001D08AC" w:rsidRDefault="0026766C" w:rsidP="008B03B9">
      <w:pPr>
        <w:rPr>
          <w:lang w:val="en-US" w:eastAsia="zh-CN"/>
        </w:rPr>
      </w:pPr>
      <w:r w:rsidRPr="001D08AC">
        <w:rPr>
          <w:lang w:val="en-US" w:eastAsia="zh-CN"/>
        </w:rPr>
        <w:t xml:space="preserve">Council extensively discussed the </w:t>
      </w:r>
      <w:r w:rsidRPr="001D08AC">
        <w:rPr>
          <w:lang w:val="en-US"/>
        </w:rPr>
        <w:t>conformance and interoperability</w:t>
      </w:r>
      <w:r w:rsidR="001F434A">
        <w:rPr>
          <w:lang w:val="en-US" w:eastAsia="zh-CN"/>
        </w:rPr>
        <w:t xml:space="preserve"> </w:t>
      </w:r>
      <w:r w:rsidRPr="001D08AC">
        <w:rPr>
          <w:lang w:val="en-US" w:eastAsia="zh-CN"/>
        </w:rPr>
        <w:t>(C&amp;I) program</w:t>
      </w:r>
      <w:r w:rsidR="008B03B9">
        <w:rPr>
          <w:lang w:val="en-US" w:eastAsia="zh-CN"/>
        </w:rPr>
        <w:t>me</w:t>
      </w:r>
      <w:r w:rsidRPr="001D08AC">
        <w:rPr>
          <w:lang w:val="en-US" w:eastAsia="zh-CN"/>
        </w:rPr>
        <w:t xml:space="preserve"> as approved by PP-10, which consists of four pillars: </w:t>
      </w:r>
    </w:p>
    <w:p w:rsidR="0026766C" w:rsidRPr="001D08AC" w:rsidRDefault="004A7348" w:rsidP="004A7348">
      <w:pPr>
        <w:pStyle w:val="enumlev1"/>
        <w:rPr>
          <w:lang w:val="en-US" w:eastAsia="zh-CN"/>
        </w:rPr>
      </w:pPr>
      <w:r>
        <w:rPr>
          <w:lang w:val="en-US" w:eastAsia="zh-CN"/>
        </w:rPr>
        <w:t>1)</w:t>
      </w:r>
      <w:r>
        <w:rPr>
          <w:lang w:val="en-US" w:eastAsia="zh-CN"/>
        </w:rPr>
        <w:tab/>
      </w:r>
      <w:r w:rsidR="0026766C" w:rsidRPr="001D08AC">
        <w:rPr>
          <w:lang w:val="en-US" w:eastAsia="zh-CN"/>
        </w:rPr>
        <w:t>Conformity assessment program</w:t>
      </w:r>
      <w:r w:rsidR="008B03B9">
        <w:rPr>
          <w:lang w:val="en-US" w:eastAsia="zh-CN"/>
        </w:rPr>
        <w:t>me</w:t>
      </w:r>
      <w:r w:rsidR="0026766C" w:rsidRPr="001D08AC">
        <w:rPr>
          <w:lang w:val="en-US" w:eastAsia="zh-CN"/>
        </w:rPr>
        <w:t xml:space="preserve"> </w:t>
      </w:r>
    </w:p>
    <w:p w:rsidR="0026766C" w:rsidRPr="001D08AC" w:rsidRDefault="004A7348" w:rsidP="004A7348">
      <w:pPr>
        <w:pStyle w:val="enumlev1"/>
        <w:rPr>
          <w:lang w:val="en-US" w:eastAsia="zh-CN"/>
        </w:rPr>
      </w:pPr>
      <w:r>
        <w:rPr>
          <w:lang w:val="en-US" w:eastAsia="zh-CN"/>
        </w:rPr>
        <w:t>2)</w:t>
      </w:r>
      <w:r>
        <w:rPr>
          <w:lang w:val="en-US" w:eastAsia="zh-CN"/>
        </w:rPr>
        <w:tab/>
      </w:r>
      <w:r w:rsidR="0026766C" w:rsidRPr="001D08AC">
        <w:rPr>
          <w:lang w:val="en-US" w:eastAsia="zh-CN"/>
        </w:rPr>
        <w:t xml:space="preserve">Interoperability events </w:t>
      </w:r>
    </w:p>
    <w:p w:rsidR="0026766C" w:rsidRPr="001D08AC" w:rsidRDefault="004A7348" w:rsidP="004A7348">
      <w:pPr>
        <w:pStyle w:val="enumlev1"/>
        <w:rPr>
          <w:lang w:val="en-US" w:eastAsia="zh-CN"/>
        </w:rPr>
      </w:pPr>
      <w:r>
        <w:rPr>
          <w:lang w:val="en-US" w:eastAsia="zh-CN"/>
        </w:rPr>
        <w:t>3)</w:t>
      </w:r>
      <w:r>
        <w:rPr>
          <w:lang w:val="en-US" w:eastAsia="zh-CN"/>
        </w:rPr>
        <w:tab/>
      </w:r>
      <w:r w:rsidR="0026766C" w:rsidRPr="001D08AC">
        <w:rPr>
          <w:lang w:val="en-US" w:eastAsia="zh-CN"/>
        </w:rPr>
        <w:t xml:space="preserve">Capacity building </w:t>
      </w:r>
    </w:p>
    <w:p w:rsidR="0026766C" w:rsidRPr="001D08AC" w:rsidRDefault="004A7348" w:rsidP="008B03B9">
      <w:pPr>
        <w:pStyle w:val="enumlev1"/>
        <w:rPr>
          <w:lang w:val="en-US" w:eastAsia="zh-CN"/>
        </w:rPr>
      </w:pPr>
      <w:r>
        <w:rPr>
          <w:lang w:val="en-US" w:eastAsia="zh-CN"/>
        </w:rPr>
        <w:t>4)</w:t>
      </w:r>
      <w:r>
        <w:rPr>
          <w:lang w:val="en-US" w:eastAsia="zh-CN"/>
        </w:rPr>
        <w:tab/>
      </w:r>
      <w:r w:rsidR="0026766C" w:rsidRPr="001D08AC">
        <w:rPr>
          <w:lang w:val="en-US" w:eastAsia="zh-CN"/>
        </w:rPr>
        <w:t>Establishment of test cent</w:t>
      </w:r>
      <w:r w:rsidR="008B03B9">
        <w:rPr>
          <w:lang w:val="en-US" w:eastAsia="zh-CN"/>
        </w:rPr>
        <w:t>r</w:t>
      </w:r>
      <w:r w:rsidR="0026766C" w:rsidRPr="001D08AC">
        <w:rPr>
          <w:lang w:val="en-US" w:eastAsia="zh-CN"/>
        </w:rPr>
        <w:t xml:space="preserve">es in developing countries. </w:t>
      </w:r>
    </w:p>
    <w:p w:rsidR="0026766C" w:rsidRPr="001D08AC" w:rsidRDefault="0026766C" w:rsidP="004A7348">
      <w:pPr>
        <w:rPr>
          <w:lang w:val="en-US" w:eastAsia="zh-CN"/>
        </w:rPr>
      </w:pPr>
      <w:r w:rsidRPr="001D08AC">
        <w:rPr>
          <w:lang w:val="en-US" w:eastAsia="zh-CN"/>
        </w:rPr>
        <w:t>TSB leads pillars 1 and 2, and BDT leads 3 and 4. An internal C&amp;I Task Force, with participation of TSB, BDT and BR, coordinates all ITU C&amp;I issues.</w:t>
      </w:r>
    </w:p>
    <w:p w:rsidR="0026766C" w:rsidRPr="001D08AC" w:rsidRDefault="0026766C" w:rsidP="004A7348">
      <w:pPr>
        <w:rPr>
          <w:lang w:val="en-US" w:eastAsia="zh-CN"/>
        </w:rPr>
      </w:pPr>
      <w:r w:rsidRPr="001D08AC">
        <w:rPr>
          <w:lang w:val="en-US" w:eastAsia="zh-CN"/>
        </w:rPr>
        <w:t xml:space="preserve">PP-10 Resolution 177 instructs the Director TSB </w:t>
      </w:r>
      <w:r w:rsidR="008B03B9">
        <w:rPr>
          <w:lang w:val="en-US" w:eastAsia="zh-CN"/>
        </w:rPr>
        <w:t>“</w:t>
      </w:r>
      <w:r w:rsidRPr="001D08AC">
        <w:rPr>
          <w:lang w:val="en-US" w:eastAsia="zh-CN"/>
        </w:rPr>
        <w:t>to prepare a business plan for the long-term implementation of this resolution</w:t>
      </w:r>
      <w:r w:rsidR="008B03B9">
        <w:rPr>
          <w:lang w:val="en-US" w:eastAsia="zh-CN"/>
        </w:rPr>
        <w:t>”</w:t>
      </w:r>
      <w:r w:rsidRPr="001D08AC">
        <w:rPr>
          <w:lang w:val="en-US" w:eastAsia="zh-CN"/>
        </w:rPr>
        <w:t>. A call for tender was issued, KPMG was selected and its entire business plan was presented to Council 2012, which concluded that there was strong support to go forward with the proposed C&amp;I action plan. In particular, Council noted that:</w:t>
      </w:r>
    </w:p>
    <w:p w:rsidR="0026766C" w:rsidRPr="001D08AC" w:rsidRDefault="004A7348" w:rsidP="004A7348">
      <w:pPr>
        <w:pStyle w:val="enumlev1"/>
        <w:rPr>
          <w:lang w:val="en-US" w:eastAsia="zh-CN"/>
        </w:rPr>
      </w:pPr>
      <w:r>
        <w:rPr>
          <w:lang w:val="en-US" w:eastAsia="zh-CN"/>
        </w:rPr>
        <w:t>•</w:t>
      </w:r>
      <w:r>
        <w:rPr>
          <w:lang w:val="en-US" w:eastAsia="zh-CN"/>
        </w:rPr>
        <w:tab/>
      </w:r>
      <w:r w:rsidR="0026766C" w:rsidRPr="001D08AC">
        <w:rPr>
          <w:lang w:val="en-US" w:eastAsia="zh-CN"/>
        </w:rPr>
        <w:t>based on the secretariat</w:t>
      </w:r>
      <w:r w:rsidR="008B03B9">
        <w:rPr>
          <w:lang w:val="en-US" w:eastAsia="zh-CN"/>
        </w:rPr>
        <w:t>’</w:t>
      </w:r>
      <w:r w:rsidR="0026766C" w:rsidRPr="001D08AC">
        <w:rPr>
          <w:lang w:val="en-US" w:eastAsia="zh-CN"/>
        </w:rPr>
        <w:t>s analysis, for the implementation of the C&amp;I program</w:t>
      </w:r>
      <w:r w:rsidR="008B03B9">
        <w:rPr>
          <w:lang w:val="en-US" w:eastAsia="zh-CN"/>
        </w:rPr>
        <w:t>me</w:t>
      </w:r>
      <w:r w:rsidR="0026766C" w:rsidRPr="001D08AC">
        <w:rPr>
          <w:lang w:val="en-US" w:eastAsia="zh-CN"/>
        </w:rPr>
        <w:t xml:space="preserve"> in 2012 and 2013, no additional resources would be necessary, so that any financial implications regarding human resources of the ITU secretariat would be for Council 2013 to decide; </w:t>
      </w:r>
    </w:p>
    <w:p w:rsidR="0026766C" w:rsidRPr="001D08AC" w:rsidRDefault="004A7348" w:rsidP="004A7348">
      <w:pPr>
        <w:pStyle w:val="enumlev1"/>
        <w:rPr>
          <w:lang w:val="en-US" w:eastAsia="zh-CN"/>
        </w:rPr>
      </w:pPr>
      <w:r>
        <w:rPr>
          <w:lang w:val="en-US" w:eastAsia="zh-CN"/>
        </w:rPr>
        <w:t>•</w:t>
      </w:r>
      <w:r>
        <w:rPr>
          <w:lang w:val="en-US" w:eastAsia="zh-CN"/>
        </w:rPr>
        <w:tab/>
      </w:r>
      <w:r w:rsidR="0026766C" w:rsidRPr="001D08AC">
        <w:rPr>
          <w:lang w:val="en-US" w:eastAsia="zh-CN"/>
        </w:rPr>
        <w:t>the proposed action plan by the secretariat was quite focused, and that the study groups and the market would play a decisive role in shaping the program</w:t>
      </w:r>
      <w:r w:rsidR="008B03B9">
        <w:rPr>
          <w:lang w:val="en-US" w:eastAsia="zh-CN"/>
        </w:rPr>
        <w:t>me</w:t>
      </w:r>
      <w:r w:rsidR="0026766C" w:rsidRPr="001D08AC">
        <w:rPr>
          <w:lang w:val="en-US" w:eastAsia="zh-CN"/>
        </w:rPr>
        <w:t xml:space="preserve">; </w:t>
      </w:r>
    </w:p>
    <w:p w:rsidR="0026766C" w:rsidRPr="001D08AC" w:rsidRDefault="004A7348" w:rsidP="004A7348">
      <w:pPr>
        <w:pStyle w:val="enumlev1"/>
        <w:rPr>
          <w:lang w:val="en-US" w:eastAsia="zh-CN"/>
        </w:rPr>
      </w:pPr>
      <w:r>
        <w:rPr>
          <w:lang w:val="en-US" w:eastAsia="zh-CN"/>
        </w:rPr>
        <w:t>•</w:t>
      </w:r>
      <w:r>
        <w:rPr>
          <w:lang w:val="en-US" w:eastAsia="zh-CN"/>
        </w:rPr>
        <w:tab/>
      </w:r>
      <w:r w:rsidR="0026766C" w:rsidRPr="001D08AC">
        <w:rPr>
          <w:lang w:val="en-US" w:eastAsia="zh-CN"/>
        </w:rPr>
        <w:t xml:space="preserve">a number of constructive ways forward was suggested, which received support and should be included in the action plan; </w:t>
      </w:r>
    </w:p>
    <w:p w:rsidR="0026766C" w:rsidRPr="001D08AC" w:rsidRDefault="004A7348" w:rsidP="008B03B9">
      <w:pPr>
        <w:pStyle w:val="enumlev1"/>
        <w:rPr>
          <w:lang w:val="en-US" w:eastAsia="zh-CN"/>
        </w:rPr>
      </w:pPr>
      <w:r>
        <w:rPr>
          <w:lang w:val="en-US" w:eastAsia="zh-CN"/>
        </w:rPr>
        <w:t>•</w:t>
      </w:r>
      <w:r>
        <w:rPr>
          <w:lang w:val="en-US" w:eastAsia="zh-CN"/>
        </w:rPr>
        <w:tab/>
      </w:r>
      <w:r w:rsidR="0026766C" w:rsidRPr="001D08AC">
        <w:rPr>
          <w:lang w:val="en-US" w:eastAsia="zh-CN"/>
        </w:rPr>
        <w:t xml:space="preserve">as for a further market study, the secretariat has announced that there was a request from industry players to run a conformance assessment program regarding an </w:t>
      </w:r>
      <w:r>
        <w:rPr>
          <w:lang w:val="en-US" w:eastAsia="zh-CN"/>
        </w:rPr>
        <w:t>ITU</w:t>
      </w:r>
      <w:r>
        <w:rPr>
          <w:lang w:val="en-US" w:eastAsia="zh-CN"/>
        </w:rPr>
        <w:noBreakHyphen/>
      </w:r>
      <w:r w:rsidR="0026766C" w:rsidRPr="001D08AC">
        <w:rPr>
          <w:lang w:val="en-US" w:eastAsia="zh-CN"/>
        </w:rPr>
        <w:t xml:space="preserve">T Recommendation, so that it could be the first testing ground for </w:t>
      </w:r>
      <w:r>
        <w:rPr>
          <w:lang w:val="en-US" w:eastAsia="zh-CN"/>
        </w:rPr>
        <w:t>ITU</w:t>
      </w:r>
      <w:r>
        <w:rPr>
          <w:lang w:val="en-US" w:eastAsia="zh-CN"/>
        </w:rPr>
        <w:noBreakHyphen/>
      </w:r>
      <w:r w:rsidR="0026766C" w:rsidRPr="001D08AC">
        <w:rPr>
          <w:lang w:val="en-US" w:eastAsia="zh-CN"/>
        </w:rPr>
        <w:t>T to get data into the ITU conformity database. As this was a market-driven initiative, it was also a good testing ground for a possible market study. The TSB Director should report to Council 2013 on how successful this trial had been. In any case, it would be for Council 2013 to decide if funding would be needed for a further market analysis. A preliminary estimate of the cost of a market study is at least CHF 500</w:t>
      </w:r>
      <w:r w:rsidR="008B03B9">
        <w:rPr>
          <w:lang w:val="en-US" w:eastAsia="zh-CN"/>
        </w:rPr>
        <w:t> </w:t>
      </w:r>
      <w:r w:rsidR="0026766C" w:rsidRPr="001D08AC">
        <w:rPr>
          <w:lang w:val="en-US" w:eastAsia="zh-CN"/>
        </w:rPr>
        <w:t xml:space="preserve">000; </w:t>
      </w:r>
    </w:p>
    <w:p w:rsidR="0026766C" w:rsidRPr="001D08AC" w:rsidRDefault="004A7348" w:rsidP="004A7348">
      <w:pPr>
        <w:pStyle w:val="enumlev1"/>
        <w:rPr>
          <w:lang w:val="en-US" w:eastAsia="zh-CN"/>
        </w:rPr>
      </w:pPr>
      <w:r>
        <w:rPr>
          <w:lang w:val="en-US" w:eastAsia="zh-CN"/>
        </w:rPr>
        <w:t>•</w:t>
      </w:r>
      <w:r>
        <w:rPr>
          <w:lang w:val="en-US" w:eastAsia="zh-CN"/>
        </w:rPr>
        <w:tab/>
      </w:r>
      <w:r w:rsidR="0026766C" w:rsidRPr="001D08AC">
        <w:rPr>
          <w:lang w:val="en-US" w:eastAsia="zh-CN"/>
        </w:rPr>
        <w:t xml:space="preserve">the technical issues in the Business Plan (such as whether to pursue route 4 or not) would be for discussion in </w:t>
      </w:r>
      <w:r>
        <w:rPr>
          <w:lang w:val="en-US" w:eastAsia="zh-CN"/>
        </w:rPr>
        <w:t>ITU</w:t>
      </w:r>
      <w:r>
        <w:rPr>
          <w:lang w:val="en-US" w:eastAsia="zh-CN"/>
        </w:rPr>
        <w:noBreakHyphen/>
      </w:r>
      <w:r w:rsidR="0026766C" w:rsidRPr="001D08AC">
        <w:rPr>
          <w:lang w:val="en-US" w:eastAsia="zh-CN"/>
        </w:rPr>
        <w:t>T and that the WTSA should be requested to identify a suitable forum for this discussion to take place.</w:t>
      </w:r>
    </w:p>
    <w:p w:rsidR="0026766C" w:rsidRPr="001D08AC" w:rsidRDefault="0026766C" w:rsidP="004A7348">
      <w:pPr>
        <w:rPr>
          <w:lang w:val="en-US" w:eastAsia="zh-CN"/>
        </w:rPr>
      </w:pPr>
      <w:r w:rsidRPr="001D08AC">
        <w:rPr>
          <w:lang w:val="en-US" w:eastAsia="zh-CN"/>
        </w:rPr>
        <w:t>Regarding the ITU Mark, Council considered that a decision concerning the implementation of such a mark would be postponed until pillar 1, conformity assessment, has reached a more mature stage of development.</w:t>
      </w:r>
    </w:p>
    <w:p w:rsidR="0026766C" w:rsidRPr="001D08AC" w:rsidRDefault="0026766C" w:rsidP="004A7348">
      <w:pPr>
        <w:rPr>
          <w:lang w:val="en-US" w:eastAsia="zh-CN"/>
        </w:rPr>
      </w:pPr>
      <w:r w:rsidRPr="001D08AC">
        <w:rPr>
          <w:lang w:val="en-US" w:eastAsia="zh-CN"/>
        </w:rPr>
        <w:lastRenderedPageBreak/>
        <w:t xml:space="preserve">Council also welcomed the news that the secretariat would shortly issue a report on counterfeiting. Counterfeiting was frequently mentioned in discussions on C&amp;I. Regarding mutual recognition agreements, the secretariat clarified that ITU would have no role in negotiating these but would only facilitate them through guidance documents, taking into account international and regional best practices when developing these guidelines. </w:t>
      </w:r>
    </w:p>
    <w:p w:rsidR="007F20D3" w:rsidRPr="00B83282" w:rsidRDefault="007F20D3" w:rsidP="007F20D3">
      <w:pPr>
        <w:pStyle w:val="Heading2"/>
        <w:rPr>
          <w:rFonts w:asciiTheme="majorBidi" w:hAnsiTheme="majorBidi"/>
          <w:sz w:val="22"/>
          <w:szCs w:val="22"/>
          <w:lang w:val="en-US"/>
        </w:rPr>
      </w:pPr>
      <w:r w:rsidRPr="00B83282">
        <w:rPr>
          <w:rFonts w:asciiTheme="majorBidi" w:hAnsiTheme="majorBidi"/>
          <w:sz w:val="22"/>
          <w:szCs w:val="22"/>
          <w:lang w:val="en-US"/>
        </w:rPr>
        <w:t>2.5</w:t>
      </w:r>
      <w:r w:rsidRPr="00B83282">
        <w:rPr>
          <w:rFonts w:asciiTheme="majorBidi" w:hAnsiTheme="majorBidi"/>
          <w:sz w:val="22"/>
          <w:szCs w:val="22"/>
          <w:lang w:val="en-US"/>
        </w:rPr>
        <w:tab/>
        <w:t>Draft budget for 2014-2015 period</w:t>
      </w:r>
    </w:p>
    <w:p w:rsidR="007F20D3" w:rsidRDefault="007F20D3" w:rsidP="007F20D3">
      <w:r>
        <w:t>Based on the submission to Council (Document C13/10), the 2014-2015 planned expenses for the Radiocommunication Sector is maintained at the same level as the current 2012-2013 budget (see table below) with a slight variation in the programme budget. It provides the minimum financial estimates that will be required so as to ensure an efficient and successful implementation of the strategic and operational plans for the ITU</w:t>
      </w:r>
      <w:r>
        <w:noBreakHyphen/>
        <w:t>R for the 2014-2015 timeframe.</w:t>
      </w:r>
    </w:p>
    <w:p w:rsidR="0026766C" w:rsidRPr="001D08AC" w:rsidRDefault="0026766C" w:rsidP="004A7348"/>
    <w:p w:rsidR="0026766C" w:rsidRPr="008B03B9" w:rsidRDefault="004A7348" w:rsidP="004A7348">
      <w:pPr>
        <w:pStyle w:val="Tabletitle"/>
        <w:rPr>
          <w:sz w:val="22"/>
          <w:szCs w:val="22"/>
        </w:rPr>
      </w:pPr>
      <w:r w:rsidRPr="008B03B9">
        <w:rPr>
          <w:sz w:val="22"/>
          <w:szCs w:val="22"/>
        </w:rPr>
        <w:t>ITU</w:t>
      </w:r>
      <w:r w:rsidRPr="008B03B9">
        <w:rPr>
          <w:sz w:val="22"/>
          <w:szCs w:val="22"/>
        </w:rPr>
        <w:noBreakHyphen/>
      </w:r>
      <w:r w:rsidR="0026766C" w:rsidRPr="008B03B9">
        <w:rPr>
          <w:sz w:val="22"/>
          <w:szCs w:val="22"/>
        </w:rPr>
        <w:t>R expenses</w:t>
      </w:r>
    </w:p>
    <w:tbl>
      <w:tblPr>
        <w:tblW w:w="5089" w:type="pct"/>
        <w:jc w:val="center"/>
        <w:tblLook w:val="04A0" w:firstRow="1" w:lastRow="0" w:firstColumn="1" w:lastColumn="0" w:noHBand="0" w:noVBand="1"/>
      </w:tblPr>
      <w:tblGrid>
        <w:gridCol w:w="3150"/>
        <w:gridCol w:w="992"/>
        <w:gridCol w:w="995"/>
        <w:gridCol w:w="949"/>
        <w:gridCol w:w="929"/>
        <w:gridCol w:w="1071"/>
        <w:gridCol w:w="911"/>
        <w:gridCol w:w="1033"/>
      </w:tblGrid>
      <w:tr w:rsidR="0026766C" w:rsidRPr="001D08AC" w:rsidTr="008B03B9">
        <w:trPr>
          <w:trHeight w:val="289"/>
          <w:jc w:val="center"/>
        </w:trPr>
        <w:tc>
          <w:tcPr>
            <w:tcW w:w="1570" w:type="pct"/>
            <w:tcBorders>
              <w:top w:val="single" w:sz="4" w:space="0" w:color="000099"/>
              <w:left w:val="nil"/>
              <w:bottom w:val="nil"/>
              <w:right w:val="nil"/>
            </w:tcBorders>
            <w:shd w:val="clear" w:color="000000" w:fill="DCE6F1"/>
            <w:noWrap/>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 </w:t>
            </w:r>
          </w:p>
        </w:tc>
        <w:tc>
          <w:tcPr>
            <w:tcW w:w="495" w:type="pct"/>
            <w:tcBorders>
              <w:top w:val="single" w:sz="4" w:space="0" w:color="000099"/>
              <w:left w:val="nil"/>
              <w:bottom w:val="nil"/>
              <w:right w:val="nil"/>
            </w:tcBorders>
            <w:shd w:val="clear" w:color="000000" w:fill="DCE6F1"/>
            <w:noWrap/>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 </w:t>
            </w:r>
          </w:p>
        </w:tc>
        <w:tc>
          <w:tcPr>
            <w:tcW w:w="496" w:type="pct"/>
            <w:tcBorders>
              <w:top w:val="single" w:sz="4" w:space="0" w:color="000099"/>
              <w:left w:val="nil"/>
              <w:bottom w:val="nil"/>
              <w:right w:val="nil"/>
            </w:tcBorders>
            <w:shd w:val="clear" w:color="000000" w:fill="DCE6F1"/>
            <w:noWrap/>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 </w:t>
            </w:r>
          </w:p>
        </w:tc>
        <w:tc>
          <w:tcPr>
            <w:tcW w:w="2439" w:type="pct"/>
            <w:gridSpan w:val="5"/>
            <w:tcBorders>
              <w:top w:val="single" w:sz="4" w:space="0" w:color="000099"/>
              <w:left w:val="nil"/>
              <w:bottom w:val="nil"/>
              <w:right w:val="nil"/>
            </w:tcBorders>
            <w:shd w:val="clear" w:color="000000" w:fill="DCE6F1"/>
            <w:noWrap/>
            <w:vAlign w:val="bottom"/>
            <w:hideMark/>
          </w:tcPr>
          <w:p w:rsidR="0026766C" w:rsidRPr="004A7348" w:rsidRDefault="0026766C" w:rsidP="004A7348">
            <w:pPr>
              <w:pStyle w:val="Tablehead"/>
              <w:rPr>
                <w:i/>
                <w:iCs/>
                <w:sz w:val="20"/>
                <w:szCs w:val="18"/>
                <w:lang w:val="en-US" w:eastAsia="zh-CN"/>
              </w:rPr>
            </w:pPr>
            <w:r w:rsidRPr="004A7348">
              <w:rPr>
                <w:i/>
                <w:iCs/>
                <w:sz w:val="20"/>
                <w:szCs w:val="18"/>
                <w:lang w:val="en-US" w:eastAsia="zh-CN"/>
              </w:rPr>
              <w:t xml:space="preserve"> In thousands of Swiss francs</w:t>
            </w:r>
          </w:p>
        </w:tc>
      </w:tr>
      <w:tr w:rsidR="0026766C" w:rsidRPr="001D08AC" w:rsidTr="008B03B9">
        <w:trPr>
          <w:trHeight w:val="300"/>
          <w:jc w:val="center"/>
        </w:trPr>
        <w:tc>
          <w:tcPr>
            <w:tcW w:w="1570" w:type="pct"/>
            <w:tcBorders>
              <w:top w:val="nil"/>
              <w:left w:val="nil"/>
              <w:bottom w:val="nil"/>
              <w:right w:val="nil"/>
            </w:tcBorders>
            <w:shd w:val="clear" w:color="000000" w:fill="DCE6F1"/>
            <w:noWrap/>
            <w:vAlign w:val="bottom"/>
            <w:hideMark/>
          </w:tcPr>
          <w:p w:rsidR="0026766C" w:rsidRPr="004A7348" w:rsidRDefault="004A7348" w:rsidP="004A7348">
            <w:pPr>
              <w:pStyle w:val="Tablehead"/>
              <w:rPr>
                <w:sz w:val="20"/>
                <w:szCs w:val="18"/>
                <w:lang w:val="en-US" w:eastAsia="zh-CN"/>
              </w:rPr>
            </w:pPr>
            <w:r>
              <w:rPr>
                <w:sz w:val="20"/>
                <w:szCs w:val="18"/>
                <w:lang w:val="en-US" w:eastAsia="zh-CN"/>
              </w:rPr>
              <w:t>ITU</w:t>
            </w:r>
            <w:r>
              <w:rPr>
                <w:sz w:val="20"/>
                <w:szCs w:val="18"/>
                <w:lang w:val="en-US" w:eastAsia="zh-CN"/>
              </w:rPr>
              <w:noBreakHyphen/>
            </w:r>
            <w:r w:rsidR="0026766C" w:rsidRPr="004A7348">
              <w:rPr>
                <w:sz w:val="20"/>
                <w:szCs w:val="18"/>
                <w:lang w:val="en-US" w:eastAsia="zh-CN"/>
              </w:rPr>
              <w:t>R</w:t>
            </w:r>
          </w:p>
        </w:tc>
        <w:tc>
          <w:tcPr>
            <w:tcW w:w="495" w:type="pct"/>
            <w:tcBorders>
              <w:top w:val="nil"/>
              <w:left w:val="nil"/>
              <w:bottom w:val="nil"/>
              <w:right w:val="nil"/>
            </w:tcBorders>
            <w:shd w:val="clear" w:color="000000" w:fill="DCE6F1"/>
            <w:noWrap/>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Budget</w:t>
            </w:r>
          </w:p>
        </w:tc>
        <w:tc>
          <w:tcPr>
            <w:tcW w:w="496" w:type="pct"/>
            <w:tcBorders>
              <w:top w:val="nil"/>
              <w:left w:val="nil"/>
              <w:bottom w:val="nil"/>
              <w:right w:val="nil"/>
            </w:tcBorders>
            <w:shd w:val="clear" w:color="000000" w:fill="DCE6F1"/>
            <w:noWrap/>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Actual</w:t>
            </w:r>
          </w:p>
        </w:tc>
        <w:tc>
          <w:tcPr>
            <w:tcW w:w="473" w:type="pct"/>
            <w:tcBorders>
              <w:top w:val="nil"/>
              <w:left w:val="nil"/>
              <w:bottom w:val="nil"/>
              <w:right w:val="nil"/>
            </w:tcBorders>
            <w:shd w:val="clear" w:color="000000" w:fill="DCE6F1"/>
            <w:noWrap/>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Budget</w:t>
            </w:r>
          </w:p>
        </w:tc>
        <w:tc>
          <w:tcPr>
            <w:tcW w:w="463" w:type="pct"/>
            <w:tcBorders>
              <w:top w:val="nil"/>
              <w:left w:val="nil"/>
              <w:bottom w:val="nil"/>
              <w:right w:val="nil"/>
            </w:tcBorders>
            <w:shd w:val="clear" w:color="000000" w:fill="DCE6F1"/>
            <w:noWrap/>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Actual*</w:t>
            </w:r>
          </w:p>
        </w:tc>
        <w:tc>
          <w:tcPr>
            <w:tcW w:w="534" w:type="pct"/>
            <w:tcBorders>
              <w:top w:val="nil"/>
              <w:left w:val="nil"/>
              <w:bottom w:val="nil"/>
              <w:right w:val="nil"/>
            </w:tcBorders>
            <w:shd w:val="clear" w:color="000000" w:fill="DCE6F1"/>
            <w:noWrap/>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Estimates</w:t>
            </w:r>
          </w:p>
        </w:tc>
        <w:tc>
          <w:tcPr>
            <w:tcW w:w="969" w:type="pct"/>
            <w:gridSpan w:val="2"/>
            <w:vMerge w:val="restart"/>
            <w:tcBorders>
              <w:top w:val="nil"/>
              <w:left w:val="nil"/>
              <w:bottom w:val="nil"/>
              <w:right w:val="nil"/>
            </w:tcBorders>
            <w:shd w:val="clear" w:color="000000" w:fill="DCE6F1"/>
            <w:vAlign w:val="center"/>
            <w:hideMark/>
          </w:tcPr>
          <w:p w:rsidR="0026766C" w:rsidRPr="004A7348" w:rsidRDefault="0026766C" w:rsidP="004A7348">
            <w:pPr>
              <w:pStyle w:val="Tablehead"/>
              <w:rPr>
                <w:sz w:val="20"/>
                <w:szCs w:val="18"/>
                <w:lang w:val="en-US" w:eastAsia="zh-CN"/>
              </w:rPr>
            </w:pPr>
            <w:r w:rsidRPr="004A7348">
              <w:rPr>
                <w:sz w:val="20"/>
                <w:szCs w:val="18"/>
                <w:lang w:val="en-US" w:eastAsia="zh-CN"/>
              </w:rPr>
              <w:t>Variance</w:t>
            </w:r>
          </w:p>
        </w:tc>
      </w:tr>
      <w:tr w:rsidR="0026766C" w:rsidRPr="001D08AC" w:rsidTr="008B03B9">
        <w:trPr>
          <w:trHeight w:val="300"/>
          <w:jc w:val="center"/>
        </w:trPr>
        <w:tc>
          <w:tcPr>
            <w:tcW w:w="1570" w:type="pct"/>
            <w:tcBorders>
              <w:top w:val="nil"/>
              <w:left w:val="nil"/>
              <w:right w:val="nil"/>
            </w:tcBorders>
            <w:shd w:val="clear" w:color="000000" w:fill="DCE6F1"/>
            <w:noWrap/>
            <w:hideMark/>
          </w:tcPr>
          <w:p w:rsidR="0026766C" w:rsidRPr="004A7348" w:rsidRDefault="0026766C" w:rsidP="004A7348">
            <w:pPr>
              <w:pStyle w:val="Tablehead"/>
              <w:rPr>
                <w:sz w:val="20"/>
                <w:szCs w:val="18"/>
                <w:lang w:val="en-US" w:eastAsia="zh-CN"/>
              </w:rPr>
            </w:pPr>
            <w:r w:rsidRPr="004A7348">
              <w:rPr>
                <w:sz w:val="20"/>
                <w:szCs w:val="18"/>
                <w:lang w:val="en-US" w:eastAsia="zh-CN"/>
              </w:rPr>
              <w:t>Expenses</w:t>
            </w:r>
          </w:p>
        </w:tc>
        <w:tc>
          <w:tcPr>
            <w:tcW w:w="495" w:type="pct"/>
            <w:tcBorders>
              <w:top w:val="nil"/>
              <w:left w:val="nil"/>
              <w:right w:val="nil"/>
            </w:tcBorders>
            <w:shd w:val="clear" w:color="000000" w:fill="DCE6F1"/>
            <w:hideMark/>
          </w:tcPr>
          <w:p w:rsidR="0026766C" w:rsidRPr="004A7348" w:rsidRDefault="0026766C" w:rsidP="004A7348">
            <w:pPr>
              <w:pStyle w:val="Tablehead"/>
              <w:rPr>
                <w:sz w:val="20"/>
                <w:szCs w:val="18"/>
                <w:lang w:val="en-US" w:eastAsia="zh-CN"/>
              </w:rPr>
            </w:pPr>
            <w:r w:rsidRPr="004A7348">
              <w:rPr>
                <w:sz w:val="20"/>
                <w:szCs w:val="18"/>
                <w:lang w:val="en-US" w:eastAsia="zh-CN"/>
              </w:rPr>
              <w:t>2010-2011</w:t>
            </w:r>
          </w:p>
        </w:tc>
        <w:tc>
          <w:tcPr>
            <w:tcW w:w="496" w:type="pct"/>
            <w:tcBorders>
              <w:top w:val="nil"/>
              <w:left w:val="nil"/>
              <w:right w:val="nil"/>
            </w:tcBorders>
            <w:shd w:val="clear" w:color="000000" w:fill="DCE6F1"/>
            <w:hideMark/>
          </w:tcPr>
          <w:p w:rsidR="0026766C" w:rsidRPr="004A7348" w:rsidRDefault="0026766C" w:rsidP="004A7348">
            <w:pPr>
              <w:pStyle w:val="Tablehead"/>
              <w:rPr>
                <w:sz w:val="20"/>
                <w:szCs w:val="18"/>
                <w:lang w:val="en-US" w:eastAsia="zh-CN"/>
              </w:rPr>
            </w:pPr>
            <w:r w:rsidRPr="004A7348">
              <w:rPr>
                <w:sz w:val="20"/>
                <w:szCs w:val="18"/>
                <w:lang w:val="en-US" w:eastAsia="zh-CN"/>
              </w:rPr>
              <w:t>2010-2011</w:t>
            </w:r>
          </w:p>
        </w:tc>
        <w:tc>
          <w:tcPr>
            <w:tcW w:w="473" w:type="pct"/>
            <w:tcBorders>
              <w:top w:val="nil"/>
              <w:left w:val="nil"/>
              <w:right w:val="nil"/>
            </w:tcBorders>
            <w:shd w:val="clear" w:color="000000" w:fill="DCE6F1"/>
            <w:hideMark/>
          </w:tcPr>
          <w:p w:rsidR="0026766C" w:rsidRPr="004A7348" w:rsidRDefault="0026766C" w:rsidP="004A7348">
            <w:pPr>
              <w:pStyle w:val="Tablehead"/>
              <w:rPr>
                <w:sz w:val="20"/>
                <w:szCs w:val="18"/>
                <w:lang w:val="en-US" w:eastAsia="zh-CN"/>
              </w:rPr>
            </w:pPr>
            <w:r w:rsidRPr="004A7348">
              <w:rPr>
                <w:sz w:val="20"/>
                <w:szCs w:val="18"/>
                <w:lang w:val="en-US" w:eastAsia="zh-CN"/>
              </w:rPr>
              <w:t>2012-2013</w:t>
            </w:r>
          </w:p>
        </w:tc>
        <w:tc>
          <w:tcPr>
            <w:tcW w:w="463" w:type="pct"/>
            <w:tcBorders>
              <w:top w:val="nil"/>
              <w:left w:val="nil"/>
              <w:right w:val="nil"/>
            </w:tcBorders>
            <w:shd w:val="clear" w:color="000000" w:fill="DCE6F1"/>
            <w:hideMark/>
          </w:tcPr>
          <w:p w:rsidR="0026766C" w:rsidRPr="004A7348" w:rsidRDefault="0026766C" w:rsidP="004A7348">
            <w:pPr>
              <w:pStyle w:val="Tablehead"/>
              <w:rPr>
                <w:sz w:val="20"/>
                <w:szCs w:val="18"/>
                <w:lang w:val="en-US" w:eastAsia="zh-CN"/>
              </w:rPr>
            </w:pPr>
            <w:r w:rsidRPr="004A7348">
              <w:rPr>
                <w:sz w:val="20"/>
                <w:szCs w:val="18"/>
                <w:lang w:val="en-US" w:eastAsia="zh-CN"/>
              </w:rPr>
              <w:t>2012</w:t>
            </w:r>
          </w:p>
        </w:tc>
        <w:tc>
          <w:tcPr>
            <w:tcW w:w="534" w:type="pct"/>
            <w:tcBorders>
              <w:top w:val="nil"/>
              <w:left w:val="nil"/>
              <w:right w:val="nil"/>
            </w:tcBorders>
            <w:shd w:val="clear" w:color="000000" w:fill="DCE6F1"/>
            <w:hideMark/>
          </w:tcPr>
          <w:p w:rsidR="0026766C" w:rsidRPr="004A7348" w:rsidRDefault="0026766C" w:rsidP="004A7348">
            <w:pPr>
              <w:pStyle w:val="Tablehead"/>
              <w:rPr>
                <w:sz w:val="20"/>
                <w:szCs w:val="18"/>
                <w:lang w:val="en-US" w:eastAsia="zh-CN"/>
              </w:rPr>
            </w:pPr>
            <w:r w:rsidRPr="004A7348">
              <w:rPr>
                <w:sz w:val="20"/>
                <w:szCs w:val="18"/>
                <w:lang w:val="en-US" w:eastAsia="zh-CN"/>
              </w:rPr>
              <w:t>2014-2015</w:t>
            </w:r>
          </w:p>
        </w:tc>
        <w:tc>
          <w:tcPr>
            <w:tcW w:w="969" w:type="pct"/>
            <w:gridSpan w:val="2"/>
            <w:vMerge/>
            <w:tcBorders>
              <w:top w:val="nil"/>
              <w:left w:val="nil"/>
              <w:right w:val="nil"/>
            </w:tcBorders>
            <w:vAlign w:val="center"/>
            <w:hideMark/>
          </w:tcPr>
          <w:p w:rsidR="0026766C" w:rsidRPr="004A7348" w:rsidRDefault="0026766C" w:rsidP="004A7348">
            <w:pPr>
              <w:pStyle w:val="Tablehead"/>
              <w:rPr>
                <w:sz w:val="20"/>
                <w:szCs w:val="18"/>
                <w:lang w:val="en-US" w:eastAsia="zh-CN"/>
              </w:rPr>
            </w:pPr>
          </w:p>
        </w:tc>
      </w:tr>
      <w:tr w:rsidR="0026766C" w:rsidRPr="001D08AC" w:rsidTr="008B03B9">
        <w:trPr>
          <w:trHeight w:val="300"/>
          <w:jc w:val="center"/>
        </w:trPr>
        <w:tc>
          <w:tcPr>
            <w:tcW w:w="1570" w:type="pct"/>
            <w:tcBorders>
              <w:top w:val="nil"/>
              <w:left w:val="nil"/>
              <w:bottom w:val="single" w:sz="4" w:space="0" w:color="000099"/>
              <w:right w:val="nil"/>
            </w:tcBorders>
            <w:shd w:val="clear" w:color="000000" w:fill="DCE6F1"/>
            <w:noWrap/>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 </w:t>
            </w:r>
          </w:p>
        </w:tc>
        <w:tc>
          <w:tcPr>
            <w:tcW w:w="495" w:type="pct"/>
            <w:tcBorders>
              <w:top w:val="nil"/>
              <w:left w:val="nil"/>
              <w:bottom w:val="single" w:sz="4" w:space="0" w:color="000099"/>
              <w:right w:val="nil"/>
            </w:tcBorders>
            <w:shd w:val="clear" w:color="000000" w:fill="DCE6F1"/>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 xml:space="preserve">a </w:t>
            </w:r>
          </w:p>
        </w:tc>
        <w:tc>
          <w:tcPr>
            <w:tcW w:w="496" w:type="pct"/>
            <w:tcBorders>
              <w:top w:val="nil"/>
              <w:left w:val="nil"/>
              <w:bottom w:val="single" w:sz="4" w:space="0" w:color="000099"/>
              <w:right w:val="nil"/>
            </w:tcBorders>
            <w:shd w:val="clear" w:color="000000" w:fill="DCE6F1"/>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b</w:t>
            </w:r>
          </w:p>
        </w:tc>
        <w:tc>
          <w:tcPr>
            <w:tcW w:w="473" w:type="pct"/>
            <w:tcBorders>
              <w:top w:val="nil"/>
              <w:left w:val="nil"/>
              <w:bottom w:val="single" w:sz="4" w:space="0" w:color="000099"/>
              <w:right w:val="nil"/>
            </w:tcBorders>
            <w:shd w:val="clear" w:color="000000" w:fill="DCE6F1"/>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c</w:t>
            </w:r>
          </w:p>
        </w:tc>
        <w:tc>
          <w:tcPr>
            <w:tcW w:w="463" w:type="pct"/>
            <w:tcBorders>
              <w:top w:val="nil"/>
              <w:left w:val="nil"/>
              <w:bottom w:val="single" w:sz="4" w:space="0" w:color="000099"/>
              <w:right w:val="nil"/>
            </w:tcBorders>
            <w:shd w:val="clear" w:color="000000" w:fill="DCE6F1"/>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d</w:t>
            </w:r>
          </w:p>
        </w:tc>
        <w:tc>
          <w:tcPr>
            <w:tcW w:w="534" w:type="pct"/>
            <w:tcBorders>
              <w:top w:val="nil"/>
              <w:left w:val="nil"/>
              <w:bottom w:val="single" w:sz="4" w:space="0" w:color="000099"/>
              <w:right w:val="nil"/>
            </w:tcBorders>
            <w:shd w:val="clear" w:color="000000" w:fill="DCE6F1"/>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e</w:t>
            </w:r>
          </w:p>
        </w:tc>
        <w:tc>
          <w:tcPr>
            <w:tcW w:w="454" w:type="pct"/>
            <w:tcBorders>
              <w:top w:val="nil"/>
              <w:left w:val="nil"/>
              <w:bottom w:val="single" w:sz="4" w:space="0" w:color="000099"/>
              <w:right w:val="nil"/>
            </w:tcBorders>
            <w:shd w:val="clear" w:color="000000" w:fill="DCE6F1"/>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f = e</w:t>
            </w:r>
            <w:r w:rsidR="001F434A">
              <w:rPr>
                <w:sz w:val="20"/>
                <w:szCs w:val="18"/>
                <w:lang w:val="en-US" w:eastAsia="zh-CN"/>
              </w:rPr>
              <w:t xml:space="preserve"> – </w:t>
            </w:r>
            <w:r w:rsidRPr="004A7348">
              <w:rPr>
                <w:sz w:val="20"/>
                <w:szCs w:val="18"/>
                <w:lang w:val="en-US" w:eastAsia="zh-CN"/>
              </w:rPr>
              <w:t>c</w:t>
            </w:r>
          </w:p>
        </w:tc>
        <w:tc>
          <w:tcPr>
            <w:tcW w:w="515" w:type="pct"/>
            <w:tcBorders>
              <w:top w:val="nil"/>
              <w:left w:val="nil"/>
              <w:bottom w:val="single" w:sz="4" w:space="0" w:color="000099"/>
              <w:right w:val="nil"/>
            </w:tcBorders>
            <w:shd w:val="clear" w:color="000000" w:fill="DCE6F1"/>
            <w:vAlign w:val="bottom"/>
            <w:hideMark/>
          </w:tcPr>
          <w:p w:rsidR="0026766C" w:rsidRPr="004A7348" w:rsidRDefault="0026766C" w:rsidP="004A7348">
            <w:pPr>
              <w:pStyle w:val="Tablehead"/>
              <w:rPr>
                <w:sz w:val="20"/>
                <w:szCs w:val="18"/>
                <w:lang w:val="en-US" w:eastAsia="zh-CN"/>
              </w:rPr>
            </w:pPr>
            <w:r w:rsidRPr="004A7348">
              <w:rPr>
                <w:sz w:val="20"/>
                <w:szCs w:val="18"/>
                <w:lang w:val="en-US" w:eastAsia="zh-CN"/>
              </w:rPr>
              <w:t>g = f / c</w:t>
            </w:r>
          </w:p>
        </w:tc>
      </w:tr>
      <w:tr w:rsidR="0026766C" w:rsidRPr="001D08AC" w:rsidTr="008B03B9">
        <w:trPr>
          <w:trHeight w:val="300"/>
          <w:jc w:val="center"/>
        </w:trPr>
        <w:tc>
          <w:tcPr>
            <w:tcW w:w="1570" w:type="pct"/>
            <w:tcBorders>
              <w:top w:val="single" w:sz="4" w:space="0" w:color="000099"/>
              <w:left w:val="nil"/>
              <w:bottom w:val="nil"/>
              <w:right w:val="nil"/>
            </w:tcBorders>
            <w:shd w:val="clear" w:color="000000" w:fill="FFFFFF"/>
            <w:vAlign w:val="bottom"/>
            <w:hideMark/>
          </w:tcPr>
          <w:p w:rsidR="0026766C" w:rsidRPr="004A7348" w:rsidRDefault="0026766C" w:rsidP="004A7348">
            <w:pPr>
              <w:pStyle w:val="Tabletext"/>
              <w:rPr>
                <w:sz w:val="20"/>
                <w:szCs w:val="18"/>
                <w:lang w:val="en-US" w:eastAsia="zh-CN"/>
              </w:rPr>
            </w:pPr>
            <w:r w:rsidRPr="004A7348">
              <w:rPr>
                <w:sz w:val="20"/>
                <w:szCs w:val="18"/>
                <w:lang w:val="en-US" w:eastAsia="zh-CN"/>
              </w:rPr>
              <w:t>WRC</w:t>
            </w:r>
          </w:p>
        </w:tc>
        <w:tc>
          <w:tcPr>
            <w:tcW w:w="495" w:type="pct"/>
            <w:tcBorders>
              <w:top w:val="single" w:sz="4" w:space="0" w:color="000099"/>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0</w:t>
            </w:r>
          </w:p>
        </w:tc>
        <w:tc>
          <w:tcPr>
            <w:tcW w:w="496" w:type="pct"/>
            <w:tcBorders>
              <w:top w:val="single" w:sz="4" w:space="0" w:color="000099"/>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2</w:t>
            </w:r>
          </w:p>
        </w:tc>
        <w:tc>
          <w:tcPr>
            <w:tcW w:w="473" w:type="pct"/>
            <w:tcBorders>
              <w:top w:val="single" w:sz="4" w:space="0" w:color="000099"/>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3</w:t>
            </w:r>
            <w:r w:rsidR="004A7348">
              <w:rPr>
                <w:sz w:val="20"/>
                <w:szCs w:val="18"/>
                <w:lang w:val="en-US" w:eastAsia="zh-CN"/>
              </w:rPr>
              <w:t> </w:t>
            </w:r>
            <w:r w:rsidRPr="004A7348">
              <w:rPr>
                <w:sz w:val="20"/>
                <w:szCs w:val="18"/>
                <w:lang w:val="en-US" w:eastAsia="zh-CN"/>
              </w:rPr>
              <w:t>000</w:t>
            </w:r>
          </w:p>
        </w:tc>
        <w:tc>
          <w:tcPr>
            <w:tcW w:w="463" w:type="pct"/>
            <w:tcBorders>
              <w:top w:val="single" w:sz="4" w:space="0" w:color="000099"/>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2</w:t>
            </w:r>
            <w:r w:rsidR="004A7348">
              <w:rPr>
                <w:sz w:val="20"/>
                <w:szCs w:val="18"/>
                <w:lang w:val="en-US" w:eastAsia="zh-CN"/>
              </w:rPr>
              <w:t> </w:t>
            </w:r>
            <w:r w:rsidRPr="004A7348">
              <w:rPr>
                <w:sz w:val="20"/>
                <w:szCs w:val="18"/>
                <w:lang w:val="en-US" w:eastAsia="zh-CN"/>
              </w:rPr>
              <w:t>619</w:t>
            </w:r>
          </w:p>
        </w:tc>
        <w:tc>
          <w:tcPr>
            <w:tcW w:w="534" w:type="pct"/>
            <w:tcBorders>
              <w:top w:val="single" w:sz="4" w:space="0" w:color="000099"/>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0</w:t>
            </w:r>
          </w:p>
        </w:tc>
        <w:tc>
          <w:tcPr>
            <w:tcW w:w="454" w:type="pct"/>
            <w:tcBorders>
              <w:top w:val="single" w:sz="4" w:space="0" w:color="000099"/>
              <w:left w:val="nil"/>
              <w:bottom w:val="nil"/>
              <w:right w:val="nil"/>
            </w:tcBorders>
            <w:shd w:val="clear" w:color="000000" w:fill="FFFFFF"/>
            <w:noWrap/>
            <w:vAlign w:val="bottom"/>
            <w:hideMark/>
          </w:tcPr>
          <w:p w:rsidR="0026766C" w:rsidRPr="004A7348" w:rsidRDefault="004A7348" w:rsidP="008B03B9">
            <w:pPr>
              <w:pStyle w:val="Tabletext"/>
              <w:jc w:val="right"/>
              <w:rPr>
                <w:sz w:val="20"/>
                <w:szCs w:val="18"/>
                <w:lang w:val="en-US" w:eastAsia="zh-CN"/>
              </w:rPr>
            </w:pPr>
            <w:r>
              <w:rPr>
                <w:sz w:val="20"/>
                <w:szCs w:val="18"/>
                <w:lang w:val="en-US" w:eastAsia="zh-CN"/>
              </w:rPr>
              <w:t>−</w:t>
            </w:r>
            <w:r w:rsidR="0026766C" w:rsidRPr="004A7348">
              <w:rPr>
                <w:sz w:val="20"/>
                <w:szCs w:val="18"/>
                <w:lang w:val="en-US" w:eastAsia="zh-CN"/>
              </w:rPr>
              <w:t>3</w:t>
            </w:r>
            <w:r>
              <w:rPr>
                <w:sz w:val="20"/>
                <w:szCs w:val="18"/>
                <w:lang w:val="en-US" w:eastAsia="zh-CN"/>
              </w:rPr>
              <w:t> </w:t>
            </w:r>
            <w:r w:rsidR="0026766C" w:rsidRPr="004A7348">
              <w:rPr>
                <w:sz w:val="20"/>
                <w:szCs w:val="18"/>
                <w:lang w:val="en-US" w:eastAsia="zh-CN"/>
              </w:rPr>
              <w:t>000</w:t>
            </w:r>
          </w:p>
        </w:tc>
        <w:tc>
          <w:tcPr>
            <w:tcW w:w="515" w:type="pct"/>
            <w:tcBorders>
              <w:top w:val="single" w:sz="4" w:space="0" w:color="000099"/>
              <w:left w:val="nil"/>
              <w:bottom w:val="nil"/>
              <w:right w:val="nil"/>
            </w:tcBorders>
            <w:shd w:val="clear" w:color="000000" w:fill="FFFFFF"/>
            <w:noWrap/>
            <w:vAlign w:val="bottom"/>
            <w:hideMark/>
          </w:tcPr>
          <w:p w:rsidR="0026766C" w:rsidRPr="004A7348" w:rsidRDefault="004A7348" w:rsidP="008B03B9">
            <w:pPr>
              <w:pStyle w:val="Tabletext"/>
              <w:jc w:val="right"/>
              <w:rPr>
                <w:sz w:val="20"/>
                <w:szCs w:val="18"/>
                <w:lang w:val="en-US" w:eastAsia="zh-CN"/>
              </w:rPr>
            </w:pPr>
            <w:r>
              <w:rPr>
                <w:sz w:val="20"/>
                <w:szCs w:val="18"/>
                <w:lang w:val="en-US" w:eastAsia="zh-CN"/>
              </w:rPr>
              <w:t>−</w:t>
            </w:r>
            <w:r w:rsidR="0026766C" w:rsidRPr="004A7348">
              <w:rPr>
                <w:sz w:val="20"/>
                <w:szCs w:val="18"/>
                <w:lang w:val="en-US" w:eastAsia="zh-CN"/>
              </w:rPr>
              <w:t>100.0%</w:t>
            </w:r>
          </w:p>
        </w:tc>
      </w:tr>
      <w:tr w:rsidR="0026766C" w:rsidRPr="001D08AC" w:rsidTr="008B03B9">
        <w:trPr>
          <w:trHeight w:val="289"/>
          <w:jc w:val="center"/>
        </w:trPr>
        <w:tc>
          <w:tcPr>
            <w:tcW w:w="1570" w:type="pct"/>
            <w:tcBorders>
              <w:top w:val="nil"/>
              <w:left w:val="nil"/>
              <w:bottom w:val="nil"/>
              <w:right w:val="nil"/>
            </w:tcBorders>
            <w:shd w:val="clear" w:color="000000" w:fill="FFFFFF"/>
            <w:vAlign w:val="bottom"/>
            <w:hideMark/>
          </w:tcPr>
          <w:p w:rsidR="0026766C" w:rsidRPr="004A7348" w:rsidRDefault="0026766C" w:rsidP="004A7348">
            <w:pPr>
              <w:pStyle w:val="Tabletext"/>
              <w:rPr>
                <w:sz w:val="20"/>
                <w:szCs w:val="18"/>
                <w:lang w:val="en-US" w:eastAsia="zh-CN"/>
              </w:rPr>
            </w:pPr>
            <w:r w:rsidRPr="004A7348">
              <w:rPr>
                <w:sz w:val="20"/>
                <w:szCs w:val="18"/>
                <w:lang w:val="en-US" w:eastAsia="zh-CN"/>
              </w:rPr>
              <w:t>RA</w:t>
            </w:r>
          </w:p>
        </w:tc>
        <w:tc>
          <w:tcPr>
            <w:tcW w:w="495"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0</w:t>
            </w:r>
          </w:p>
        </w:tc>
        <w:tc>
          <w:tcPr>
            <w:tcW w:w="496"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0</w:t>
            </w:r>
          </w:p>
        </w:tc>
        <w:tc>
          <w:tcPr>
            <w:tcW w:w="47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375</w:t>
            </w:r>
          </w:p>
        </w:tc>
        <w:tc>
          <w:tcPr>
            <w:tcW w:w="46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359</w:t>
            </w:r>
          </w:p>
        </w:tc>
        <w:tc>
          <w:tcPr>
            <w:tcW w:w="53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0</w:t>
            </w:r>
          </w:p>
        </w:tc>
        <w:tc>
          <w:tcPr>
            <w:tcW w:w="454" w:type="pct"/>
            <w:tcBorders>
              <w:top w:val="nil"/>
              <w:left w:val="nil"/>
              <w:bottom w:val="nil"/>
              <w:right w:val="nil"/>
            </w:tcBorders>
            <w:shd w:val="clear" w:color="000000" w:fill="FFFFFF"/>
            <w:noWrap/>
            <w:vAlign w:val="bottom"/>
            <w:hideMark/>
          </w:tcPr>
          <w:p w:rsidR="0026766C" w:rsidRPr="004A7348" w:rsidRDefault="004A7348" w:rsidP="008B03B9">
            <w:pPr>
              <w:pStyle w:val="Tabletext"/>
              <w:jc w:val="right"/>
              <w:rPr>
                <w:sz w:val="20"/>
                <w:szCs w:val="18"/>
                <w:lang w:val="en-US" w:eastAsia="zh-CN"/>
              </w:rPr>
            </w:pPr>
            <w:r>
              <w:rPr>
                <w:sz w:val="20"/>
                <w:szCs w:val="18"/>
                <w:lang w:val="en-US" w:eastAsia="zh-CN"/>
              </w:rPr>
              <w:t>−</w:t>
            </w:r>
            <w:r w:rsidR="0026766C" w:rsidRPr="004A7348">
              <w:rPr>
                <w:sz w:val="20"/>
                <w:szCs w:val="18"/>
                <w:lang w:val="en-US" w:eastAsia="zh-CN"/>
              </w:rPr>
              <w:t>375</w:t>
            </w:r>
          </w:p>
        </w:tc>
        <w:tc>
          <w:tcPr>
            <w:tcW w:w="515" w:type="pct"/>
            <w:tcBorders>
              <w:top w:val="nil"/>
              <w:left w:val="nil"/>
              <w:bottom w:val="nil"/>
              <w:right w:val="nil"/>
            </w:tcBorders>
            <w:shd w:val="clear" w:color="000000" w:fill="FFFFFF"/>
            <w:noWrap/>
            <w:vAlign w:val="bottom"/>
            <w:hideMark/>
          </w:tcPr>
          <w:p w:rsidR="0026766C" w:rsidRPr="004A7348" w:rsidRDefault="004A7348" w:rsidP="008B03B9">
            <w:pPr>
              <w:pStyle w:val="Tabletext"/>
              <w:jc w:val="right"/>
              <w:rPr>
                <w:sz w:val="20"/>
                <w:szCs w:val="18"/>
                <w:lang w:val="en-US" w:eastAsia="zh-CN"/>
              </w:rPr>
            </w:pPr>
            <w:r>
              <w:rPr>
                <w:sz w:val="20"/>
                <w:szCs w:val="18"/>
                <w:lang w:val="en-US" w:eastAsia="zh-CN"/>
              </w:rPr>
              <w:t>−</w:t>
            </w:r>
            <w:r w:rsidR="0026766C" w:rsidRPr="004A7348">
              <w:rPr>
                <w:sz w:val="20"/>
                <w:szCs w:val="18"/>
                <w:lang w:val="en-US" w:eastAsia="zh-CN"/>
              </w:rPr>
              <w:t>100.0%</w:t>
            </w:r>
          </w:p>
        </w:tc>
      </w:tr>
      <w:tr w:rsidR="0026766C" w:rsidRPr="001D08AC" w:rsidTr="008B03B9">
        <w:trPr>
          <w:trHeight w:val="289"/>
          <w:jc w:val="center"/>
        </w:trPr>
        <w:tc>
          <w:tcPr>
            <w:tcW w:w="1570" w:type="pct"/>
            <w:tcBorders>
              <w:top w:val="nil"/>
              <w:left w:val="nil"/>
              <w:bottom w:val="nil"/>
              <w:right w:val="nil"/>
            </w:tcBorders>
            <w:shd w:val="clear" w:color="000000" w:fill="FFFFFF"/>
            <w:vAlign w:val="bottom"/>
            <w:hideMark/>
          </w:tcPr>
          <w:p w:rsidR="0026766C" w:rsidRPr="004A7348" w:rsidRDefault="0026766C" w:rsidP="004A7348">
            <w:pPr>
              <w:pStyle w:val="Tabletext"/>
              <w:rPr>
                <w:sz w:val="20"/>
                <w:szCs w:val="18"/>
                <w:lang w:val="en-US" w:eastAsia="zh-CN"/>
              </w:rPr>
            </w:pPr>
            <w:r w:rsidRPr="004A7348">
              <w:rPr>
                <w:sz w:val="20"/>
                <w:szCs w:val="18"/>
                <w:lang w:val="en-US" w:eastAsia="zh-CN"/>
              </w:rPr>
              <w:t>CPM</w:t>
            </w:r>
          </w:p>
        </w:tc>
        <w:tc>
          <w:tcPr>
            <w:tcW w:w="495"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0</w:t>
            </w:r>
          </w:p>
        </w:tc>
        <w:tc>
          <w:tcPr>
            <w:tcW w:w="496"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0</w:t>
            </w:r>
          </w:p>
        </w:tc>
        <w:tc>
          <w:tcPr>
            <w:tcW w:w="47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0</w:t>
            </w:r>
          </w:p>
        </w:tc>
        <w:tc>
          <w:tcPr>
            <w:tcW w:w="46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 </w:t>
            </w:r>
          </w:p>
        </w:tc>
        <w:tc>
          <w:tcPr>
            <w:tcW w:w="53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313</w:t>
            </w:r>
          </w:p>
        </w:tc>
        <w:tc>
          <w:tcPr>
            <w:tcW w:w="45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313</w:t>
            </w:r>
          </w:p>
        </w:tc>
        <w:tc>
          <w:tcPr>
            <w:tcW w:w="515" w:type="pct"/>
            <w:tcBorders>
              <w:top w:val="nil"/>
              <w:left w:val="nil"/>
              <w:bottom w:val="nil"/>
              <w:right w:val="nil"/>
            </w:tcBorders>
            <w:shd w:val="clear" w:color="000000" w:fill="FFFFFF"/>
            <w:noWrap/>
            <w:vAlign w:val="bottom"/>
            <w:hideMark/>
          </w:tcPr>
          <w:p w:rsidR="0026766C" w:rsidRPr="004A7348" w:rsidRDefault="004A7348" w:rsidP="008B03B9">
            <w:pPr>
              <w:pStyle w:val="Tabletext"/>
              <w:jc w:val="right"/>
              <w:rPr>
                <w:sz w:val="20"/>
                <w:szCs w:val="18"/>
                <w:lang w:val="en-US" w:eastAsia="zh-CN"/>
              </w:rPr>
            </w:pPr>
            <w:r>
              <w:rPr>
                <w:sz w:val="20"/>
                <w:szCs w:val="18"/>
                <w:lang w:val="en-US" w:eastAsia="zh-CN"/>
              </w:rPr>
              <w:t>−</w:t>
            </w:r>
          </w:p>
        </w:tc>
      </w:tr>
      <w:tr w:rsidR="0026766C" w:rsidRPr="001D08AC" w:rsidTr="008B03B9">
        <w:trPr>
          <w:trHeight w:val="289"/>
          <w:jc w:val="center"/>
        </w:trPr>
        <w:tc>
          <w:tcPr>
            <w:tcW w:w="1570" w:type="pct"/>
            <w:tcBorders>
              <w:top w:val="nil"/>
              <w:left w:val="nil"/>
              <w:bottom w:val="nil"/>
              <w:right w:val="nil"/>
            </w:tcBorders>
            <w:shd w:val="clear" w:color="000000" w:fill="FFFFFF"/>
            <w:vAlign w:val="bottom"/>
            <w:hideMark/>
          </w:tcPr>
          <w:p w:rsidR="0026766C" w:rsidRPr="004A7348" w:rsidRDefault="0026766C" w:rsidP="004A7348">
            <w:pPr>
              <w:pStyle w:val="Tabletext"/>
              <w:rPr>
                <w:sz w:val="20"/>
                <w:szCs w:val="18"/>
                <w:lang w:val="en-US" w:eastAsia="zh-CN"/>
              </w:rPr>
            </w:pPr>
            <w:r w:rsidRPr="004A7348">
              <w:rPr>
                <w:sz w:val="20"/>
                <w:szCs w:val="18"/>
                <w:lang w:val="en-US" w:eastAsia="zh-CN"/>
              </w:rPr>
              <w:t>RRB</w:t>
            </w:r>
          </w:p>
        </w:tc>
        <w:tc>
          <w:tcPr>
            <w:tcW w:w="495"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w:t>
            </w:r>
            <w:r w:rsidR="004A7348">
              <w:rPr>
                <w:sz w:val="20"/>
                <w:szCs w:val="18"/>
                <w:lang w:val="en-US" w:eastAsia="zh-CN"/>
              </w:rPr>
              <w:t> </w:t>
            </w:r>
            <w:r w:rsidRPr="004A7348">
              <w:rPr>
                <w:sz w:val="20"/>
                <w:szCs w:val="18"/>
                <w:lang w:val="en-US" w:eastAsia="zh-CN"/>
              </w:rPr>
              <w:t>250</w:t>
            </w:r>
          </w:p>
        </w:tc>
        <w:tc>
          <w:tcPr>
            <w:tcW w:w="496"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977</w:t>
            </w:r>
          </w:p>
        </w:tc>
        <w:tc>
          <w:tcPr>
            <w:tcW w:w="47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w:t>
            </w:r>
            <w:r w:rsidR="004A7348">
              <w:rPr>
                <w:sz w:val="20"/>
                <w:szCs w:val="18"/>
                <w:lang w:val="en-US" w:eastAsia="zh-CN"/>
              </w:rPr>
              <w:t> </w:t>
            </w:r>
            <w:r w:rsidRPr="004A7348">
              <w:rPr>
                <w:sz w:val="20"/>
                <w:szCs w:val="18"/>
                <w:lang w:val="en-US" w:eastAsia="zh-CN"/>
              </w:rPr>
              <w:t>363</w:t>
            </w:r>
          </w:p>
        </w:tc>
        <w:tc>
          <w:tcPr>
            <w:tcW w:w="46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467</w:t>
            </w:r>
          </w:p>
        </w:tc>
        <w:tc>
          <w:tcPr>
            <w:tcW w:w="53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w:t>
            </w:r>
            <w:r w:rsidR="004A7348">
              <w:rPr>
                <w:sz w:val="20"/>
                <w:szCs w:val="18"/>
                <w:lang w:val="en-US" w:eastAsia="zh-CN"/>
              </w:rPr>
              <w:t> </w:t>
            </w:r>
            <w:r w:rsidRPr="004A7348">
              <w:rPr>
                <w:sz w:val="20"/>
                <w:szCs w:val="18"/>
                <w:lang w:val="en-US" w:eastAsia="zh-CN"/>
              </w:rPr>
              <w:t>462</w:t>
            </w:r>
          </w:p>
        </w:tc>
        <w:tc>
          <w:tcPr>
            <w:tcW w:w="45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99</w:t>
            </w:r>
          </w:p>
        </w:tc>
        <w:tc>
          <w:tcPr>
            <w:tcW w:w="515"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7.3%</w:t>
            </w:r>
          </w:p>
        </w:tc>
      </w:tr>
      <w:tr w:rsidR="0026766C" w:rsidRPr="001D08AC" w:rsidTr="008B03B9">
        <w:trPr>
          <w:trHeight w:val="289"/>
          <w:jc w:val="center"/>
        </w:trPr>
        <w:tc>
          <w:tcPr>
            <w:tcW w:w="1570" w:type="pct"/>
            <w:tcBorders>
              <w:top w:val="nil"/>
              <w:left w:val="nil"/>
              <w:bottom w:val="nil"/>
              <w:right w:val="nil"/>
            </w:tcBorders>
            <w:shd w:val="clear" w:color="000000" w:fill="FFFFFF"/>
            <w:vAlign w:val="bottom"/>
            <w:hideMark/>
          </w:tcPr>
          <w:p w:rsidR="0026766C" w:rsidRPr="004A7348" w:rsidRDefault="0026766C" w:rsidP="004A7348">
            <w:pPr>
              <w:pStyle w:val="Tabletext"/>
              <w:rPr>
                <w:sz w:val="20"/>
                <w:szCs w:val="18"/>
                <w:lang w:val="en-US" w:eastAsia="zh-CN"/>
              </w:rPr>
            </w:pPr>
            <w:r w:rsidRPr="004A7348">
              <w:rPr>
                <w:sz w:val="20"/>
                <w:szCs w:val="18"/>
                <w:lang w:val="en-US" w:eastAsia="zh-CN"/>
              </w:rPr>
              <w:t>RAG</w:t>
            </w:r>
          </w:p>
        </w:tc>
        <w:tc>
          <w:tcPr>
            <w:tcW w:w="495"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150</w:t>
            </w:r>
          </w:p>
        </w:tc>
        <w:tc>
          <w:tcPr>
            <w:tcW w:w="496"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115</w:t>
            </w:r>
          </w:p>
        </w:tc>
        <w:tc>
          <w:tcPr>
            <w:tcW w:w="47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123</w:t>
            </w:r>
          </w:p>
        </w:tc>
        <w:tc>
          <w:tcPr>
            <w:tcW w:w="46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50</w:t>
            </w:r>
          </w:p>
        </w:tc>
        <w:tc>
          <w:tcPr>
            <w:tcW w:w="53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144</w:t>
            </w:r>
          </w:p>
        </w:tc>
        <w:tc>
          <w:tcPr>
            <w:tcW w:w="45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21</w:t>
            </w:r>
          </w:p>
        </w:tc>
        <w:tc>
          <w:tcPr>
            <w:tcW w:w="515"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17.1%</w:t>
            </w:r>
          </w:p>
        </w:tc>
      </w:tr>
      <w:tr w:rsidR="0026766C" w:rsidRPr="001D08AC" w:rsidTr="008B03B9">
        <w:trPr>
          <w:trHeight w:val="289"/>
          <w:jc w:val="center"/>
        </w:trPr>
        <w:tc>
          <w:tcPr>
            <w:tcW w:w="1570" w:type="pct"/>
            <w:tcBorders>
              <w:top w:val="nil"/>
              <w:left w:val="nil"/>
              <w:bottom w:val="nil"/>
              <w:right w:val="nil"/>
            </w:tcBorders>
            <w:shd w:val="clear" w:color="000000" w:fill="FFFFFF"/>
            <w:vAlign w:val="bottom"/>
            <w:hideMark/>
          </w:tcPr>
          <w:p w:rsidR="0026766C" w:rsidRPr="004A7348" w:rsidRDefault="0026766C" w:rsidP="004A7348">
            <w:pPr>
              <w:pStyle w:val="Tabletext"/>
              <w:rPr>
                <w:sz w:val="20"/>
                <w:szCs w:val="18"/>
                <w:lang w:val="en-US" w:eastAsia="zh-CN"/>
              </w:rPr>
            </w:pPr>
            <w:r w:rsidRPr="004A7348">
              <w:rPr>
                <w:sz w:val="20"/>
                <w:szCs w:val="18"/>
                <w:lang w:val="en-US" w:eastAsia="zh-CN"/>
              </w:rPr>
              <w:t>Study group meetings</w:t>
            </w:r>
          </w:p>
        </w:tc>
        <w:tc>
          <w:tcPr>
            <w:tcW w:w="495"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2</w:t>
            </w:r>
            <w:r w:rsidR="004A7348">
              <w:rPr>
                <w:sz w:val="20"/>
                <w:szCs w:val="18"/>
                <w:lang w:val="en-US" w:eastAsia="zh-CN"/>
              </w:rPr>
              <w:t> </w:t>
            </w:r>
            <w:r w:rsidRPr="004A7348">
              <w:rPr>
                <w:sz w:val="20"/>
                <w:szCs w:val="18"/>
                <w:lang w:val="en-US" w:eastAsia="zh-CN"/>
              </w:rPr>
              <w:t>515</w:t>
            </w:r>
          </w:p>
        </w:tc>
        <w:tc>
          <w:tcPr>
            <w:tcW w:w="496"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2</w:t>
            </w:r>
            <w:r w:rsidR="004A7348">
              <w:rPr>
                <w:sz w:val="20"/>
                <w:szCs w:val="18"/>
                <w:lang w:val="en-US" w:eastAsia="zh-CN"/>
              </w:rPr>
              <w:t> </w:t>
            </w:r>
            <w:r w:rsidRPr="004A7348">
              <w:rPr>
                <w:sz w:val="20"/>
                <w:szCs w:val="18"/>
                <w:lang w:val="en-US" w:eastAsia="zh-CN"/>
              </w:rPr>
              <w:t>244</w:t>
            </w:r>
          </w:p>
        </w:tc>
        <w:tc>
          <w:tcPr>
            <w:tcW w:w="47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w:t>
            </w:r>
            <w:r w:rsidR="004A7348">
              <w:rPr>
                <w:sz w:val="20"/>
                <w:szCs w:val="18"/>
                <w:lang w:val="en-US" w:eastAsia="zh-CN"/>
              </w:rPr>
              <w:t> </w:t>
            </w:r>
            <w:r w:rsidRPr="004A7348">
              <w:rPr>
                <w:sz w:val="20"/>
                <w:szCs w:val="18"/>
                <w:lang w:val="en-US" w:eastAsia="zh-CN"/>
              </w:rPr>
              <w:t>750</w:t>
            </w:r>
          </w:p>
        </w:tc>
        <w:tc>
          <w:tcPr>
            <w:tcW w:w="46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226</w:t>
            </w:r>
          </w:p>
        </w:tc>
        <w:tc>
          <w:tcPr>
            <w:tcW w:w="53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w:t>
            </w:r>
            <w:r w:rsidR="004A7348">
              <w:rPr>
                <w:sz w:val="20"/>
                <w:szCs w:val="18"/>
                <w:lang w:val="en-US" w:eastAsia="zh-CN"/>
              </w:rPr>
              <w:t> </w:t>
            </w:r>
            <w:r w:rsidRPr="004A7348">
              <w:rPr>
                <w:sz w:val="20"/>
                <w:szCs w:val="18"/>
                <w:lang w:val="en-US" w:eastAsia="zh-CN"/>
              </w:rPr>
              <w:t>750</w:t>
            </w:r>
          </w:p>
        </w:tc>
        <w:tc>
          <w:tcPr>
            <w:tcW w:w="45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0</w:t>
            </w:r>
          </w:p>
        </w:tc>
        <w:tc>
          <w:tcPr>
            <w:tcW w:w="515"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0.0%</w:t>
            </w:r>
          </w:p>
        </w:tc>
      </w:tr>
      <w:tr w:rsidR="0026766C" w:rsidRPr="001D08AC" w:rsidTr="008B03B9">
        <w:trPr>
          <w:trHeight w:val="289"/>
          <w:jc w:val="center"/>
        </w:trPr>
        <w:tc>
          <w:tcPr>
            <w:tcW w:w="1570" w:type="pct"/>
            <w:tcBorders>
              <w:top w:val="nil"/>
              <w:left w:val="nil"/>
              <w:bottom w:val="nil"/>
              <w:right w:val="nil"/>
            </w:tcBorders>
            <w:shd w:val="clear" w:color="000000" w:fill="FFFFFF"/>
            <w:vAlign w:val="bottom"/>
            <w:hideMark/>
          </w:tcPr>
          <w:p w:rsidR="0026766C" w:rsidRPr="004A7348" w:rsidRDefault="0026766C" w:rsidP="004A7348">
            <w:pPr>
              <w:pStyle w:val="Tabletext"/>
              <w:rPr>
                <w:sz w:val="20"/>
                <w:szCs w:val="18"/>
                <w:lang w:val="en-US" w:eastAsia="zh-CN"/>
              </w:rPr>
            </w:pPr>
            <w:r w:rsidRPr="004A7348">
              <w:rPr>
                <w:sz w:val="20"/>
                <w:szCs w:val="18"/>
                <w:lang w:val="en-US" w:eastAsia="zh-CN"/>
              </w:rPr>
              <w:t>Activities and programmes</w:t>
            </w:r>
          </w:p>
        </w:tc>
        <w:tc>
          <w:tcPr>
            <w:tcW w:w="495"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2</w:t>
            </w:r>
            <w:r w:rsidR="004A7348">
              <w:rPr>
                <w:sz w:val="20"/>
                <w:szCs w:val="18"/>
                <w:lang w:val="en-US" w:eastAsia="zh-CN"/>
              </w:rPr>
              <w:t> </w:t>
            </w:r>
            <w:r w:rsidRPr="004A7348">
              <w:rPr>
                <w:sz w:val="20"/>
                <w:szCs w:val="18"/>
                <w:lang w:val="en-US" w:eastAsia="zh-CN"/>
              </w:rPr>
              <w:t>490</w:t>
            </w:r>
          </w:p>
        </w:tc>
        <w:tc>
          <w:tcPr>
            <w:tcW w:w="496"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w:t>
            </w:r>
            <w:r w:rsidR="004A7348">
              <w:rPr>
                <w:sz w:val="20"/>
                <w:szCs w:val="18"/>
                <w:lang w:val="en-US" w:eastAsia="zh-CN"/>
              </w:rPr>
              <w:t> </w:t>
            </w:r>
            <w:r w:rsidRPr="004A7348">
              <w:rPr>
                <w:sz w:val="20"/>
                <w:szCs w:val="18"/>
                <w:lang w:val="en-US" w:eastAsia="zh-CN"/>
              </w:rPr>
              <w:t>585</w:t>
            </w:r>
          </w:p>
        </w:tc>
        <w:tc>
          <w:tcPr>
            <w:tcW w:w="47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w:t>
            </w:r>
            <w:r w:rsidR="004A7348">
              <w:rPr>
                <w:sz w:val="20"/>
                <w:szCs w:val="18"/>
                <w:lang w:val="en-US" w:eastAsia="zh-CN"/>
              </w:rPr>
              <w:t> </w:t>
            </w:r>
            <w:r w:rsidRPr="004A7348">
              <w:rPr>
                <w:sz w:val="20"/>
                <w:szCs w:val="18"/>
                <w:lang w:val="en-US" w:eastAsia="zh-CN"/>
              </w:rPr>
              <w:t>920</w:t>
            </w:r>
          </w:p>
        </w:tc>
        <w:tc>
          <w:tcPr>
            <w:tcW w:w="46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460</w:t>
            </w:r>
          </w:p>
        </w:tc>
        <w:tc>
          <w:tcPr>
            <w:tcW w:w="53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w:t>
            </w:r>
            <w:r w:rsidR="004A7348">
              <w:rPr>
                <w:sz w:val="20"/>
                <w:szCs w:val="18"/>
                <w:lang w:val="en-US" w:eastAsia="zh-CN"/>
              </w:rPr>
              <w:t> </w:t>
            </w:r>
            <w:r w:rsidRPr="004A7348">
              <w:rPr>
                <w:sz w:val="20"/>
                <w:szCs w:val="18"/>
                <w:lang w:val="en-US" w:eastAsia="zh-CN"/>
              </w:rPr>
              <w:t>700</w:t>
            </w:r>
          </w:p>
        </w:tc>
        <w:tc>
          <w:tcPr>
            <w:tcW w:w="454" w:type="pct"/>
            <w:tcBorders>
              <w:top w:val="nil"/>
              <w:left w:val="nil"/>
              <w:bottom w:val="nil"/>
              <w:right w:val="nil"/>
            </w:tcBorders>
            <w:shd w:val="clear" w:color="000000" w:fill="FFFFFF"/>
            <w:noWrap/>
            <w:vAlign w:val="bottom"/>
            <w:hideMark/>
          </w:tcPr>
          <w:p w:rsidR="0026766C" w:rsidRPr="004A7348" w:rsidRDefault="004A7348" w:rsidP="008B03B9">
            <w:pPr>
              <w:pStyle w:val="Tabletext"/>
              <w:jc w:val="right"/>
              <w:rPr>
                <w:sz w:val="20"/>
                <w:szCs w:val="18"/>
                <w:lang w:val="en-US" w:eastAsia="zh-CN"/>
              </w:rPr>
            </w:pPr>
            <w:r>
              <w:rPr>
                <w:sz w:val="20"/>
                <w:szCs w:val="18"/>
                <w:lang w:val="en-US" w:eastAsia="zh-CN"/>
              </w:rPr>
              <w:t>−</w:t>
            </w:r>
            <w:r w:rsidR="0026766C" w:rsidRPr="004A7348">
              <w:rPr>
                <w:sz w:val="20"/>
                <w:szCs w:val="18"/>
                <w:lang w:val="en-US" w:eastAsia="zh-CN"/>
              </w:rPr>
              <w:t>220</w:t>
            </w:r>
          </w:p>
        </w:tc>
        <w:tc>
          <w:tcPr>
            <w:tcW w:w="515" w:type="pct"/>
            <w:tcBorders>
              <w:top w:val="nil"/>
              <w:left w:val="nil"/>
              <w:bottom w:val="nil"/>
              <w:right w:val="nil"/>
            </w:tcBorders>
            <w:shd w:val="clear" w:color="000000" w:fill="FFFFFF"/>
            <w:noWrap/>
            <w:vAlign w:val="bottom"/>
            <w:hideMark/>
          </w:tcPr>
          <w:p w:rsidR="0026766C" w:rsidRPr="004A7348" w:rsidRDefault="004A7348" w:rsidP="008B03B9">
            <w:pPr>
              <w:pStyle w:val="Tabletext"/>
              <w:jc w:val="right"/>
              <w:rPr>
                <w:sz w:val="20"/>
                <w:szCs w:val="18"/>
                <w:lang w:val="en-US" w:eastAsia="zh-CN"/>
              </w:rPr>
            </w:pPr>
            <w:r>
              <w:rPr>
                <w:sz w:val="20"/>
                <w:szCs w:val="18"/>
                <w:lang w:val="en-US" w:eastAsia="zh-CN"/>
              </w:rPr>
              <w:t>−</w:t>
            </w:r>
            <w:r w:rsidR="0026766C" w:rsidRPr="004A7348">
              <w:rPr>
                <w:sz w:val="20"/>
                <w:szCs w:val="18"/>
                <w:lang w:val="en-US" w:eastAsia="zh-CN"/>
              </w:rPr>
              <w:t>11.5%</w:t>
            </w:r>
          </w:p>
        </w:tc>
      </w:tr>
      <w:tr w:rsidR="0026766C" w:rsidRPr="001D08AC" w:rsidTr="008B03B9">
        <w:trPr>
          <w:trHeight w:val="289"/>
          <w:jc w:val="center"/>
        </w:trPr>
        <w:tc>
          <w:tcPr>
            <w:tcW w:w="1570" w:type="pct"/>
            <w:tcBorders>
              <w:top w:val="nil"/>
              <w:left w:val="nil"/>
              <w:bottom w:val="nil"/>
              <w:right w:val="nil"/>
            </w:tcBorders>
            <w:shd w:val="clear" w:color="000000" w:fill="FFFFFF"/>
            <w:vAlign w:val="bottom"/>
            <w:hideMark/>
          </w:tcPr>
          <w:p w:rsidR="0026766C" w:rsidRPr="004A7348" w:rsidRDefault="0026766C" w:rsidP="004A7348">
            <w:pPr>
              <w:pStyle w:val="Tabletext"/>
              <w:rPr>
                <w:sz w:val="20"/>
                <w:szCs w:val="18"/>
                <w:lang w:val="en-US" w:eastAsia="zh-CN"/>
              </w:rPr>
            </w:pPr>
            <w:r w:rsidRPr="004A7348">
              <w:rPr>
                <w:sz w:val="20"/>
                <w:szCs w:val="18"/>
                <w:lang w:val="en-US" w:eastAsia="zh-CN"/>
              </w:rPr>
              <w:t>Seminars</w:t>
            </w:r>
          </w:p>
        </w:tc>
        <w:tc>
          <w:tcPr>
            <w:tcW w:w="495"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474</w:t>
            </w:r>
          </w:p>
        </w:tc>
        <w:tc>
          <w:tcPr>
            <w:tcW w:w="496"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476</w:t>
            </w:r>
          </w:p>
        </w:tc>
        <w:tc>
          <w:tcPr>
            <w:tcW w:w="47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944</w:t>
            </w:r>
          </w:p>
        </w:tc>
        <w:tc>
          <w:tcPr>
            <w:tcW w:w="463"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177</w:t>
            </w:r>
          </w:p>
        </w:tc>
        <w:tc>
          <w:tcPr>
            <w:tcW w:w="53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w:t>
            </w:r>
            <w:r w:rsidR="004A7348">
              <w:rPr>
                <w:sz w:val="20"/>
                <w:szCs w:val="18"/>
                <w:lang w:val="en-US" w:eastAsia="zh-CN"/>
              </w:rPr>
              <w:t> </w:t>
            </w:r>
            <w:r w:rsidRPr="004A7348">
              <w:rPr>
                <w:sz w:val="20"/>
                <w:szCs w:val="18"/>
                <w:lang w:val="en-US" w:eastAsia="zh-CN"/>
              </w:rPr>
              <w:t>044</w:t>
            </w:r>
          </w:p>
        </w:tc>
        <w:tc>
          <w:tcPr>
            <w:tcW w:w="454"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100</w:t>
            </w:r>
          </w:p>
        </w:tc>
        <w:tc>
          <w:tcPr>
            <w:tcW w:w="515" w:type="pct"/>
            <w:tcBorders>
              <w:top w:val="nil"/>
              <w:left w:val="nil"/>
              <w:bottom w:val="nil"/>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10.6%</w:t>
            </w:r>
          </w:p>
        </w:tc>
      </w:tr>
      <w:tr w:rsidR="0026766C" w:rsidRPr="001D08AC" w:rsidTr="008B03B9">
        <w:trPr>
          <w:trHeight w:val="289"/>
          <w:jc w:val="center"/>
        </w:trPr>
        <w:tc>
          <w:tcPr>
            <w:tcW w:w="1570" w:type="pct"/>
            <w:tcBorders>
              <w:top w:val="nil"/>
              <w:left w:val="nil"/>
              <w:bottom w:val="single" w:sz="4" w:space="0" w:color="000099"/>
              <w:right w:val="nil"/>
            </w:tcBorders>
            <w:shd w:val="clear" w:color="000000" w:fill="FFFFFF"/>
            <w:vAlign w:val="bottom"/>
            <w:hideMark/>
          </w:tcPr>
          <w:p w:rsidR="0026766C" w:rsidRPr="004A7348" w:rsidRDefault="0026766C" w:rsidP="004A7348">
            <w:pPr>
              <w:pStyle w:val="Tabletext"/>
              <w:rPr>
                <w:sz w:val="20"/>
                <w:szCs w:val="18"/>
                <w:lang w:val="en-US" w:eastAsia="zh-CN"/>
              </w:rPr>
            </w:pPr>
            <w:r w:rsidRPr="004A7348">
              <w:rPr>
                <w:sz w:val="20"/>
                <w:szCs w:val="18"/>
                <w:lang w:val="en-US" w:eastAsia="zh-CN"/>
              </w:rPr>
              <w:t>Bureau</w:t>
            </w:r>
          </w:p>
        </w:tc>
        <w:tc>
          <w:tcPr>
            <w:tcW w:w="495" w:type="pct"/>
            <w:tcBorders>
              <w:top w:val="nil"/>
              <w:left w:val="nil"/>
              <w:bottom w:val="single" w:sz="4" w:space="0" w:color="000099"/>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58</w:t>
            </w:r>
            <w:r w:rsidR="004A7348">
              <w:rPr>
                <w:sz w:val="20"/>
                <w:szCs w:val="18"/>
                <w:lang w:val="en-US" w:eastAsia="zh-CN"/>
              </w:rPr>
              <w:t> </w:t>
            </w:r>
            <w:r w:rsidRPr="004A7348">
              <w:rPr>
                <w:sz w:val="20"/>
                <w:szCs w:val="18"/>
                <w:lang w:val="en-US" w:eastAsia="zh-CN"/>
              </w:rPr>
              <w:t>893</w:t>
            </w:r>
          </w:p>
        </w:tc>
        <w:tc>
          <w:tcPr>
            <w:tcW w:w="496" w:type="pct"/>
            <w:tcBorders>
              <w:top w:val="nil"/>
              <w:left w:val="nil"/>
              <w:bottom w:val="single" w:sz="4" w:space="0" w:color="000099"/>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55</w:t>
            </w:r>
            <w:r w:rsidR="004A7348">
              <w:rPr>
                <w:sz w:val="20"/>
                <w:szCs w:val="18"/>
                <w:lang w:val="en-US" w:eastAsia="zh-CN"/>
              </w:rPr>
              <w:t> </w:t>
            </w:r>
            <w:r w:rsidRPr="004A7348">
              <w:rPr>
                <w:sz w:val="20"/>
                <w:szCs w:val="18"/>
                <w:lang w:val="en-US" w:eastAsia="zh-CN"/>
              </w:rPr>
              <w:t>267</w:t>
            </w:r>
          </w:p>
        </w:tc>
        <w:tc>
          <w:tcPr>
            <w:tcW w:w="473" w:type="pct"/>
            <w:tcBorders>
              <w:top w:val="nil"/>
              <w:left w:val="nil"/>
              <w:bottom w:val="single" w:sz="4" w:space="0" w:color="000099"/>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52</w:t>
            </w:r>
            <w:r w:rsidR="004A7348">
              <w:rPr>
                <w:sz w:val="20"/>
                <w:szCs w:val="18"/>
                <w:lang w:val="en-US" w:eastAsia="zh-CN"/>
              </w:rPr>
              <w:t> </w:t>
            </w:r>
            <w:r w:rsidRPr="004A7348">
              <w:rPr>
                <w:sz w:val="20"/>
                <w:szCs w:val="18"/>
                <w:lang w:val="en-US" w:eastAsia="zh-CN"/>
              </w:rPr>
              <w:t>325</w:t>
            </w:r>
          </w:p>
        </w:tc>
        <w:tc>
          <w:tcPr>
            <w:tcW w:w="463" w:type="pct"/>
            <w:tcBorders>
              <w:top w:val="nil"/>
              <w:left w:val="nil"/>
              <w:bottom w:val="single" w:sz="4" w:space="0" w:color="000099"/>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26</w:t>
            </w:r>
            <w:r w:rsidR="004A7348">
              <w:rPr>
                <w:sz w:val="20"/>
                <w:szCs w:val="18"/>
                <w:lang w:val="en-US" w:eastAsia="zh-CN"/>
              </w:rPr>
              <w:t> </w:t>
            </w:r>
            <w:r w:rsidRPr="004A7348">
              <w:rPr>
                <w:sz w:val="20"/>
                <w:szCs w:val="18"/>
                <w:lang w:val="en-US" w:eastAsia="zh-CN"/>
              </w:rPr>
              <w:t>359</w:t>
            </w:r>
          </w:p>
        </w:tc>
        <w:tc>
          <w:tcPr>
            <w:tcW w:w="534" w:type="pct"/>
            <w:tcBorders>
              <w:top w:val="nil"/>
              <w:left w:val="nil"/>
              <w:bottom w:val="single" w:sz="4" w:space="0" w:color="000099"/>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53</w:t>
            </w:r>
            <w:r w:rsidR="004A7348">
              <w:rPr>
                <w:sz w:val="20"/>
                <w:szCs w:val="18"/>
                <w:lang w:val="en-US" w:eastAsia="zh-CN"/>
              </w:rPr>
              <w:t> </w:t>
            </w:r>
            <w:r w:rsidRPr="004A7348">
              <w:rPr>
                <w:sz w:val="20"/>
                <w:szCs w:val="18"/>
                <w:lang w:val="en-US" w:eastAsia="zh-CN"/>
              </w:rPr>
              <w:t>104</w:t>
            </w:r>
          </w:p>
        </w:tc>
        <w:tc>
          <w:tcPr>
            <w:tcW w:w="454" w:type="pct"/>
            <w:tcBorders>
              <w:top w:val="nil"/>
              <w:left w:val="nil"/>
              <w:bottom w:val="single" w:sz="4" w:space="0" w:color="000099"/>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779</w:t>
            </w:r>
          </w:p>
        </w:tc>
        <w:tc>
          <w:tcPr>
            <w:tcW w:w="515" w:type="pct"/>
            <w:tcBorders>
              <w:top w:val="nil"/>
              <w:left w:val="nil"/>
              <w:bottom w:val="single" w:sz="4" w:space="0" w:color="000099"/>
              <w:right w:val="nil"/>
            </w:tcBorders>
            <w:shd w:val="clear" w:color="000000" w:fill="FFFFFF"/>
            <w:noWrap/>
            <w:vAlign w:val="bottom"/>
            <w:hideMark/>
          </w:tcPr>
          <w:p w:rsidR="0026766C" w:rsidRPr="004A7348" w:rsidRDefault="0026766C" w:rsidP="008B03B9">
            <w:pPr>
              <w:pStyle w:val="Tabletext"/>
              <w:jc w:val="right"/>
              <w:rPr>
                <w:sz w:val="20"/>
                <w:szCs w:val="18"/>
                <w:lang w:val="en-US" w:eastAsia="zh-CN"/>
              </w:rPr>
            </w:pPr>
            <w:r w:rsidRPr="004A7348">
              <w:rPr>
                <w:sz w:val="20"/>
                <w:szCs w:val="18"/>
                <w:lang w:val="en-US" w:eastAsia="zh-CN"/>
              </w:rPr>
              <w:t>1.5%</w:t>
            </w:r>
          </w:p>
        </w:tc>
      </w:tr>
      <w:tr w:rsidR="0026766C" w:rsidRPr="001D08AC" w:rsidTr="008B03B9">
        <w:trPr>
          <w:trHeight w:val="289"/>
          <w:jc w:val="center"/>
        </w:trPr>
        <w:tc>
          <w:tcPr>
            <w:tcW w:w="1570" w:type="pct"/>
            <w:tcBorders>
              <w:top w:val="single" w:sz="4" w:space="0" w:color="000099"/>
              <w:left w:val="nil"/>
              <w:bottom w:val="single" w:sz="4" w:space="0" w:color="000099"/>
              <w:right w:val="nil"/>
            </w:tcBorders>
            <w:shd w:val="clear" w:color="000000" w:fill="DCE6F1"/>
            <w:noWrap/>
            <w:vAlign w:val="center"/>
            <w:hideMark/>
          </w:tcPr>
          <w:p w:rsidR="0026766C" w:rsidRPr="004A7348" w:rsidRDefault="0026766C" w:rsidP="004A7348">
            <w:pPr>
              <w:pStyle w:val="Tabletext"/>
              <w:rPr>
                <w:b/>
                <w:bCs/>
                <w:color w:val="003399"/>
                <w:sz w:val="20"/>
                <w:szCs w:val="18"/>
                <w:lang w:val="en-US" w:eastAsia="zh-CN"/>
              </w:rPr>
            </w:pPr>
            <w:r w:rsidRPr="004A7348">
              <w:rPr>
                <w:b/>
                <w:bCs/>
                <w:color w:val="003399"/>
                <w:sz w:val="20"/>
                <w:szCs w:val="18"/>
                <w:lang w:val="en-US" w:eastAsia="zh-CN"/>
              </w:rPr>
              <w:t>Total Radiocommunication Sector</w:t>
            </w:r>
          </w:p>
        </w:tc>
        <w:tc>
          <w:tcPr>
            <w:tcW w:w="495" w:type="pct"/>
            <w:tcBorders>
              <w:top w:val="single" w:sz="4" w:space="0" w:color="000099"/>
              <w:left w:val="nil"/>
              <w:bottom w:val="single" w:sz="4" w:space="0" w:color="000099"/>
              <w:right w:val="nil"/>
            </w:tcBorders>
            <w:shd w:val="clear" w:color="000000" w:fill="DCE6F1"/>
            <w:noWrap/>
            <w:vAlign w:val="center"/>
            <w:hideMark/>
          </w:tcPr>
          <w:p w:rsidR="0026766C" w:rsidRPr="004A7348" w:rsidRDefault="0026766C" w:rsidP="008B03B9">
            <w:pPr>
              <w:pStyle w:val="Tabletext"/>
              <w:jc w:val="right"/>
              <w:rPr>
                <w:b/>
                <w:bCs/>
                <w:color w:val="003399"/>
                <w:sz w:val="20"/>
                <w:szCs w:val="18"/>
                <w:lang w:val="en-US" w:eastAsia="zh-CN"/>
              </w:rPr>
            </w:pPr>
            <w:r w:rsidRPr="004A7348">
              <w:rPr>
                <w:b/>
                <w:bCs/>
                <w:color w:val="003399"/>
                <w:sz w:val="20"/>
                <w:szCs w:val="18"/>
                <w:lang w:val="en-US" w:eastAsia="zh-CN"/>
              </w:rPr>
              <w:t>65</w:t>
            </w:r>
            <w:r w:rsidR="004A7348">
              <w:rPr>
                <w:b/>
                <w:bCs/>
                <w:color w:val="003399"/>
                <w:sz w:val="20"/>
                <w:szCs w:val="18"/>
                <w:lang w:val="en-US" w:eastAsia="zh-CN"/>
              </w:rPr>
              <w:t> </w:t>
            </w:r>
            <w:r w:rsidRPr="004A7348">
              <w:rPr>
                <w:b/>
                <w:bCs/>
                <w:color w:val="003399"/>
                <w:sz w:val="20"/>
                <w:szCs w:val="18"/>
                <w:lang w:val="en-US" w:eastAsia="zh-CN"/>
              </w:rPr>
              <w:t>772</w:t>
            </w:r>
          </w:p>
        </w:tc>
        <w:tc>
          <w:tcPr>
            <w:tcW w:w="496" w:type="pct"/>
            <w:tcBorders>
              <w:top w:val="single" w:sz="4" w:space="0" w:color="000099"/>
              <w:left w:val="nil"/>
              <w:bottom w:val="single" w:sz="4" w:space="0" w:color="000099"/>
              <w:right w:val="nil"/>
            </w:tcBorders>
            <w:shd w:val="clear" w:color="000000" w:fill="DCE6F1"/>
            <w:noWrap/>
            <w:vAlign w:val="center"/>
            <w:hideMark/>
          </w:tcPr>
          <w:p w:rsidR="0026766C" w:rsidRPr="004A7348" w:rsidRDefault="0026766C" w:rsidP="008B03B9">
            <w:pPr>
              <w:pStyle w:val="Tabletext"/>
              <w:jc w:val="right"/>
              <w:rPr>
                <w:b/>
                <w:bCs/>
                <w:color w:val="003399"/>
                <w:sz w:val="20"/>
                <w:szCs w:val="18"/>
                <w:lang w:val="en-US" w:eastAsia="zh-CN"/>
              </w:rPr>
            </w:pPr>
            <w:r w:rsidRPr="004A7348">
              <w:rPr>
                <w:b/>
                <w:bCs/>
                <w:color w:val="003399"/>
                <w:sz w:val="20"/>
                <w:szCs w:val="18"/>
                <w:lang w:val="en-US" w:eastAsia="zh-CN"/>
              </w:rPr>
              <w:t>60</w:t>
            </w:r>
            <w:r w:rsidR="004A7348">
              <w:rPr>
                <w:b/>
                <w:bCs/>
                <w:color w:val="003399"/>
                <w:sz w:val="20"/>
                <w:szCs w:val="18"/>
                <w:lang w:val="en-US" w:eastAsia="zh-CN"/>
              </w:rPr>
              <w:t> </w:t>
            </w:r>
            <w:r w:rsidRPr="004A7348">
              <w:rPr>
                <w:b/>
                <w:bCs/>
                <w:color w:val="003399"/>
                <w:sz w:val="20"/>
                <w:szCs w:val="18"/>
                <w:lang w:val="en-US" w:eastAsia="zh-CN"/>
              </w:rPr>
              <w:t>666</w:t>
            </w:r>
          </w:p>
        </w:tc>
        <w:tc>
          <w:tcPr>
            <w:tcW w:w="473" w:type="pct"/>
            <w:tcBorders>
              <w:top w:val="single" w:sz="4" w:space="0" w:color="000099"/>
              <w:left w:val="nil"/>
              <w:bottom w:val="single" w:sz="4" w:space="0" w:color="000099"/>
              <w:right w:val="nil"/>
            </w:tcBorders>
            <w:shd w:val="clear" w:color="000000" w:fill="DCE6F1"/>
            <w:noWrap/>
            <w:vAlign w:val="center"/>
            <w:hideMark/>
          </w:tcPr>
          <w:p w:rsidR="0026766C" w:rsidRPr="004A7348" w:rsidRDefault="0026766C" w:rsidP="008B03B9">
            <w:pPr>
              <w:pStyle w:val="Tabletext"/>
              <w:jc w:val="right"/>
              <w:rPr>
                <w:b/>
                <w:bCs/>
                <w:color w:val="003399"/>
                <w:sz w:val="20"/>
                <w:szCs w:val="18"/>
                <w:lang w:val="en-US" w:eastAsia="zh-CN"/>
              </w:rPr>
            </w:pPr>
            <w:r w:rsidRPr="004A7348">
              <w:rPr>
                <w:b/>
                <w:bCs/>
                <w:color w:val="003399"/>
                <w:sz w:val="20"/>
                <w:szCs w:val="18"/>
                <w:lang w:val="en-US" w:eastAsia="zh-CN"/>
              </w:rPr>
              <w:t>61</w:t>
            </w:r>
            <w:r w:rsidR="004A7348">
              <w:rPr>
                <w:b/>
                <w:bCs/>
                <w:color w:val="003399"/>
                <w:sz w:val="20"/>
                <w:szCs w:val="18"/>
                <w:lang w:val="en-US" w:eastAsia="zh-CN"/>
              </w:rPr>
              <w:t> </w:t>
            </w:r>
            <w:r w:rsidRPr="004A7348">
              <w:rPr>
                <w:b/>
                <w:bCs/>
                <w:color w:val="003399"/>
                <w:sz w:val="20"/>
                <w:szCs w:val="18"/>
                <w:lang w:val="en-US" w:eastAsia="zh-CN"/>
              </w:rPr>
              <w:t>800</w:t>
            </w:r>
          </w:p>
        </w:tc>
        <w:tc>
          <w:tcPr>
            <w:tcW w:w="463" w:type="pct"/>
            <w:tcBorders>
              <w:top w:val="single" w:sz="4" w:space="0" w:color="000099"/>
              <w:left w:val="nil"/>
              <w:bottom w:val="single" w:sz="4" w:space="0" w:color="000099"/>
              <w:right w:val="nil"/>
            </w:tcBorders>
            <w:shd w:val="clear" w:color="000000" w:fill="DCE6F1"/>
            <w:noWrap/>
            <w:vAlign w:val="center"/>
            <w:hideMark/>
          </w:tcPr>
          <w:p w:rsidR="0026766C" w:rsidRPr="004A7348" w:rsidRDefault="0026766C" w:rsidP="008B03B9">
            <w:pPr>
              <w:pStyle w:val="Tabletext"/>
              <w:jc w:val="right"/>
              <w:rPr>
                <w:b/>
                <w:bCs/>
                <w:color w:val="003399"/>
                <w:sz w:val="20"/>
                <w:szCs w:val="18"/>
                <w:lang w:val="en-US" w:eastAsia="zh-CN"/>
              </w:rPr>
            </w:pPr>
            <w:r w:rsidRPr="004A7348">
              <w:rPr>
                <w:b/>
                <w:bCs/>
                <w:color w:val="003399"/>
                <w:sz w:val="20"/>
                <w:szCs w:val="18"/>
                <w:lang w:val="en-US" w:eastAsia="zh-CN"/>
              </w:rPr>
              <w:t>30</w:t>
            </w:r>
            <w:r w:rsidR="004A7348">
              <w:rPr>
                <w:b/>
                <w:bCs/>
                <w:color w:val="003399"/>
                <w:sz w:val="20"/>
                <w:szCs w:val="18"/>
                <w:lang w:val="en-US" w:eastAsia="zh-CN"/>
              </w:rPr>
              <w:t> </w:t>
            </w:r>
            <w:r w:rsidRPr="004A7348">
              <w:rPr>
                <w:b/>
                <w:bCs/>
                <w:color w:val="003399"/>
                <w:sz w:val="20"/>
                <w:szCs w:val="18"/>
                <w:lang w:val="en-US" w:eastAsia="zh-CN"/>
              </w:rPr>
              <w:t>717</w:t>
            </w:r>
          </w:p>
        </w:tc>
        <w:tc>
          <w:tcPr>
            <w:tcW w:w="534" w:type="pct"/>
            <w:tcBorders>
              <w:top w:val="single" w:sz="4" w:space="0" w:color="000099"/>
              <w:left w:val="nil"/>
              <w:bottom w:val="single" w:sz="4" w:space="0" w:color="000099"/>
              <w:right w:val="nil"/>
            </w:tcBorders>
            <w:shd w:val="clear" w:color="000000" w:fill="DCE6F1"/>
            <w:noWrap/>
            <w:vAlign w:val="center"/>
            <w:hideMark/>
          </w:tcPr>
          <w:p w:rsidR="0026766C" w:rsidRPr="004A7348" w:rsidRDefault="0026766C" w:rsidP="008B03B9">
            <w:pPr>
              <w:pStyle w:val="Tabletext"/>
              <w:jc w:val="right"/>
              <w:rPr>
                <w:b/>
                <w:bCs/>
                <w:color w:val="003399"/>
                <w:sz w:val="20"/>
                <w:szCs w:val="18"/>
                <w:lang w:val="en-US" w:eastAsia="zh-CN"/>
              </w:rPr>
            </w:pPr>
            <w:r w:rsidRPr="004A7348">
              <w:rPr>
                <w:b/>
                <w:bCs/>
                <w:color w:val="003399"/>
                <w:sz w:val="20"/>
                <w:szCs w:val="18"/>
                <w:lang w:val="en-US" w:eastAsia="zh-CN"/>
              </w:rPr>
              <w:t>59</w:t>
            </w:r>
            <w:r w:rsidR="004A7348">
              <w:rPr>
                <w:b/>
                <w:bCs/>
                <w:color w:val="003399"/>
                <w:sz w:val="20"/>
                <w:szCs w:val="18"/>
                <w:lang w:val="en-US" w:eastAsia="zh-CN"/>
              </w:rPr>
              <w:t> </w:t>
            </w:r>
            <w:r w:rsidRPr="004A7348">
              <w:rPr>
                <w:b/>
                <w:bCs/>
                <w:color w:val="003399"/>
                <w:sz w:val="20"/>
                <w:szCs w:val="18"/>
                <w:lang w:val="en-US" w:eastAsia="zh-CN"/>
              </w:rPr>
              <w:t>517</w:t>
            </w:r>
          </w:p>
        </w:tc>
        <w:tc>
          <w:tcPr>
            <w:tcW w:w="454" w:type="pct"/>
            <w:tcBorders>
              <w:top w:val="single" w:sz="4" w:space="0" w:color="000099"/>
              <w:left w:val="nil"/>
              <w:bottom w:val="single" w:sz="4" w:space="0" w:color="000099"/>
              <w:right w:val="nil"/>
            </w:tcBorders>
            <w:shd w:val="clear" w:color="000000" w:fill="DCE6F1"/>
            <w:noWrap/>
            <w:vAlign w:val="center"/>
            <w:hideMark/>
          </w:tcPr>
          <w:p w:rsidR="0026766C" w:rsidRPr="004A7348" w:rsidRDefault="004A7348" w:rsidP="008B03B9">
            <w:pPr>
              <w:pStyle w:val="Tabletext"/>
              <w:jc w:val="right"/>
              <w:rPr>
                <w:b/>
                <w:bCs/>
                <w:color w:val="003399"/>
                <w:sz w:val="20"/>
                <w:szCs w:val="18"/>
                <w:lang w:val="en-US" w:eastAsia="zh-CN"/>
              </w:rPr>
            </w:pPr>
            <w:r>
              <w:rPr>
                <w:b/>
                <w:bCs/>
                <w:color w:val="003399"/>
                <w:sz w:val="20"/>
                <w:szCs w:val="18"/>
                <w:lang w:val="en-US" w:eastAsia="zh-CN"/>
              </w:rPr>
              <w:t>−</w:t>
            </w:r>
            <w:r w:rsidR="0026766C" w:rsidRPr="004A7348">
              <w:rPr>
                <w:b/>
                <w:bCs/>
                <w:color w:val="003399"/>
                <w:sz w:val="20"/>
                <w:szCs w:val="18"/>
                <w:lang w:val="en-US" w:eastAsia="zh-CN"/>
              </w:rPr>
              <w:t>2</w:t>
            </w:r>
            <w:r>
              <w:rPr>
                <w:b/>
                <w:bCs/>
                <w:color w:val="003399"/>
                <w:sz w:val="20"/>
                <w:szCs w:val="18"/>
                <w:lang w:val="en-US" w:eastAsia="zh-CN"/>
              </w:rPr>
              <w:t> </w:t>
            </w:r>
            <w:r w:rsidR="0026766C" w:rsidRPr="004A7348">
              <w:rPr>
                <w:b/>
                <w:bCs/>
                <w:color w:val="003399"/>
                <w:sz w:val="20"/>
                <w:szCs w:val="18"/>
                <w:lang w:val="en-US" w:eastAsia="zh-CN"/>
              </w:rPr>
              <w:t>283</w:t>
            </w:r>
          </w:p>
        </w:tc>
        <w:tc>
          <w:tcPr>
            <w:tcW w:w="515" w:type="pct"/>
            <w:tcBorders>
              <w:top w:val="single" w:sz="4" w:space="0" w:color="000099"/>
              <w:left w:val="nil"/>
              <w:bottom w:val="single" w:sz="4" w:space="0" w:color="000099"/>
              <w:right w:val="nil"/>
            </w:tcBorders>
            <w:shd w:val="clear" w:color="000000" w:fill="DCE6F1"/>
            <w:noWrap/>
            <w:vAlign w:val="center"/>
            <w:hideMark/>
          </w:tcPr>
          <w:p w:rsidR="0026766C" w:rsidRPr="004A7348" w:rsidRDefault="004A7348" w:rsidP="008B03B9">
            <w:pPr>
              <w:pStyle w:val="Tabletext"/>
              <w:jc w:val="right"/>
              <w:rPr>
                <w:b/>
                <w:bCs/>
                <w:color w:val="003399"/>
                <w:sz w:val="20"/>
                <w:szCs w:val="18"/>
                <w:lang w:val="en-US" w:eastAsia="zh-CN"/>
              </w:rPr>
            </w:pPr>
            <w:r>
              <w:rPr>
                <w:b/>
                <w:bCs/>
                <w:color w:val="003399"/>
                <w:sz w:val="20"/>
                <w:szCs w:val="18"/>
                <w:lang w:val="en-US" w:eastAsia="zh-CN"/>
              </w:rPr>
              <w:t>−</w:t>
            </w:r>
            <w:r w:rsidR="0026766C" w:rsidRPr="004A7348">
              <w:rPr>
                <w:b/>
                <w:bCs/>
                <w:color w:val="003399"/>
                <w:sz w:val="20"/>
                <w:szCs w:val="18"/>
                <w:lang w:val="en-US" w:eastAsia="zh-CN"/>
              </w:rPr>
              <w:t>3.7%</w:t>
            </w:r>
          </w:p>
        </w:tc>
      </w:tr>
    </w:tbl>
    <w:p w:rsidR="0026766C" w:rsidRPr="004A7348" w:rsidRDefault="0026766C" w:rsidP="004A7348">
      <w:pPr>
        <w:rPr>
          <w:sz w:val="20"/>
          <w:szCs w:val="16"/>
          <w:lang w:val="en-US"/>
        </w:rPr>
      </w:pPr>
      <w:r w:rsidRPr="004A7348">
        <w:rPr>
          <w:sz w:val="20"/>
          <w:szCs w:val="16"/>
          <w:lang w:val="en-US"/>
        </w:rPr>
        <w:t>*At 25 February 2013</w:t>
      </w:r>
    </w:p>
    <w:p w:rsidR="004A7348" w:rsidRDefault="004A7348" w:rsidP="004A7348">
      <w:pPr>
        <w:spacing w:before="0"/>
      </w:pPr>
    </w:p>
    <w:p w:rsidR="0026766C" w:rsidRPr="001D08AC" w:rsidRDefault="0026766C" w:rsidP="004A7348">
      <w:pPr>
        <w:rPr>
          <w:sz w:val="36"/>
          <w:szCs w:val="36"/>
        </w:rPr>
      </w:pPr>
      <w:r w:rsidRPr="001D08AC">
        <w:t xml:space="preserve">Although the current projection has not included any </w:t>
      </w:r>
      <w:r w:rsidR="004A7348">
        <w:t>ITU</w:t>
      </w:r>
      <w:r w:rsidR="004A7348">
        <w:noBreakHyphen/>
      </w:r>
      <w:r w:rsidRPr="001D08AC">
        <w:t xml:space="preserve">R conference or assembly, it is however foreseen that, in accordance with Council Resolution 1343, the forthcoming World Radiocommunication Conference and Radiocommunication Assembly will be held in 2015. Their costs are estimated to be CHF 5 million in total; therefore, </w:t>
      </w:r>
      <w:r w:rsidRPr="001D08AC">
        <w:rPr>
          <w:rStyle w:val="hps"/>
          <w:rFonts w:asciiTheme="majorBidi" w:hAnsiTheme="majorBidi" w:cstheme="majorBidi"/>
          <w:color w:val="333333"/>
          <w:szCs w:val="24"/>
        </w:rPr>
        <w:t>the Secretary</w:t>
      </w:r>
      <w:r w:rsidRPr="001D08AC">
        <w:rPr>
          <w:color w:val="333333"/>
        </w:rPr>
        <w:t xml:space="preserve">-General proposes that </w:t>
      </w:r>
      <w:r w:rsidRPr="001D08AC">
        <w:rPr>
          <w:rStyle w:val="hps"/>
          <w:rFonts w:asciiTheme="majorBidi" w:hAnsiTheme="majorBidi" w:cstheme="majorBidi"/>
          <w:color w:val="333333"/>
          <w:szCs w:val="24"/>
        </w:rPr>
        <w:t>the</w:t>
      </w:r>
      <w:r w:rsidRPr="001D08AC">
        <w:rPr>
          <w:color w:val="333333"/>
        </w:rPr>
        <w:t xml:space="preserve"> </w:t>
      </w:r>
      <w:r w:rsidRPr="001D08AC">
        <w:rPr>
          <w:rStyle w:val="hps"/>
          <w:rFonts w:asciiTheme="majorBidi" w:hAnsiTheme="majorBidi" w:cstheme="majorBidi"/>
          <w:color w:val="333333"/>
          <w:szCs w:val="24"/>
        </w:rPr>
        <w:t>Council</w:t>
      </w:r>
      <w:r w:rsidRPr="001D08AC">
        <w:rPr>
          <w:color w:val="333333"/>
        </w:rPr>
        <w:t xml:space="preserve"> </w:t>
      </w:r>
      <w:r w:rsidRPr="001D08AC">
        <w:rPr>
          <w:rStyle w:val="hps"/>
          <w:rFonts w:asciiTheme="majorBidi" w:hAnsiTheme="majorBidi" w:cstheme="majorBidi"/>
          <w:color w:val="333333"/>
          <w:szCs w:val="24"/>
        </w:rPr>
        <w:t>authorizes</w:t>
      </w:r>
      <w:r w:rsidRPr="001D08AC">
        <w:rPr>
          <w:color w:val="333333"/>
        </w:rPr>
        <w:t xml:space="preserve"> the secretariat </w:t>
      </w:r>
      <w:r w:rsidRPr="001D08AC">
        <w:rPr>
          <w:rStyle w:val="hps"/>
          <w:rFonts w:asciiTheme="majorBidi" w:hAnsiTheme="majorBidi" w:cstheme="majorBidi"/>
          <w:color w:val="333333"/>
          <w:szCs w:val="24"/>
        </w:rPr>
        <w:t>to draw that amount from the</w:t>
      </w:r>
      <w:r w:rsidRPr="001D08AC">
        <w:rPr>
          <w:color w:val="333333"/>
        </w:rPr>
        <w:t xml:space="preserve"> </w:t>
      </w:r>
      <w:r w:rsidRPr="001D08AC">
        <w:rPr>
          <w:rStyle w:val="hps"/>
          <w:rFonts w:asciiTheme="majorBidi" w:hAnsiTheme="majorBidi" w:cstheme="majorBidi"/>
          <w:color w:val="333333"/>
          <w:szCs w:val="24"/>
        </w:rPr>
        <w:t>reserve account.</w:t>
      </w:r>
    </w:p>
    <w:p w:rsidR="0026766C" w:rsidRPr="001D08AC" w:rsidRDefault="0026766C" w:rsidP="004A7348">
      <w:pPr>
        <w:pStyle w:val="Heading2"/>
        <w:rPr>
          <w:lang w:val="en-US"/>
        </w:rPr>
      </w:pPr>
      <w:r w:rsidRPr="001D08AC">
        <w:rPr>
          <w:lang w:val="en-US"/>
        </w:rPr>
        <w:t>2.6</w:t>
      </w:r>
      <w:r w:rsidRPr="001D08AC">
        <w:rPr>
          <w:lang w:val="en-US"/>
        </w:rPr>
        <w:tab/>
        <w:t>Space protocol</w:t>
      </w:r>
    </w:p>
    <w:p w:rsidR="0026766C" w:rsidRPr="001D08AC" w:rsidRDefault="0026766C" w:rsidP="004A7348">
      <w:pPr>
        <w:rPr>
          <w:rFonts w:cstheme="majorBidi"/>
          <w:lang w:val="en-US"/>
        </w:rPr>
      </w:pPr>
      <w:r w:rsidRPr="001D08AC">
        <w:rPr>
          <w:lang w:val="en-US"/>
        </w:rPr>
        <w:t xml:space="preserve">Council 2012 agreed to authorize the Secretary-General to continue to express interest in the ITU becoming the Supervisory Authority of the future international registration system for space assets under the draft Space Protocol, noting that the matter of whether or not ITU could become the Supervisory Authority should not be prejudged at this stage; the Council also authorized the Secretary-General or his representative, to participate in the work of the Preparatory Commission as observer. </w:t>
      </w:r>
      <w:r w:rsidRPr="001D08AC">
        <w:rPr>
          <w:rFonts w:cstheme="majorBidi"/>
          <w:lang w:val="en-US"/>
        </w:rPr>
        <w:t xml:space="preserve">The first meeting of the Preparatory Commission is planned for 6-7 May 2013 in Rome (Italy). </w:t>
      </w:r>
    </w:p>
    <w:p w:rsidR="0026766C" w:rsidRPr="001D08AC" w:rsidRDefault="0026766C" w:rsidP="004A7348">
      <w:pPr>
        <w:rPr>
          <w:lang w:val="en-US"/>
        </w:rPr>
      </w:pPr>
      <w:r w:rsidRPr="001D08AC">
        <w:rPr>
          <w:lang w:val="en-US"/>
        </w:rPr>
        <w:lastRenderedPageBreak/>
        <w:t xml:space="preserve">Council 2012 concluded that the Secretary-General would report back to Council 2013 which will consider the matter further in light of developments on the establishment of the Preparatory Commission and progress if any, taking into account the financial, juridical and technical implications for ITU. To allow the ITU Secretary-General to carry out this task in a fully transparent manner, a SharePoint was created, open to Council Member States, to share information and comments online at: </w:t>
      </w:r>
      <w:hyperlink r:id="rId11" w:history="1">
        <w:r w:rsidRPr="001D08AC">
          <w:rPr>
            <w:rStyle w:val="Hyperlink"/>
            <w:lang w:val="en-US"/>
          </w:rPr>
          <w:t>https://extranet.itu.int/</w:t>
        </w:r>
        <w:r w:rsidR="004A7348">
          <w:rPr>
            <w:rStyle w:val="Hyperlink"/>
            <w:lang w:val="en-US"/>
          </w:rPr>
          <w:t>ITU</w:t>
        </w:r>
        <w:r w:rsidR="004A7348">
          <w:rPr>
            <w:rStyle w:val="Hyperlink"/>
            <w:lang w:val="en-US"/>
          </w:rPr>
          <w:noBreakHyphen/>
        </w:r>
        <w:r w:rsidRPr="001D08AC">
          <w:rPr>
            <w:rStyle w:val="Hyperlink"/>
            <w:lang w:val="en-US"/>
          </w:rPr>
          <w:t>R/space-assets</w:t>
        </w:r>
      </w:hyperlink>
      <w:r w:rsidRPr="001D08AC">
        <w:rPr>
          <w:lang w:val="en-US"/>
        </w:rPr>
        <w:t xml:space="preserve">. </w:t>
      </w:r>
    </w:p>
    <w:p w:rsidR="0026766C" w:rsidRPr="001D08AC" w:rsidRDefault="0026766C" w:rsidP="004A7348">
      <w:pPr>
        <w:pStyle w:val="Heading1"/>
        <w:rPr>
          <w:rFonts w:eastAsia="SimSun"/>
          <w:lang w:val="en-US" w:eastAsia="zh-CN"/>
        </w:rPr>
      </w:pPr>
      <w:r w:rsidRPr="001D08AC">
        <w:rPr>
          <w:rFonts w:eastAsia="SimSun"/>
          <w:lang w:val="en-US" w:eastAsia="zh-CN"/>
        </w:rPr>
        <w:t>3</w:t>
      </w:r>
      <w:r w:rsidRPr="001D08AC">
        <w:rPr>
          <w:rFonts w:eastAsia="SimSun"/>
          <w:lang w:val="en-US" w:eastAsia="zh-CN"/>
        </w:rPr>
        <w:tab/>
        <w:t>Results of RA-12 and WRC-12</w:t>
      </w:r>
    </w:p>
    <w:p w:rsidR="0026766C" w:rsidRPr="001D08AC" w:rsidRDefault="0026766C" w:rsidP="00783FA6">
      <w:pPr>
        <w:pStyle w:val="Heading2"/>
        <w:rPr>
          <w:lang w:val="en-US"/>
        </w:rPr>
      </w:pPr>
      <w:r w:rsidRPr="001D08AC">
        <w:rPr>
          <w:lang w:val="en-US"/>
        </w:rPr>
        <w:t>3.1</w:t>
      </w:r>
      <w:r w:rsidRPr="001D08AC">
        <w:rPr>
          <w:lang w:val="en-US"/>
        </w:rPr>
        <w:tab/>
        <w:t xml:space="preserve">Correspondence </w:t>
      </w:r>
      <w:r w:rsidR="00783FA6">
        <w:rPr>
          <w:lang w:val="en-US"/>
        </w:rPr>
        <w:t>g</w:t>
      </w:r>
      <w:r w:rsidRPr="001D08AC">
        <w:rPr>
          <w:lang w:val="en-US"/>
        </w:rPr>
        <w:t>roups</w:t>
      </w:r>
    </w:p>
    <w:p w:rsidR="0026766C" w:rsidRPr="001D08AC" w:rsidRDefault="0026766C" w:rsidP="004A7348">
      <w:pPr>
        <w:rPr>
          <w:lang w:val="en-US"/>
        </w:rPr>
      </w:pPr>
      <w:r w:rsidRPr="001D08AC">
        <w:rPr>
          <w:lang w:val="en-US"/>
        </w:rPr>
        <w:t>BR established Sharepoint sites to support the work of the new correspondence groups agreed during the RAG-12 meeting:</w:t>
      </w:r>
    </w:p>
    <w:p w:rsidR="0026766C" w:rsidRPr="00783FA6" w:rsidRDefault="004A7348" w:rsidP="004A7348">
      <w:pPr>
        <w:pStyle w:val="enumlev1"/>
        <w:rPr>
          <w:rFonts w:asciiTheme="majorBidi" w:hAnsiTheme="majorBidi" w:cstheme="majorBidi"/>
          <w:szCs w:val="24"/>
          <w:lang w:val="en-US" w:eastAsia="zh-CN"/>
        </w:rPr>
      </w:pPr>
      <w:r w:rsidRPr="00783FA6">
        <w:rPr>
          <w:szCs w:val="24"/>
          <w:lang w:val="en-US"/>
        </w:rPr>
        <w:t>•</w:t>
      </w:r>
      <w:r w:rsidRPr="00783FA6">
        <w:rPr>
          <w:szCs w:val="24"/>
          <w:lang w:val="en-US"/>
        </w:rPr>
        <w:tab/>
      </w:r>
      <w:hyperlink r:id="rId12" w:history="1">
        <w:r w:rsidR="0026766C" w:rsidRPr="00783FA6">
          <w:rPr>
            <w:rFonts w:asciiTheme="majorBidi" w:hAnsiTheme="majorBidi" w:cstheme="majorBidi"/>
            <w:color w:val="02274B"/>
            <w:szCs w:val="24"/>
            <w:u w:val="single"/>
            <w:lang w:val="en-US" w:eastAsia="zh-CN"/>
          </w:rPr>
          <w:t xml:space="preserve">Revision of Resolution </w:t>
        </w:r>
        <w:r w:rsidRPr="00783FA6">
          <w:rPr>
            <w:rFonts w:asciiTheme="majorBidi" w:hAnsiTheme="majorBidi" w:cstheme="majorBidi"/>
            <w:color w:val="02274B"/>
            <w:szCs w:val="24"/>
            <w:u w:val="single"/>
            <w:lang w:val="en-US" w:eastAsia="zh-CN"/>
          </w:rPr>
          <w:t>ITU</w:t>
        </w:r>
        <w:r w:rsidRPr="00783FA6">
          <w:rPr>
            <w:rFonts w:asciiTheme="majorBidi" w:hAnsiTheme="majorBidi" w:cstheme="majorBidi"/>
            <w:color w:val="02274B"/>
            <w:szCs w:val="24"/>
            <w:u w:val="single"/>
            <w:lang w:val="en-US" w:eastAsia="zh-CN"/>
          </w:rPr>
          <w:noBreakHyphen/>
        </w:r>
        <w:r w:rsidR="0026766C" w:rsidRPr="00783FA6">
          <w:rPr>
            <w:rFonts w:asciiTheme="majorBidi" w:hAnsiTheme="majorBidi" w:cstheme="majorBidi"/>
            <w:color w:val="02274B"/>
            <w:szCs w:val="24"/>
            <w:u w:val="single"/>
            <w:lang w:val="en-US" w:eastAsia="zh-CN"/>
          </w:rPr>
          <w:t>R 1-6</w:t>
        </w:r>
      </w:hyperlink>
      <w:r w:rsidR="0026766C" w:rsidRPr="00783FA6">
        <w:rPr>
          <w:rFonts w:asciiTheme="majorBidi" w:hAnsiTheme="majorBidi" w:cstheme="majorBidi"/>
          <w:szCs w:val="24"/>
          <w:lang w:val="en-US" w:eastAsia="zh-CN"/>
        </w:rPr>
        <w:t xml:space="preserve">, </w:t>
      </w:r>
      <w:r w:rsidR="00783FA6">
        <w:rPr>
          <w:rFonts w:asciiTheme="majorBidi" w:hAnsiTheme="majorBidi" w:cstheme="majorBidi"/>
          <w:szCs w:val="24"/>
          <w:lang w:val="en-US" w:eastAsia="zh-CN"/>
        </w:rPr>
        <w:t>Mr </w:t>
      </w:r>
      <w:r w:rsidR="0026766C" w:rsidRPr="00783FA6">
        <w:rPr>
          <w:rFonts w:asciiTheme="majorBidi" w:hAnsiTheme="majorBidi" w:cstheme="majorBidi"/>
          <w:szCs w:val="24"/>
          <w:lang w:val="en-US" w:eastAsia="zh-CN"/>
        </w:rPr>
        <w:t>Robin Haines (USA),</w:t>
      </w:r>
      <w:r w:rsidR="0026766C" w:rsidRPr="00783FA6">
        <w:rPr>
          <w:rFonts w:asciiTheme="majorBidi" w:hAnsiTheme="majorBidi" w:cstheme="majorBidi"/>
          <w:szCs w:val="24"/>
          <w:lang w:val="en-US" w:eastAsia="zh-CN"/>
        </w:rPr>
        <w:br/>
      </w:r>
      <w:hyperlink r:id="rId13" w:history="1">
        <w:r w:rsidR="0026766C" w:rsidRPr="00783FA6">
          <w:rPr>
            <w:rStyle w:val="Hyperlink"/>
            <w:rFonts w:asciiTheme="majorBidi" w:hAnsiTheme="majorBidi" w:cstheme="majorBidi"/>
            <w:szCs w:val="24"/>
            <w:lang w:val="en-US" w:eastAsia="zh-CN"/>
          </w:rPr>
          <w:t>https://extranet.itu.int/</w:t>
        </w:r>
        <w:r w:rsidRPr="00783FA6">
          <w:rPr>
            <w:rStyle w:val="Hyperlink"/>
            <w:rFonts w:asciiTheme="majorBidi" w:hAnsiTheme="majorBidi" w:cstheme="majorBidi"/>
            <w:szCs w:val="24"/>
            <w:lang w:val="en-US" w:eastAsia="zh-CN"/>
          </w:rPr>
          <w:t>ITU</w:t>
        </w:r>
        <w:r w:rsidRPr="00783FA6">
          <w:rPr>
            <w:rStyle w:val="Hyperlink"/>
            <w:rFonts w:asciiTheme="majorBidi" w:hAnsiTheme="majorBidi" w:cstheme="majorBidi"/>
            <w:szCs w:val="24"/>
            <w:lang w:val="en-US" w:eastAsia="zh-CN"/>
          </w:rPr>
          <w:noBreakHyphen/>
        </w:r>
        <w:r w:rsidR="0026766C" w:rsidRPr="00783FA6">
          <w:rPr>
            <w:rStyle w:val="Hyperlink"/>
            <w:rFonts w:asciiTheme="majorBidi" w:hAnsiTheme="majorBidi" w:cstheme="majorBidi"/>
            <w:szCs w:val="24"/>
            <w:lang w:val="en-US" w:eastAsia="zh-CN"/>
          </w:rPr>
          <w:t>r/conferences/rag/cg_resolution_itu_r_1_6/</w:t>
        </w:r>
      </w:hyperlink>
    </w:p>
    <w:p w:rsidR="0026766C" w:rsidRPr="00783FA6" w:rsidRDefault="004A7348" w:rsidP="004A7348">
      <w:pPr>
        <w:pStyle w:val="enumlev1"/>
        <w:rPr>
          <w:rFonts w:asciiTheme="majorBidi" w:hAnsiTheme="majorBidi" w:cstheme="majorBidi"/>
          <w:szCs w:val="24"/>
          <w:lang w:val="en-US" w:eastAsia="zh-CN"/>
        </w:rPr>
      </w:pPr>
      <w:r w:rsidRPr="00783FA6">
        <w:rPr>
          <w:szCs w:val="24"/>
          <w:lang w:val="en-US"/>
        </w:rPr>
        <w:t>•</w:t>
      </w:r>
      <w:r w:rsidRPr="00783FA6">
        <w:rPr>
          <w:szCs w:val="24"/>
          <w:lang w:val="en-US"/>
        </w:rPr>
        <w:tab/>
      </w:r>
      <w:hyperlink r:id="rId14" w:history="1">
        <w:r w:rsidR="0026766C" w:rsidRPr="00783FA6">
          <w:rPr>
            <w:rFonts w:asciiTheme="majorBidi" w:hAnsiTheme="majorBidi" w:cstheme="majorBidi"/>
            <w:color w:val="02274B"/>
            <w:szCs w:val="24"/>
            <w:u w:val="single"/>
            <w:lang w:val="en-US" w:eastAsia="zh-CN"/>
          </w:rPr>
          <w:t xml:space="preserve">Format(s) of </w:t>
        </w:r>
        <w:r w:rsidRPr="00783FA6">
          <w:rPr>
            <w:rFonts w:asciiTheme="majorBidi" w:hAnsiTheme="majorBidi" w:cstheme="majorBidi"/>
            <w:color w:val="02274B"/>
            <w:szCs w:val="24"/>
            <w:u w:val="single"/>
            <w:lang w:val="en-US" w:eastAsia="zh-CN"/>
          </w:rPr>
          <w:t>ITU</w:t>
        </w:r>
        <w:r w:rsidRPr="00783FA6">
          <w:rPr>
            <w:rFonts w:asciiTheme="majorBidi" w:hAnsiTheme="majorBidi" w:cstheme="majorBidi"/>
            <w:color w:val="02274B"/>
            <w:szCs w:val="24"/>
            <w:u w:val="single"/>
            <w:lang w:val="en-US" w:eastAsia="zh-CN"/>
          </w:rPr>
          <w:noBreakHyphen/>
        </w:r>
        <w:r w:rsidR="0026766C" w:rsidRPr="00783FA6">
          <w:rPr>
            <w:rFonts w:asciiTheme="majorBidi" w:hAnsiTheme="majorBidi" w:cstheme="majorBidi"/>
            <w:color w:val="02274B"/>
            <w:szCs w:val="24"/>
            <w:u w:val="single"/>
            <w:lang w:val="en-US" w:eastAsia="zh-CN"/>
          </w:rPr>
          <w:t>R Recommendations</w:t>
        </w:r>
      </w:hyperlink>
      <w:r w:rsidR="0026766C" w:rsidRPr="00783FA6">
        <w:rPr>
          <w:rFonts w:asciiTheme="majorBidi" w:hAnsiTheme="majorBidi" w:cstheme="majorBidi"/>
          <w:szCs w:val="24"/>
          <w:lang w:val="en-US" w:eastAsia="zh-CN"/>
        </w:rPr>
        <w:t xml:space="preserve">, </w:t>
      </w:r>
      <w:r w:rsidR="00783FA6">
        <w:rPr>
          <w:rFonts w:asciiTheme="majorBidi" w:hAnsiTheme="majorBidi" w:cstheme="majorBidi"/>
          <w:szCs w:val="24"/>
          <w:lang w:val="en-US" w:eastAsia="zh-CN"/>
        </w:rPr>
        <w:t>Mr </w:t>
      </w:r>
      <w:r w:rsidR="0026766C" w:rsidRPr="00783FA6">
        <w:rPr>
          <w:rFonts w:asciiTheme="majorBidi" w:hAnsiTheme="majorBidi" w:cstheme="majorBidi"/>
          <w:szCs w:val="24"/>
          <w:lang w:val="en-US" w:eastAsia="zh-CN"/>
        </w:rPr>
        <w:t>Albert Nalbandian (Armenia)</w:t>
      </w:r>
      <w:r w:rsidR="0026766C" w:rsidRPr="00783FA6">
        <w:rPr>
          <w:rFonts w:asciiTheme="majorBidi" w:hAnsiTheme="majorBidi" w:cstheme="majorBidi"/>
          <w:szCs w:val="24"/>
          <w:lang w:val="en-US" w:eastAsia="zh-CN"/>
        </w:rPr>
        <w:br/>
      </w:r>
      <w:hyperlink r:id="rId15" w:history="1">
        <w:r w:rsidR="0026766C" w:rsidRPr="00783FA6">
          <w:rPr>
            <w:rStyle w:val="Hyperlink"/>
            <w:rFonts w:asciiTheme="majorBidi" w:hAnsiTheme="majorBidi" w:cstheme="majorBidi"/>
            <w:szCs w:val="24"/>
            <w:lang w:val="en-US" w:eastAsia="zh-CN"/>
          </w:rPr>
          <w:t>https://extranet.itu.int/</w:t>
        </w:r>
        <w:r w:rsidRPr="00783FA6">
          <w:rPr>
            <w:rStyle w:val="Hyperlink"/>
            <w:rFonts w:asciiTheme="majorBidi" w:hAnsiTheme="majorBidi" w:cstheme="majorBidi"/>
            <w:szCs w:val="24"/>
            <w:lang w:val="en-US" w:eastAsia="zh-CN"/>
          </w:rPr>
          <w:t>ITU</w:t>
        </w:r>
        <w:r w:rsidRPr="00783FA6">
          <w:rPr>
            <w:rStyle w:val="Hyperlink"/>
            <w:rFonts w:asciiTheme="majorBidi" w:hAnsiTheme="majorBidi" w:cstheme="majorBidi"/>
            <w:szCs w:val="24"/>
            <w:lang w:val="en-US" w:eastAsia="zh-CN"/>
          </w:rPr>
          <w:noBreakHyphen/>
        </w:r>
        <w:r w:rsidR="0026766C" w:rsidRPr="00783FA6">
          <w:rPr>
            <w:rStyle w:val="Hyperlink"/>
            <w:rFonts w:asciiTheme="majorBidi" w:hAnsiTheme="majorBidi" w:cstheme="majorBidi"/>
            <w:szCs w:val="24"/>
            <w:lang w:val="en-US" w:eastAsia="zh-CN"/>
          </w:rPr>
          <w:t>r/conferences/rag/cg_format_itu_r_rec/</w:t>
        </w:r>
      </w:hyperlink>
    </w:p>
    <w:p w:rsidR="0026766C" w:rsidRPr="00783FA6" w:rsidRDefault="004A7348" w:rsidP="004A7348">
      <w:pPr>
        <w:pStyle w:val="enumlev1"/>
        <w:rPr>
          <w:rFonts w:asciiTheme="majorBidi" w:hAnsiTheme="majorBidi" w:cstheme="majorBidi"/>
          <w:szCs w:val="24"/>
          <w:lang w:val="en-US" w:eastAsia="zh-CN"/>
        </w:rPr>
      </w:pPr>
      <w:r w:rsidRPr="00783FA6">
        <w:rPr>
          <w:szCs w:val="24"/>
          <w:lang w:val="en-US"/>
        </w:rPr>
        <w:t>•</w:t>
      </w:r>
      <w:r w:rsidRPr="00783FA6">
        <w:rPr>
          <w:szCs w:val="24"/>
          <w:lang w:val="en-US"/>
        </w:rPr>
        <w:tab/>
      </w:r>
      <w:hyperlink r:id="rId16" w:history="1">
        <w:r w:rsidR="0026766C" w:rsidRPr="00783FA6">
          <w:rPr>
            <w:rFonts w:asciiTheme="majorBidi" w:hAnsiTheme="majorBidi" w:cstheme="majorBidi"/>
            <w:color w:val="02274B"/>
            <w:szCs w:val="24"/>
            <w:u w:val="single"/>
            <w:lang w:val="en-US" w:eastAsia="zh-CN"/>
          </w:rPr>
          <w:t xml:space="preserve">Revision of Resolution </w:t>
        </w:r>
        <w:r w:rsidRPr="00783FA6">
          <w:rPr>
            <w:rFonts w:asciiTheme="majorBidi" w:hAnsiTheme="majorBidi" w:cstheme="majorBidi"/>
            <w:color w:val="02274B"/>
            <w:szCs w:val="24"/>
            <w:u w:val="single"/>
            <w:lang w:val="en-US" w:eastAsia="zh-CN"/>
          </w:rPr>
          <w:t>ITU</w:t>
        </w:r>
        <w:r w:rsidRPr="00783FA6">
          <w:rPr>
            <w:rFonts w:asciiTheme="majorBidi" w:hAnsiTheme="majorBidi" w:cstheme="majorBidi"/>
            <w:color w:val="02274B"/>
            <w:szCs w:val="24"/>
            <w:u w:val="single"/>
            <w:lang w:val="en-US" w:eastAsia="zh-CN"/>
          </w:rPr>
          <w:noBreakHyphen/>
        </w:r>
        <w:r w:rsidR="0026766C" w:rsidRPr="00783FA6">
          <w:rPr>
            <w:rFonts w:asciiTheme="majorBidi" w:hAnsiTheme="majorBidi" w:cstheme="majorBidi"/>
            <w:color w:val="02274B"/>
            <w:szCs w:val="24"/>
            <w:u w:val="single"/>
            <w:lang w:val="en-US" w:eastAsia="zh-CN"/>
          </w:rPr>
          <w:t>R 6-1</w:t>
        </w:r>
      </w:hyperlink>
      <w:r w:rsidR="0026766C" w:rsidRPr="00783FA6">
        <w:rPr>
          <w:rFonts w:asciiTheme="majorBidi" w:hAnsiTheme="majorBidi" w:cstheme="majorBidi"/>
          <w:szCs w:val="24"/>
          <w:lang w:val="en-US" w:eastAsia="zh-CN"/>
        </w:rPr>
        <w:t xml:space="preserve">, </w:t>
      </w:r>
      <w:r w:rsidR="00783FA6">
        <w:rPr>
          <w:rFonts w:asciiTheme="majorBidi" w:hAnsiTheme="majorBidi" w:cstheme="majorBidi"/>
          <w:szCs w:val="24"/>
          <w:lang w:val="en-US" w:eastAsia="zh-CN"/>
        </w:rPr>
        <w:t>Mr </w:t>
      </w:r>
      <w:r w:rsidR="0026766C" w:rsidRPr="00783FA6">
        <w:rPr>
          <w:rFonts w:asciiTheme="majorBidi" w:hAnsiTheme="majorBidi" w:cstheme="majorBidi"/>
          <w:szCs w:val="24"/>
          <w:lang w:val="en-US" w:eastAsia="zh-CN"/>
        </w:rPr>
        <w:t>Paolo Zaccarian (Italy)</w:t>
      </w:r>
      <w:r w:rsidR="0026766C" w:rsidRPr="00783FA6">
        <w:rPr>
          <w:rFonts w:asciiTheme="majorBidi" w:hAnsiTheme="majorBidi" w:cstheme="majorBidi"/>
          <w:szCs w:val="24"/>
          <w:lang w:val="en-US" w:eastAsia="zh-CN"/>
        </w:rPr>
        <w:br/>
      </w:r>
      <w:hyperlink r:id="rId17" w:history="1">
        <w:r w:rsidR="0026766C" w:rsidRPr="00783FA6">
          <w:rPr>
            <w:rStyle w:val="Hyperlink"/>
            <w:rFonts w:asciiTheme="majorBidi" w:hAnsiTheme="majorBidi" w:cstheme="majorBidi"/>
            <w:szCs w:val="24"/>
            <w:lang w:val="en-US" w:eastAsia="zh-CN"/>
          </w:rPr>
          <w:t>https://extranet.itu.int/</w:t>
        </w:r>
        <w:r w:rsidRPr="00783FA6">
          <w:rPr>
            <w:rStyle w:val="Hyperlink"/>
            <w:rFonts w:asciiTheme="majorBidi" w:hAnsiTheme="majorBidi" w:cstheme="majorBidi"/>
            <w:szCs w:val="24"/>
            <w:lang w:val="en-US" w:eastAsia="zh-CN"/>
          </w:rPr>
          <w:t>ITU</w:t>
        </w:r>
        <w:r w:rsidRPr="00783FA6">
          <w:rPr>
            <w:rStyle w:val="Hyperlink"/>
            <w:rFonts w:asciiTheme="majorBidi" w:hAnsiTheme="majorBidi" w:cstheme="majorBidi"/>
            <w:szCs w:val="24"/>
            <w:lang w:val="en-US" w:eastAsia="zh-CN"/>
          </w:rPr>
          <w:noBreakHyphen/>
        </w:r>
        <w:r w:rsidR="0026766C" w:rsidRPr="00783FA6">
          <w:rPr>
            <w:rStyle w:val="Hyperlink"/>
            <w:rFonts w:asciiTheme="majorBidi" w:hAnsiTheme="majorBidi" w:cstheme="majorBidi"/>
            <w:szCs w:val="24"/>
            <w:lang w:val="en-US" w:eastAsia="zh-CN"/>
          </w:rPr>
          <w:t>r/conferences/rag/cg_resolution_itu_r_6_1/</w:t>
        </w:r>
      </w:hyperlink>
    </w:p>
    <w:p w:rsidR="0026766C" w:rsidRPr="001D08AC" w:rsidRDefault="0026766C" w:rsidP="004A7348">
      <w:pPr>
        <w:pStyle w:val="Heading2"/>
        <w:rPr>
          <w:lang w:val="en-US"/>
        </w:rPr>
      </w:pPr>
      <w:r w:rsidRPr="001D08AC">
        <w:rPr>
          <w:lang w:val="en-US"/>
        </w:rPr>
        <w:t>3.2</w:t>
      </w:r>
      <w:r w:rsidRPr="001D08AC">
        <w:rPr>
          <w:lang w:val="en-US"/>
        </w:rPr>
        <w:tab/>
        <w:t>Results of WRC-12</w:t>
      </w:r>
    </w:p>
    <w:p w:rsidR="0026766C" w:rsidRPr="001D08AC" w:rsidRDefault="0026766C" w:rsidP="004A7348">
      <w:pPr>
        <w:pStyle w:val="Heading3"/>
        <w:rPr>
          <w:lang w:val="en-US"/>
        </w:rPr>
      </w:pPr>
      <w:r w:rsidRPr="001D08AC">
        <w:rPr>
          <w:lang w:val="en-US"/>
        </w:rPr>
        <w:t>3.2.1</w:t>
      </w:r>
      <w:r w:rsidRPr="001D08AC">
        <w:rPr>
          <w:lang w:val="en-US"/>
        </w:rPr>
        <w:tab/>
        <w:t>Software development to implement decisions of the Conference</w:t>
      </w:r>
    </w:p>
    <w:p w:rsidR="007F20D3" w:rsidRDefault="007F20D3" w:rsidP="007F20D3">
      <w:pPr>
        <w:rPr>
          <w:lang w:val="en-US"/>
        </w:rPr>
      </w:pPr>
      <w:r>
        <w:rPr>
          <w:lang w:val="en-US"/>
        </w:rPr>
        <w:t>BR has pursued software development and implementation to implement WRC-12 decisions. The following table presents a summary of the main tasks under consideration, in line with the discussions held at RAG-2012 on the BR information system.</w:t>
      </w:r>
    </w:p>
    <w:p w:rsidR="004A7348" w:rsidRPr="001D08AC" w:rsidRDefault="004A7348" w:rsidP="004A7348">
      <w:pPr>
        <w:rPr>
          <w:lang w:val="en-US"/>
        </w:rPr>
      </w:pPr>
    </w:p>
    <w:p w:rsidR="0026766C" w:rsidRPr="00783FA6" w:rsidRDefault="004A7348" w:rsidP="004A7348">
      <w:pPr>
        <w:pStyle w:val="Tabletitle"/>
        <w:rPr>
          <w:sz w:val="22"/>
          <w:szCs w:val="22"/>
          <w:lang w:val="en-US"/>
        </w:rPr>
      </w:pPr>
      <w:r w:rsidRPr="00783FA6">
        <w:rPr>
          <w:sz w:val="22"/>
          <w:szCs w:val="22"/>
          <w:lang w:val="en-US"/>
        </w:rPr>
        <w:t>Software development activities to implement WRC-12 decisions</w:t>
      </w:r>
    </w:p>
    <w:tbl>
      <w:tblPr>
        <w:tblStyle w:val="TableGrid"/>
        <w:tblW w:w="0" w:type="auto"/>
        <w:tblInd w:w="392" w:type="dxa"/>
        <w:tblLook w:val="04A0" w:firstRow="1" w:lastRow="0" w:firstColumn="1" w:lastColumn="0" w:noHBand="0" w:noVBand="1"/>
      </w:tblPr>
      <w:tblGrid>
        <w:gridCol w:w="9463"/>
      </w:tblGrid>
      <w:tr w:rsidR="0026766C" w:rsidRPr="001D08AC" w:rsidTr="001D08AC">
        <w:tc>
          <w:tcPr>
            <w:tcW w:w="9463" w:type="dxa"/>
          </w:tcPr>
          <w:p w:rsidR="0026766C" w:rsidRPr="001D08AC" w:rsidRDefault="0026766C" w:rsidP="004A7348">
            <w:pPr>
              <w:pStyle w:val="Tablehead"/>
              <w:rPr>
                <w:lang w:val="en-US"/>
              </w:rPr>
            </w:pPr>
            <w:r w:rsidRPr="001D08AC">
              <w:rPr>
                <w:lang w:val="en-US"/>
              </w:rPr>
              <w:t xml:space="preserve">SNS </w:t>
            </w:r>
            <w:r w:rsidR="004A7348">
              <w:rPr>
                <w:lang w:val="en-US"/>
              </w:rPr>
              <w:t>d</w:t>
            </w:r>
            <w:r w:rsidRPr="001D08AC">
              <w:rPr>
                <w:lang w:val="en-US"/>
              </w:rPr>
              <w:t>atabase changes</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New Appendix 4 data items introduced by WRC-12</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 xml:space="preserve">Addition of tables for Resolution 552 – new due diligence procedure for 21.4-22 GHz </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Addition of data items for Resolution 554 – special procedure for submission of BSS assignments in 21.4-22 GHz</w:t>
            </w:r>
          </w:p>
        </w:tc>
      </w:tr>
      <w:tr w:rsidR="0026766C" w:rsidRPr="001D08AC" w:rsidTr="001D08AC">
        <w:tc>
          <w:tcPr>
            <w:tcW w:w="9463" w:type="dxa"/>
          </w:tcPr>
          <w:p w:rsidR="0026766C" w:rsidRPr="001D08AC" w:rsidRDefault="0026766C" w:rsidP="004A7348">
            <w:pPr>
              <w:pStyle w:val="Tablehead"/>
              <w:rPr>
                <w:lang w:val="en-US"/>
              </w:rPr>
            </w:pPr>
            <w:r w:rsidRPr="001D08AC">
              <w:rPr>
                <w:lang w:val="en-US"/>
              </w:rPr>
              <w:t>Modifications for Resolution 908 – electronic API</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Modifications to tr_aff_ntw table to provide a mandatory list of satellite networks under 9.36.2 and 9.41</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Modification to existing software</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New RS49 capture interface for Resolution 552</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New Resolution 552 publication</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Modifications to technical examination software for Resolution 553</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Modifications to technical examination software for Resolution 554 – Examination tool with new pfd mask inside the coordination arc</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Modifications to findings capture for Resolution 553</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Modifications to SpaceCom for Resolution 553</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Modifications to Batch Findings software to maintain list of satellite networks under 9.36.2 and 9.41</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New CR/F publication for Resolution 553</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lastRenderedPageBreak/>
              <w:t xml:space="preserve">Modification to Spacecap to allow capture 20 points with the service area for Resolution 553 </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New SRSConvert6to7 to convert SNS database</w:t>
            </w:r>
            <w:r w:rsidR="001F434A">
              <w:rPr>
                <w:lang w:val="en-US"/>
              </w:rPr>
              <w:t xml:space="preserve"> </w:t>
            </w:r>
            <w:r w:rsidRPr="001D08AC">
              <w:rPr>
                <w:lang w:val="en-US"/>
              </w:rPr>
              <w:t>V6 to V7</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Modifications to all BR software applications to adapt to the SNS Database V7</w:t>
            </w:r>
          </w:p>
        </w:tc>
      </w:tr>
      <w:tr w:rsidR="0026766C" w:rsidRPr="001D08AC" w:rsidTr="001D08AC">
        <w:tc>
          <w:tcPr>
            <w:tcW w:w="9463" w:type="dxa"/>
          </w:tcPr>
          <w:p w:rsidR="0026766C" w:rsidRPr="001D08AC" w:rsidRDefault="0026766C" w:rsidP="004A7348">
            <w:pPr>
              <w:pStyle w:val="Tablehead"/>
              <w:rPr>
                <w:lang w:val="en-US"/>
              </w:rPr>
            </w:pPr>
            <w:r w:rsidRPr="001D08AC">
              <w:rPr>
                <w:lang w:val="en-US"/>
              </w:rPr>
              <w:t xml:space="preserve">New </w:t>
            </w:r>
            <w:r w:rsidR="004A7348">
              <w:rPr>
                <w:lang w:val="en-US"/>
              </w:rPr>
              <w:t>a</w:t>
            </w:r>
            <w:r w:rsidRPr="001D08AC">
              <w:rPr>
                <w:lang w:val="en-US"/>
              </w:rPr>
              <w:t>pplications</w:t>
            </w:r>
          </w:p>
        </w:tc>
      </w:tr>
      <w:tr w:rsidR="0026766C" w:rsidRPr="001D08AC" w:rsidTr="001D08AC">
        <w:tc>
          <w:tcPr>
            <w:tcW w:w="9463" w:type="dxa"/>
          </w:tcPr>
          <w:p w:rsidR="0026766C" w:rsidRPr="001D08AC" w:rsidRDefault="0026766C" w:rsidP="001B0AD0">
            <w:pPr>
              <w:pStyle w:val="Tabletext"/>
              <w:rPr>
                <w:lang w:val="en-US"/>
              </w:rPr>
            </w:pPr>
            <w:r w:rsidRPr="001D08AC">
              <w:rPr>
                <w:lang w:val="en-US"/>
              </w:rPr>
              <w:t xml:space="preserve">Resolution 907 – develop a new </w:t>
            </w:r>
            <w:r w:rsidR="001F434A">
              <w:rPr>
                <w:lang w:val="en-US"/>
              </w:rPr>
              <w:t>web</w:t>
            </w:r>
            <w:r w:rsidRPr="001D08AC">
              <w:rPr>
                <w:lang w:val="en-US"/>
              </w:rPr>
              <w:t xml:space="preserve"> application which will provide </w:t>
            </w:r>
            <w:r w:rsidR="001B0AD0">
              <w:rPr>
                <w:lang w:val="en-US"/>
              </w:rPr>
              <w:t>a</w:t>
            </w:r>
            <w:r w:rsidRPr="001D08AC">
              <w:rPr>
                <w:lang w:val="en-US"/>
              </w:rPr>
              <w:t>dministration</w:t>
            </w:r>
            <w:r w:rsidR="001B0AD0">
              <w:rPr>
                <w:lang w:val="en-US"/>
              </w:rPr>
              <w:t>s</w:t>
            </w:r>
            <w:r w:rsidRPr="001D08AC">
              <w:rPr>
                <w:lang w:val="en-US"/>
              </w:rPr>
              <w:t xml:space="preserve"> with means to submit correspondence and filings to the BR in a secure environment.</w:t>
            </w:r>
            <w:r w:rsidR="001F434A">
              <w:rPr>
                <w:lang w:val="en-US"/>
              </w:rPr>
              <w:t xml:space="preserve"> </w:t>
            </w:r>
            <w:r w:rsidRPr="001D08AC">
              <w:rPr>
                <w:lang w:val="en-US"/>
              </w:rPr>
              <w:t xml:space="preserve">All correspondence between </w:t>
            </w:r>
            <w:r w:rsidR="001B0AD0">
              <w:rPr>
                <w:lang w:val="en-US"/>
              </w:rPr>
              <w:t>a</w:t>
            </w:r>
            <w:r w:rsidRPr="001D08AC">
              <w:rPr>
                <w:lang w:val="en-US"/>
              </w:rPr>
              <w:t>dministration</w:t>
            </w:r>
            <w:r w:rsidR="001B0AD0">
              <w:rPr>
                <w:lang w:val="en-US"/>
              </w:rPr>
              <w:t>s</w:t>
            </w:r>
            <w:r w:rsidRPr="001D08AC">
              <w:rPr>
                <w:lang w:val="en-US"/>
              </w:rPr>
              <w:t xml:space="preserve"> and BR will be stored in BR Documentum.</w:t>
            </w:r>
          </w:p>
        </w:tc>
      </w:tr>
      <w:tr w:rsidR="0026766C" w:rsidRPr="001D08AC" w:rsidTr="001D08AC">
        <w:tc>
          <w:tcPr>
            <w:tcW w:w="9463" w:type="dxa"/>
          </w:tcPr>
          <w:p w:rsidR="0026766C" w:rsidRPr="001D08AC" w:rsidRDefault="0026766C" w:rsidP="001B0AD0">
            <w:pPr>
              <w:pStyle w:val="Tabletext"/>
              <w:rPr>
                <w:lang w:val="en-US"/>
              </w:rPr>
            </w:pPr>
            <w:r w:rsidRPr="001D08AC">
              <w:rPr>
                <w:lang w:val="en-US"/>
              </w:rPr>
              <w:t xml:space="preserve">Resolution 908 – develop a new </w:t>
            </w:r>
            <w:r w:rsidR="001F434A">
              <w:rPr>
                <w:lang w:val="en-US"/>
              </w:rPr>
              <w:t>web</w:t>
            </w:r>
            <w:r w:rsidRPr="001D08AC">
              <w:rPr>
                <w:lang w:val="en-US"/>
              </w:rPr>
              <w:t xml:space="preserve"> application which will provide </w:t>
            </w:r>
            <w:r w:rsidR="001B0AD0">
              <w:rPr>
                <w:lang w:val="en-US"/>
              </w:rPr>
              <w:t>a</w:t>
            </w:r>
            <w:r w:rsidRPr="001D08AC">
              <w:rPr>
                <w:lang w:val="en-US"/>
              </w:rPr>
              <w:t>dministration</w:t>
            </w:r>
            <w:r w:rsidR="001B0AD0">
              <w:rPr>
                <w:lang w:val="en-US"/>
              </w:rPr>
              <w:t>s</w:t>
            </w:r>
            <w:r w:rsidRPr="001D08AC">
              <w:rPr>
                <w:lang w:val="en-US"/>
              </w:rPr>
              <w:t xml:space="preserve"> with means to capture Advance Publication subject to coordination under Article 9 Sub-Section 1B</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 xml:space="preserve">Resolution 908 – develop a new </w:t>
            </w:r>
            <w:r w:rsidR="001F434A">
              <w:rPr>
                <w:lang w:val="en-US"/>
              </w:rPr>
              <w:t>web</w:t>
            </w:r>
            <w:r w:rsidRPr="001D08AC">
              <w:rPr>
                <w:lang w:val="en-US"/>
              </w:rPr>
              <w:t xml:space="preserve"> application to publish Advance Publication subject to coordination under Article 9 Sub-Section 1B. </w:t>
            </w:r>
          </w:p>
        </w:tc>
      </w:tr>
      <w:tr w:rsidR="0026766C" w:rsidRPr="001D08AC" w:rsidTr="001D08AC">
        <w:tc>
          <w:tcPr>
            <w:tcW w:w="9463" w:type="dxa"/>
          </w:tcPr>
          <w:p w:rsidR="0026766C" w:rsidRPr="001D08AC" w:rsidRDefault="0026766C" w:rsidP="004A7348">
            <w:pPr>
              <w:pStyle w:val="Tabletext"/>
              <w:rPr>
                <w:lang w:val="en-US"/>
              </w:rPr>
            </w:pPr>
            <w:r w:rsidRPr="001D08AC">
              <w:rPr>
                <w:lang w:val="en-US"/>
              </w:rPr>
              <w:t>Resolution 908 – develop an application to manage APIs which will make publications available to the IFIC and SNL.</w:t>
            </w:r>
            <w:r w:rsidR="001F434A">
              <w:rPr>
                <w:lang w:val="en-US"/>
              </w:rPr>
              <w:t xml:space="preserve"> </w:t>
            </w:r>
            <w:r w:rsidRPr="001D08AC">
              <w:rPr>
                <w:lang w:val="en-US"/>
              </w:rPr>
              <w:t>Remove APIs after 2 years when the BR has not received a corresponding CR or notification.</w:t>
            </w:r>
          </w:p>
        </w:tc>
      </w:tr>
    </w:tbl>
    <w:p w:rsidR="0026766C" w:rsidRPr="001D08AC" w:rsidRDefault="0026766C" w:rsidP="004A7348">
      <w:pPr>
        <w:spacing w:before="0"/>
        <w:rPr>
          <w:lang w:val="en-US"/>
        </w:rPr>
      </w:pPr>
    </w:p>
    <w:p w:rsidR="0026766C" w:rsidRPr="001D08AC" w:rsidRDefault="0026766C" w:rsidP="004A7348">
      <w:pPr>
        <w:pStyle w:val="Heading3"/>
        <w:rPr>
          <w:lang w:val="en-US"/>
        </w:rPr>
      </w:pPr>
      <w:r w:rsidRPr="001D08AC">
        <w:rPr>
          <w:lang w:val="en-US"/>
        </w:rPr>
        <w:t>3.2.2 </w:t>
      </w:r>
      <w:r w:rsidR="004A7348">
        <w:rPr>
          <w:lang w:val="en-US"/>
        </w:rPr>
        <w:tab/>
      </w:r>
      <w:r w:rsidRPr="001D08AC">
        <w:rPr>
          <w:lang w:val="en-US"/>
        </w:rPr>
        <w:t>General actions to implement decisions of the Conference</w:t>
      </w:r>
    </w:p>
    <w:p w:rsidR="0026766C" w:rsidRPr="001D08AC" w:rsidRDefault="0026766C" w:rsidP="004A7348">
      <w:pPr>
        <w:rPr>
          <w:lang w:val="en-US"/>
        </w:rPr>
      </w:pPr>
      <w:r w:rsidRPr="001D08AC">
        <w:rPr>
          <w:lang w:val="en-US"/>
        </w:rPr>
        <w:t xml:space="preserve">The following </w:t>
      </w:r>
      <w:hyperlink r:id="rId18" w:history="1">
        <w:r w:rsidRPr="001D08AC">
          <w:rPr>
            <w:rStyle w:val="Hyperlink"/>
            <w:lang w:val="en-US"/>
          </w:rPr>
          <w:t>BR circular-letters</w:t>
        </w:r>
      </w:hyperlink>
      <w:r w:rsidRPr="001D08AC">
        <w:rPr>
          <w:lang w:val="en-US"/>
        </w:rPr>
        <w:t xml:space="preserve"> contain information related to actions to implement decisions of WRC-12:</w:t>
      </w:r>
    </w:p>
    <w:p w:rsidR="0026766C" w:rsidRPr="001D08AC" w:rsidRDefault="0026766C" w:rsidP="004A7348">
      <w:pPr>
        <w:spacing w:before="0"/>
        <w:rPr>
          <w:lang w:val="en-US"/>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18"/>
        <w:gridCol w:w="6378"/>
      </w:tblGrid>
      <w:tr w:rsidR="0026766C" w:rsidRPr="001D08AC" w:rsidTr="001B0AD0">
        <w:tc>
          <w:tcPr>
            <w:tcW w:w="1559" w:type="dxa"/>
            <w:tcMar>
              <w:top w:w="140" w:type="nil"/>
              <w:right w:w="140" w:type="nil"/>
            </w:tcMar>
          </w:tcPr>
          <w:p w:rsidR="0026766C" w:rsidRPr="001D08AC" w:rsidRDefault="0026766C" w:rsidP="004A7348">
            <w:pPr>
              <w:pStyle w:val="Tablehead"/>
              <w:rPr>
                <w:lang w:val="en-US"/>
              </w:rPr>
            </w:pPr>
            <w:r w:rsidRPr="001D08AC">
              <w:rPr>
                <w:lang w:val="en-US"/>
              </w:rPr>
              <w:t> BR Circular</w:t>
            </w:r>
          </w:p>
        </w:tc>
        <w:tc>
          <w:tcPr>
            <w:tcW w:w="1418" w:type="dxa"/>
            <w:tcMar>
              <w:top w:w="140" w:type="nil"/>
              <w:right w:w="140" w:type="nil"/>
            </w:tcMar>
          </w:tcPr>
          <w:p w:rsidR="0026766C" w:rsidRPr="001D08AC" w:rsidRDefault="0026766C" w:rsidP="004A7348">
            <w:pPr>
              <w:pStyle w:val="Tablehead"/>
              <w:rPr>
                <w:lang w:val="en-US"/>
              </w:rPr>
            </w:pPr>
            <w:r w:rsidRPr="001D08AC">
              <w:rPr>
                <w:lang w:val="en-US"/>
              </w:rPr>
              <w:t>Date</w:t>
            </w:r>
          </w:p>
        </w:tc>
        <w:tc>
          <w:tcPr>
            <w:tcW w:w="6378" w:type="dxa"/>
            <w:tcMar>
              <w:top w:w="140" w:type="nil"/>
              <w:right w:w="140" w:type="nil"/>
            </w:tcMar>
          </w:tcPr>
          <w:p w:rsidR="0026766C" w:rsidRPr="001D08AC" w:rsidRDefault="0026766C" w:rsidP="004A7348">
            <w:pPr>
              <w:pStyle w:val="Tablehead"/>
              <w:rPr>
                <w:lang w:val="en-US"/>
              </w:rPr>
            </w:pPr>
            <w:r w:rsidRPr="001D08AC">
              <w:rPr>
                <w:lang w:val="en-US"/>
              </w:rPr>
              <w:t>Subject</w:t>
            </w:r>
          </w:p>
        </w:tc>
      </w:tr>
      <w:tr w:rsidR="0026766C" w:rsidRPr="001D08AC" w:rsidTr="001B0AD0">
        <w:tc>
          <w:tcPr>
            <w:tcW w:w="1559" w:type="dxa"/>
            <w:tcMar>
              <w:top w:w="140" w:type="nil"/>
              <w:right w:w="140" w:type="nil"/>
            </w:tcMar>
          </w:tcPr>
          <w:p w:rsidR="0026766C" w:rsidRPr="001D08AC" w:rsidRDefault="0026766C" w:rsidP="004A7348">
            <w:pPr>
              <w:pStyle w:val="Tabletext"/>
              <w:rPr>
                <w:lang w:val="en-US"/>
              </w:rPr>
            </w:pPr>
            <w:r w:rsidRPr="001D08AC">
              <w:rPr>
                <w:lang w:val="en-US"/>
              </w:rPr>
              <w:t>CR/331</w:t>
            </w:r>
          </w:p>
        </w:tc>
        <w:tc>
          <w:tcPr>
            <w:tcW w:w="1418" w:type="dxa"/>
            <w:tcMar>
              <w:top w:w="140" w:type="nil"/>
              <w:right w:w="140" w:type="nil"/>
            </w:tcMar>
          </w:tcPr>
          <w:p w:rsidR="0026766C" w:rsidRPr="001D08AC" w:rsidRDefault="0026766C" w:rsidP="004A7348">
            <w:pPr>
              <w:pStyle w:val="Tabletext"/>
              <w:rPr>
                <w:lang w:val="en-US"/>
              </w:rPr>
            </w:pPr>
            <w:r w:rsidRPr="001D08AC">
              <w:rPr>
                <w:lang w:val="en-US"/>
              </w:rPr>
              <w:t>16.3.2012</w:t>
            </w:r>
          </w:p>
        </w:tc>
        <w:tc>
          <w:tcPr>
            <w:tcW w:w="6378" w:type="dxa"/>
            <w:tcMar>
              <w:top w:w="140" w:type="nil"/>
              <w:right w:w="140" w:type="nil"/>
            </w:tcMar>
          </w:tcPr>
          <w:p w:rsidR="0026766C" w:rsidRPr="001D08AC" w:rsidRDefault="0026766C" w:rsidP="004A7348">
            <w:pPr>
              <w:pStyle w:val="Tabletext"/>
              <w:rPr>
                <w:lang w:val="en-US"/>
              </w:rPr>
            </w:pPr>
            <w:r w:rsidRPr="001D08AC">
              <w:rPr>
                <w:lang w:val="en-US"/>
              </w:rPr>
              <w:t>Implementation of Resolution 555 (WRC-12)</w:t>
            </w:r>
          </w:p>
        </w:tc>
      </w:tr>
      <w:tr w:rsidR="0026766C" w:rsidRPr="001D08AC" w:rsidTr="001B0AD0">
        <w:tc>
          <w:tcPr>
            <w:tcW w:w="1559" w:type="dxa"/>
            <w:tcMar>
              <w:top w:w="140" w:type="nil"/>
              <w:right w:w="140" w:type="nil"/>
            </w:tcMar>
          </w:tcPr>
          <w:p w:rsidR="0026766C" w:rsidRPr="001D08AC" w:rsidRDefault="0026766C" w:rsidP="004A7348">
            <w:pPr>
              <w:pStyle w:val="Tabletext"/>
              <w:rPr>
                <w:lang w:val="en-US"/>
              </w:rPr>
            </w:pPr>
            <w:r w:rsidRPr="001D08AC">
              <w:rPr>
                <w:lang w:val="en-US"/>
              </w:rPr>
              <w:t>CR/333</w:t>
            </w:r>
          </w:p>
        </w:tc>
        <w:tc>
          <w:tcPr>
            <w:tcW w:w="1418" w:type="dxa"/>
            <w:tcMar>
              <w:top w:w="140" w:type="nil"/>
              <w:right w:w="140" w:type="nil"/>
            </w:tcMar>
          </w:tcPr>
          <w:p w:rsidR="0026766C" w:rsidRPr="001D08AC" w:rsidRDefault="0026766C" w:rsidP="004A7348">
            <w:pPr>
              <w:pStyle w:val="Tabletext"/>
              <w:rPr>
                <w:lang w:val="en-US"/>
              </w:rPr>
            </w:pPr>
            <w:r w:rsidRPr="001D08AC">
              <w:rPr>
                <w:lang w:val="en-US"/>
              </w:rPr>
              <w:t>01.05.2012</w:t>
            </w:r>
          </w:p>
        </w:tc>
        <w:tc>
          <w:tcPr>
            <w:tcW w:w="6378" w:type="dxa"/>
            <w:tcMar>
              <w:top w:w="140" w:type="nil"/>
              <w:right w:w="140" w:type="nil"/>
            </w:tcMar>
          </w:tcPr>
          <w:p w:rsidR="0026766C" w:rsidRPr="001D08AC" w:rsidRDefault="0026766C" w:rsidP="004A7348">
            <w:pPr>
              <w:pStyle w:val="Tabletext"/>
              <w:rPr>
                <w:lang w:val="en-US"/>
              </w:rPr>
            </w:pPr>
            <w:r w:rsidRPr="001D08AC">
              <w:rPr>
                <w:lang w:val="en-US"/>
              </w:rPr>
              <w:t>WRC-12 decisions included in the minutes of plenary meeting relating to space services procedures</w:t>
            </w:r>
          </w:p>
        </w:tc>
      </w:tr>
      <w:tr w:rsidR="0026766C" w:rsidRPr="001D08AC" w:rsidTr="001B0AD0">
        <w:tc>
          <w:tcPr>
            <w:tcW w:w="1559" w:type="dxa"/>
            <w:tcMar>
              <w:top w:w="140" w:type="nil"/>
              <w:right w:w="140" w:type="nil"/>
            </w:tcMar>
          </w:tcPr>
          <w:p w:rsidR="0026766C" w:rsidRPr="001D08AC" w:rsidRDefault="0026766C" w:rsidP="004A7348">
            <w:pPr>
              <w:pStyle w:val="Tabletext"/>
              <w:rPr>
                <w:lang w:val="en-US"/>
              </w:rPr>
            </w:pPr>
            <w:r w:rsidRPr="001D08AC">
              <w:rPr>
                <w:lang w:val="en-US"/>
              </w:rPr>
              <w:t>CR/334</w:t>
            </w:r>
          </w:p>
        </w:tc>
        <w:tc>
          <w:tcPr>
            <w:tcW w:w="1418" w:type="dxa"/>
            <w:tcMar>
              <w:top w:w="140" w:type="nil"/>
              <w:right w:w="140" w:type="nil"/>
            </w:tcMar>
          </w:tcPr>
          <w:p w:rsidR="0026766C" w:rsidRPr="001D08AC" w:rsidRDefault="0026766C" w:rsidP="004A7348">
            <w:pPr>
              <w:pStyle w:val="Tabletext"/>
              <w:rPr>
                <w:lang w:val="en-US"/>
              </w:rPr>
            </w:pPr>
            <w:r w:rsidRPr="001D08AC">
              <w:rPr>
                <w:lang w:val="en-US"/>
              </w:rPr>
              <w:t>08.05.2012</w:t>
            </w:r>
          </w:p>
        </w:tc>
        <w:tc>
          <w:tcPr>
            <w:tcW w:w="6378" w:type="dxa"/>
            <w:tcMar>
              <w:top w:w="140" w:type="nil"/>
              <w:right w:w="140" w:type="nil"/>
            </w:tcMar>
          </w:tcPr>
          <w:p w:rsidR="0026766C" w:rsidRPr="001D08AC" w:rsidRDefault="0026766C" w:rsidP="004A7348">
            <w:pPr>
              <w:pStyle w:val="Tabletext"/>
              <w:rPr>
                <w:lang w:val="en-US"/>
              </w:rPr>
            </w:pPr>
            <w:r w:rsidRPr="001D08AC">
              <w:rPr>
                <w:lang w:val="en-US"/>
              </w:rPr>
              <w:t xml:space="preserve">Implementation of Resolution 755 (WRC-12) of the World Radiocommunication Conference, Geneva, 2012 (WRC-12) </w:t>
            </w:r>
          </w:p>
        </w:tc>
      </w:tr>
      <w:tr w:rsidR="0026766C" w:rsidRPr="001D08AC" w:rsidTr="001B0AD0">
        <w:tc>
          <w:tcPr>
            <w:tcW w:w="1559" w:type="dxa"/>
            <w:tcMar>
              <w:top w:w="140" w:type="nil"/>
              <w:right w:w="140" w:type="nil"/>
            </w:tcMar>
          </w:tcPr>
          <w:p w:rsidR="0026766C" w:rsidRPr="001D08AC" w:rsidRDefault="0026766C" w:rsidP="004A7348">
            <w:pPr>
              <w:pStyle w:val="Tabletext"/>
              <w:rPr>
                <w:lang w:val="en-US"/>
              </w:rPr>
            </w:pPr>
            <w:r w:rsidRPr="001D08AC">
              <w:rPr>
                <w:lang w:val="en-US"/>
              </w:rPr>
              <w:t>CR/336</w:t>
            </w:r>
          </w:p>
        </w:tc>
        <w:tc>
          <w:tcPr>
            <w:tcW w:w="1418" w:type="dxa"/>
            <w:tcMar>
              <w:top w:w="140" w:type="nil"/>
              <w:right w:w="140" w:type="nil"/>
            </w:tcMar>
          </w:tcPr>
          <w:p w:rsidR="0026766C" w:rsidRPr="001D08AC" w:rsidRDefault="0026766C" w:rsidP="004A7348">
            <w:pPr>
              <w:pStyle w:val="Tabletext"/>
              <w:rPr>
                <w:lang w:val="en-US"/>
              </w:rPr>
            </w:pPr>
            <w:r w:rsidRPr="001D08AC">
              <w:rPr>
                <w:lang w:val="en-US"/>
              </w:rPr>
              <w:t>06.07.2012</w:t>
            </w:r>
          </w:p>
        </w:tc>
        <w:tc>
          <w:tcPr>
            <w:tcW w:w="6378" w:type="dxa"/>
            <w:tcMar>
              <w:top w:w="140" w:type="nil"/>
              <w:right w:w="140" w:type="nil"/>
            </w:tcMar>
          </w:tcPr>
          <w:p w:rsidR="0026766C" w:rsidRPr="001D08AC" w:rsidRDefault="0026766C" w:rsidP="004A7348">
            <w:pPr>
              <w:pStyle w:val="Tabletext"/>
              <w:rPr>
                <w:lang w:val="en-US"/>
              </w:rPr>
            </w:pPr>
            <w:r w:rsidRPr="001D08AC">
              <w:rPr>
                <w:lang w:val="en-US"/>
              </w:rPr>
              <w:t>Implementation of decisions of the World Radiocommunication Conference, Geneva, 2012 (WRC-12) and associated transitional arrangements that entered into force on 18 February 2012</w:t>
            </w:r>
          </w:p>
        </w:tc>
      </w:tr>
      <w:tr w:rsidR="0026766C" w:rsidRPr="001D08AC" w:rsidTr="001B0AD0">
        <w:tc>
          <w:tcPr>
            <w:tcW w:w="1559" w:type="dxa"/>
            <w:tcMar>
              <w:top w:w="140" w:type="nil"/>
              <w:right w:w="140" w:type="nil"/>
            </w:tcMar>
          </w:tcPr>
          <w:p w:rsidR="0026766C" w:rsidRPr="001D08AC" w:rsidRDefault="0026766C" w:rsidP="004A7348">
            <w:pPr>
              <w:pStyle w:val="Tabletext"/>
              <w:rPr>
                <w:lang w:val="en-US"/>
              </w:rPr>
            </w:pPr>
            <w:r w:rsidRPr="001D08AC">
              <w:rPr>
                <w:lang w:val="en-US"/>
              </w:rPr>
              <w:t>CR/338</w:t>
            </w:r>
          </w:p>
        </w:tc>
        <w:tc>
          <w:tcPr>
            <w:tcW w:w="1418" w:type="dxa"/>
            <w:tcMar>
              <w:top w:w="140" w:type="nil"/>
              <w:right w:w="140" w:type="nil"/>
            </w:tcMar>
          </w:tcPr>
          <w:p w:rsidR="0026766C" w:rsidRPr="001D08AC" w:rsidRDefault="0026766C" w:rsidP="004A7348">
            <w:pPr>
              <w:pStyle w:val="Tabletext"/>
              <w:rPr>
                <w:lang w:val="en-US"/>
              </w:rPr>
            </w:pPr>
            <w:r w:rsidRPr="001D08AC">
              <w:rPr>
                <w:lang w:val="en-US"/>
              </w:rPr>
              <w:t>22.10.2012</w:t>
            </w:r>
          </w:p>
        </w:tc>
        <w:tc>
          <w:tcPr>
            <w:tcW w:w="6378" w:type="dxa"/>
            <w:tcMar>
              <w:top w:w="140" w:type="nil"/>
              <w:right w:w="140" w:type="nil"/>
            </w:tcMar>
          </w:tcPr>
          <w:p w:rsidR="0026766C" w:rsidRPr="001D08AC" w:rsidRDefault="0026766C" w:rsidP="004A7348">
            <w:pPr>
              <w:pStyle w:val="Tabletext"/>
              <w:rPr>
                <w:lang w:val="en-US"/>
              </w:rPr>
            </w:pPr>
            <w:r w:rsidRPr="001D08AC">
              <w:rPr>
                <w:szCs w:val="24"/>
                <w:lang w:val="en-US" w:eastAsia="zh-CN"/>
              </w:rPr>
              <w:t>Submission of Appendix 4 information for space services to the</w:t>
            </w:r>
            <w:r w:rsidR="004A7348">
              <w:rPr>
                <w:szCs w:val="24"/>
                <w:lang w:val="en-US" w:eastAsia="zh-CN"/>
              </w:rPr>
              <w:t xml:space="preserve"> </w:t>
            </w:r>
            <w:r w:rsidRPr="001D08AC">
              <w:rPr>
                <w:szCs w:val="24"/>
                <w:lang w:val="en-US" w:eastAsia="zh-CN"/>
              </w:rPr>
              <w:t>Radiocommunication Bureau and the update of related BR space software and databases</w:t>
            </w:r>
          </w:p>
        </w:tc>
      </w:tr>
      <w:tr w:rsidR="0026766C" w:rsidRPr="001D08AC" w:rsidTr="001B0AD0">
        <w:tc>
          <w:tcPr>
            <w:tcW w:w="1559" w:type="dxa"/>
            <w:tcMar>
              <w:top w:w="140" w:type="nil"/>
              <w:right w:w="140" w:type="nil"/>
            </w:tcMar>
          </w:tcPr>
          <w:p w:rsidR="0026766C" w:rsidRPr="001D08AC" w:rsidRDefault="0026766C" w:rsidP="004A7348">
            <w:pPr>
              <w:pStyle w:val="Tabletext"/>
              <w:rPr>
                <w:lang w:val="en-US"/>
              </w:rPr>
            </w:pPr>
            <w:r w:rsidRPr="001D08AC">
              <w:rPr>
                <w:lang w:val="en-US"/>
              </w:rPr>
              <w:t>CR/343</w:t>
            </w:r>
          </w:p>
        </w:tc>
        <w:tc>
          <w:tcPr>
            <w:tcW w:w="1418" w:type="dxa"/>
            <w:tcMar>
              <w:top w:w="140" w:type="nil"/>
              <w:right w:w="140" w:type="nil"/>
            </w:tcMar>
          </w:tcPr>
          <w:p w:rsidR="0026766C" w:rsidRPr="001D08AC" w:rsidRDefault="0026766C" w:rsidP="004A7348">
            <w:pPr>
              <w:pStyle w:val="Tabletext"/>
              <w:rPr>
                <w:lang w:val="en-US"/>
              </w:rPr>
            </w:pPr>
            <w:r w:rsidRPr="001D08AC">
              <w:rPr>
                <w:lang w:val="en-US"/>
              </w:rPr>
              <w:t>17.01.2013</w:t>
            </w:r>
          </w:p>
        </w:tc>
        <w:tc>
          <w:tcPr>
            <w:tcW w:w="6378" w:type="dxa"/>
            <w:tcMar>
              <w:top w:w="140" w:type="nil"/>
              <w:right w:w="140" w:type="nil"/>
            </w:tcMar>
          </w:tcPr>
          <w:p w:rsidR="0026766C" w:rsidRPr="001B0AD0" w:rsidRDefault="0026766C" w:rsidP="004A7348">
            <w:pPr>
              <w:pStyle w:val="Tabletext"/>
              <w:rPr>
                <w:b/>
                <w:bCs/>
                <w:lang w:val="en-US"/>
              </w:rPr>
            </w:pPr>
            <w:r w:rsidRPr="001B0AD0">
              <w:rPr>
                <w:rStyle w:val="Strong"/>
                <w:b w:val="0"/>
                <w:bCs w:val="0"/>
                <w:lang w:val="en-US"/>
              </w:rPr>
              <w:t>Implementation of provisions relating to the bringing into use and suspension of a frequency assignment to a space station in the geostationary-satellite orbit</w:t>
            </w:r>
          </w:p>
        </w:tc>
      </w:tr>
    </w:tbl>
    <w:p w:rsidR="004A7348" w:rsidRDefault="004A7348" w:rsidP="004A7348">
      <w:pPr>
        <w:spacing w:before="0"/>
        <w:rPr>
          <w:lang w:val="en-US"/>
        </w:rPr>
      </w:pPr>
    </w:p>
    <w:p w:rsidR="0026766C" w:rsidRPr="001D08AC" w:rsidRDefault="0026766C" w:rsidP="00DF21CD">
      <w:pPr>
        <w:rPr>
          <w:lang w:val="en-US"/>
        </w:rPr>
      </w:pPr>
      <w:r w:rsidRPr="001D08AC">
        <w:rPr>
          <w:lang w:val="en-US"/>
        </w:rPr>
        <w:t>The Bureau analy</w:t>
      </w:r>
      <w:r w:rsidR="004A7348">
        <w:rPr>
          <w:lang w:val="en-US"/>
        </w:rPr>
        <w:t>s</w:t>
      </w:r>
      <w:r w:rsidRPr="001D08AC">
        <w:rPr>
          <w:lang w:val="en-US"/>
        </w:rPr>
        <w:t xml:space="preserve">ed the decisions of the WRC-12 and their impact on the current Rules of Procedure and submitted proposals to </w:t>
      </w:r>
      <w:r w:rsidRPr="001D08AC">
        <w:rPr>
          <w:rFonts w:ascii="TimesNewRoman" w:hAnsi="TimesNewRoman" w:cs="TimesNewRoman"/>
          <w:szCs w:val="24"/>
          <w:lang w:val="en-US" w:eastAsia="zh-CN"/>
        </w:rPr>
        <w:t>the Radio Regulations Board (RRB)</w:t>
      </w:r>
      <w:r w:rsidRPr="001D08AC">
        <w:rPr>
          <w:lang w:val="en-US"/>
        </w:rPr>
        <w:t xml:space="preserve">. </w:t>
      </w:r>
      <w:r w:rsidRPr="001D08AC">
        <w:rPr>
          <w:rFonts w:ascii="TimesNewRoman" w:hAnsi="TimesNewRoman" w:cs="TimesNewRoman"/>
          <w:szCs w:val="24"/>
          <w:lang w:val="en-US" w:eastAsia="zh-CN"/>
        </w:rPr>
        <w:t>Pursuant to the provisions of Nos. 13.12 and 13.14 of the Radio Regulations, the RRB at its 60th meeting (10</w:t>
      </w:r>
      <w:r w:rsidR="00DF21CD">
        <w:rPr>
          <w:rFonts w:ascii="TimesNewRoman" w:hAnsi="TimesNewRoman" w:cs="TimesNewRoman"/>
          <w:szCs w:val="24"/>
          <w:lang w:val="en-US" w:eastAsia="zh-CN"/>
        </w:rPr>
        <w:noBreakHyphen/>
      </w:r>
      <w:r w:rsidRPr="001D08AC">
        <w:rPr>
          <w:rFonts w:ascii="TimesNewRoman" w:hAnsi="TimesNewRoman" w:cs="TimesNewRoman"/>
          <w:szCs w:val="24"/>
          <w:lang w:val="en-US" w:eastAsia="zh-CN"/>
        </w:rPr>
        <w:t>14</w:t>
      </w:r>
      <w:r w:rsidR="00DF21CD">
        <w:rPr>
          <w:rFonts w:ascii="TimesNewRoman" w:hAnsi="TimesNewRoman" w:cs="TimesNewRoman"/>
          <w:szCs w:val="24"/>
          <w:lang w:val="en-US" w:eastAsia="zh-CN"/>
        </w:rPr>
        <w:t> </w:t>
      </w:r>
      <w:r w:rsidRPr="001D08AC">
        <w:rPr>
          <w:rFonts w:ascii="TimesNewRoman" w:hAnsi="TimesNewRoman" w:cs="TimesNewRoman"/>
          <w:szCs w:val="24"/>
          <w:lang w:val="en-US" w:eastAsia="zh-CN"/>
        </w:rPr>
        <w:t>September 2012) approved new or modified Rules of Procedure as contained in circular letter CR/339 of 22.10.2012.</w:t>
      </w:r>
      <w:r w:rsidRPr="001D08AC">
        <w:rPr>
          <w:lang w:val="en-US"/>
        </w:rPr>
        <w:t xml:space="preserve"> </w:t>
      </w:r>
    </w:p>
    <w:p w:rsidR="0026766C" w:rsidRPr="001D08AC" w:rsidRDefault="0026766C" w:rsidP="004A7348">
      <w:pPr>
        <w:rPr>
          <w:lang w:val="en-US"/>
        </w:rPr>
      </w:pPr>
      <w:r w:rsidRPr="001D08AC">
        <w:rPr>
          <w:rFonts w:ascii="TimesNewRoman" w:hAnsi="TimesNewRoman" w:cs="TimesNewRoman"/>
          <w:szCs w:val="24"/>
          <w:lang w:val="en-US" w:eastAsia="zh-CN"/>
        </w:rPr>
        <w:t>Following WRC-12, a 2012 edition of the Rules of Procedure has been published. The new edition incorporates all revisions up to and including the approved Rules listed in the annexes to circular letter CR/329 of 5 January 2012.</w:t>
      </w:r>
    </w:p>
    <w:p w:rsidR="0026766C" w:rsidRPr="001D08AC" w:rsidRDefault="0026766C" w:rsidP="00DF21CD">
      <w:pPr>
        <w:pStyle w:val="Heading1"/>
        <w:rPr>
          <w:lang w:val="en-US"/>
        </w:rPr>
      </w:pPr>
      <w:r w:rsidRPr="001D08AC">
        <w:rPr>
          <w:rFonts w:eastAsia="SimSun"/>
          <w:lang w:val="en-US" w:eastAsia="zh-CN"/>
        </w:rPr>
        <w:lastRenderedPageBreak/>
        <w:t>4</w:t>
      </w:r>
      <w:r w:rsidRPr="001D08AC">
        <w:rPr>
          <w:rFonts w:eastAsia="SimSun"/>
          <w:lang w:val="en-US" w:eastAsia="zh-CN"/>
        </w:rPr>
        <w:tab/>
        <w:t xml:space="preserve">Study </w:t>
      </w:r>
      <w:r w:rsidR="00DF21CD">
        <w:rPr>
          <w:rFonts w:eastAsia="SimSun"/>
          <w:lang w:val="en-US" w:eastAsia="zh-CN"/>
        </w:rPr>
        <w:t>g</w:t>
      </w:r>
      <w:r w:rsidRPr="001D08AC">
        <w:rPr>
          <w:rFonts w:eastAsia="SimSun"/>
          <w:lang w:val="en-US" w:eastAsia="zh-CN"/>
        </w:rPr>
        <w:t>roup activities</w:t>
      </w:r>
    </w:p>
    <w:p w:rsidR="0026766C" w:rsidRPr="001D08AC" w:rsidRDefault="0026766C" w:rsidP="004A7348">
      <w:pPr>
        <w:rPr>
          <w:lang w:val="en-US"/>
        </w:rPr>
      </w:pPr>
      <w:r w:rsidRPr="001D08AC">
        <w:rPr>
          <w:lang w:val="en-US"/>
        </w:rPr>
        <w:t>This topic is presented in an addendum to this document.</w:t>
      </w:r>
    </w:p>
    <w:p w:rsidR="0026766C" w:rsidRPr="001D08AC" w:rsidRDefault="0026766C" w:rsidP="004A7348">
      <w:pPr>
        <w:pStyle w:val="Heading2"/>
        <w:rPr>
          <w:rFonts w:eastAsiaTheme="minorEastAsia"/>
          <w:lang w:val="en-US"/>
        </w:rPr>
      </w:pPr>
      <w:r w:rsidRPr="001D08AC">
        <w:rPr>
          <w:rFonts w:eastAsiaTheme="minorEastAsia"/>
          <w:lang w:val="en-US"/>
        </w:rPr>
        <w:t>4.1</w:t>
      </w:r>
      <w:r w:rsidRPr="001D08AC">
        <w:rPr>
          <w:rFonts w:eastAsiaTheme="minorEastAsia"/>
          <w:lang w:val="en-US"/>
        </w:rPr>
        <w:tab/>
        <w:t xml:space="preserve">Results of WTSA-12 of direct interest to </w:t>
      </w:r>
      <w:r w:rsidR="004A7348">
        <w:rPr>
          <w:rFonts w:eastAsiaTheme="minorEastAsia"/>
          <w:lang w:val="en-US"/>
        </w:rPr>
        <w:t>ITU</w:t>
      </w:r>
      <w:r w:rsidR="004A7348">
        <w:rPr>
          <w:rFonts w:eastAsiaTheme="minorEastAsia"/>
          <w:lang w:val="en-US"/>
        </w:rPr>
        <w:noBreakHyphen/>
      </w:r>
      <w:r w:rsidRPr="001D08AC">
        <w:rPr>
          <w:rFonts w:eastAsiaTheme="minorEastAsia"/>
          <w:lang w:val="en-US"/>
        </w:rPr>
        <w:t>R</w:t>
      </w:r>
    </w:p>
    <w:p w:rsidR="0026766C" w:rsidRPr="001D08AC" w:rsidRDefault="0026766C" w:rsidP="004A7348">
      <w:pPr>
        <w:rPr>
          <w:rFonts w:eastAsiaTheme="minorEastAsia"/>
          <w:lang w:val="en-US"/>
        </w:rPr>
      </w:pPr>
      <w:r w:rsidRPr="001D08AC">
        <w:rPr>
          <w:rFonts w:eastAsiaTheme="minorEastAsia"/>
          <w:lang w:val="en-US"/>
        </w:rPr>
        <w:t>This section describes some decisions of the 2012 World Telecommunication Standardization Assembly (</w:t>
      </w:r>
      <w:hyperlink r:id="rId19" w:history="1">
        <w:r w:rsidRPr="001D08AC">
          <w:rPr>
            <w:rStyle w:val="Hyperlink"/>
            <w:rFonts w:eastAsiaTheme="minorEastAsia"/>
            <w:lang w:val="en-US"/>
          </w:rPr>
          <w:t>WTSA-12</w:t>
        </w:r>
      </w:hyperlink>
      <w:r w:rsidRPr="001D08AC">
        <w:rPr>
          <w:rFonts w:eastAsiaTheme="minorEastAsia"/>
          <w:lang w:val="en-US"/>
        </w:rPr>
        <w:t xml:space="preserve">) which are relevant to the work of </w:t>
      </w:r>
      <w:r w:rsidR="004A7348">
        <w:rPr>
          <w:rFonts w:eastAsiaTheme="minorEastAsia"/>
          <w:lang w:val="en-US"/>
        </w:rPr>
        <w:t>ITU</w:t>
      </w:r>
      <w:r w:rsidR="004A7348">
        <w:rPr>
          <w:rFonts w:eastAsiaTheme="minorEastAsia"/>
          <w:lang w:val="en-US"/>
        </w:rPr>
        <w:noBreakHyphen/>
      </w:r>
      <w:r w:rsidRPr="001D08AC">
        <w:rPr>
          <w:rFonts w:eastAsiaTheme="minorEastAsia"/>
          <w:lang w:val="en-US"/>
        </w:rPr>
        <w:t>R. A more comprehensive briefing is planned to be provided by TSB during the RAG meeting.</w:t>
      </w:r>
    </w:p>
    <w:p w:rsidR="0026766C" w:rsidRPr="001D08AC" w:rsidRDefault="0026766C" w:rsidP="00DF21CD">
      <w:pPr>
        <w:rPr>
          <w:szCs w:val="24"/>
          <w:lang w:val="en-US"/>
        </w:rPr>
      </w:pPr>
      <w:r w:rsidRPr="001D08AC">
        <w:rPr>
          <w:rFonts w:eastAsiaTheme="minorEastAsia"/>
          <w:lang w:val="en-US"/>
        </w:rPr>
        <w:t>Resolution 18 (</w:t>
      </w:r>
      <w:r w:rsidRPr="001D08AC">
        <w:rPr>
          <w:lang w:val="en-US"/>
        </w:rPr>
        <w:t xml:space="preserve">Principles and procedures for the allocation of work to, and coordination between, </w:t>
      </w:r>
      <w:r w:rsidR="004A7348">
        <w:rPr>
          <w:lang w:val="en-US"/>
        </w:rPr>
        <w:t>ITU</w:t>
      </w:r>
      <w:r w:rsidR="004A7348">
        <w:rPr>
          <w:lang w:val="en-US"/>
        </w:rPr>
        <w:noBreakHyphen/>
      </w:r>
      <w:r w:rsidRPr="001D08AC">
        <w:rPr>
          <w:lang w:val="en-US"/>
        </w:rPr>
        <w:t xml:space="preserve">R and </w:t>
      </w:r>
      <w:r w:rsidR="004A7348">
        <w:rPr>
          <w:lang w:val="en-US"/>
        </w:rPr>
        <w:t>ITU</w:t>
      </w:r>
      <w:r w:rsidR="004A7348">
        <w:rPr>
          <w:lang w:val="en-US"/>
        </w:rPr>
        <w:noBreakHyphen/>
      </w:r>
      <w:r w:rsidRPr="001D08AC">
        <w:rPr>
          <w:lang w:val="en-US"/>
        </w:rPr>
        <w:t>T</w:t>
      </w:r>
      <w:r w:rsidRPr="001D08AC">
        <w:rPr>
          <w:rFonts w:eastAsiaTheme="minorEastAsia"/>
          <w:lang w:val="en-US"/>
        </w:rPr>
        <w:t xml:space="preserve">): contain </w:t>
      </w:r>
      <w:r w:rsidRPr="001D08AC">
        <w:rPr>
          <w:lang w:val="en-US"/>
        </w:rPr>
        <w:t xml:space="preserve">provisions </w:t>
      </w:r>
      <w:r w:rsidR="00DF21CD" w:rsidRPr="001D08AC">
        <w:rPr>
          <w:lang w:val="en-US"/>
        </w:rPr>
        <w:t xml:space="preserve">for intersector rapporteur groups </w:t>
      </w:r>
      <w:r w:rsidRPr="001D08AC">
        <w:rPr>
          <w:lang w:val="en-US"/>
        </w:rPr>
        <w:t>(IRGs), which are easier to set up than intersector coordination groups (ICGs).</w:t>
      </w:r>
    </w:p>
    <w:p w:rsidR="0026766C" w:rsidRPr="001D08AC" w:rsidRDefault="0039768E" w:rsidP="004A7348">
      <w:pPr>
        <w:rPr>
          <w:szCs w:val="24"/>
          <w:lang w:val="en-US"/>
        </w:rPr>
      </w:pPr>
      <w:hyperlink r:id="rId20" w:history="1">
        <w:r w:rsidR="0026766C" w:rsidRPr="001D08AC">
          <w:rPr>
            <w:szCs w:val="24"/>
            <w:lang w:val="en-US"/>
          </w:rPr>
          <w:t xml:space="preserve">Resolution 55 (Mainstreaming gender in </w:t>
        </w:r>
        <w:r w:rsidR="004A7348">
          <w:rPr>
            <w:szCs w:val="24"/>
            <w:lang w:val="en-US"/>
          </w:rPr>
          <w:t>ITU</w:t>
        </w:r>
        <w:r w:rsidR="004A7348">
          <w:rPr>
            <w:szCs w:val="24"/>
            <w:lang w:val="en-US"/>
          </w:rPr>
          <w:noBreakHyphen/>
        </w:r>
        <w:r w:rsidR="0026766C" w:rsidRPr="001D08AC">
          <w:rPr>
            <w:szCs w:val="24"/>
            <w:lang w:val="en-US"/>
          </w:rPr>
          <w:t>T activities</w:t>
        </w:r>
      </w:hyperlink>
      <w:r w:rsidR="0026766C" w:rsidRPr="001D08AC">
        <w:rPr>
          <w:szCs w:val="24"/>
          <w:lang w:val="en-US"/>
        </w:rPr>
        <w:t>): resolves to invite the Sector</w:t>
      </w:r>
      <w:r w:rsidR="008B03B9">
        <w:rPr>
          <w:szCs w:val="24"/>
          <w:lang w:val="en-US"/>
        </w:rPr>
        <w:t>’</w:t>
      </w:r>
      <w:r w:rsidR="0026766C" w:rsidRPr="001D08AC">
        <w:rPr>
          <w:szCs w:val="24"/>
          <w:lang w:val="en-US"/>
        </w:rPr>
        <w:t>s advisory groups to assist in the identification of subjects and mechanisms to foster the mainstreaming of a gender perspective, as well as matters of mutual interest in that regard.</w:t>
      </w:r>
    </w:p>
    <w:p w:rsidR="0026766C" w:rsidRPr="001D08AC" w:rsidRDefault="0039768E" w:rsidP="004A7348">
      <w:pPr>
        <w:rPr>
          <w:rFonts w:eastAsiaTheme="minorEastAsia"/>
          <w:szCs w:val="24"/>
          <w:lang w:val="en-US"/>
        </w:rPr>
      </w:pPr>
      <w:hyperlink r:id="rId21" w:history="1">
        <w:r w:rsidR="0026766C" w:rsidRPr="001D08AC">
          <w:rPr>
            <w:szCs w:val="24"/>
            <w:lang w:val="en-US"/>
          </w:rPr>
          <w:t xml:space="preserve">Resolution 57 (Strengthening coordination and cooperation among </w:t>
        </w:r>
        <w:r w:rsidR="004A7348">
          <w:rPr>
            <w:szCs w:val="24"/>
            <w:lang w:val="en-US"/>
          </w:rPr>
          <w:t>ITU</w:t>
        </w:r>
        <w:r w:rsidR="004A7348">
          <w:rPr>
            <w:szCs w:val="24"/>
            <w:lang w:val="en-US"/>
          </w:rPr>
          <w:noBreakHyphen/>
        </w:r>
        <w:r w:rsidR="0026766C" w:rsidRPr="001D08AC">
          <w:rPr>
            <w:szCs w:val="24"/>
            <w:lang w:val="en-US"/>
          </w:rPr>
          <w:t xml:space="preserve">R, </w:t>
        </w:r>
        <w:r w:rsidR="004A7348">
          <w:rPr>
            <w:szCs w:val="24"/>
            <w:lang w:val="en-US"/>
          </w:rPr>
          <w:t>ITU</w:t>
        </w:r>
        <w:r w:rsidR="004A7348">
          <w:rPr>
            <w:szCs w:val="24"/>
            <w:lang w:val="en-US"/>
          </w:rPr>
          <w:noBreakHyphen/>
        </w:r>
        <w:r w:rsidR="0026766C" w:rsidRPr="001D08AC">
          <w:rPr>
            <w:szCs w:val="24"/>
            <w:lang w:val="en-US"/>
          </w:rPr>
          <w:t xml:space="preserve">T and </w:t>
        </w:r>
        <w:r w:rsidR="004A7348">
          <w:rPr>
            <w:szCs w:val="24"/>
            <w:lang w:val="en-US"/>
          </w:rPr>
          <w:t>ITU</w:t>
        </w:r>
        <w:r w:rsidR="004A7348">
          <w:rPr>
            <w:szCs w:val="24"/>
            <w:lang w:val="en-US"/>
          </w:rPr>
          <w:noBreakHyphen/>
        </w:r>
        <w:r w:rsidR="0026766C" w:rsidRPr="001D08AC">
          <w:rPr>
            <w:szCs w:val="24"/>
            <w:lang w:val="en-US"/>
          </w:rPr>
          <w:t>D on matters of mutual interest</w:t>
        </w:r>
      </w:hyperlink>
      <w:r w:rsidR="0026766C" w:rsidRPr="001D08AC">
        <w:rPr>
          <w:szCs w:val="24"/>
          <w:lang w:val="en-US"/>
        </w:rPr>
        <w:t>): resolves to invite the Sector</w:t>
      </w:r>
      <w:r w:rsidR="008B03B9">
        <w:rPr>
          <w:szCs w:val="24"/>
          <w:lang w:val="en-US"/>
        </w:rPr>
        <w:t>’</w:t>
      </w:r>
      <w:r w:rsidR="0026766C" w:rsidRPr="001D08AC">
        <w:rPr>
          <w:szCs w:val="24"/>
          <w:lang w:val="en-US"/>
        </w:rPr>
        <w:t>s advisory groups to assist in the identification of subjects common to the three Sectors and mechanisms to enhance cooperation and collaboration in all Sectors on matters of mutual interest.</w:t>
      </w:r>
    </w:p>
    <w:p w:rsidR="0026766C" w:rsidRPr="001D08AC" w:rsidRDefault="0026766C" w:rsidP="004A7348">
      <w:pPr>
        <w:pStyle w:val="Heading1"/>
        <w:rPr>
          <w:lang w:val="en-US"/>
        </w:rPr>
      </w:pPr>
      <w:r w:rsidRPr="001D08AC">
        <w:rPr>
          <w:lang w:val="en-US"/>
        </w:rPr>
        <w:t>5</w:t>
      </w:r>
      <w:r w:rsidRPr="001D08AC">
        <w:rPr>
          <w:lang w:val="en-US"/>
        </w:rPr>
        <w:tab/>
        <w:t>WRC-15 preparation</w:t>
      </w:r>
    </w:p>
    <w:p w:rsidR="0026766C" w:rsidRPr="001D08AC" w:rsidRDefault="0026766C" w:rsidP="00DF21CD">
      <w:pPr>
        <w:rPr>
          <w:rFonts w:eastAsia="SimSun"/>
          <w:szCs w:val="24"/>
          <w:lang w:val="en-US" w:eastAsia="zh-CN"/>
        </w:rPr>
      </w:pPr>
      <w:r w:rsidRPr="001D08AC">
        <w:rPr>
          <w:lang w:val="en-US" w:eastAsia="zh-CN"/>
        </w:rPr>
        <w:t xml:space="preserve">After the adoption of Council Resolution 1343 (see </w:t>
      </w:r>
      <w:r w:rsidR="00DF21CD">
        <w:rPr>
          <w:lang w:val="en-US" w:eastAsia="zh-CN"/>
        </w:rPr>
        <w:t>s</w:t>
      </w:r>
      <w:r w:rsidRPr="001D08AC">
        <w:rPr>
          <w:lang w:val="en-US" w:eastAsia="zh-CN"/>
        </w:rPr>
        <w:t>ection 2.2 above), the CPM Steering Committee met on 18 December 2012 to review</w:t>
      </w:r>
      <w:r w:rsidRPr="001D08AC">
        <w:rPr>
          <w:lang w:val="en-US"/>
        </w:rPr>
        <w:t xml:space="preserve"> the preparation of the Draft CPM Report to WRC</w:t>
      </w:r>
      <w:r w:rsidRPr="001D08AC">
        <w:rPr>
          <w:lang w:val="en-US"/>
        </w:rPr>
        <w:noBreakHyphen/>
        <w:t xml:space="preserve">15. The Chairmen of the </w:t>
      </w:r>
      <w:r w:rsidR="004A7348">
        <w:rPr>
          <w:lang w:val="en-US"/>
        </w:rPr>
        <w:t>ITU</w:t>
      </w:r>
      <w:r w:rsidR="004A7348">
        <w:rPr>
          <w:lang w:val="en-US"/>
        </w:rPr>
        <w:noBreakHyphen/>
      </w:r>
      <w:r w:rsidRPr="001D08AC">
        <w:rPr>
          <w:lang w:val="en-US"/>
        </w:rPr>
        <w:t xml:space="preserve">R Study Groups and of the </w:t>
      </w:r>
      <w:r w:rsidR="004A7348">
        <w:rPr>
          <w:lang w:val="en-US"/>
        </w:rPr>
        <w:t>ITU</w:t>
      </w:r>
      <w:r w:rsidR="004A7348">
        <w:rPr>
          <w:lang w:val="en-US"/>
        </w:rPr>
        <w:noBreakHyphen/>
      </w:r>
      <w:r w:rsidRPr="001D08AC">
        <w:rPr>
          <w:lang w:val="en-US"/>
        </w:rPr>
        <w:t xml:space="preserve">R responsible groups were also invited to attend this meeting for which the remote participation facilities were very useful. Based on Resolution 1343 (C12), Resolution </w:t>
      </w:r>
      <w:r w:rsidR="004A7348">
        <w:rPr>
          <w:lang w:val="en-US"/>
        </w:rPr>
        <w:t>ITU</w:t>
      </w:r>
      <w:r w:rsidR="004A7348">
        <w:rPr>
          <w:lang w:val="en-US"/>
        </w:rPr>
        <w:noBreakHyphen/>
      </w:r>
      <w:r w:rsidRPr="001D08AC">
        <w:rPr>
          <w:lang w:val="en-US"/>
        </w:rPr>
        <w:t>R 2-6 and the availability of the CICG, the Second Session of CPM-15 (CPM15-2) was agreed to be held in Geneva from 23 March</w:t>
      </w:r>
      <w:r w:rsidR="002528E3">
        <w:rPr>
          <w:lang w:val="en-US"/>
        </w:rPr>
        <w:t xml:space="preserve"> </w:t>
      </w:r>
      <w:r w:rsidRPr="001D08AC">
        <w:rPr>
          <w:lang w:val="en-US"/>
        </w:rPr>
        <w:t>-</w:t>
      </w:r>
      <w:r w:rsidR="002528E3">
        <w:rPr>
          <w:lang w:val="en-US"/>
        </w:rPr>
        <w:t xml:space="preserve"> </w:t>
      </w:r>
      <w:r w:rsidRPr="001D08AC">
        <w:rPr>
          <w:lang w:val="en-US"/>
        </w:rPr>
        <w:t>2 April 2015. It was further decided that the final draft CPM texts from the responsible groups must be received by the respective CPM-15 Chapter Rapporteurs, with a copy to the Bureau by 15 August 2014. The meeting of the CPM-15 Management Team will be held in Geneva from 1-5 September 2014 to consolidate the draft CPM texts from the responsible groups into the draft CPM Report. It was noted that the meeting of the working party of the Special Committee is planned to be held in December 2013 and that the meeting of the Special Committee will be planned during the last quarter of 2014</w:t>
      </w:r>
      <w:r w:rsidRPr="00DF21CD">
        <w:rPr>
          <w:lang w:val="en-US"/>
        </w:rPr>
        <w:t xml:space="preserve">. </w:t>
      </w:r>
      <w:r w:rsidRPr="001D08AC">
        <w:rPr>
          <w:lang w:val="en-US"/>
        </w:rPr>
        <w:t>Moreover,</w:t>
      </w:r>
      <w:r w:rsidRPr="001D08AC">
        <w:rPr>
          <w:b/>
          <w:bCs/>
          <w:lang w:val="en-US"/>
        </w:rPr>
        <w:t xml:space="preserve"> </w:t>
      </w:r>
      <w:r w:rsidRPr="001D08AC">
        <w:rPr>
          <w:lang w:val="en-US"/>
        </w:rPr>
        <w:t xml:space="preserve">the CPM-15 Steering Committee updated the allocation of </w:t>
      </w:r>
      <w:r w:rsidR="004A7348">
        <w:rPr>
          <w:lang w:val="en-US"/>
        </w:rPr>
        <w:t>ITU</w:t>
      </w:r>
      <w:r w:rsidR="004A7348">
        <w:rPr>
          <w:lang w:val="en-US"/>
        </w:rPr>
        <w:noBreakHyphen/>
      </w:r>
      <w:r w:rsidRPr="001D08AC">
        <w:rPr>
          <w:lang w:val="en-US"/>
        </w:rPr>
        <w:t>R preparatory work for WRC</w:t>
      </w:r>
      <w:r w:rsidRPr="001D08AC">
        <w:rPr>
          <w:lang w:val="en-US"/>
        </w:rPr>
        <w:noBreakHyphen/>
        <w:t xml:space="preserve">15 (see the Annex to Addendum 1 of CA/201). It was also recalled that </w:t>
      </w:r>
      <w:r w:rsidRPr="001D08AC">
        <w:rPr>
          <w:rFonts w:eastAsia="SimSun"/>
          <w:szCs w:val="24"/>
          <w:lang w:val="en-US" w:eastAsia="zh-CN"/>
        </w:rPr>
        <w:t xml:space="preserve">an executive summary for each WRC-15 Agenda item has to be developed on a regular basis by the relevant responsible group in the form of progress status reports of the </w:t>
      </w:r>
      <w:r w:rsidR="001F434A">
        <w:rPr>
          <w:rFonts w:eastAsia="SimSun"/>
          <w:szCs w:val="24"/>
          <w:lang w:val="en-US" w:eastAsia="zh-CN"/>
        </w:rPr>
        <w:t>ongoing</w:t>
      </w:r>
      <w:r w:rsidRPr="001D08AC">
        <w:rPr>
          <w:rFonts w:eastAsia="SimSun"/>
          <w:szCs w:val="24"/>
          <w:lang w:val="en-US" w:eastAsia="zh-CN"/>
        </w:rPr>
        <w:t xml:space="preserve"> preparatory studies. This will be used by the Bureau for informing the regional groups of progress throughout the WRC study cycle, </w:t>
      </w:r>
      <w:r w:rsidRPr="001D08AC">
        <w:rPr>
          <w:lang w:val="en-US"/>
        </w:rPr>
        <w:t xml:space="preserve">in accordance with </w:t>
      </w:r>
      <w:r w:rsidR="00DF21CD">
        <w:rPr>
          <w:lang w:val="en-US"/>
        </w:rPr>
        <w:t>s</w:t>
      </w:r>
      <w:r w:rsidRPr="001D08AC">
        <w:rPr>
          <w:lang w:val="en-US"/>
        </w:rPr>
        <w:t xml:space="preserve">ection 2.5 of Annex 1 to Resolution </w:t>
      </w:r>
      <w:r w:rsidR="004A7348">
        <w:rPr>
          <w:lang w:val="en-US"/>
        </w:rPr>
        <w:t>ITU</w:t>
      </w:r>
      <w:r w:rsidR="004A7348">
        <w:rPr>
          <w:lang w:val="en-US"/>
        </w:rPr>
        <w:noBreakHyphen/>
      </w:r>
      <w:r w:rsidRPr="001D08AC">
        <w:rPr>
          <w:lang w:val="en-US"/>
        </w:rPr>
        <w:t>R 2-6</w:t>
      </w:r>
      <w:r w:rsidRPr="001D08AC">
        <w:rPr>
          <w:rFonts w:eastAsia="SimSun"/>
          <w:szCs w:val="24"/>
          <w:lang w:val="en-US" w:eastAsia="zh-CN"/>
        </w:rPr>
        <w:t xml:space="preserve">. </w:t>
      </w:r>
    </w:p>
    <w:p w:rsidR="0026766C" w:rsidRPr="001D08AC" w:rsidRDefault="0026766C" w:rsidP="004A7348">
      <w:pPr>
        <w:rPr>
          <w:rFonts w:eastAsia="SimSun"/>
          <w:szCs w:val="24"/>
          <w:lang w:val="en-US" w:eastAsia="zh-CN"/>
        </w:rPr>
      </w:pPr>
      <w:r w:rsidRPr="001D08AC">
        <w:rPr>
          <w:rFonts w:eastAsia="SimSun"/>
          <w:szCs w:val="24"/>
          <w:lang w:val="en-US" w:eastAsia="zh-CN"/>
        </w:rPr>
        <w:t xml:space="preserve">The Bureau is planning to organize the First ITU Inter-regional Workshop on WRC-15 Preparation in Geneva on 4-5 December 2013, in order to review the progress made halfway through the preparatory cycle on the </w:t>
      </w:r>
      <w:r w:rsidR="004A7348">
        <w:rPr>
          <w:rFonts w:eastAsia="SimSun"/>
          <w:szCs w:val="24"/>
          <w:lang w:val="en-US" w:eastAsia="zh-CN"/>
        </w:rPr>
        <w:t>ITU</w:t>
      </w:r>
      <w:r w:rsidR="004A7348">
        <w:rPr>
          <w:rFonts w:eastAsia="SimSun"/>
          <w:szCs w:val="24"/>
          <w:lang w:val="en-US" w:eastAsia="zh-CN"/>
        </w:rPr>
        <w:noBreakHyphen/>
      </w:r>
      <w:r w:rsidRPr="001D08AC">
        <w:rPr>
          <w:rFonts w:eastAsia="SimSun"/>
          <w:szCs w:val="24"/>
          <w:lang w:val="en-US" w:eastAsia="zh-CN"/>
        </w:rPr>
        <w:t xml:space="preserve">R studies related to the WRC-15 agenda items and to provide opportunities for </w:t>
      </w:r>
      <w:r w:rsidRPr="001D08AC">
        <w:rPr>
          <w:rFonts w:asciiTheme="majorBidi" w:hAnsiTheme="majorBidi" w:cstheme="majorBidi"/>
          <w:szCs w:val="24"/>
          <w:lang w:val="en-US"/>
        </w:rPr>
        <w:t>exchanging information and have a better understanding of the preliminary draft common proposals, positions and/or views on the WRC-15 issues from the concerned entities such as the main regional groups and international organizations.</w:t>
      </w:r>
    </w:p>
    <w:p w:rsidR="0026766C" w:rsidRPr="001D08AC" w:rsidRDefault="0026766C" w:rsidP="00DF21CD">
      <w:pPr>
        <w:rPr>
          <w:lang w:val="en-US" w:eastAsia="zh-CN"/>
        </w:rPr>
      </w:pPr>
      <w:r w:rsidRPr="001D08AC">
        <w:rPr>
          <w:rFonts w:eastAsia="SimSun"/>
          <w:szCs w:val="24"/>
          <w:lang w:val="en-US" w:eastAsia="zh-CN"/>
        </w:rPr>
        <w:t xml:space="preserve">The </w:t>
      </w:r>
      <w:r w:rsidR="004A7348">
        <w:rPr>
          <w:rFonts w:eastAsia="SimSun"/>
          <w:szCs w:val="24"/>
          <w:lang w:val="en-US" w:eastAsia="zh-CN"/>
        </w:rPr>
        <w:t>ITU</w:t>
      </w:r>
      <w:r w:rsidR="004A7348">
        <w:rPr>
          <w:rFonts w:eastAsia="SimSun"/>
          <w:szCs w:val="24"/>
          <w:lang w:val="en-US" w:eastAsia="zh-CN"/>
        </w:rPr>
        <w:noBreakHyphen/>
      </w:r>
      <w:r w:rsidRPr="001D08AC">
        <w:rPr>
          <w:rFonts w:eastAsia="SimSun"/>
          <w:szCs w:val="24"/>
          <w:lang w:val="en-US" w:eastAsia="zh-CN"/>
        </w:rPr>
        <w:t xml:space="preserve">R </w:t>
      </w:r>
      <w:r w:rsidR="004A7348">
        <w:rPr>
          <w:rFonts w:eastAsia="SimSun"/>
          <w:szCs w:val="24"/>
          <w:lang w:val="en-US" w:eastAsia="zh-CN"/>
        </w:rPr>
        <w:t>w</w:t>
      </w:r>
      <w:r w:rsidRPr="001D08AC">
        <w:rPr>
          <w:rFonts w:eastAsia="SimSun"/>
          <w:szCs w:val="24"/>
          <w:lang w:val="en-US" w:eastAsia="zh-CN"/>
        </w:rPr>
        <w:t xml:space="preserve">ebpage for WRC-15 has been set up at: </w:t>
      </w:r>
      <w:hyperlink r:id="rId22" w:history="1">
        <w:r w:rsidRPr="001D08AC">
          <w:rPr>
            <w:rStyle w:val="Hyperlink"/>
            <w:rFonts w:eastAsia="SimSun"/>
            <w:szCs w:val="24"/>
            <w:lang w:val="en-US" w:eastAsia="zh-CN"/>
          </w:rPr>
          <w:t>www.itu.int/go/wrc-15</w:t>
        </w:r>
      </w:hyperlink>
      <w:r w:rsidRPr="001D08AC">
        <w:rPr>
          <w:rFonts w:eastAsia="SimSun"/>
          <w:szCs w:val="24"/>
          <w:lang w:val="en-US" w:eastAsia="zh-CN"/>
        </w:rPr>
        <w:t xml:space="preserve"> and detailed information regarding the </w:t>
      </w:r>
      <w:r w:rsidR="004A7348">
        <w:rPr>
          <w:rFonts w:eastAsia="SimSun"/>
          <w:szCs w:val="24"/>
          <w:lang w:val="en-US" w:eastAsia="zh-CN"/>
        </w:rPr>
        <w:t>ITU</w:t>
      </w:r>
      <w:r w:rsidR="004A7348">
        <w:rPr>
          <w:rFonts w:eastAsia="SimSun"/>
          <w:szCs w:val="24"/>
          <w:lang w:val="en-US" w:eastAsia="zh-CN"/>
        </w:rPr>
        <w:noBreakHyphen/>
      </w:r>
      <w:r w:rsidRPr="001D08AC">
        <w:rPr>
          <w:rFonts w:eastAsia="SimSun"/>
          <w:szCs w:val="24"/>
          <w:lang w:val="en-US" w:eastAsia="zh-CN"/>
        </w:rPr>
        <w:t xml:space="preserve">R preparatory studies for the WRC-15 </w:t>
      </w:r>
      <w:r w:rsidR="00DF21CD">
        <w:rPr>
          <w:rFonts w:eastAsia="SimSun"/>
          <w:szCs w:val="24"/>
          <w:lang w:val="en-US" w:eastAsia="zh-CN"/>
        </w:rPr>
        <w:t>a</w:t>
      </w:r>
      <w:r w:rsidRPr="001D08AC">
        <w:rPr>
          <w:rFonts w:eastAsia="SimSun"/>
          <w:szCs w:val="24"/>
          <w:lang w:val="en-US" w:eastAsia="zh-CN"/>
        </w:rPr>
        <w:t xml:space="preserve">genda items can be found on the following ITU </w:t>
      </w:r>
      <w:r w:rsidR="004A7348">
        <w:rPr>
          <w:rFonts w:eastAsia="SimSun"/>
          <w:szCs w:val="24"/>
          <w:lang w:val="en-US" w:eastAsia="zh-CN"/>
        </w:rPr>
        <w:t>webpage</w:t>
      </w:r>
      <w:r w:rsidRPr="001D08AC">
        <w:rPr>
          <w:rFonts w:eastAsia="SimSun"/>
          <w:szCs w:val="24"/>
          <w:lang w:val="en-US" w:eastAsia="zh-CN"/>
        </w:rPr>
        <w:t xml:space="preserve">: </w:t>
      </w:r>
      <w:hyperlink r:id="rId23" w:history="1">
        <w:r w:rsidRPr="001D08AC">
          <w:rPr>
            <w:rStyle w:val="Hyperlink"/>
            <w:rFonts w:eastAsia="SimSun"/>
            <w:szCs w:val="24"/>
            <w:lang w:val="en-US" w:eastAsia="zh-CN"/>
          </w:rPr>
          <w:t>www.itu.int/</w:t>
        </w:r>
        <w:r w:rsidR="004A7348">
          <w:rPr>
            <w:rStyle w:val="Hyperlink"/>
            <w:rFonts w:eastAsia="SimSun"/>
            <w:szCs w:val="24"/>
            <w:lang w:val="en-US" w:eastAsia="zh-CN"/>
          </w:rPr>
          <w:t>ITU</w:t>
        </w:r>
        <w:r w:rsidR="004A7348">
          <w:rPr>
            <w:rStyle w:val="Hyperlink"/>
            <w:rFonts w:eastAsia="SimSun"/>
            <w:szCs w:val="24"/>
            <w:lang w:val="en-US" w:eastAsia="zh-CN"/>
          </w:rPr>
          <w:noBreakHyphen/>
        </w:r>
        <w:r w:rsidRPr="001D08AC">
          <w:rPr>
            <w:rStyle w:val="Hyperlink"/>
            <w:rFonts w:eastAsia="SimSun"/>
            <w:szCs w:val="24"/>
            <w:lang w:val="en-US" w:eastAsia="zh-CN"/>
          </w:rPr>
          <w:t>R/go/rcpm-wrc-15-studies</w:t>
        </w:r>
      </w:hyperlink>
      <w:r w:rsidRPr="001D08AC">
        <w:rPr>
          <w:rFonts w:eastAsia="SimSun"/>
          <w:szCs w:val="24"/>
          <w:lang w:val="en-US" w:eastAsia="zh-CN"/>
        </w:rPr>
        <w:t>.</w:t>
      </w:r>
    </w:p>
    <w:p w:rsidR="0026766C" w:rsidRPr="001D08AC" w:rsidRDefault="0026766C" w:rsidP="004A7348">
      <w:pPr>
        <w:pStyle w:val="Heading1"/>
        <w:rPr>
          <w:lang w:val="en-US"/>
        </w:rPr>
      </w:pPr>
      <w:r w:rsidRPr="001D08AC">
        <w:rPr>
          <w:lang w:val="en-US"/>
        </w:rPr>
        <w:lastRenderedPageBreak/>
        <w:t>6</w:t>
      </w:r>
      <w:r w:rsidRPr="001D08AC">
        <w:rPr>
          <w:lang w:val="en-US"/>
        </w:rPr>
        <w:tab/>
        <w:t xml:space="preserve">BR </w:t>
      </w:r>
      <w:r w:rsidR="004A7348">
        <w:rPr>
          <w:lang w:val="en-US"/>
        </w:rPr>
        <w:t>i</w:t>
      </w:r>
      <w:r w:rsidRPr="001D08AC">
        <w:rPr>
          <w:lang w:val="en-US"/>
        </w:rPr>
        <w:t>nformation system</w:t>
      </w:r>
    </w:p>
    <w:p w:rsidR="0026766C" w:rsidRPr="001D08AC" w:rsidRDefault="0026766C" w:rsidP="004A7348">
      <w:pPr>
        <w:rPr>
          <w:lang w:val="en-US" w:eastAsia="zh-CN"/>
        </w:rPr>
      </w:pPr>
      <w:r w:rsidRPr="001D08AC">
        <w:rPr>
          <w:lang w:val="en-US" w:eastAsia="zh-CN"/>
        </w:rPr>
        <w:t xml:space="preserve">RAG-19 (2012) advised the Director to implement recommended actions within the proposed time-frame, as described in the agreed roadmap, which comprises Phase 1 (Implementation of WRC-12 decisions) until 31 December 2012; Phase 2 (Rewrite some existing software) until 31 December 2015, and Phase 3 (Set up a project team to implement common framework, security system and centralized space database) from 1 January 2016 to 31 December 2018. RAG encouraged Member States and Sector Members to give their comments on Phase 3. </w:t>
      </w:r>
    </w:p>
    <w:p w:rsidR="0026766C" w:rsidRPr="001D08AC" w:rsidRDefault="0026766C" w:rsidP="004A7348">
      <w:pPr>
        <w:rPr>
          <w:lang w:val="en-US"/>
        </w:rPr>
      </w:pPr>
      <w:r w:rsidRPr="001D08AC">
        <w:rPr>
          <w:lang w:val="en-US" w:eastAsia="zh-CN"/>
        </w:rPr>
        <w:t>The report on the progress made on the to the next meetings of the RAG.</w:t>
      </w:r>
    </w:p>
    <w:p w:rsidR="0026766C" w:rsidRPr="001D08AC" w:rsidRDefault="0026766C" w:rsidP="004A7348">
      <w:pPr>
        <w:rPr>
          <w:lang w:val="en-US"/>
        </w:rPr>
      </w:pPr>
      <w:r w:rsidRPr="001D08AC">
        <w:rPr>
          <w:lang w:val="en-US"/>
        </w:rPr>
        <w:t>This topic is presented in Annex 1 to this document.</w:t>
      </w:r>
    </w:p>
    <w:p w:rsidR="0026766C" w:rsidRPr="001D08AC" w:rsidRDefault="0026766C" w:rsidP="004A7348">
      <w:pPr>
        <w:pStyle w:val="Heading1"/>
        <w:rPr>
          <w:lang w:val="en-US"/>
        </w:rPr>
      </w:pPr>
      <w:r w:rsidRPr="001D08AC">
        <w:rPr>
          <w:lang w:val="en-US"/>
        </w:rPr>
        <w:t>7</w:t>
      </w:r>
      <w:r w:rsidRPr="001D08AC">
        <w:rPr>
          <w:lang w:val="en-US"/>
        </w:rPr>
        <w:tab/>
        <w:t>Cooperation on harmful satellite interference resolution</w:t>
      </w:r>
    </w:p>
    <w:p w:rsidR="0026766C" w:rsidRPr="001D08AC" w:rsidRDefault="0026766C" w:rsidP="004A7348">
      <w:pPr>
        <w:rPr>
          <w:lang w:val="en-US"/>
        </w:rPr>
      </w:pPr>
      <w:r w:rsidRPr="001D08AC">
        <w:rPr>
          <w:lang w:val="en-US"/>
        </w:rPr>
        <w:t>For some years, the ITU Radiocommunication Bureau (BR) has regularly been either requested for assistance or copied on exchanges of letters between administrations regarding harmful interference seriously affecting transmissions on various satellites, duly supported by satellite networks recorded in the ITU Master Register.</w:t>
      </w:r>
      <w:r w:rsidR="001F434A">
        <w:rPr>
          <w:lang w:val="en-US"/>
        </w:rPr>
        <w:t xml:space="preserve"> </w:t>
      </w:r>
      <w:r w:rsidRPr="001D08AC">
        <w:rPr>
          <w:lang w:val="en-US"/>
        </w:rPr>
        <w:t>In most cases, the information provided by the affected administration included evidence on the location of the source of harmful interference. As the information is often coming from a single source, and in the absence of ITU proper means to investigate or corroborate the information, the response by the BR has been so far limited to appeal to all parties that may be involved to exercise the utmost goodwill and provide mutual assistance in the application of the provisions of Article 45 of the ITU Constitution and Section VI of Article 15 of the Radio regulations with a view to settle these issues of harmful interference.</w:t>
      </w:r>
    </w:p>
    <w:p w:rsidR="0026766C" w:rsidRPr="001D08AC" w:rsidRDefault="0026766C" w:rsidP="004A7348">
      <w:pPr>
        <w:rPr>
          <w:lang w:val="en-US"/>
        </w:rPr>
      </w:pPr>
      <w:r w:rsidRPr="001D08AC">
        <w:rPr>
          <w:lang w:val="en-US"/>
        </w:rPr>
        <w:t>Within this context, the BR is in the process of drawing up memorandums of cooperation with administrations that have the capacity to monitor the use of spectrum allocated to satellite services in order to assist the BR to perform measurements related to cases of harmful interference for which an administration is seeking the assistance of the BR. A memorandum of cooperation has already been signed by ITU and the International Civil Aviation Organization (ICAO) regarding cases of interference involving the global navigation satellite system (GNSS) on board civil aircraft. Additional contacts have also been initiated with organizations including the Satellite Industry Association (SIA), the European Satellite Operator</w:t>
      </w:r>
      <w:r w:rsidR="008B03B9">
        <w:rPr>
          <w:lang w:val="en-US"/>
        </w:rPr>
        <w:t>’</w:t>
      </w:r>
      <w:r w:rsidRPr="001D08AC">
        <w:rPr>
          <w:lang w:val="en-US"/>
        </w:rPr>
        <w:t xml:space="preserve">s Association (ESOA), and the Global VSAT Forum (GVF) for assistance in providing satellite monitoring information and helping to determine sources of harmful interference. </w:t>
      </w:r>
    </w:p>
    <w:p w:rsidR="0026766C" w:rsidRPr="001D08AC" w:rsidRDefault="0026766C" w:rsidP="00DF21CD">
      <w:pPr>
        <w:rPr>
          <w:rFonts w:ascii="Calibri" w:hAnsi="Calibri"/>
          <w:sz w:val="22"/>
          <w:szCs w:val="22"/>
          <w:lang w:val="en-US"/>
        </w:rPr>
      </w:pPr>
      <w:r w:rsidRPr="001D08AC">
        <w:rPr>
          <w:lang w:val="en-US"/>
        </w:rPr>
        <w:t>Such above approach should allow the BR to be provided with independent sources of information on the origin of harmful interference cases, facilitate regulatory actions foreseen under Article 15 of the Radio Regulations. BR initiative is also to establish a framework to ensure that there is no duplication of efforts, as well</w:t>
      </w:r>
      <w:r w:rsidRPr="001D08AC">
        <w:rPr>
          <w:rFonts w:ascii="Calibri" w:hAnsi="Calibri"/>
          <w:lang w:val="en-US"/>
        </w:rPr>
        <w:t xml:space="preserve"> as </w:t>
      </w:r>
      <w:r w:rsidRPr="001D08AC">
        <w:rPr>
          <w:lang w:val="en-US"/>
        </w:rPr>
        <w:t>to benefit from the potential synergies between the parties acting in their respective field of responsibility and develop a long</w:t>
      </w:r>
      <w:r w:rsidR="00DF21CD">
        <w:rPr>
          <w:lang w:val="en-US"/>
        </w:rPr>
        <w:t>-</w:t>
      </w:r>
      <w:r w:rsidRPr="001D08AC">
        <w:rPr>
          <w:lang w:val="en-US"/>
        </w:rPr>
        <w:t>term strategy in solving the issue of harmful interference.</w:t>
      </w:r>
    </w:p>
    <w:p w:rsidR="0026766C" w:rsidRPr="001D08AC" w:rsidRDefault="0026766C" w:rsidP="004A7348">
      <w:pPr>
        <w:pStyle w:val="Heading1"/>
        <w:rPr>
          <w:lang w:val="en-US" w:eastAsia="zh-CN"/>
        </w:rPr>
      </w:pPr>
      <w:r w:rsidRPr="001D08AC">
        <w:rPr>
          <w:lang w:val="en-US" w:eastAsia="zh-CN"/>
        </w:rPr>
        <w:t>8</w:t>
      </w:r>
      <w:r w:rsidRPr="001D08AC">
        <w:rPr>
          <w:lang w:val="en-US" w:eastAsia="zh-CN"/>
        </w:rPr>
        <w:tab/>
        <w:t xml:space="preserve">Operational </w:t>
      </w:r>
      <w:r w:rsidR="004A7348">
        <w:rPr>
          <w:lang w:val="en-US" w:eastAsia="zh-CN"/>
        </w:rPr>
        <w:t>p</w:t>
      </w:r>
      <w:r w:rsidRPr="001D08AC">
        <w:rPr>
          <w:lang w:val="en-US" w:eastAsia="zh-CN"/>
        </w:rPr>
        <w:t>lanning</w:t>
      </w:r>
    </w:p>
    <w:p w:rsidR="0026766C" w:rsidRPr="001D08AC" w:rsidRDefault="0026766C" w:rsidP="004A7348">
      <w:pPr>
        <w:rPr>
          <w:lang w:val="en-US"/>
        </w:rPr>
      </w:pPr>
      <w:r w:rsidRPr="001D08AC">
        <w:rPr>
          <w:lang w:val="en-US"/>
        </w:rPr>
        <w:t xml:space="preserve">The draft Operational Plan for the period 2014-2017 is available at: </w:t>
      </w:r>
      <w:hyperlink r:id="rId24" w:tgtFrame="_blank" w:history="1">
        <w:r w:rsidRPr="001D08AC">
          <w:rPr>
            <w:rStyle w:val="Hyperlink"/>
            <w:szCs w:val="24"/>
            <w:lang w:val="en-US"/>
          </w:rPr>
          <w:t>http://www.itu.int/</w:t>
        </w:r>
        <w:r w:rsidR="004A7348">
          <w:rPr>
            <w:rStyle w:val="Hyperlink"/>
            <w:szCs w:val="24"/>
            <w:lang w:val="en-US"/>
          </w:rPr>
          <w:t>ITU</w:t>
        </w:r>
        <w:r w:rsidR="004A7348">
          <w:rPr>
            <w:rStyle w:val="Hyperlink"/>
            <w:szCs w:val="24"/>
            <w:lang w:val="en-US"/>
          </w:rPr>
          <w:noBreakHyphen/>
        </w:r>
        <w:r w:rsidRPr="001D08AC">
          <w:rPr>
            <w:rStyle w:val="Hyperlink"/>
            <w:szCs w:val="24"/>
            <w:lang w:val="en-US"/>
          </w:rPr>
          <w:t>R/go/operational-plans/</w:t>
        </w:r>
      </w:hyperlink>
      <w:r w:rsidRPr="001D08AC">
        <w:rPr>
          <w:lang w:val="en-US"/>
        </w:rPr>
        <w:t xml:space="preserve"> for the consideration of RAG. This plan is structured in a result-based way so as to ensure a complete linkage with the budget and other financial tools of the Union. It also addresses the strategic aspects of </w:t>
      </w:r>
      <w:r w:rsidR="004A7348">
        <w:rPr>
          <w:lang w:val="en-US"/>
        </w:rPr>
        <w:t>ITU</w:t>
      </w:r>
      <w:r w:rsidR="004A7348">
        <w:rPr>
          <w:lang w:val="en-US"/>
        </w:rPr>
        <w:noBreakHyphen/>
      </w:r>
      <w:r w:rsidRPr="001D08AC">
        <w:rPr>
          <w:lang w:val="en-US"/>
        </w:rPr>
        <w:t>R and provides appropriate linkage with the strategic plan of ITU.</w:t>
      </w:r>
    </w:p>
    <w:p w:rsidR="0026766C" w:rsidRPr="001D08AC" w:rsidRDefault="0026766C" w:rsidP="004A7348">
      <w:pPr>
        <w:rPr>
          <w:lang w:val="en-US"/>
        </w:rPr>
      </w:pPr>
      <w:r w:rsidRPr="001D08AC">
        <w:rPr>
          <w:lang w:val="en-US"/>
        </w:rPr>
        <w:t xml:space="preserve">The Performance Report for 2012 is available at: </w:t>
      </w:r>
      <w:hyperlink r:id="rId25" w:history="1">
        <w:r w:rsidRPr="001D08AC">
          <w:rPr>
            <w:rStyle w:val="Hyperlink"/>
            <w:lang w:val="en-US"/>
          </w:rPr>
          <w:t>http://www.itu.int/</w:t>
        </w:r>
        <w:r w:rsidR="004A7348">
          <w:rPr>
            <w:rStyle w:val="Hyperlink"/>
            <w:lang w:val="en-US"/>
          </w:rPr>
          <w:t>ITU</w:t>
        </w:r>
        <w:r w:rsidR="004A7348">
          <w:rPr>
            <w:rStyle w:val="Hyperlink"/>
            <w:lang w:val="en-US"/>
          </w:rPr>
          <w:noBreakHyphen/>
        </w:r>
        <w:r w:rsidRPr="001D08AC">
          <w:rPr>
            <w:rStyle w:val="Hyperlink"/>
            <w:lang w:val="en-US"/>
          </w:rPr>
          <w:t>R/go/performance-reports/</w:t>
        </w:r>
      </w:hyperlink>
      <w:r w:rsidRPr="001D08AC">
        <w:rPr>
          <w:lang w:val="en-US"/>
        </w:rPr>
        <w:t xml:space="preserve">. It aims at providing the relevant information regarding the implementation of the outputs </w:t>
      </w:r>
      <w:r w:rsidRPr="001D08AC">
        <w:rPr>
          <w:lang w:val="en-US"/>
        </w:rPr>
        <w:lastRenderedPageBreak/>
        <w:t xml:space="preserve">and activities foreseen in the </w:t>
      </w:r>
      <w:r w:rsidR="004A7348">
        <w:rPr>
          <w:lang w:val="en-US"/>
        </w:rPr>
        <w:t>ITU</w:t>
      </w:r>
      <w:r w:rsidR="004A7348">
        <w:rPr>
          <w:lang w:val="en-US"/>
        </w:rPr>
        <w:noBreakHyphen/>
      </w:r>
      <w:r w:rsidRPr="001D08AC">
        <w:rPr>
          <w:lang w:val="en-US"/>
        </w:rPr>
        <w:t>R Operational Plan for 2012. The Performance Report provides the comparison between the realized results and the expected ones as well as the respective key performance indicators. These are specified with each major Objective and within each relevant output in the document.</w:t>
      </w:r>
    </w:p>
    <w:p w:rsidR="0026766C" w:rsidRPr="001D08AC" w:rsidRDefault="0026766C" w:rsidP="004A7348">
      <w:pPr>
        <w:pStyle w:val="Heading1"/>
        <w:rPr>
          <w:lang w:val="en-US" w:eastAsia="zh-CN"/>
        </w:rPr>
      </w:pPr>
      <w:r w:rsidRPr="001D08AC">
        <w:rPr>
          <w:lang w:val="en-US" w:eastAsia="zh-CN"/>
        </w:rPr>
        <w:t>9</w:t>
      </w:r>
      <w:r w:rsidRPr="001D08AC">
        <w:rPr>
          <w:lang w:val="en-US" w:eastAsia="zh-CN"/>
        </w:rPr>
        <w:tab/>
        <w:t>Information and assistance to membership</w:t>
      </w:r>
    </w:p>
    <w:p w:rsidR="0026766C" w:rsidRPr="001D08AC" w:rsidRDefault="0026766C" w:rsidP="004A7348">
      <w:pPr>
        <w:rPr>
          <w:lang w:val="en-US"/>
        </w:rPr>
      </w:pPr>
      <w:r w:rsidRPr="001D08AC">
        <w:rPr>
          <w:lang w:val="en-US"/>
        </w:rPr>
        <w:t>In order to inform and assist the ITU membership, in particular in developing countries, on issues relating to radiocommunication matters, the BR organi</w:t>
      </w:r>
      <w:r w:rsidR="004A7348">
        <w:rPr>
          <w:lang w:val="en-US"/>
        </w:rPr>
        <w:t>z</w:t>
      </w:r>
      <w:r w:rsidRPr="001D08AC">
        <w:rPr>
          <w:lang w:val="en-US"/>
        </w:rPr>
        <w:t>es or participates in a number of spectrum related workshops, seminars, meetings and capacity building efforts. This activity is being carried out in close cooperation with the BDT, the ITU regional and area offices and the relevant international organi</w:t>
      </w:r>
      <w:r w:rsidR="004A7348">
        <w:rPr>
          <w:lang w:val="en-US"/>
        </w:rPr>
        <w:t>z</w:t>
      </w:r>
      <w:r w:rsidRPr="001D08AC">
        <w:rPr>
          <w:lang w:val="en-US"/>
        </w:rPr>
        <w:t>ations or national authorities. These activities contribute directly to the capacity building and experience sharing of the ITU membership on spectrum issues. A particular effort has been to assist membership and promote cooperation in the area the transition to digital terrestrial television and the allocation of the digital dividend.</w:t>
      </w:r>
    </w:p>
    <w:p w:rsidR="0026766C" w:rsidRPr="001D08AC" w:rsidRDefault="0026766C" w:rsidP="004A7348">
      <w:pPr>
        <w:rPr>
          <w:bCs/>
          <w:lang w:val="en-US" w:eastAsia="zh-CN"/>
        </w:rPr>
      </w:pPr>
      <w:r w:rsidRPr="001D08AC">
        <w:rPr>
          <w:bCs/>
          <w:lang w:val="en-US" w:eastAsia="zh-CN"/>
        </w:rPr>
        <w:t>The list of events to which the BR participated in 2012 is given in Annex 2.</w:t>
      </w:r>
    </w:p>
    <w:p w:rsidR="0026766C" w:rsidRPr="001D08AC" w:rsidRDefault="0026766C" w:rsidP="004A7348">
      <w:pPr>
        <w:rPr>
          <w:bCs/>
          <w:lang w:val="en-US" w:eastAsia="zh-CN"/>
        </w:rPr>
      </w:pPr>
      <w:r w:rsidRPr="001D08AC">
        <w:rPr>
          <w:bCs/>
          <w:lang w:val="en-US" w:eastAsia="zh-CN"/>
        </w:rPr>
        <w:t xml:space="preserve">A comprehensive list of seminars and workshops organized directly by the ITU or in cooperation with other regional or national entities is given at: </w:t>
      </w:r>
      <w:hyperlink r:id="rId26" w:history="1">
        <w:r w:rsidRPr="001D08AC">
          <w:rPr>
            <w:rStyle w:val="Hyperlink"/>
            <w:bCs/>
            <w:lang w:val="en-US" w:eastAsia="zh-CN"/>
          </w:rPr>
          <w:t>http://www.itu.int/</w:t>
        </w:r>
        <w:r w:rsidR="004A7348">
          <w:rPr>
            <w:rStyle w:val="Hyperlink"/>
            <w:bCs/>
            <w:lang w:val="en-US" w:eastAsia="zh-CN"/>
          </w:rPr>
          <w:t>ITU</w:t>
        </w:r>
        <w:r w:rsidR="004A7348">
          <w:rPr>
            <w:rStyle w:val="Hyperlink"/>
            <w:bCs/>
            <w:lang w:val="en-US" w:eastAsia="zh-CN"/>
          </w:rPr>
          <w:noBreakHyphen/>
        </w:r>
        <w:r w:rsidRPr="001D08AC">
          <w:rPr>
            <w:rStyle w:val="Hyperlink"/>
            <w:bCs/>
            <w:lang w:val="en-US" w:eastAsia="zh-CN"/>
          </w:rPr>
          <w:t>R/go/seminars</w:t>
        </w:r>
      </w:hyperlink>
      <w:r w:rsidRPr="001D08AC">
        <w:rPr>
          <w:bCs/>
          <w:lang w:val="en-US" w:eastAsia="zh-CN"/>
        </w:rPr>
        <w:t>.</w:t>
      </w:r>
    </w:p>
    <w:p w:rsidR="0026766C" w:rsidRPr="001D08AC" w:rsidRDefault="0026766C" w:rsidP="004A7348">
      <w:pPr>
        <w:pStyle w:val="Heading2"/>
        <w:rPr>
          <w:rFonts w:eastAsiaTheme="minorEastAsia"/>
          <w:lang w:val="en-US"/>
        </w:rPr>
      </w:pPr>
      <w:r w:rsidRPr="001D08AC">
        <w:rPr>
          <w:rFonts w:eastAsiaTheme="minorEastAsia"/>
          <w:lang w:val="en-US"/>
        </w:rPr>
        <w:t>9.1</w:t>
      </w:r>
      <w:r w:rsidRPr="001D08AC">
        <w:rPr>
          <w:rFonts w:eastAsiaTheme="minorEastAsia"/>
          <w:lang w:val="en-US"/>
        </w:rPr>
        <w:tab/>
        <w:t>Radiocommunication seminars</w:t>
      </w:r>
    </w:p>
    <w:p w:rsidR="0026766C" w:rsidRPr="001D08AC" w:rsidRDefault="0026766C" w:rsidP="004A7348">
      <w:pPr>
        <w:rPr>
          <w:lang w:val="en-US"/>
        </w:rPr>
      </w:pPr>
      <w:r w:rsidRPr="001D08AC">
        <w:rPr>
          <w:lang w:val="en-US"/>
        </w:rPr>
        <w:t xml:space="preserve">This topic is presented in an addendum to this document. </w:t>
      </w:r>
    </w:p>
    <w:p w:rsidR="0026766C" w:rsidRPr="001D08AC" w:rsidRDefault="0026766C" w:rsidP="004A7348">
      <w:pPr>
        <w:pStyle w:val="Heading1"/>
        <w:rPr>
          <w:rFonts w:eastAsiaTheme="minorEastAsia"/>
          <w:lang w:val="en-US"/>
        </w:rPr>
      </w:pPr>
      <w:r w:rsidRPr="001D08AC">
        <w:rPr>
          <w:rFonts w:eastAsiaTheme="minorEastAsia"/>
          <w:lang w:val="en-US"/>
        </w:rPr>
        <w:t>10</w:t>
      </w:r>
      <w:r w:rsidRPr="001D08AC">
        <w:rPr>
          <w:rFonts w:eastAsiaTheme="minorEastAsia"/>
          <w:lang w:val="en-US"/>
        </w:rPr>
        <w:tab/>
        <w:t>BR International Frequency Information Circular (BR IFIC)</w:t>
      </w:r>
    </w:p>
    <w:p w:rsidR="0026766C" w:rsidRPr="001D08AC" w:rsidRDefault="0026766C" w:rsidP="004A7348">
      <w:pPr>
        <w:rPr>
          <w:lang w:val="en-US"/>
        </w:rPr>
      </w:pPr>
      <w:r w:rsidRPr="001D08AC">
        <w:rPr>
          <w:lang w:val="en-US"/>
        </w:rPr>
        <w:t>In Circular Letter CR/332 of 24 April 2012, the Bureau informed administrations of its decision to update the software and database container of the BR IFIC (Terrestrial Services).</w:t>
      </w:r>
    </w:p>
    <w:p w:rsidR="0026766C" w:rsidRPr="001D08AC" w:rsidRDefault="0026766C" w:rsidP="004A7348">
      <w:pPr>
        <w:rPr>
          <w:lang w:val="en-US"/>
        </w:rPr>
      </w:pPr>
      <w:r w:rsidRPr="001D08AC">
        <w:rPr>
          <w:lang w:val="en-US"/>
        </w:rPr>
        <w:t>Since edition No. 2719 of 15 May 2012, an additional DVD containing the beta version of the BR IFIC (Terrestrial Services) in its new format, using the SQLite database management system (www.sqlite.org), as well as new and upgraded versions of the associated software packages (</w:t>
      </w:r>
      <w:r w:rsidRPr="001D08AC">
        <w:rPr>
          <w:b/>
          <w:bCs/>
          <w:i/>
          <w:iCs/>
          <w:lang w:val="en-US"/>
        </w:rPr>
        <w:t>TerRaQ</w:t>
      </w:r>
      <w:r w:rsidRPr="001D08AC">
        <w:rPr>
          <w:lang w:val="en-US"/>
        </w:rPr>
        <w:t xml:space="preserve">, </w:t>
      </w:r>
      <w:r w:rsidRPr="001D08AC">
        <w:rPr>
          <w:b/>
          <w:bCs/>
          <w:i/>
          <w:iCs/>
          <w:lang w:val="en-US"/>
        </w:rPr>
        <w:t>TerRaNotices</w:t>
      </w:r>
      <w:r w:rsidRPr="001D08AC">
        <w:rPr>
          <w:lang w:val="en-US"/>
        </w:rPr>
        <w:t xml:space="preserve"> and </w:t>
      </w:r>
      <w:r w:rsidRPr="001D08AC">
        <w:rPr>
          <w:b/>
          <w:bCs/>
          <w:i/>
          <w:iCs/>
          <w:lang w:val="en-US"/>
        </w:rPr>
        <w:t>TerRaNV</w:t>
      </w:r>
      <w:r w:rsidRPr="001D08AC">
        <w:rPr>
          <w:lang w:val="en-US"/>
        </w:rPr>
        <w:t xml:space="preserve"> ), has been distributed along with the regular BR IFIC DVD, for assessment by administrations and all subscribers.</w:t>
      </w:r>
    </w:p>
    <w:p w:rsidR="0026766C" w:rsidRPr="001D08AC" w:rsidRDefault="0026766C" w:rsidP="004A7348">
      <w:pPr>
        <w:rPr>
          <w:rFonts w:asciiTheme="majorBidi" w:hAnsiTheme="majorBidi" w:cstheme="majorBidi"/>
          <w:szCs w:val="24"/>
          <w:lang w:val="en-US" w:eastAsia="zh-CN"/>
        </w:rPr>
      </w:pPr>
      <w:r w:rsidRPr="001D08AC">
        <w:rPr>
          <w:rFonts w:asciiTheme="majorBidi" w:hAnsiTheme="majorBidi" w:cstheme="majorBidi"/>
          <w:szCs w:val="24"/>
          <w:lang w:val="en-US" w:eastAsia="zh-CN"/>
        </w:rPr>
        <w:t>Some of the main new features of the BR IFIC DVD are:</w:t>
      </w:r>
    </w:p>
    <w:p w:rsidR="0026766C" w:rsidRPr="001D08AC" w:rsidRDefault="004A7348" w:rsidP="00DF21CD">
      <w:pPr>
        <w:pStyle w:val="enumlev1"/>
        <w:rPr>
          <w:lang w:val="en-US" w:eastAsia="zh-CN"/>
        </w:rPr>
      </w:pPr>
      <w:r>
        <w:rPr>
          <w:lang w:val="en-US" w:eastAsia="zh-CN"/>
        </w:rPr>
        <w:t>•</w:t>
      </w:r>
      <w:r>
        <w:rPr>
          <w:lang w:val="en-US" w:eastAsia="zh-CN"/>
        </w:rPr>
        <w:tab/>
      </w:r>
      <w:r w:rsidR="0026766C" w:rsidRPr="001D08AC">
        <w:rPr>
          <w:lang w:val="en-US" w:eastAsia="zh-CN"/>
        </w:rPr>
        <w:t xml:space="preserve">a new </w:t>
      </w:r>
      <w:r w:rsidR="008B03B9">
        <w:rPr>
          <w:lang w:val="en-US" w:eastAsia="zh-CN"/>
        </w:rPr>
        <w:t>“</w:t>
      </w:r>
      <w:r w:rsidR="0026766C" w:rsidRPr="001D08AC">
        <w:rPr>
          <w:lang w:val="en-US" w:eastAsia="zh-CN"/>
        </w:rPr>
        <w:t>navigation menu</w:t>
      </w:r>
      <w:r w:rsidR="008B03B9">
        <w:rPr>
          <w:lang w:val="en-US" w:eastAsia="zh-CN"/>
        </w:rPr>
        <w:t>”</w:t>
      </w:r>
      <w:r w:rsidR="0026766C" w:rsidRPr="001D08AC">
        <w:rPr>
          <w:lang w:val="en-US" w:eastAsia="zh-CN"/>
        </w:rPr>
        <w:t xml:space="preserve"> in a </w:t>
      </w:r>
      <w:r w:rsidR="008B03B9">
        <w:rPr>
          <w:lang w:val="en-US" w:eastAsia="zh-CN"/>
        </w:rPr>
        <w:t>“</w:t>
      </w:r>
      <w:r w:rsidR="0026766C" w:rsidRPr="001D08AC">
        <w:rPr>
          <w:lang w:val="en-US" w:eastAsia="zh-CN"/>
        </w:rPr>
        <w:t>plug-and-play</w:t>
      </w:r>
      <w:r w:rsidR="008B03B9">
        <w:rPr>
          <w:lang w:val="en-US" w:eastAsia="zh-CN"/>
        </w:rPr>
        <w:t>”</w:t>
      </w:r>
      <w:r w:rsidR="0026766C" w:rsidRPr="001D08AC">
        <w:rPr>
          <w:lang w:val="en-US" w:eastAsia="zh-CN"/>
        </w:rPr>
        <w:t xml:space="preserve"> mode, which allows the user to browse the data, perform queries, execute one of the above</w:t>
      </w:r>
      <w:r w:rsidR="00DF21CD">
        <w:rPr>
          <w:lang w:val="en-US" w:eastAsia="zh-CN"/>
        </w:rPr>
        <w:t>-</w:t>
      </w:r>
      <w:r w:rsidR="0026766C" w:rsidRPr="001D08AC">
        <w:rPr>
          <w:lang w:val="en-US" w:eastAsia="zh-CN"/>
        </w:rPr>
        <w:t>mentioned</w:t>
      </w:r>
      <w:r w:rsidR="001F434A">
        <w:rPr>
          <w:lang w:val="en-US" w:eastAsia="zh-CN"/>
        </w:rPr>
        <w:t xml:space="preserve"> </w:t>
      </w:r>
      <w:r w:rsidR="0026766C" w:rsidRPr="001D08AC">
        <w:rPr>
          <w:lang w:val="en-US" w:eastAsia="zh-CN"/>
        </w:rPr>
        <w:t>software packages, directly from the DVD without the need to perform any installation;</w:t>
      </w:r>
    </w:p>
    <w:p w:rsidR="0026766C" w:rsidRPr="001D08AC" w:rsidRDefault="004A7348" w:rsidP="004A7348">
      <w:pPr>
        <w:pStyle w:val="enumlev1"/>
        <w:rPr>
          <w:lang w:val="en-US" w:eastAsia="zh-CN"/>
        </w:rPr>
      </w:pPr>
      <w:r>
        <w:rPr>
          <w:lang w:val="en-US" w:eastAsia="zh-CN"/>
        </w:rPr>
        <w:t>•</w:t>
      </w:r>
      <w:r>
        <w:rPr>
          <w:lang w:val="en-US" w:eastAsia="zh-CN"/>
        </w:rPr>
        <w:tab/>
      </w:r>
      <w:r w:rsidR="0026766C" w:rsidRPr="001D08AC">
        <w:rPr>
          <w:lang w:val="en-US" w:eastAsia="zh-CN"/>
        </w:rPr>
        <w:t xml:space="preserve">an </w:t>
      </w:r>
      <w:r w:rsidR="008B03B9">
        <w:rPr>
          <w:lang w:val="en-US" w:eastAsia="zh-CN"/>
        </w:rPr>
        <w:t>“</w:t>
      </w:r>
      <w:r w:rsidR="0026766C" w:rsidRPr="001D08AC">
        <w:rPr>
          <w:lang w:val="en-US" w:eastAsia="zh-CN"/>
        </w:rPr>
        <w:t>install-on-demand</w:t>
      </w:r>
      <w:r w:rsidR="008B03B9">
        <w:rPr>
          <w:lang w:val="en-US" w:eastAsia="zh-CN"/>
        </w:rPr>
        <w:t>”</w:t>
      </w:r>
      <w:r w:rsidR="0026766C" w:rsidRPr="001D08AC">
        <w:rPr>
          <w:lang w:val="en-US" w:eastAsia="zh-CN"/>
        </w:rPr>
        <w:t xml:space="preserve"> utility, which allows the user to install the BR IFIC data and/or its software packages;</w:t>
      </w:r>
    </w:p>
    <w:p w:rsidR="0026766C" w:rsidRPr="001D08AC" w:rsidRDefault="004A7348" w:rsidP="004A7348">
      <w:pPr>
        <w:pStyle w:val="enumlev1"/>
        <w:rPr>
          <w:lang w:val="en-US" w:eastAsia="zh-CN"/>
        </w:rPr>
      </w:pPr>
      <w:r>
        <w:rPr>
          <w:lang w:val="en-US" w:eastAsia="zh-CN"/>
        </w:rPr>
        <w:t>•</w:t>
      </w:r>
      <w:r>
        <w:rPr>
          <w:lang w:val="en-US" w:eastAsia="zh-CN"/>
        </w:rPr>
        <w:tab/>
      </w:r>
      <w:r w:rsidR="0026766C" w:rsidRPr="001D08AC">
        <w:rPr>
          <w:lang w:val="en-US" w:eastAsia="zh-CN"/>
        </w:rPr>
        <w:t>full compatibility with Windows 7</w:t>
      </w:r>
      <w:r w:rsidR="0026766C" w:rsidRPr="001D08AC">
        <w:rPr>
          <w:vertAlign w:val="superscript"/>
          <w:lang w:val="en-US"/>
        </w:rPr>
        <w:t>®</w:t>
      </w:r>
      <w:r w:rsidR="0026766C" w:rsidRPr="001D08AC">
        <w:rPr>
          <w:lang w:val="en-US"/>
        </w:rPr>
        <w:t xml:space="preserve"> </w:t>
      </w:r>
      <w:r w:rsidR="0026766C" w:rsidRPr="001D08AC">
        <w:rPr>
          <w:rStyle w:val="FootnoteReference"/>
          <w:rFonts w:asciiTheme="majorBidi" w:hAnsiTheme="majorBidi" w:cstheme="majorBidi"/>
          <w:szCs w:val="24"/>
          <w:lang w:val="en-US" w:eastAsia="zh-CN"/>
        </w:rPr>
        <w:footnoteReference w:id="1"/>
      </w:r>
      <w:r w:rsidR="0026766C" w:rsidRPr="001D08AC">
        <w:rPr>
          <w:lang w:val="en-US" w:eastAsia="zh-CN"/>
        </w:rPr>
        <w:t>.</w:t>
      </w:r>
    </w:p>
    <w:p w:rsidR="0026766C" w:rsidRPr="001D08AC" w:rsidRDefault="004A7348" w:rsidP="004A7348">
      <w:pPr>
        <w:pStyle w:val="enumlev1"/>
        <w:rPr>
          <w:lang w:val="en-US" w:eastAsia="zh-CN"/>
        </w:rPr>
      </w:pPr>
      <w:r>
        <w:rPr>
          <w:lang w:val="en-US" w:eastAsia="zh-CN"/>
        </w:rPr>
        <w:t>•</w:t>
      </w:r>
      <w:r>
        <w:rPr>
          <w:lang w:val="en-US" w:eastAsia="zh-CN"/>
        </w:rPr>
        <w:tab/>
      </w:r>
      <w:r w:rsidR="0026766C" w:rsidRPr="001D08AC">
        <w:rPr>
          <w:lang w:val="en-US" w:eastAsia="zh-CN"/>
        </w:rPr>
        <w:t xml:space="preserve">the new BR IFIC DVD (Terrestrial Services) does not require the user to: </w:t>
      </w:r>
    </w:p>
    <w:p w:rsidR="0026766C" w:rsidRPr="001D08AC" w:rsidRDefault="004A7348" w:rsidP="004A7348">
      <w:pPr>
        <w:pStyle w:val="enumlev2"/>
        <w:rPr>
          <w:lang w:val="en-US" w:eastAsia="zh-CN"/>
        </w:rPr>
      </w:pPr>
      <w:r>
        <w:rPr>
          <w:lang w:val="en-US" w:eastAsia="zh-CN"/>
        </w:rPr>
        <w:t>–</w:t>
      </w:r>
      <w:r>
        <w:rPr>
          <w:lang w:val="en-US" w:eastAsia="zh-CN"/>
        </w:rPr>
        <w:tab/>
      </w:r>
      <w:r w:rsidR="0026766C" w:rsidRPr="001D08AC">
        <w:rPr>
          <w:lang w:val="en-US" w:eastAsia="zh-CN"/>
        </w:rPr>
        <w:t>have administrator privilege for using/installing the BR IFIC;</w:t>
      </w:r>
    </w:p>
    <w:p w:rsidR="0026766C" w:rsidRPr="001D08AC" w:rsidRDefault="004A7348" w:rsidP="004A7348">
      <w:pPr>
        <w:pStyle w:val="enumlev2"/>
        <w:rPr>
          <w:lang w:val="en-US" w:eastAsia="zh-CN"/>
        </w:rPr>
      </w:pPr>
      <w:r>
        <w:rPr>
          <w:lang w:val="en-US" w:eastAsia="zh-CN"/>
        </w:rPr>
        <w:t>–</w:t>
      </w:r>
      <w:r>
        <w:rPr>
          <w:lang w:val="en-US" w:eastAsia="zh-CN"/>
        </w:rPr>
        <w:tab/>
      </w:r>
      <w:r w:rsidR="0026766C" w:rsidRPr="001D08AC">
        <w:rPr>
          <w:lang w:val="en-US" w:eastAsia="zh-CN"/>
        </w:rPr>
        <w:t>adjust Windows</w:t>
      </w:r>
      <w:r w:rsidR="0026766C" w:rsidRPr="001D08AC">
        <w:rPr>
          <w:vertAlign w:val="superscript"/>
          <w:lang w:val="en-US"/>
        </w:rPr>
        <w:t>®</w:t>
      </w:r>
      <w:r w:rsidR="0026766C" w:rsidRPr="001D08AC">
        <w:rPr>
          <w:lang w:val="en-US" w:eastAsia="zh-CN"/>
        </w:rPr>
        <w:t xml:space="preserve"> security settings to install the database;</w:t>
      </w:r>
    </w:p>
    <w:p w:rsidR="0026766C" w:rsidRPr="001D08AC" w:rsidRDefault="004A7348" w:rsidP="00DF21CD">
      <w:pPr>
        <w:pStyle w:val="enumlev2"/>
        <w:rPr>
          <w:lang w:val="en-US" w:eastAsia="zh-CN"/>
        </w:rPr>
      </w:pPr>
      <w:r>
        <w:rPr>
          <w:lang w:val="en-US" w:eastAsia="zh-CN"/>
        </w:rPr>
        <w:t>–</w:t>
      </w:r>
      <w:r>
        <w:rPr>
          <w:lang w:val="en-US" w:eastAsia="zh-CN"/>
        </w:rPr>
        <w:tab/>
      </w:r>
      <w:r w:rsidR="0026766C" w:rsidRPr="001D08AC">
        <w:rPr>
          <w:lang w:val="en-US" w:eastAsia="zh-CN"/>
        </w:rPr>
        <w:t>have licen</w:t>
      </w:r>
      <w:r w:rsidR="00DF21CD">
        <w:rPr>
          <w:lang w:val="en-US" w:eastAsia="zh-CN"/>
        </w:rPr>
        <w:t>c</w:t>
      </w:r>
      <w:r w:rsidR="0026766C" w:rsidRPr="001D08AC">
        <w:rPr>
          <w:lang w:val="en-US" w:eastAsia="zh-CN"/>
        </w:rPr>
        <w:t>es for using the database.</w:t>
      </w:r>
    </w:p>
    <w:p w:rsidR="0026766C" w:rsidRPr="001D08AC" w:rsidRDefault="0026766C" w:rsidP="004A7348">
      <w:pPr>
        <w:rPr>
          <w:lang w:val="en-US"/>
        </w:rPr>
      </w:pPr>
      <w:r w:rsidRPr="001D08AC">
        <w:rPr>
          <w:lang w:val="en-US"/>
        </w:rPr>
        <w:lastRenderedPageBreak/>
        <w:t>During this test phase, the Bureau collected the comments and suggestions received and worked on enhancing the BR IFIC (Terrestrial Services) accordingly, so as to improve it and add more features to fulfil the administrations and subscribers needs. After several months of successful testing, the BR IFIC (Terrestrial Services) in its new format was presented and used for the workshops during the World Radiocommunication Seminar 2012 (WRS</w:t>
      </w:r>
      <w:r w:rsidRPr="001D08AC">
        <w:rPr>
          <w:lang w:val="en-US"/>
        </w:rPr>
        <w:noBreakHyphen/>
        <w:t>12), and the overall feedback was extremely satisfactory.</w:t>
      </w:r>
    </w:p>
    <w:p w:rsidR="0026766C" w:rsidRPr="001D08AC" w:rsidRDefault="0026766C" w:rsidP="004A7348">
      <w:pPr>
        <w:rPr>
          <w:lang w:val="en-US"/>
        </w:rPr>
      </w:pPr>
      <w:r w:rsidRPr="001D08AC">
        <w:rPr>
          <w:lang w:val="en-US"/>
        </w:rPr>
        <w:t>Consequently, the Bureau informed administrations in Circular Letter CR/344 that, as from the publication of BR IFIC No. 2739 of 5 March 2013, the former BR IFIC (Terrestrial Services) publication on DVD, based on the Microsoft Access</w:t>
      </w:r>
      <w:r w:rsidRPr="001D08AC">
        <w:rPr>
          <w:vertAlign w:val="superscript"/>
          <w:lang w:val="en-US"/>
        </w:rPr>
        <w:t>®</w:t>
      </w:r>
      <w:r w:rsidRPr="001D08AC">
        <w:rPr>
          <w:lang w:val="en-US"/>
        </w:rPr>
        <w:t xml:space="preserve"> database, will be discontinued and replaced by the new one using the SQLite database management system. </w:t>
      </w:r>
    </w:p>
    <w:p w:rsidR="0026766C" w:rsidRPr="001D08AC" w:rsidRDefault="0026766C" w:rsidP="004A7348">
      <w:pPr>
        <w:pStyle w:val="Heading1"/>
        <w:rPr>
          <w:lang w:val="en-US"/>
        </w:rPr>
      </w:pPr>
      <w:r w:rsidRPr="001D08AC">
        <w:rPr>
          <w:rFonts w:asciiTheme="majorBidi" w:eastAsiaTheme="minorEastAsia" w:hAnsiTheme="majorBidi" w:cstheme="majorBidi"/>
          <w:szCs w:val="24"/>
          <w:lang w:val="en-US"/>
        </w:rPr>
        <w:t xml:space="preserve">11 </w:t>
      </w:r>
      <w:r w:rsidRPr="001D08AC">
        <w:rPr>
          <w:rFonts w:asciiTheme="majorBidi" w:eastAsiaTheme="minorEastAsia" w:hAnsiTheme="majorBidi" w:cstheme="majorBidi"/>
          <w:szCs w:val="24"/>
          <w:lang w:val="en-US"/>
        </w:rPr>
        <w:tab/>
      </w:r>
      <w:r w:rsidRPr="001D08AC">
        <w:rPr>
          <w:lang w:val="en-US"/>
        </w:rPr>
        <w:t>Statistics on Sector Members, Associates and Academia</w:t>
      </w:r>
    </w:p>
    <w:p w:rsidR="0026766C" w:rsidRPr="001D08AC" w:rsidRDefault="0026766C" w:rsidP="004A7348">
      <w:pPr>
        <w:rPr>
          <w:lang w:val="en-US"/>
        </w:rPr>
      </w:pPr>
      <w:r w:rsidRPr="001D08AC">
        <w:rPr>
          <w:lang w:val="en-US"/>
        </w:rPr>
        <w:t>This topic is presented in an addendum to this document.</w:t>
      </w: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rsidP="004A7348">
      <w:pPr>
        <w:rPr>
          <w:rFonts w:eastAsiaTheme="minorEastAsia"/>
          <w:lang w:val="en-US"/>
        </w:rPr>
      </w:pPr>
    </w:p>
    <w:p w:rsidR="0026766C" w:rsidRPr="001D08AC" w:rsidRDefault="0026766C">
      <w:pPr>
        <w:tabs>
          <w:tab w:val="clear" w:pos="794"/>
          <w:tab w:val="clear" w:pos="1191"/>
          <w:tab w:val="clear" w:pos="1588"/>
          <w:tab w:val="clear" w:pos="1985"/>
        </w:tabs>
        <w:overflowPunct/>
        <w:autoSpaceDE/>
        <w:autoSpaceDN/>
        <w:adjustRightInd/>
        <w:spacing w:before="0"/>
        <w:textAlignment w:val="auto"/>
        <w:rPr>
          <w:rFonts w:asciiTheme="majorBidi" w:eastAsiaTheme="minorEastAsia" w:hAnsiTheme="majorBidi" w:cstheme="majorBidi"/>
          <w:szCs w:val="24"/>
          <w:lang w:val="en-US"/>
        </w:rPr>
      </w:pPr>
    </w:p>
    <w:p w:rsidR="004A7348" w:rsidRDefault="0026766C" w:rsidP="004A7348">
      <w:pPr>
        <w:tabs>
          <w:tab w:val="clear" w:pos="794"/>
          <w:tab w:val="clear" w:pos="1191"/>
          <w:tab w:val="clear" w:pos="1588"/>
          <w:tab w:val="clear" w:pos="1985"/>
        </w:tabs>
        <w:overflowPunct/>
        <w:autoSpaceDE/>
        <w:autoSpaceDN/>
        <w:adjustRightInd/>
        <w:spacing w:before="0"/>
        <w:textAlignment w:val="auto"/>
      </w:pPr>
      <w:r w:rsidRPr="001D08AC">
        <w:rPr>
          <w:b/>
          <w:bCs/>
          <w:lang w:val="en-US"/>
        </w:rPr>
        <w:t>Annexes:</w:t>
      </w:r>
      <w:r w:rsidR="004A7348">
        <w:rPr>
          <w:b/>
          <w:bCs/>
          <w:lang w:val="en-US"/>
        </w:rPr>
        <w:t xml:space="preserve"> </w:t>
      </w:r>
      <w:r w:rsidRPr="004A7348">
        <w:t>2</w:t>
      </w:r>
    </w:p>
    <w:p w:rsidR="0026766C" w:rsidRPr="001D08AC" w:rsidRDefault="0026766C" w:rsidP="004A7348">
      <w:pPr>
        <w:tabs>
          <w:tab w:val="clear" w:pos="794"/>
          <w:tab w:val="clear" w:pos="1191"/>
          <w:tab w:val="clear" w:pos="1588"/>
          <w:tab w:val="clear" w:pos="1985"/>
        </w:tabs>
        <w:overflowPunct/>
        <w:autoSpaceDE/>
        <w:autoSpaceDN/>
        <w:adjustRightInd/>
        <w:spacing w:before="0"/>
        <w:textAlignment w:val="auto"/>
        <w:rPr>
          <w:b/>
          <w:bCs/>
          <w:lang w:val="en-US"/>
        </w:rPr>
      </w:pPr>
      <w:r w:rsidRPr="001D08AC">
        <w:rPr>
          <w:b/>
          <w:bCs/>
          <w:lang w:val="en-US"/>
        </w:rPr>
        <w:br w:type="page"/>
      </w:r>
    </w:p>
    <w:p w:rsidR="0026766C" w:rsidRPr="001D08AC" w:rsidRDefault="0026766C" w:rsidP="001857B5">
      <w:pPr>
        <w:pStyle w:val="AnnexNotitle"/>
        <w:rPr>
          <w:lang w:val="en-US"/>
        </w:rPr>
      </w:pPr>
      <w:r w:rsidRPr="001D08AC">
        <w:rPr>
          <w:lang w:val="en-US"/>
        </w:rPr>
        <w:lastRenderedPageBreak/>
        <w:t>Annex 1</w:t>
      </w:r>
    </w:p>
    <w:p w:rsidR="0026766C" w:rsidRPr="001D08AC" w:rsidRDefault="0026766C">
      <w:pPr>
        <w:rPr>
          <w:lang w:val="en-US"/>
        </w:rPr>
      </w:pPr>
    </w:p>
    <w:tbl>
      <w:tblPr>
        <w:tblStyle w:val="TableGrid"/>
        <w:tblW w:w="0" w:type="auto"/>
        <w:tblInd w:w="392" w:type="dxa"/>
        <w:tblLook w:val="04A0" w:firstRow="1" w:lastRow="0" w:firstColumn="1" w:lastColumn="0" w:noHBand="0" w:noVBand="1"/>
      </w:tblPr>
      <w:tblGrid>
        <w:gridCol w:w="9184"/>
      </w:tblGrid>
      <w:tr w:rsidR="0026766C" w:rsidRPr="001D08AC" w:rsidTr="001D08AC">
        <w:tc>
          <w:tcPr>
            <w:tcW w:w="9184" w:type="dxa"/>
          </w:tcPr>
          <w:p w:rsidR="0026766C" w:rsidRPr="001D08AC" w:rsidRDefault="0026766C" w:rsidP="001857B5">
            <w:pPr>
              <w:pStyle w:val="Tablehead"/>
              <w:rPr>
                <w:lang w:val="en-US"/>
              </w:rPr>
            </w:pPr>
            <w:r w:rsidRPr="001D08AC">
              <w:rPr>
                <w:lang w:val="en-US"/>
              </w:rPr>
              <w:t>BR Information Systems</w:t>
            </w:r>
          </w:p>
        </w:tc>
      </w:tr>
      <w:tr w:rsidR="0026766C" w:rsidRPr="001D08AC" w:rsidTr="001D08AC">
        <w:tc>
          <w:tcPr>
            <w:tcW w:w="9184" w:type="dxa"/>
          </w:tcPr>
          <w:p w:rsidR="0026766C" w:rsidRPr="001D08AC" w:rsidRDefault="0026766C" w:rsidP="00DF21CD">
            <w:pPr>
              <w:pStyle w:val="Tablehead"/>
              <w:rPr>
                <w:lang w:val="en-US"/>
              </w:rPr>
            </w:pPr>
            <w:r w:rsidRPr="001D08AC">
              <w:rPr>
                <w:lang w:val="en-US"/>
              </w:rPr>
              <w:t>Phase 1</w:t>
            </w:r>
            <w:r w:rsidR="00DF21CD">
              <w:rPr>
                <w:lang w:val="en-US"/>
              </w:rPr>
              <w:t>:</w:t>
            </w:r>
            <w:r w:rsidR="001F434A">
              <w:rPr>
                <w:lang w:val="en-US"/>
              </w:rPr>
              <w:t xml:space="preserve"> </w:t>
            </w:r>
            <w:r w:rsidRPr="001D08AC">
              <w:rPr>
                <w:rFonts w:asciiTheme="majorBidi" w:hAnsiTheme="majorBidi" w:cstheme="majorBidi"/>
                <w:lang w:val="en-US"/>
              </w:rPr>
              <w:t>1 April 2012 – 31 December 2012</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t>Implement WRC-12 decisions</w:t>
            </w:r>
            <w:r w:rsidRPr="00DF21CD">
              <w:rPr>
                <w:b/>
                <w:bCs/>
                <w:lang w:val="en-US"/>
              </w:rPr>
              <w:t>.</w:t>
            </w:r>
            <w:r w:rsidR="001F434A" w:rsidRPr="00DF21CD">
              <w:rPr>
                <w:lang w:val="en-US"/>
              </w:rPr>
              <w:t xml:space="preserve"> </w:t>
            </w:r>
            <w:r w:rsidRPr="00DF21CD">
              <w:rPr>
                <w:lang w:val="en-US"/>
              </w:rPr>
              <w:t>SNS Database modified and all BR Space Software adapted and distributed to administrations on January 2013.</w:t>
            </w:r>
            <w:r w:rsidR="001F434A" w:rsidRPr="00DF21CD">
              <w:rPr>
                <w:lang w:val="en-US"/>
              </w:rPr>
              <w:t xml:space="preserve"> </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t>Resolution 907</w:t>
            </w:r>
            <w:r w:rsidR="001F434A" w:rsidRPr="00DF21CD">
              <w:rPr>
                <w:lang w:val="en-US"/>
              </w:rPr>
              <w:t xml:space="preserve"> – </w:t>
            </w:r>
            <w:r w:rsidRPr="00DF21CD">
              <w:rPr>
                <w:lang w:val="en-US"/>
              </w:rPr>
              <w:t>Analysis and design of modern means of communication for Resolution 907 making good progress.</w:t>
            </w:r>
            <w:r w:rsidR="001F434A" w:rsidRPr="00DF21CD">
              <w:rPr>
                <w:lang w:val="en-US"/>
              </w:rPr>
              <w:t xml:space="preserve"> </w:t>
            </w:r>
            <w:r w:rsidRPr="00DF21CD">
              <w:rPr>
                <w:lang w:val="en-US"/>
              </w:rPr>
              <w:t xml:space="preserve">This project addresses many aspects of </w:t>
            </w:r>
            <w:r w:rsidR="001F434A" w:rsidRPr="00DF21CD">
              <w:rPr>
                <w:lang w:val="en-US"/>
              </w:rPr>
              <w:t>web</w:t>
            </w:r>
            <w:r w:rsidRPr="00DF21CD">
              <w:rPr>
                <w:lang w:val="en-US"/>
              </w:rPr>
              <w:t xml:space="preserve"> development that will be valuable for future BR </w:t>
            </w:r>
            <w:r w:rsidR="001F434A" w:rsidRPr="00DF21CD">
              <w:rPr>
                <w:lang w:val="en-US"/>
              </w:rPr>
              <w:t>web</w:t>
            </w:r>
            <w:r w:rsidRPr="00DF21CD">
              <w:rPr>
                <w:lang w:val="en-US"/>
              </w:rPr>
              <w:t xml:space="preserve"> application development:</w:t>
            </w:r>
            <w:r w:rsidR="001F434A" w:rsidRPr="00DF21CD">
              <w:rPr>
                <w:lang w:val="en-US"/>
              </w:rPr>
              <w:t xml:space="preserve"> </w:t>
            </w:r>
          </w:p>
          <w:p w:rsidR="0026766C" w:rsidRPr="00DF21CD" w:rsidRDefault="001857B5" w:rsidP="001857B5">
            <w:pPr>
              <w:pStyle w:val="Tabletext"/>
              <w:ind w:left="284" w:hanging="284"/>
              <w:rPr>
                <w:lang w:val="en-US"/>
              </w:rPr>
            </w:pPr>
            <w:r w:rsidRPr="00DF21CD">
              <w:rPr>
                <w:lang w:val="en-US"/>
              </w:rPr>
              <w:t>–</w:t>
            </w:r>
            <w:r w:rsidRPr="00DF21CD">
              <w:rPr>
                <w:lang w:val="en-US"/>
              </w:rPr>
              <w:tab/>
            </w:r>
            <w:r w:rsidR="0026766C" w:rsidRPr="00DF21CD">
              <w:rPr>
                <w:lang w:val="en-US"/>
              </w:rPr>
              <w:t>Security – secure identification of a Notifying Administration.</w:t>
            </w:r>
          </w:p>
          <w:p w:rsidR="0026766C" w:rsidRPr="00DF21CD" w:rsidRDefault="001857B5" w:rsidP="001857B5">
            <w:pPr>
              <w:pStyle w:val="Tabletext"/>
              <w:ind w:left="284" w:hanging="284"/>
              <w:rPr>
                <w:lang w:val="en-US"/>
              </w:rPr>
            </w:pPr>
            <w:r w:rsidRPr="00DF21CD">
              <w:rPr>
                <w:lang w:val="en-US"/>
              </w:rPr>
              <w:t>–</w:t>
            </w:r>
            <w:r w:rsidRPr="00DF21CD">
              <w:rPr>
                <w:lang w:val="en-US"/>
              </w:rPr>
              <w:tab/>
            </w:r>
            <w:r w:rsidR="0026766C" w:rsidRPr="00DF21CD">
              <w:rPr>
                <w:lang w:val="en-US"/>
              </w:rPr>
              <w:t>Reliability – ensure that submission of filings and correspondence are complete and dependable.</w:t>
            </w:r>
          </w:p>
          <w:p w:rsidR="0026766C" w:rsidRPr="00DF21CD" w:rsidRDefault="001857B5" w:rsidP="001857B5">
            <w:pPr>
              <w:pStyle w:val="Tabletext"/>
              <w:ind w:left="284" w:hanging="284"/>
              <w:rPr>
                <w:lang w:val="en-US"/>
              </w:rPr>
            </w:pPr>
            <w:r w:rsidRPr="00DF21CD">
              <w:rPr>
                <w:lang w:val="en-US"/>
              </w:rPr>
              <w:t>–</w:t>
            </w:r>
            <w:r w:rsidRPr="00DF21CD">
              <w:rPr>
                <w:lang w:val="en-US"/>
              </w:rPr>
              <w:tab/>
            </w:r>
            <w:r w:rsidR="0026766C" w:rsidRPr="00DF21CD">
              <w:rPr>
                <w:lang w:val="en-US"/>
              </w:rPr>
              <w:t>Ease of use – although the application must be secure and reliable, it must also be easy to use and the security aspect should not be cumbersome.</w:t>
            </w:r>
          </w:p>
          <w:p w:rsidR="0026766C" w:rsidRPr="00DF21CD" w:rsidRDefault="001857B5" w:rsidP="001857B5">
            <w:pPr>
              <w:pStyle w:val="Tabletext"/>
              <w:ind w:left="284" w:hanging="284"/>
              <w:rPr>
                <w:lang w:val="en-US"/>
              </w:rPr>
            </w:pPr>
            <w:r w:rsidRPr="00DF21CD">
              <w:rPr>
                <w:lang w:val="en-US"/>
              </w:rPr>
              <w:t>–</w:t>
            </w:r>
            <w:r w:rsidRPr="00DF21CD">
              <w:rPr>
                <w:lang w:val="en-US"/>
              </w:rPr>
              <w:tab/>
            </w:r>
            <w:r w:rsidR="0026766C" w:rsidRPr="00DF21CD">
              <w:rPr>
                <w:lang w:val="en-US"/>
              </w:rPr>
              <w:t>Alert</w:t>
            </w:r>
            <w:r w:rsidR="001F434A" w:rsidRPr="00DF21CD">
              <w:rPr>
                <w:lang w:val="en-US"/>
              </w:rPr>
              <w:t xml:space="preserve"> – </w:t>
            </w:r>
            <w:r w:rsidR="0026766C" w:rsidRPr="00DF21CD">
              <w:rPr>
                <w:lang w:val="en-US"/>
              </w:rPr>
              <w:t>an administration must be made aware whenever a document is available for them.</w:t>
            </w:r>
          </w:p>
          <w:p w:rsidR="0026766C" w:rsidRPr="00DF21CD" w:rsidRDefault="001857B5" w:rsidP="001857B5">
            <w:pPr>
              <w:pStyle w:val="Tabletext"/>
              <w:ind w:left="284" w:hanging="284"/>
              <w:rPr>
                <w:lang w:val="en-US"/>
              </w:rPr>
            </w:pPr>
            <w:r w:rsidRPr="00DF21CD">
              <w:rPr>
                <w:lang w:val="en-US"/>
              </w:rPr>
              <w:t>–</w:t>
            </w:r>
            <w:r w:rsidRPr="00DF21CD">
              <w:rPr>
                <w:lang w:val="en-US"/>
              </w:rPr>
              <w:tab/>
            </w:r>
            <w:r w:rsidR="0026766C" w:rsidRPr="00DF21CD">
              <w:rPr>
                <w:lang w:val="en-US"/>
              </w:rPr>
              <w:t>Traceability – all activities must be logged so that no document or submission is left untreated.</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t>Resolution 908</w:t>
            </w:r>
            <w:r w:rsidR="001F434A" w:rsidRPr="00DF21CD">
              <w:rPr>
                <w:lang w:val="en-US"/>
              </w:rPr>
              <w:t xml:space="preserve"> – </w:t>
            </w:r>
            <w:r w:rsidRPr="00DF21CD">
              <w:rPr>
                <w:lang w:val="en-US"/>
              </w:rPr>
              <w:t xml:space="preserve">Electronic submission and publication of Advance Publication filings subject to coordination. Design and development </w:t>
            </w:r>
            <w:r w:rsidR="001F434A" w:rsidRPr="00DF21CD">
              <w:rPr>
                <w:lang w:val="en-US"/>
              </w:rPr>
              <w:t>ongoing</w:t>
            </w:r>
            <w:r w:rsidRPr="00DF21CD">
              <w:rPr>
                <w:lang w:val="en-US"/>
              </w:rPr>
              <w:t xml:space="preserve">. This project will be developed using the infrastructure developed for Resolution 907. </w:t>
            </w:r>
          </w:p>
        </w:tc>
      </w:tr>
      <w:tr w:rsidR="0026766C" w:rsidRPr="001D08AC" w:rsidTr="001D08AC">
        <w:tc>
          <w:tcPr>
            <w:tcW w:w="9184" w:type="dxa"/>
          </w:tcPr>
          <w:p w:rsidR="0026766C" w:rsidRPr="00DF21CD" w:rsidRDefault="0026766C" w:rsidP="001857B5">
            <w:pPr>
              <w:pStyle w:val="Tabletext"/>
              <w:rPr>
                <w:rStyle w:val="IntenseEmphasis"/>
                <w:b w:val="0"/>
                <w:bCs w:val="0"/>
                <w:i w:val="0"/>
                <w:iCs w:val="0"/>
                <w:color w:val="auto"/>
                <w:lang w:val="en-US"/>
              </w:rPr>
            </w:pPr>
            <w:r w:rsidRPr="00DF21CD">
              <w:rPr>
                <w:rStyle w:val="IntenseEmphasis"/>
                <w:color w:val="auto"/>
                <w:lang w:val="en-US"/>
              </w:rPr>
              <w:t>Business Continuity and Disaster Recovery – ongoing task</w:t>
            </w:r>
          </w:p>
          <w:p w:rsidR="0026766C" w:rsidRPr="00DF21CD" w:rsidRDefault="0026766C" w:rsidP="001857B5">
            <w:pPr>
              <w:pStyle w:val="Tabletext"/>
              <w:rPr>
                <w:lang w:val="en-US"/>
              </w:rPr>
            </w:pPr>
            <w:r w:rsidRPr="00DF21CD">
              <w:rPr>
                <w:lang w:val="en-US"/>
              </w:rPr>
              <w:t>Identified the Scope for the BR.</w:t>
            </w:r>
          </w:p>
          <w:p w:rsidR="0026766C" w:rsidRPr="00DF21CD" w:rsidRDefault="0026766C" w:rsidP="001857B5">
            <w:pPr>
              <w:pStyle w:val="Tabletext"/>
              <w:rPr>
                <w:lang w:val="en-US"/>
              </w:rPr>
            </w:pPr>
            <w:r w:rsidRPr="00DF21CD">
              <w:rPr>
                <w:lang w:val="en-US"/>
              </w:rPr>
              <w:t>Ensure integrity and accuracy of the Master Register and various Plans for Space and Terrestrial Services.</w:t>
            </w:r>
          </w:p>
          <w:p w:rsidR="0026766C" w:rsidRPr="00DF21CD" w:rsidRDefault="0026766C" w:rsidP="001857B5">
            <w:pPr>
              <w:pStyle w:val="Tabletext"/>
              <w:rPr>
                <w:lang w:val="en-US"/>
              </w:rPr>
            </w:pPr>
            <w:r w:rsidRPr="00DF21CD">
              <w:rPr>
                <w:lang w:val="en-US"/>
              </w:rPr>
              <w:t>Ensure that incoming submissions are processed and that the backlog generated by a disruption of service is acceptable.</w:t>
            </w:r>
          </w:p>
          <w:p w:rsidR="0026766C" w:rsidRPr="00DF21CD" w:rsidRDefault="0026766C" w:rsidP="001857B5">
            <w:pPr>
              <w:pStyle w:val="Tabletext"/>
              <w:rPr>
                <w:lang w:val="en-US"/>
              </w:rPr>
            </w:pPr>
            <w:r w:rsidRPr="00DF21CD">
              <w:rPr>
                <w:lang w:val="en-US"/>
              </w:rPr>
              <w:t>Ensure the fortnightly BR</w:t>
            </w:r>
            <w:r w:rsidR="00DF21CD">
              <w:rPr>
                <w:lang w:val="en-US"/>
              </w:rPr>
              <w:t xml:space="preserve"> </w:t>
            </w:r>
            <w:r w:rsidRPr="00DF21CD">
              <w:rPr>
                <w:lang w:val="en-US"/>
              </w:rPr>
              <w:t>IFIC Publication</w:t>
            </w:r>
          </w:p>
          <w:p w:rsidR="0026766C" w:rsidRPr="00DF21CD" w:rsidRDefault="0026766C" w:rsidP="001857B5">
            <w:pPr>
              <w:pStyle w:val="Tabletext"/>
              <w:rPr>
                <w:lang w:val="en-US"/>
              </w:rPr>
            </w:pPr>
            <w:r w:rsidRPr="00DF21CD">
              <w:rPr>
                <w:lang w:val="en-US"/>
              </w:rPr>
              <w:t>Made an inventory of data and software that must be protected in order to ensure business continuity within the BR.</w:t>
            </w:r>
          </w:p>
          <w:p w:rsidR="0026766C" w:rsidRPr="00DF21CD" w:rsidRDefault="0026766C" w:rsidP="001857B5">
            <w:pPr>
              <w:pStyle w:val="Tabletext"/>
              <w:rPr>
                <w:lang w:val="en-US"/>
              </w:rPr>
            </w:pPr>
            <w:r w:rsidRPr="00DF21CD">
              <w:rPr>
                <w:lang w:val="en-US"/>
              </w:rPr>
              <w:t xml:space="preserve">Identified business critical services. </w:t>
            </w:r>
          </w:p>
          <w:p w:rsidR="0026766C" w:rsidRPr="00DF21CD" w:rsidRDefault="0026766C" w:rsidP="001857B5">
            <w:pPr>
              <w:pStyle w:val="Tabletext"/>
              <w:rPr>
                <w:lang w:val="en-US"/>
              </w:rPr>
            </w:pPr>
            <w:r w:rsidRPr="00DF21CD">
              <w:rPr>
                <w:lang w:val="en-US"/>
              </w:rPr>
              <w:t>Training</w:t>
            </w:r>
            <w:r w:rsidR="001F434A" w:rsidRPr="00DF21CD">
              <w:rPr>
                <w:lang w:val="en-US"/>
              </w:rPr>
              <w:t xml:space="preserve"> – </w:t>
            </w:r>
            <w:r w:rsidRPr="00DF21CD">
              <w:rPr>
                <w:lang w:val="en-US"/>
              </w:rPr>
              <w:t>2 persons from BR participated in a Practical Computer Security course given by EPFL in Lausanne.</w:t>
            </w:r>
          </w:p>
        </w:tc>
      </w:tr>
      <w:tr w:rsidR="0026766C" w:rsidRPr="001D08AC" w:rsidTr="001D08AC">
        <w:tc>
          <w:tcPr>
            <w:tcW w:w="9184" w:type="dxa"/>
          </w:tcPr>
          <w:p w:rsidR="0026766C" w:rsidRPr="00DF21CD" w:rsidRDefault="0026766C" w:rsidP="001857B5">
            <w:pPr>
              <w:pStyle w:val="Tabletext"/>
              <w:rPr>
                <w:lang w:val="en-US"/>
              </w:rPr>
            </w:pPr>
            <w:r w:rsidRPr="00DF21CD">
              <w:rPr>
                <w:lang w:val="en-US"/>
              </w:rPr>
              <w:t>Phase 2</w:t>
            </w:r>
            <w:r w:rsidR="001F434A" w:rsidRPr="00DF21CD">
              <w:rPr>
                <w:lang w:val="en-US"/>
              </w:rPr>
              <w:t xml:space="preserve"> – </w:t>
            </w:r>
            <w:r w:rsidRPr="00DF21CD">
              <w:rPr>
                <w:rFonts w:asciiTheme="majorBidi" w:hAnsiTheme="majorBidi" w:cstheme="majorBidi"/>
                <w:lang w:val="en-US"/>
              </w:rPr>
              <w:t>1 April 2012 – 30 December 2015</w:t>
            </w:r>
            <w:r w:rsidR="00DF21CD">
              <w:rPr>
                <w:rFonts w:asciiTheme="majorBidi" w:hAnsiTheme="majorBidi" w:cstheme="majorBidi"/>
                <w:lang w:val="en-US"/>
              </w:rPr>
              <w:t>.</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t>Resolutions 907/908</w:t>
            </w:r>
            <w:r w:rsidRPr="00DF21CD">
              <w:rPr>
                <w:i/>
                <w:iCs/>
                <w:lang w:val="en-US"/>
              </w:rPr>
              <w:t xml:space="preserve"> – </w:t>
            </w:r>
            <w:r w:rsidRPr="00DF21CD">
              <w:rPr>
                <w:lang w:val="en-US"/>
              </w:rPr>
              <w:t>continue development and provide web applications for testing by administrations early 2014</w:t>
            </w:r>
            <w:r w:rsidR="00DF21CD">
              <w:rPr>
                <w:lang w:val="en-US"/>
              </w:rPr>
              <w:t>.</w:t>
            </w:r>
          </w:p>
        </w:tc>
      </w:tr>
      <w:tr w:rsidR="0026766C" w:rsidRPr="001D08AC" w:rsidTr="001D08AC">
        <w:tc>
          <w:tcPr>
            <w:tcW w:w="9184" w:type="dxa"/>
          </w:tcPr>
          <w:p w:rsidR="0026766C" w:rsidRPr="00DF21CD" w:rsidRDefault="0026766C" w:rsidP="001857B5">
            <w:pPr>
              <w:pStyle w:val="Tabletext"/>
              <w:rPr>
                <w:rStyle w:val="IntenseEmphasis"/>
                <w:b w:val="0"/>
                <w:bCs w:val="0"/>
                <w:i w:val="0"/>
                <w:iCs w:val="0"/>
                <w:color w:val="auto"/>
                <w:lang w:val="en-US"/>
              </w:rPr>
            </w:pPr>
            <w:r w:rsidRPr="00DF21CD">
              <w:rPr>
                <w:rStyle w:val="IntenseEmphasis"/>
                <w:color w:val="auto"/>
                <w:lang w:val="en-US"/>
              </w:rPr>
              <w:t xml:space="preserve">Business Continuity and Disaster Recovery </w:t>
            </w:r>
          </w:p>
          <w:p w:rsidR="0026766C" w:rsidRPr="00DF21CD" w:rsidRDefault="0026766C" w:rsidP="001857B5">
            <w:pPr>
              <w:pStyle w:val="Tabletext"/>
              <w:rPr>
                <w:lang w:val="en-US"/>
              </w:rPr>
            </w:pPr>
            <w:r w:rsidRPr="00DF21CD">
              <w:rPr>
                <w:lang w:val="en-US"/>
              </w:rPr>
              <w:t>Based on the work done in Phase 1</w:t>
            </w:r>
            <w:r w:rsidR="001F434A" w:rsidRPr="00DF21CD">
              <w:rPr>
                <w:lang w:val="en-US"/>
              </w:rPr>
              <w:t xml:space="preserve"> – </w:t>
            </w:r>
            <w:r w:rsidRPr="00DF21CD">
              <w:rPr>
                <w:lang w:val="en-US"/>
              </w:rPr>
              <w:t>develop and test a plan for the BR Information Systems</w:t>
            </w:r>
            <w:r w:rsidR="00DF21CD">
              <w:rPr>
                <w:lang w:val="en-US"/>
              </w:rPr>
              <w:t>.</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t>Rewrite technical examination software written in Cobol</w:t>
            </w:r>
            <w:r w:rsidRPr="00DF21CD">
              <w:rPr>
                <w:lang w:val="en-US"/>
              </w:rPr>
              <w:t xml:space="preserve"> – task initiated</w:t>
            </w:r>
            <w:r w:rsidR="00DF21CD">
              <w:rPr>
                <w:lang w:val="en-US"/>
              </w:rPr>
              <w:t>.</w:t>
            </w:r>
            <w:r w:rsidRPr="00DF21CD">
              <w:rPr>
                <w:lang w:val="en-US"/>
              </w:rPr>
              <w:t xml:space="preserve"> </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t>Design and develop the BR Space Information System</w:t>
            </w:r>
            <w:r w:rsidRPr="00DF21CD">
              <w:rPr>
                <w:i/>
                <w:iCs/>
                <w:lang w:val="en-US"/>
              </w:rPr>
              <w:t xml:space="preserve"> </w:t>
            </w:r>
            <w:r w:rsidRPr="00DF21CD">
              <w:rPr>
                <w:lang w:val="en-US"/>
              </w:rPr>
              <w:t>– currently BR Space has many standalone applications written in VB6 and VO with their own specific interface. The aim is to build one single user interface that will integrate in the future all BR Space services using state-of-the-art technologies.</w:t>
            </w:r>
            <w:r w:rsidR="001F434A" w:rsidRPr="00DF21CD">
              <w:rPr>
                <w:lang w:val="en-US"/>
              </w:rPr>
              <w:t xml:space="preserve"> </w:t>
            </w:r>
            <w:r w:rsidRPr="00DF21CD">
              <w:rPr>
                <w:lang w:val="en-US"/>
              </w:rPr>
              <w:t xml:space="preserve">This task has been initiated and the proposed architecture validated with a prototype: </w:t>
            </w:r>
          </w:p>
          <w:p w:rsidR="0026766C" w:rsidRPr="00DF21CD" w:rsidRDefault="00DF21CD" w:rsidP="00DF21CD">
            <w:pPr>
              <w:pStyle w:val="Tabletext"/>
              <w:ind w:left="284" w:hanging="284"/>
              <w:rPr>
                <w:lang w:val="en-US"/>
              </w:rPr>
            </w:pPr>
            <w:r w:rsidRPr="00DF21CD">
              <w:rPr>
                <w:lang w:val="en-US"/>
              </w:rPr>
              <w:t>–</w:t>
            </w:r>
            <w:r w:rsidRPr="00DF21CD">
              <w:rPr>
                <w:lang w:val="en-US"/>
              </w:rPr>
              <w:tab/>
            </w:r>
            <w:r w:rsidR="0026766C" w:rsidRPr="00DF21CD">
              <w:rPr>
                <w:lang w:val="en-US"/>
              </w:rPr>
              <w:t xml:space="preserve">It is based on Service Oriented Architecture (SOA). The SOA separates the user interface from the service implementation. Each BR Space application will be exposed as an autonomous WCF (Windows Communication Foundation) service and can be easily deployed across both Windows and web platforms. </w:t>
            </w:r>
          </w:p>
          <w:p w:rsidR="0026766C" w:rsidRPr="00DF21CD" w:rsidRDefault="00DF21CD" w:rsidP="00DF21CD">
            <w:pPr>
              <w:pStyle w:val="Tabletext"/>
              <w:ind w:left="284" w:hanging="284"/>
              <w:rPr>
                <w:lang w:val="en-US"/>
              </w:rPr>
            </w:pPr>
            <w:r w:rsidRPr="00DF21CD">
              <w:rPr>
                <w:lang w:val="en-US"/>
              </w:rPr>
              <w:t>–</w:t>
            </w:r>
            <w:r w:rsidRPr="00DF21CD">
              <w:rPr>
                <w:lang w:val="en-US"/>
              </w:rPr>
              <w:tab/>
            </w:r>
            <w:r w:rsidR="0026766C" w:rsidRPr="00DF21CD">
              <w:rPr>
                <w:lang w:val="en-US"/>
              </w:rPr>
              <w:t xml:space="preserve">WPF (Windows Presentation Foundation) technology is considered to be used for the design and development of the User Interface (UI). WPF is the leading modern UI design tool. WPF separates the presentation design layer from the logic layer. </w:t>
            </w:r>
          </w:p>
          <w:p w:rsidR="0026766C" w:rsidRPr="00DF21CD" w:rsidRDefault="00DF21CD" w:rsidP="00DF21CD">
            <w:pPr>
              <w:pStyle w:val="Tabletext"/>
              <w:ind w:left="284" w:hanging="284"/>
              <w:rPr>
                <w:lang w:val="en-US"/>
              </w:rPr>
            </w:pPr>
            <w:r w:rsidRPr="00DF21CD">
              <w:rPr>
                <w:lang w:val="en-US"/>
              </w:rPr>
              <w:lastRenderedPageBreak/>
              <w:t>–</w:t>
            </w:r>
            <w:r w:rsidRPr="00DF21CD">
              <w:rPr>
                <w:lang w:val="en-US"/>
              </w:rPr>
              <w:tab/>
            </w:r>
            <w:r w:rsidR="0026766C" w:rsidRPr="00DF21CD">
              <w:rPr>
                <w:lang w:val="en-US"/>
              </w:rPr>
              <w:t>The whole system uses a composite application design pattern (Prism is the Composite Application Guidance for WPF). This improves the system modularity and allows developers</w:t>
            </w:r>
            <w:r w:rsidR="001F434A" w:rsidRPr="00DF21CD">
              <w:rPr>
                <w:lang w:val="en-US"/>
              </w:rPr>
              <w:t xml:space="preserve"> </w:t>
            </w:r>
            <w:r w:rsidR="0026766C" w:rsidRPr="00DF21CD">
              <w:rPr>
                <w:lang w:val="en-US"/>
              </w:rPr>
              <w:t xml:space="preserve">to build and maintain system modules independently. </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lastRenderedPageBreak/>
              <w:t>Rewrite SpaceQry written in VO</w:t>
            </w:r>
            <w:r w:rsidRPr="00DF21CD">
              <w:rPr>
                <w:b/>
                <w:bCs/>
                <w:lang w:val="en-US"/>
              </w:rPr>
              <w:t xml:space="preserve"> –</w:t>
            </w:r>
            <w:r w:rsidRPr="00DF21CD">
              <w:rPr>
                <w:lang w:val="en-US"/>
              </w:rPr>
              <w:t xml:space="preserve"> analysis and design initiated</w:t>
            </w:r>
          </w:p>
          <w:p w:rsidR="0026766C" w:rsidRPr="00DF21CD" w:rsidRDefault="0026766C" w:rsidP="001857B5">
            <w:pPr>
              <w:pStyle w:val="Tabletext"/>
              <w:rPr>
                <w:lang w:val="en-US"/>
              </w:rPr>
            </w:pPr>
            <w:r w:rsidRPr="00DF21CD">
              <w:rPr>
                <w:lang w:val="en-US"/>
              </w:rPr>
              <w:t xml:space="preserve">SpaceQry will be the first application rewritten in the </w:t>
            </w:r>
            <w:r w:rsidRPr="00DF21CD">
              <w:rPr>
                <w:i/>
                <w:iCs/>
                <w:lang w:val="en-US"/>
              </w:rPr>
              <w:t>BR Space Information System</w:t>
            </w:r>
            <w:r w:rsidRPr="00DF21CD">
              <w:rPr>
                <w:lang w:val="en-US"/>
              </w:rPr>
              <w:t xml:space="preserve"> following the selected architecture: </w:t>
            </w:r>
          </w:p>
          <w:p w:rsidR="0026766C" w:rsidRPr="00DF21CD" w:rsidRDefault="00DF21CD" w:rsidP="00DF21CD">
            <w:pPr>
              <w:pStyle w:val="Tabletext"/>
              <w:ind w:left="284" w:hanging="284"/>
              <w:rPr>
                <w:lang w:val="en-US"/>
              </w:rPr>
            </w:pPr>
            <w:r w:rsidRPr="00DF21CD">
              <w:rPr>
                <w:lang w:val="en-US"/>
              </w:rPr>
              <w:t>–</w:t>
            </w:r>
            <w:r w:rsidRPr="00DF21CD">
              <w:rPr>
                <w:lang w:val="en-US"/>
              </w:rPr>
              <w:tab/>
            </w:r>
            <w:r w:rsidR="0026766C" w:rsidRPr="00DF21CD">
              <w:rPr>
                <w:lang w:val="en-US"/>
              </w:rPr>
              <w:t>It will be used as a template for future development to the system so that all BR Soft has the same look and feel</w:t>
            </w:r>
          </w:p>
          <w:p w:rsidR="0026766C" w:rsidRPr="00DF21CD" w:rsidRDefault="00DF21CD" w:rsidP="00DF21CD">
            <w:pPr>
              <w:pStyle w:val="Tabletext"/>
              <w:ind w:left="284" w:hanging="284"/>
              <w:rPr>
                <w:lang w:val="en-US"/>
              </w:rPr>
            </w:pPr>
            <w:r w:rsidRPr="00DF21CD">
              <w:rPr>
                <w:lang w:val="en-US"/>
              </w:rPr>
              <w:t>–</w:t>
            </w:r>
            <w:r w:rsidRPr="00DF21CD">
              <w:rPr>
                <w:lang w:val="en-US"/>
              </w:rPr>
              <w:tab/>
            </w:r>
            <w:r w:rsidR="0026766C" w:rsidRPr="00DF21CD">
              <w:rPr>
                <w:lang w:val="en-US"/>
              </w:rPr>
              <w:t>It will provide an easy to use interface that can perform complex queries</w:t>
            </w:r>
          </w:p>
          <w:p w:rsidR="0026766C" w:rsidRPr="00DF21CD" w:rsidRDefault="00DF21CD" w:rsidP="00DF21CD">
            <w:pPr>
              <w:pStyle w:val="Tabletext"/>
              <w:ind w:left="284" w:hanging="284"/>
              <w:rPr>
                <w:lang w:val="en-US"/>
              </w:rPr>
            </w:pPr>
            <w:r w:rsidRPr="00DF21CD">
              <w:rPr>
                <w:lang w:val="en-US"/>
              </w:rPr>
              <w:t>–</w:t>
            </w:r>
            <w:r w:rsidRPr="00DF21CD">
              <w:rPr>
                <w:lang w:val="en-US"/>
              </w:rPr>
              <w:tab/>
            </w:r>
            <w:r w:rsidR="0026766C" w:rsidRPr="00DF21CD">
              <w:rPr>
                <w:lang w:val="en-US"/>
              </w:rPr>
              <w:t>In addition, the querying service will be used for SNS Online as a web service</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t>Review SNS Online</w:t>
            </w:r>
            <w:r w:rsidRPr="00DF21CD">
              <w:rPr>
                <w:lang w:val="en-US"/>
              </w:rPr>
              <w:t xml:space="preserve"> – this application is written using AWK scripts, which makes it very awkward to maintain.</w:t>
            </w:r>
            <w:r w:rsidR="001F434A" w:rsidRPr="00DF21CD">
              <w:rPr>
                <w:lang w:val="en-US"/>
              </w:rPr>
              <w:t xml:space="preserve"> </w:t>
            </w:r>
            <w:r w:rsidRPr="00DF21CD">
              <w:rPr>
                <w:lang w:val="en-US"/>
              </w:rPr>
              <w:t xml:space="preserve">To be reviewed with the possibility of using the querying service (SpaceQry) that will be implemented in the </w:t>
            </w:r>
            <w:r w:rsidRPr="00DF21CD">
              <w:rPr>
                <w:i/>
                <w:iCs/>
                <w:lang w:val="en-US"/>
              </w:rPr>
              <w:t>BR Space Information System.</w:t>
            </w:r>
            <w:r w:rsidR="001F434A" w:rsidRPr="00DF21CD">
              <w:rPr>
                <w:i/>
                <w:iCs/>
                <w:lang w:val="en-US"/>
              </w:rPr>
              <w:t xml:space="preserve"> </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t>Rewrite BR soft applications written in VB6</w:t>
            </w:r>
            <w:r w:rsidRPr="00DF21CD">
              <w:rPr>
                <w:b/>
                <w:bCs/>
                <w:lang w:val="en-US"/>
              </w:rPr>
              <w:t>.</w:t>
            </w:r>
            <w:r w:rsidR="001F434A" w:rsidRPr="00DF21CD">
              <w:rPr>
                <w:lang w:val="en-US"/>
              </w:rPr>
              <w:t xml:space="preserve"> </w:t>
            </w:r>
            <w:r w:rsidRPr="00DF21CD">
              <w:rPr>
                <w:lang w:val="en-US"/>
              </w:rPr>
              <w:t xml:space="preserve">All VB6 BR Soft applications will be rewritten in the </w:t>
            </w:r>
            <w:r w:rsidRPr="00DF21CD">
              <w:rPr>
                <w:i/>
                <w:iCs/>
                <w:lang w:val="en-US"/>
              </w:rPr>
              <w:t>BR Space Information System</w:t>
            </w:r>
            <w:r w:rsidRPr="00DF21CD">
              <w:rPr>
                <w:lang w:val="en-US"/>
              </w:rPr>
              <w:t xml:space="preserve"> following the established architecture.</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t>Consider rewriting the merge</w:t>
            </w:r>
            <w:r w:rsidRPr="00DF21CD">
              <w:rPr>
                <w:b/>
                <w:bCs/>
                <w:lang w:val="en-US"/>
              </w:rPr>
              <w:t xml:space="preserve"> –</w:t>
            </w:r>
            <w:r w:rsidRPr="00DF21CD">
              <w:rPr>
                <w:lang w:val="en-US"/>
              </w:rPr>
              <w:t xml:space="preserve"> low priority.</w:t>
            </w:r>
            <w:r w:rsidR="001F434A" w:rsidRPr="00DF21CD">
              <w:rPr>
                <w:lang w:val="en-US"/>
              </w:rPr>
              <w:t xml:space="preserve"> </w:t>
            </w:r>
            <w:r w:rsidRPr="00DF21CD">
              <w:rPr>
                <w:lang w:val="en-US"/>
              </w:rPr>
              <w:t>We have not found any statement from Microsoft that says the remote shell will not be supported in Windows 8.</w:t>
            </w:r>
            <w:r w:rsidR="001F434A" w:rsidRPr="00DF21CD">
              <w:rPr>
                <w:lang w:val="en-US"/>
              </w:rPr>
              <w:t xml:space="preserve"> </w:t>
            </w:r>
            <w:r w:rsidRPr="00DF21CD">
              <w:rPr>
                <w:lang w:val="en-US"/>
              </w:rPr>
              <w:t>In addition, the review of the Notice processing flow may consider eliminating the requirement for a merge.</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t>Review SNTrack</w:t>
            </w:r>
            <w:r w:rsidRPr="00DF21CD">
              <w:rPr>
                <w:lang w:val="en-US"/>
              </w:rPr>
              <w:t xml:space="preserve"> – This task should be done in conjunction with the development of Resolutions 907 and 908.</w:t>
            </w:r>
            <w:r w:rsidR="001F434A" w:rsidRPr="00DF21CD">
              <w:rPr>
                <w:lang w:val="en-US"/>
              </w:rPr>
              <w:t xml:space="preserve"> </w:t>
            </w:r>
            <w:r w:rsidRPr="00DF21CD">
              <w:rPr>
                <w:lang w:val="en-US"/>
              </w:rPr>
              <w:t>BR is examining the possibility of using Nintex (a workflow application based on Sharepoint) to develop a new SNTrack application.</w:t>
            </w:r>
          </w:p>
        </w:tc>
      </w:tr>
      <w:tr w:rsidR="0026766C" w:rsidRPr="001D08AC" w:rsidTr="001D08AC">
        <w:tc>
          <w:tcPr>
            <w:tcW w:w="9184" w:type="dxa"/>
          </w:tcPr>
          <w:p w:rsidR="0026766C" w:rsidRPr="00DF21CD" w:rsidRDefault="0026766C" w:rsidP="001857B5">
            <w:pPr>
              <w:pStyle w:val="Tabletext"/>
              <w:rPr>
                <w:lang w:val="en-US"/>
              </w:rPr>
            </w:pPr>
            <w:r w:rsidRPr="00DF21CD">
              <w:rPr>
                <w:b/>
                <w:bCs/>
                <w:i/>
                <w:iCs/>
                <w:lang w:val="en-US"/>
              </w:rPr>
              <w:t xml:space="preserve">Migrate SRS.mdb </w:t>
            </w:r>
            <w:r w:rsidRPr="00DF21CD">
              <w:rPr>
                <w:b/>
                <w:bCs/>
                <w:lang w:val="en-US"/>
              </w:rPr>
              <w:t>–</w:t>
            </w:r>
            <w:r w:rsidRPr="00DF21CD">
              <w:rPr>
                <w:lang w:val="en-US"/>
              </w:rPr>
              <w:t xml:space="preserve"> Due to a MS Access space limitation we are looking into migrating to a new container such as SQL Server localdb or SQLite.</w:t>
            </w:r>
          </w:p>
        </w:tc>
      </w:tr>
    </w:tbl>
    <w:p w:rsidR="0026766C" w:rsidRPr="001D08AC" w:rsidRDefault="0026766C" w:rsidP="001D08AC">
      <w:pPr>
        <w:rPr>
          <w:lang w:val="en-US"/>
        </w:rPr>
      </w:pPr>
    </w:p>
    <w:p w:rsidR="0026766C" w:rsidRPr="001D08AC" w:rsidRDefault="0026766C">
      <w:pPr>
        <w:tabs>
          <w:tab w:val="clear" w:pos="794"/>
          <w:tab w:val="clear" w:pos="1191"/>
          <w:tab w:val="clear" w:pos="1588"/>
          <w:tab w:val="clear" w:pos="1985"/>
        </w:tabs>
        <w:overflowPunct/>
        <w:autoSpaceDE/>
        <w:autoSpaceDN/>
        <w:adjustRightInd/>
        <w:spacing w:before="0"/>
        <w:textAlignment w:val="auto"/>
        <w:rPr>
          <w:lang w:val="en-US"/>
        </w:rPr>
      </w:pPr>
      <w:r w:rsidRPr="001D08AC">
        <w:rPr>
          <w:lang w:val="en-US"/>
        </w:rPr>
        <w:br w:type="page"/>
      </w:r>
    </w:p>
    <w:p w:rsidR="0026766C" w:rsidRPr="001D08AC" w:rsidRDefault="0026766C" w:rsidP="001857B5">
      <w:pPr>
        <w:pStyle w:val="AnnexNotitle"/>
        <w:rPr>
          <w:lang w:val="en-US"/>
        </w:rPr>
      </w:pPr>
      <w:r w:rsidRPr="001D08AC">
        <w:rPr>
          <w:lang w:val="en-US"/>
        </w:rPr>
        <w:lastRenderedPageBreak/>
        <w:t>Annex 2</w:t>
      </w:r>
      <w:r w:rsidR="001857B5">
        <w:rPr>
          <w:lang w:val="en-US"/>
        </w:rPr>
        <w:br/>
      </w:r>
      <w:r w:rsidR="001857B5">
        <w:rPr>
          <w:lang w:val="en-US"/>
        </w:rPr>
        <w:br/>
      </w:r>
      <w:r w:rsidRPr="001D08AC">
        <w:rPr>
          <w:lang w:val="en-US"/>
        </w:rPr>
        <w:t>List of events to which the BR participated in 2012</w:t>
      </w:r>
    </w:p>
    <w:p w:rsidR="0026766C" w:rsidRPr="001D08AC" w:rsidRDefault="0026766C" w:rsidP="001D08AC">
      <w:pPr>
        <w:rPr>
          <w:lang w:val="en-US"/>
        </w:rPr>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3"/>
        <w:gridCol w:w="1134"/>
        <w:gridCol w:w="1134"/>
        <w:gridCol w:w="1559"/>
      </w:tblGrid>
      <w:tr w:rsidR="00DF21CD" w:rsidRPr="00DF21CD" w:rsidTr="00183009">
        <w:trPr>
          <w:trHeight w:val="225"/>
          <w:tblHeader/>
        </w:trPr>
        <w:tc>
          <w:tcPr>
            <w:tcW w:w="5543" w:type="dxa"/>
            <w:tcBorders>
              <w:bottom w:val="single" w:sz="4" w:space="0" w:color="auto"/>
            </w:tcBorders>
            <w:shd w:val="clear" w:color="auto" w:fill="auto"/>
            <w:noWrap/>
            <w:vAlign w:val="center"/>
            <w:hideMark/>
          </w:tcPr>
          <w:p w:rsidR="0026766C" w:rsidRPr="00DF21CD" w:rsidRDefault="0026766C" w:rsidP="00183009">
            <w:pPr>
              <w:pStyle w:val="Tablehead"/>
              <w:rPr>
                <w:lang w:val="en-US" w:eastAsia="zh-CN"/>
              </w:rPr>
            </w:pPr>
            <w:r w:rsidRPr="00DF21CD">
              <w:rPr>
                <w:lang w:val="en-US" w:eastAsia="zh-CN"/>
              </w:rPr>
              <w:t>Title</w:t>
            </w:r>
          </w:p>
        </w:tc>
        <w:tc>
          <w:tcPr>
            <w:tcW w:w="1134" w:type="dxa"/>
            <w:tcBorders>
              <w:bottom w:val="single" w:sz="4" w:space="0" w:color="auto"/>
            </w:tcBorders>
            <w:shd w:val="clear" w:color="auto" w:fill="auto"/>
            <w:noWrap/>
            <w:vAlign w:val="center"/>
            <w:hideMark/>
          </w:tcPr>
          <w:p w:rsidR="0026766C" w:rsidRPr="00DF21CD" w:rsidRDefault="0026766C" w:rsidP="00183009">
            <w:pPr>
              <w:pStyle w:val="Tablehead"/>
              <w:rPr>
                <w:lang w:val="en-US" w:eastAsia="zh-CN"/>
              </w:rPr>
            </w:pPr>
            <w:r w:rsidRPr="00DF21CD">
              <w:rPr>
                <w:lang w:val="en-US" w:eastAsia="zh-CN"/>
              </w:rPr>
              <w:t>Start</w:t>
            </w:r>
          </w:p>
        </w:tc>
        <w:tc>
          <w:tcPr>
            <w:tcW w:w="1134" w:type="dxa"/>
            <w:tcBorders>
              <w:bottom w:val="single" w:sz="4" w:space="0" w:color="auto"/>
            </w:tcBorders>
            <w:shd w:val="clear" w:color="auto" w:fill="auto"/>
            <w:noWrap/>
            <w:vAlign w:val="center"/>
            <w:hideMark/>
          </w:tcPr>
          <w:p w:rsidR="0026766C" w:rsidRPr="00DF21CD" w:rsidRDefault="0026766C" w:rsidP="00183009">
            <w:pPr>
              <w:pStyle w:val="Tablehead"/>
              <w:rPr>
                <w:lang w:val="en-US" w:eastAsia="zh-CN"/>
              </w:rPr>
            </w:pPr>
            <w:r w:rsidRPr="00DF21CD">
              <w:rPr>
                <w:lang w:val="en-US" w:eastAsia="zh-CN"/>
              </w:rPr>
              <w:t>End</w:t>
            </w:r>
          </w:p>
        </w:tc>
        <w:tc>
          <w:tcPr>
            <w:tcW w:w="1559" w:type="dxa"/>
            <w:tcBorders>
              <w:bottom w:val="single" w:sz="4" w:space="0" w:color="auto"/>
            </w:tcBorders>
            <w:shd w:val="clear" w:color="auto" w:fill="auto"/>
            <w:noWrap/>
            <w:vAlign w:val="center"/>
            <w:hideMark/>
          </w:tcPr>
          <w:p w:rsidR="0026766C" w:rsidRPr="00DF21CD" w:rsidRDefault="0026766C" w:rsidP="00183009">
            <w:pPr>
              <w:pStyle w:val="Tablehead"/>
              <w:rPr>
                <w:lang w:val="en-US" w:eastAsia="zh-CN"/>
              </w:rPr>
            </w:pPr>
            <w:r w:rsidRPr="00DF21CD">
              <w:rPr>
                <w:lang w:val="en-US" w:eastAsia="zh-CN"/>
              </w:rPr>
              <w:t>Place</w:t>
            </w:r>
          </w:p>
        </w:tc>
      </w:tr>
      <w:tr w:rsidR="00DF21CD" w:rsidRPr="00DF21CD" w:rsidTr="00183009">
        <w:trPr>
          <w:trHeight w:val="225"/>
        </w:trPr>
        <w:tc>
          <w:tcPr>
            <w:tcW w:w="5543" w:type="dxa"/>
            <w:shd w:val="clear" w:color="auto" w:fill="D9D9D9"/>
            <w:noWrap/>
            <w:vAlign w:val="center"/>
            <w:hideMark/>
          </w:tcPr>
          <w:p w:rsidR="0026766C" w:rsidRPr="00DF21CD" w:rsidRDefault="0026766C" w:rsidP="00183009">
            <w:pPr>
              <w:pStyle w:val="Tabletext"/>
              <w:rPr>
                <w:sz w:val="20"/>
                <w:szCs w:val="18"/>
                <w:lang w:val="en-US" w:eastAsia="zh-CN"/>
              </w:rPr>
            </w:pPr>
            <w:r w:rsidRPr="00DF21CD">
              <w:rPr>
                <w:sz w:val="20"/>
                <w:szCs w:val="18"/>
                <w:lang w:val="en-US" w:eastAsia="zh-CN"/>
              </w:rPr>
              <w:t>SPECIALIZED UN AGENCIES</w:t>
            </w:r>
          </w:p>
        </w:tc>
        <w:tc>
          <w:tcPr>
            <w:tcW w:w="1134" w:type="dxa"/>
            <w:shd w:val="clear" w:color="auto" w:fill="D9D9D9"/>
            <w:noWrap/>
            <w:vAlign w:val="center"/>
            <w:hideMark/>
          </w:tcPr>
          <w:p w:rsidR="0026766C" w:rsidRPr="00DF21CD" w:rsidRDefault="0026766C" w:rsidP="00183009">
            <w:pPr>
              <w:pStyle w:val="Tabletext"/>
              <w:rPr>
                <w:sz w:val="20"/>
                <w:szCs w:val="18"/>
                <w:lang w:val="en-US" w:eastAsia="zh-CN"/>
              </w:rPr>
            </w:pPr>
          </w:p>
        </w:tc>
        <w:tc>
          <w:tcPr>
            <w:tcW w:w="1134" w:type="dxa"/>
            <w:shd w:val="clear" w:color="auto" w:fill="D9D9D9"/>
            <w:noWrap/>
            <w:vAlign w:val="center"/>
            <w:hideMark/>
          </w:tcPr>
          <w:p w:rsidR="0026766C" w:rsidRPr="00DF21CD" w:rsidRDefault="0026766C" w:rsidP="00183009">
            <w:pPr>
              <w:pStyle w:val="Tabletext"/>
              <w:rPr>
                <w:sz w:val="20"/>
                <w:szCs w:val="18"/>
                <w:lang w:val="en-US" w:eastAsia="zh-CN"/>
              </w:rPr>
            </w:pPr>
          </w:p>
        </w:tc>
        <w:tc>
          <w:tcPr>
            <w:tcW w:w="1559" w:type="dxa"/>
            <w:shd w:val="clear" w:color="auto" w:fill="D9D9D9"/>
            <w:noWrap/>
            <w:vAlign w:val="center"/>
            <w:hideMark/>
          </w:tcPr>
          <w:p w:rsidR="0026766C" w:rsidRPr="00DF21CD" w:rsidRDefault="0026766C" w:rsidP="00183009">
            <w:pPr>
              <w:pStyle w:val="Tabletext"/>
              <w:rPr>
                <w:sz w:val="20"/>
                <w:szCs w:val="18"/>
                <w:lang w:val="en-US" w:eastAsia="zh-CN"/>
              </w:rPr>
            </w:pP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49th Session COPUOS Scientific &amp; Techn. Subcom. (STS-49)</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13/2/12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Vienna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UNIDROIT</w:t>
            </w:r>
            <w:r w:rsidR="001F434A" w:rsidRPr="00DF21CD">
              <w:rPr>
                <w:sz w:val="20"/>
                <w:szCs w:val="18"/>
                <w:lang w:val="en-US"/>
              </w:rPr>
              <w:t xml:space="preserve"> – </w:t>
            </w:r>
            <w:r w:rsidRPr="00DF21CD">
              <w:rPr>
                <w:sz w:val="20"/>
                <w:szCs w:val="18"/>
                <w:lang w:val="en-US"/>
              </w:rPr>
              <w:t>Diplomatic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Berlin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32nd session UN Inter-Agency Meeting on Outer Space Affairs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9/3/12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Rome</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16th session of IMO COMSAR</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London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26th meeting of ICAO Aeronautical Coms. Panel WG-F</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30/3/12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Montreal</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51st Session Legal Subcommittee COPUOS (19-30 March)</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28/3/12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Vienna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12th Annual Plenary Meeting UNGIWG (28-30 March)</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30/3/12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Vienna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UNIDIR</w:t>
            </w:r>
            <w:r w:rsidR="001F434A" w:rsidRPr="00DF21CD">
              <w:rPr>
                <w:sz w:val="20"/>
                <w:szCs w:val="18"/>
                <w:lang w:val="en-US"/>
              </w:rPr>
              <w:t xml:space="preserve"> – </w:t>
            </w:r>
            <w:r w:rsidRPr="00DF21CD">
              <w:rPr>
                <w:sz w:val="20"/>
                <w:szCs w:val="18"/>
                <w:lang w:val="en-US"/>
              </w:rPr>
              <w:t>Space Security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30/3/12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Geneva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55th session of COPUOS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6/6/12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15/6/12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Vienna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Dialogue on Sustainable Development</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19/6/12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Rio de Janeiro</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Rio +20 Summit</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22/6/12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Rio de Janeiro</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27th meeting of ICAO Aeronautical Coms. Panel WG-F</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Montreal</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8th Meeting of IMO/ITU Joint Experts Group</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8/10/12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London</w:t>
            </w:r>
          </w:p>
        </w:tc>
      </w:tr>
      <w:tr w:rsidR="00DF21CD" w:rsidRPr="00DF21CD" w:rsidTr="00183009">
        <w:trPr>
          <w:trHeight w:val="225"/>
        </w:trPr>
        <w:tc>
          <w:tcPr>
            <w:tcW w:w="5543"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fr-CH"/>
              </w:rPr>
            </w:pPr>
            <w:r w:rsidRPr="00DF21CD">
              <w:rPr>
                <w:sz w:val="20"/>
                <w:szCs w:val="18"/>
                <w:lang w:val="fr-CH"/>
              </w:rPr>
              <w:t>UN/Japan Nano-Satellite Symposium</w:t>
            </w:r>
          </w:p>
        </w:tc>
        <w:tc>
          <w:tcPr>
            <w:tcW w:w="1134"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10/10/12</w:t>
            </w:r>
          </w:p>
        </w:tc>
        <w:tc>
          <w:tcPr>
            <w:tcW w:w="1134"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13/10/12</w:t>
            </w:r>
          </w:p>
        </w:tc>
        <w:tc>
          <w:tcPr>
            <w:tcW w:w="1559"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Nagoya</w:t>
            </w:r>
          </w:p>
        </w:tc>
      </w:tr>
      <w:tr w:rsidR="00DF21CD" w:rsidRPr="00DF21CD" w:rsidTr="00183009">
        <w:trPr>
          <w:trHeight w:val="225"/>
        </w:trPr>
        <w:tc>
          <w:tcPr>
            <w:tcW w:w="5543"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WMO</w:t>
            </w:r>
            <w:r w:rsidR="001F434A" w:rsidRPr="00DF21CD">
              <w:rPr>
                <w:sz w:val="20"/>
                <w:szCs w:val="18"/>
                <w:lang w:val="en-US"/>
              </w:rPr>
              <w:t xml:space="preserve"> – </w:t>
            </w:r>
            <w:r w:rsidRPr="00DF21CD">
              <w:rPr>
                <w:sz w:val="20"/>
                <w:szCs w:val="18"/>
                <w:lang w:val="en-US"/>
              </w:rPr>
              <w:t>A Dialogue for Climate Services Users and Providers (GCS)</w:t>
            </w:r>
          </w:p>
        </w:tc>
        <w:tc>
          <w:tcPr>
            <w:tcW w:w="1134"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26/10/12</w:t>
            </w:r>
          </w:p>
        </w:tc>
        <w:tc>
          <w:tcPr>
            <w:tcW w:w="1134"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27/10/12</w:t>
            </w:r>
          </w:p>
        </w:tc>
        <w:tc>
          <w:tcPr>
            <w:tcW w:w="1559"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Geneva</w:t>
            </w:r>
          </w:p>
        </w:tc>
      </w:tr>
      <w:tr w:rsidR="00DF21CD" w:rsidRPr="00DF21CD" w:rsidTr="00183009">
        <w:trPr>
          <w:trHeight w:val="225"/>
        </w:trPr>
        <w:tc>
          <w:tcPr>
            <w:tcW w:w="5543"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WMO</w:t>
            </w:r>
            <w:r w:rsidR="001F434A" w:rsidRPr="00DF21CD">
              <w:rPr>
                <w:sz w:val="20"/>
                <w:szCs w:val="18"/>
                <w:lang w:val="en-US"/>
              </w:rPr>
              <w:t xml:space="preserve"> – </w:t>
            </w:r>
            <w:r w:rsidRPr="00DF21CD">
              <w:rPr>
                <w:sz w:val="20"/>
                <w:szCs w:val="18"/>
                <w:lang w:val="en-US"/>
              </w:rPr>
              <w:t>Extraordinary session of the World Meteorological Congress</w:t>
            </w:r>
          </w:p>
        </w:tc>
        <w:tc>
          <w:tcPr>
            <w:tcW w:w="1134"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29/10/12</w:t>
            </w:r>
          </w:p>
        </w:tc>
        <w:tc>
          <w:tcPr>
            <w:tcW w:w="1134"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31/10/12</w:t>
            </w:r>
          </w:p>
        </w:tc>
        <w:tc>
          <w:tcPr>
            <w:tcW w:w="1559"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Geneva</w:t>
            </w:r>
          </w:p>
        </w:tc>
      </w:tr>
      <w:tr w:rsidR="00DF21CD" w:rsidRPr="00DF21CD" w:rsidTr="00183009">
        <w:trPr>
          <w:trHeight w:val="225"/>
        </w:trPr>
        <w:tc>
          <w:tcPr>
            <w:tcW w:w="5543"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Sessions UN Framework Convention Climate Change and Kyoto Protocol</w:t>
            </w:r>
          </w:p>
        </w:tc>
        <w:tc>
          <w:tcPr>
            <w:tcW w:w="1134"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26/11/12</w:t>
            </w:r>
          </w:p>
        </w:tc>
        <w:tc>
          <w:tcPr>
            <w:tcW w:w="1134"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30/11/12</w:t>
            </w:r>
          </w:p>
        </w:tc>
        <w:tc>
          <w:tcPr>
            <w:tcW w:w="1559" w:type="dxa"/>
            <w:tcBorders>
              <w:bottom w:val="single" w:sz="4" w:space="0" w:color="auto"/>
            </w:tcBorders>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Doha</w:t>
            </w:r>
          </w:p>
        </w:tc>
      </w:tr>
      <w:tr w:rsidR="00DF21CD" w:rsidRPr="00DF21CD" w:rsidTr="00183009">
        <w:trPr>
          <w:trHeight w:val="225"/>
        </w:trPr>
        <w:tc>
          <w:tcPr>
            <w:tcW w:w="5543" w:type="dxa"/>
            <w:shd w:val="clear" w:color="auto" w:fill="D9D9D9"/>
            <w:noWrap/>
            <w:vAlign w:val="center"/>
            <w:hideMark/>
          </w:tcPr>
          <w:p w:rsidR="0026766C" w:rsidRPr="00DF21CD" w:rsidRDefault="0026766C" w:rsidP="00183009">
            <w:pPr>
              <w:pStyle w:val="Tabletext"/>
              <w:rPr>
                <w:sz w:val="20"/>
                <w:szCs w:val="18"/>
                <w:lang w:val="en-US" w:eastAsia="zh-CN"/>
              </w:rPr>
            </w:pPr>
            <w:r w:rsidRPr="00DF21CD">
              <w:rPr>
                <w:sz w:val="20"/>
                <w:szCs w:val="18"/>
                <w:lang w:val="en-US" w:eastAsia="zh-CN"/>
              </w:rPr>
              <w:t>REGIONAL TELECOMMUNICATION ORGANIZATIONS</w:t>
            </w:r>
          </w:p>
        </w:tc>
        <w:tc>
          <w:tcPr>
            <w:tcW w:w="1134" w:type="dxa"/>
            <w:shd w:val="clear" w:color="auto" w:fill="D9D9D9"/>
            <w:noWrap/>
            <w:vAlign w:val="center"/>
            <w:hideMark/>
          </w:tcPr>
          <w:p w:rsidR="0026766C" w:rsidRPr="00DF21CD" w:rsidRDefault="0026766C" w:rsidP="00183009">
            <w:pPr>
              <w:pStyle w:val="Tabletext"/>
              <w:rPr>
                <w:sz w:val="20"/>
                <w:szCs w:val="18"/>
                <w:lang w:val="en-US" w:eastAsia="zh-CN"/>
              </w:rPr>
            </w:pPr>
          </w:p>
        </w:tc>
        <w:tc>
          <w:tcPr>
            <w:tcW w:w="1134" w:type="dxa"/>
            <w:shd w:val="clear" w:color="auto" w:fill="D9D9D9"/>
            <w:noWrap/>
            <w:vAlign w:val="center"/>
            <w:hideMark/>
          </w:tcPr>
          <w:p w:rsidR="0026766C" w:rsidRPr="00DF21CD" w:rsidRDefault="0026766C" w:rsidP="00183009">
            <w:pPr>
              <w:pStyle w:val="Tabletext"/>
              <w:rPr>
                <w:sz w:val="20"/>
                <w:szCs w:val="18"/>
                <w:lang w:val="en-US" w:eastAsia="zh-CN"/>
              </w:rPr>
            </w:pPr>
          </w:p>
        </w:tc>
        <w:tc>
          <w:tcPr>
            <w:tcW w:w="1559" w:type="dxa"/>
            <w:shd w:val="clear" w:color="auto" w:fill="D9D9D9"/>
            <w:noWrap/>
            <w:vAlign w:val="center"/>
            <w:hideMark/>
          </w:tcPr>
          <w:p w:rsidR="0026766C" w:rsidRPr="00DF21CD" w:rsidRDefault="0026766C" w:rsidP="00183009">
            <w:pPr>
              <w:pStyle w:val="Tabletext"/>
              <w:rPr>
                <w:sz w:val="20"/>
                <w:szCs w:val="18"/>
                <w:lang w:val="en-US" w:eastAsia="zh-CN"/>
              </w:rPr>
            </w:pP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2nd meeting of FM Maritime Forum Group (former PT46)</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8/3/12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Hamburg</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3rd Meeting of the WG FM Project</w:t>
            </w:r>
            <w:r w:rsidR="001F434A" w:rsidRPr="00DF21CD">
              <w:rPr>
                <w:sz w:val="20"/>
                <w:szCs w:val="18"/>
                <w:lang w:val="en-US"/>
              </w:rPr>
              <w:t xml:space="preserve"> – </w:t>
            </w:r>
            <w:r w:rsidRPr="00DF21CD">
              <w:rPr>
                <w:sz w:val="20"/>
                <w:szCs w:val="18"/>
                <w:lang w:val="en-US"/>
              </w:rPr>
              <w:t>FM PT 49</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Copenhagen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ETSI General Assembly</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Cannes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ANCOM Regional Meeting on Mobile Communications Spectrum Harmonization</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30/3/12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Bucharest</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12th Meeting of the APT Wireless Group (AWG-12)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10/4/12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13/4/12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 xml:space="preserve">Xiamen </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CEPT/CPG Meeting</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16/4/12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18/4/12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Mainz</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PITA Annual Telecommunication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16/4/12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20/4/12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Norfolk</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74th WGFM</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23/4/12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27/4/12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Bern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Joint ECC/ETSI/COST-TERRA Workshop on Cognitive radio</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Mainz</w:t>
            </w:r>
          </w:p>
        </w:tc>
      </w:tr>
      <w:tr w:rsidR="00DF21CD" w:rsidRPr="00DF21CD" w:rsidTr="00183009">
        <w:trPr>
          <w:trHeight w:val="225"/>
        </w:trPr>
        <w:tc>
          <w:tcPr>
            <w:tcW w:w="5543"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 xml:space="preserve">RCC WG on preparations for WRC-15 </w:t>
            </w:r>
          </w:p>
        </w:tc>
        <w:tc>
          <w:tcPr>
            <w:tcW w:w="1134"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21/5/12</w:t>
            </w:r>
          </w:p>
        </w:tc>
        <w:tc>
          <w:tcPr>
            <w:tcW w:w="1134"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25/5/12</w:t>
            </w:r>
          </w:p>
        </w:tc>
        <w:tc>
          <w:tcPr>
            <w:tcW w:w="1559"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Moscow</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COSPAS SARSAT JC-26</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Montreal</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CEPT/ECC WG FM PT 49 (PPDR)</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15/6/12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Germany</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XIX Meeting of CITEL PCC.II + Seminar on WRC-12 +Satellite issues (3 July)</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6/7/12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Bucaramanga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CITEL Meeting + Seminar on WRC-12 +Satellite issues (3 July)</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6/7/12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Bucaramanga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CEPT PTB Meeting</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London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lastRenderedPageBreak/>
              <w:t>CEPT PTA Meeting</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London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APT Conf. Prep. Group for WRC-15 (APG15-1) &amp; AWG-13</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10/9/12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15/9/12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Danang (Vietnam)</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FM Working Group</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24/9/12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28/9/12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Minsk</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4th meeting of FM Maritime Forum Group (former PT46)</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4/10/12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Malta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5th Meeting ECC FM PT 49</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Helsinki</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XX Meeting of CITEL PCC.II</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22/10/12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Mexico City</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XX Meeting of CITEL PCC.II</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Mexico City</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ETSI 60th General Assembly</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Mandelieu</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CEPT PTC Meeting</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11/12/12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13/12/12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Copenhagen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6th Meeting ECC FM PT 49</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12/12/12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13/12/12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Biel</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 xml:space="preserve">RCC WG on preparations for WRC-15 </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17/12/12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21/12/12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Kiev</w:t>
            </w:r>
          </w:p>
        </w:tc>
      </w:tr>
      <w:tr w:rsidR="00DF21CD" w:rsidRPr="00DF21CD" w:rsidTr="00183009">
        <w:trPr>
          <w:trHeight w:val="225"/>
        </w:trPr>
        <w:tc>
          <w:tcPr>
            <w:tcW w:w="5543" w:type="dxa"/>
            <w:shd w:val="clear" w:color="auto" w:fill="D9D9D9"/>
            <w:noWrap/>
            <w:vAlign w:val="center"/>
            <w:hideMark/>
          </w:tcPr>
          <w:p w:rsidR="0026766C" w:rsidRPr="00DF21CD" w:rsidRDefault="0026766C" w:rsidP="00183009">
            <w:pPr>
              <w:pStyle w:val="Tabletext"/>
              <w:rPr>
                <w:sz w:val="20"/>
                <w:szCs w:val="18"/>
                <w:lang w:val="en-US" w:eastAsia="zh-CN"/>
              </w:rPr>
            </w:pPr>
            <w:r w:rsidRPr="00DF21CD">
              <w:rPr>
                <w:sz w:val="20"/>
                <w:szCs w:val="18"/>
                <w:lang w:val="en-US" w:eastAsia="zh-CN"/>
              </w:rPr>
              <w:t>Non-ITU CONFERENCES &amp; SYMPOSIA</w:t>
            </w:r>
          </w:p>
        </w:tc>
        <w:tc>
          <w:tcPr>
            <w:tcW w:w="1134" w:type="dxa"/>
            <w:shd w:val="clear" w:color="auto" w:fill="D9D9D9"/>
            <w:noWrap/>
            <w:vAlign w:val="center"/>
            <w:hideMark/>
          </w:tcPr>
          <w:p w:rsidR="0026766C" w:rsidRPr="00DF21CD" w:rsidRDefault="0026766C" w:rsidP="00183009">
            <w:pPr>
              <w:pStyle w:val="Tabletext"/>
              <w:rPr>
                <w:sz w:val="20"/>
                <w:szCs w:val="18"/>
                <w:lang w:val="en-US" w:eastAsia="zh-CN"/>
              </w:rPr>
            </w:pPr>
          </w:p>
        </w:tc>
        <w:tc>
          <w:tcPr>
            <w:tcW w:w="1134" w:type="dxa"/>
            <w:shd w:val="clear" w:color="auto" w:fill="D9D9D9"/>
            <w:noWrap/>
            <w:vAlign w:val="center"/>
            <w:hideMark/>
          </w:tcPr>
          <w:p w:rsidR="0026766C" w:rsidRPr="00DF21CD" w:rsidRDefault="0026766C" w:rsidP="00183009">
            <w:pPr>
              <w:pStyle w:val="Tabletext"/>
              <w:rPr>
                <w:sz w:val="20"/>
                <w:szCs w:val="18"/>
                <w:lang w:val="en-US" w:eastAsia="zh-CN"/>
              </w:rPr>
            </w:pPr>
          </w:p>
        </w:tc>
        <w:tc>
          <w:tcPr>
            <w:tcW w:w="1559" w:type="dxa"/>
            <w:shd w:val="clear" w:color="auto" w:fill="D9D9D9"/>
            <w:noWrap/>
            <w:vAlign w:val="center"/>
            <w:hideMark/>
          </w:tcPr>
          <w:p w:rsidR="0026766C" w:rsidRPr="00DF21CD" w:rsidRDefault="0026766C" w:rsidP="00183009">
            <w:pPr>
              <w:pStyle w:val="Tabletext"/>
              <w:rPr>
                <w:sz w:val="20"/>
                <w:szCs w:val="18"/>
                <w:lang w:val="en-US" w:eastAsia="zh-CN"/>
              </w:rPr>
            </w:pP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ABU-HFC and HFCC/ASBU Coordination Meeting</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9/1/12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Kuala Lumpur</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GSMA Mobile World Congress 2012</w:t>
            </w:r>
            <w:r w:rsidR="001F434A" w:rsidRPr="00DF21CD">
              <w:rPr>
                <w:sz w:val="20"/>
                <w:szCs w:val="18"/>
                <w:lang w:val="en-US"/>
              </w:rPr>
              <w:t xml:space="preserve"> – </w:t>
            </w:r>
            <w:r w:rsidRPr="00DF21CD">
              <w:rPr>
                <w:sz w:val="20"/>
                <w:szCs w:val="18"/>
                <w:lang w:val="en-US"/>
              </w:rPr>
              <w:t>Ministerial Programme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Barcelona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CABSAT &amp; Satellite MENA</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29/2/12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Dubai</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Dynamic Spectrum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Brussels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 xml:space="preserve">Satellite 2012 </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15/3/12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Washington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Munich Satellite Navigation Summit</w:t>
            </w:r>
            <w:r w:rsidR="001F434A" w:rsidRPr="00DF21CD">
              <w:rPr>
                <w:sz w:val="20"/>
                <w:szCs w:val="18"/>
                <w:lang w:val="en-US"/>
              </w:rPr>
              <w:t xml:space="preserve"> – </w:t>
            </w:r>
            <w:r w:rsidRPr="00DF21CD">
              <w:rPr>
                <w:sz w:val="20"/>
                <w:szCs w:val="18"/>
                <w:lang w:val="en-US"/>
              </w:rPr>
              <w:t>GNSS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15/3/12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Munich</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Radio Symposium</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Tokyo</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CJK Meeting</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Miyazaki</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8th Annual Professional Conference CERD 2012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15/3/12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Bratislava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Middle East Spectrum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Bahrain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Annual Colloquium of the Journal of Regulation</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22/3/12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22/3/12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Paris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2nd Caribbean Spectrum Management Seminar: Digital Switchover</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2/4/12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3/4/12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Port of Spain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Asia Pacific Radio Spectrum Conference 2012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12/4/12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13/4/12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Hong Kong</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South East Europe Digital Television (digi.TV)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19/4/12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20/4/12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Trieste</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IISC Workshop concerning the Satellite Data Association (SDA)</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9/5/12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9/5/12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Isle of Man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 xml:space="preserve">Workshop </w:t>
            </w:r>
            <w:r w:rsidR="008B03B9" w:rsidRPr="00DF21CD">
              <w:rPr>
                <w:sz w:val="20"/>
                <w:szCs w:val="18"/>
                <w:lang w:val="en-US"/>
              </w:rPr>
              <w:t>“</w:t>
            </w:r>
            <w:r w:rsidRPr="00DF21CD">
              <w:rPr>
                <w:sz w:val="20"/>
                <w:szCs w:val="18"/>
                <w:lang w:val="en-US"/>
              </w:rPr>
              <w:t>ICT and Women</w:t>
            </w:r>
            <w:r w:rsidR="008B03B9" w:rsidRPr="00DF21CD">
              <w:rPr>
                <w:sz w:val="20"/>
                <w:szCs w:val="18"/>
                <w:lang w:val="en-US"/>
              </w:rPr>
              <w:t>”</w:t>
            </w:r>
            <w:r w:rsidRPr="00DF21CD">
              <w:rPr>
                <w:sz w:val="20"/>
                <w:szCs w:val="18"/>
                <w:lang w:val="en-US"/>
              </w:rPr>
              <w:t xml:space="preserve"> occasion of World Telecom Day</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Izmir</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12th Annual Rio Wireless International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22/5/12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Rio de Janeiro</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Intl. Seminar on transition towards all-digital in broadcast.sector</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22/5/12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Conakry</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Global Space Exploration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22/5/12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24/5/12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 xml:space="preserve">Washington </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Intl. Space Workshop on WRC-12 results</w:t>
            </w:r>
            <w:r w:rsidR="001F434A" w:rsidRPr="00DF21CD">
              <w:rPr>
                <w:sz w:val="20"/>
                <w:szCs w:val="18"/>
                <w:lang w:val="en-US"/>
              </w:rPr>
              <w:t xml:space="preserve"> – </w:t>
            </w:r>
            <w:r w:rsidRPr="00DF21CD">
              <w:rPr>
                <w:sz w:val="20"/>
                <w:szCs w:val="18"/>
                <w:lang w:val="en-US"/>
              </w:rPr>
              <w:t>SES University</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24/5/12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Luxemburg</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s-ES_tradnl"/>
              </w:rPr>
            </w:pPr>
            <w:r w:rsidRPr="00DF21CD">
              <w:rPr>
                <w:sz w:val="20"/>
                <w:szCs w:val="18"/>
                <w:lang w:val="es-ES_tradnl"/>
              </w:rPr>
              <w:t xml:space="preserve">CASETEL </w:t>
            </w:r>
            <w:r w:rsidR="008B03B9" w:rsidRPr="00DF21CD">
              <w:rPr>
                <w:sz w:val="20"/>
                <w:szCs w:val="18"/>
                <w:lang w:val="es-ES_tradnl"/>
              </w:rPr>
              <w:t>“</w:t>
            </w:r>
            <w:r w:rsidRPr="00DF21CD">
              <w:rPr>
                <w:sz w:val="20"/>
                <w:szCs w:val="18"/>
                <w:lang w:val="es-ES_tradnl"/>
              </w:rPr>
              <w:t>Lineamientos para una Agenda Digital</w:t>
            </w:r>
            <w:r w:rsidR="008B03B9" w:rsidRPr="00DF21CD">
              <w:rPr>
                <w:sz w:val="20"/>
                <w:szCs w:val="18"/>
                <w:lang w:val="es-ES_tradnl"/>
              </w:rPr>
              <w:t>”</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Caracas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s-ES_tradnl"/>
              </w:rPr>
            </w:pPr>
            <w:r w:rsidRPr="00DF21CD">
              <w:rPr>
                <w:sz w:val="20"/>
                <w:szCs w:val="18"/>
                <w:lang w:val="es-ES_tradnl"/>
              </w:rPr>
              <w:t>XV Cumbre de Reguladores y Operadores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11/6/12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Bogota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 xml:space="preserve">32nd Annual Space Frequency Coordination Group (SFCG) </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Darmstadt</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CASBAA Satellite Industry Forum</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Shangri-La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CommunicAsia2012 Summit</w:t>
            </w:r>
            <w:r w:rsidR="001F434A" w:rsidRPr="00DF21CD">
              <w:rPr>
                <w:sz w:val="20"/>
                <w:szCs w:val="18"/>
                <w:lang w:val="en-US"/>
              </w:rPr>
              <w:t xml:space="preserve"> – </w:t>
            </w:r>
            <w:r w:rsidRPr="00DF21CD">
              <w:rPr>
                <w:sz w:val="20"/>
                <w:szCs w:val="18"/>
                <w:lang w:val="en-US"/>
              </w:rPr>
              <w:t>Satellite Communications Track</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19/6/12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Singapore</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EU Spectrum Management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19/6/12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Brussels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Broadband for All</w:t>
            </w:r>
            <w:r w:rsidR="001F434A" w:rsidRPr="00DF21CD">
              <w:rPr>
                <w:sz w:val="20"/>
                <w:szCs w:val="18"/>
                <w:lang w:val="en-US"/>
              </w:rPr>
              <w:t xml:space="preserve"> – </w:t>
            </w:r>
            <w:r w:rsidRPr="00DF21CD">
              <w:rPr>
                <w:sz w:val="20"/>
                <w:szCs w:val="18"/>
                <w:lang w:val="en-US"/>
              </w:rPr>
              <w:t>Annual Seminar Ericsson</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Stockholm</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Space Law &amp; Policy Event during Toulouse Space Show</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Toulouse</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lastRenderedPageBreak/>
              <w:t>Digital TV Group (DTG)</w:t>
            </w:r>
            <w:r w:rsidR="001F434A" w:rsidRPr="00DF21CD">
              <w:rPr>
                <w:sz w:val="20"/>
                <w:szCs w:val="18"/>
                <w:lang w:val="en-US"/>
              </w:rPr>
              <w:t xml:space="preserve"> – </w:t>
            </w:r>
            <w:r w:rsidRPr="00DF21CD">
              <w:rPr>
                <w:sz w:val="20"/>
                <w:szCs w:val="18"/>
                <w:lang w:val="en-US"/>
              </w:rPr>
              <w:t>Seminar on Spectrum</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28/6/12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28/6/12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London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Tall Ships Race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5/7/12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7/7/12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St. Malo</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5th OECD Workshop on S</w:t>
            </w:r>
            <w:r w:rsidR="0089328C" w:rsidRPr="00DF21CD">
              <w:rPr>
                <w:sz w:val="20"/>
                <w:szCs w:val="18"/>
                <w:lang w:val="en-US"/>
              </w:rPr>
              <w:t>p</w:t>
            </w:r>
            <w:r w:rsidRPr="00DF21CD">
              <w:rPr>
                <w:sz w:val="20"/>
                <w:szCs w:val="18"/>
                <w:lang w:val="en-US"/>
              </w:rPr>
              <w:t>ace Security</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9/7/12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9/7/12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Paris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Pacific Broadband Forum 2012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26/7/12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28/7/12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Fiji</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CTO Digital Bro</w:t>
            </w:r>
            <w:r w:rsidR="0089328C" w:rsidRPr="00DF21CD">
              <w:rPr>
                <w:sz w:val="20"/>
                <w:szCs w:val="18"/>
                <w:lang w:val="en-US"/>
              </w:rPr>
              <w:t>a</w:t>
            </w:r>
            <w:r w:rsidRPr="00DF21CD">
              <w:rPr>
                <w:sz w:val="20"/>
                <w:szCs w:val="18"/>
                <w:lang w:val="en-US"/>
              </w:rPr>
              <w:t>dcasting Switchover Caribbean</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13/8/12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14/8/12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St. John</w:t>
            </w:r>
            <w:r w:rsidR="008B03B9" w:rsidRPr="00DF21CD">
              <w:rPr>
                <w:sz w:val="20"/>
                <w:szCs w:val="18"/>
                <w:lang w:val="en-US"/>
              </w:rPr>
              <w:t>’</w:t>
            </w:r>
            <w:r w:rsidRPr="00DF21CD">
              <w:rPr>
                <w:sz w:val="20"/>
                <w:szCs w:val="18"/>
                <w:lang w:val="en-US"/>
              </w:rPr>
              <w:t>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s-ES_tradnl"/>
              </w:rPr>
            </w:pPr>
            <w:r w:rsidRPr="00DF21CD">
              <w:rPr>
                <w:sz w:val="20"/>
                <w:szCs w:val="18"/>
                <w:lang w:val="es-ES_tradnl"/>
              </w:rPr>
              <w:t>V Congreso de Telecomunicaciones, Tecnologías de la Información</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4/9/12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6/9/12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Galapagos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IBC2012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6/9/12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11/9/12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Amsterdam</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 xml:space="preserve">International Forum on </w:t>
            </w:r>
            <w:r w:rsidR="008B03B9" w:rsidRPr="00DF21CD">
              <w:rPr>
                <w:sz w:val="20"/>
                <w:szCs w:val="18"/>
                <w:lang w:val="en-US"/>
              </w:rPr>
              <w:t>“</w:t>
            </w:r>
            <w:r w:rsidRPr="00DF21CD">
              <w:rPr>
                <w:sz w:val="20"/>
                <w:szCs w:val="18"/>
                <w:lang w:val="en-US"/>
              </w:rPr>
              <w:t>Empowering Arab Youth through ICT</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Tunis</w:t>
            </w:r>
            <w:r w:rsidR="001F434A" w:rsidRPr="00DF21CD">
              <w:rPr>
                <w:sz w:val="20"/>
                <w:szCs w:val="18"/>
                <w:lang w:val="en-US"/>
              </w:rPr>
              <w:t xml:space="preserve"> </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BIT</w:t>
            </w:r>
            <w:r w:rsidR="008B03B9" w:rsidRPr="00DF21CD">
              <w:rPr>
                <w:sz w:val="20"/>
                <w:szCs w:val="18"/>
                <w:lang w:val="en-US"/>
              </w:rPr>
              <w:t>’</w:t>
            </w:r>
            <w:r w:rsidRPr="00DF21CD">
              <w:rPr>
                <w:sz w:val="20"/>
                <w:szCs w:val="18"/>
                <w:lang w:val="en-US"/>
              </w:rPr>
              <w:t>s 1st Annual World Congress of Ocean</w:t>
            </w:r>
            <w:r w:rsidR="001F434A" w:rsidRPr="00DF21CD">
              <w:rPr>
                <w:sz w:val="20"/>
                <w:szCs w:val="18"/>
                <w:lang w:val="en-US"/>
              </w:rPr>
              <w:t xml:space="preserve"> – </w:t>
            </w:r>
            <w:r w:rsidRPr="00DF21CD">
              <w:rPr>
                <w:sz w:val="20"/>
                <w:szCs w:val="18"/>
                <w:lang w:val="en-US"/>
              </w:rPr>
              <w:t>Wire</w:t>
            </w:r>
            <w:r w:rsidR="0089328C" w:rsidRPr="00DF21CD">
              <w:rPr>
                <w:sz w:val="20"/>
                <w:szCs w:val="18"/>
                <w:lang w:val="en-US"/>
              </w:rPr>
              <w:t>l</w:t>
            </w:r>
            <w:r w:rsidRPr="00DF21CD">
              <w:rPr>
                <w:sz w:val="20"/>
                <w:szCs w:val="18"/>
                <w:lang w:val="en-US"/>
              </w:rPr>
              <w:t>ess Technologies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Dalian (China)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11th Forum Italradio</w:t>
            </w:r>
            <w:r w:rsidR="001F434A" w:rsidRPr="00DF21CD">
              <w:rPr>
                <w:sz w:val="20"/>
                <w:szCs w:val="18"/>
                <w:lang w:val="en-US"/>
              </w:rPr>
              <w:t xml:space="preserve"> – </w:t>
            </w:r>
            <w:r w:rsidRPr="00DF21CD">
              <w:rPr>
                <w:sz w:val="20"/>
                <w:szCs w:val="18"/>
                <w:lang w:val="en-US"/>
              </w:rPr>
              <w:t>Celebration of 80 Years of Radio Monte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Lugano</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APSCC 2012 Satellite Conference &amp; Exhibition</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Seoul</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76th IEC Council and SMB meetings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Oslo</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63rd Intl. Astronautical Congress -Lecture Outcomes of WRC-12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Naples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ABU Technical Committee Meeting</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Seoul</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World Broadband Forum</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Amsterdam</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9th Resolution 609 Consultation Meeting</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19/10/12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Tokyo</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10th Annual CTO Forum &amp; 52nd Council Meeting</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22/10/12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Mauritius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WWRF + Wireless World 2020 (WW2020) Workshop</w:t>
            </w:r>
            <w:r w:rsidR="001F434A" w:rsidRPr="00DF21CD">
              <w:rPr>
                <w:sz w:val="20"/>
                <w:szCs w:val="18"/>
                <w:lang w:val="en-US"/>
              </w:rPr>
              <w:t xml:space="preserve"> </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Berlin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14th Annual meeting ISRMM</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Shenzhen (China)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2nd Annual Americas Spectrum Management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 xml:space="preserve">Washington </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Latin American S</w:t>
            </w:r>
            <w:r w:rsidR="0089328C" w:rsidRPr="00DF21CD">
              <w:rPr>
                <w:sz w:val="20"/>
                <w:szCs w:val="18"/>
                <w:lang w:val="en-US"/>
              </w:rPr>
              <w:t>p</w:t>
            </w:r>
            <w:r w:rsidRPr="00DF21CD">
              <w:rPr>
                <w:sz w:val="20"/>
                <w:szCs w:val="18"/>
                <w:lang w:val="en-US"/>
              </w:rPr>
              <w:t>ectrum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24/10/12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Mexico City</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Meeting organized by National P</w:t>
            </w:r>
            <w:r w:rsidR="0089328C" w:rsidRPr="00DF21CD">
              <w:rPr>
                <w:sz w:val="20"/>
                <w:szCs w:val="18"/>
                <w:lang w:val="en-US"/>
              </w:rPr>
              <w:t>o</w:t>
            </w:r>
            <w:r w:rsidRPr="00DF21CD">
              <w:rPr>
                <w:sz w:val="20"/>
                <w:szCs w:val="18"/>
                <w:lang w:val="en-US"/>
              </w:rPr>
              <w:t>lytechnic Institute of Mexico</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Mexico City</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Spectrum Management Forum</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Munich</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7th Intl. Comm. on Global Navigation Satellite Systems (ICG)</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9/11/12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Beijing</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EBU</w:t>
            </w:r>
            <w:r w:rsidR="001F434A" w:rsidRPr="00DF21CD">
              <w:rPr>
                <w:sz w:val="20"/>
                <w:szCs w:val="18"/>
                <w:lang w:val="en-US"/>
              </w:rPr>
              <w:t xml:space="preserve"> – </w:t>
            </w:r>
            <w:r w:rsidRPr="00DF21CD">
              <w:rPr>
                <w:sz w:val="20"/>
                <w:szCs w:val="18"/>
                <w:lang w:val="en-US"/>
              </w:rPr>
              <w:t xml:space="preserve">Forecast </w:t>
            </w:r>
            <w:r w:rsidR="008B03B9" w:rsidRPr="00DF21CD">
              <w:rPr>
                <w:sz w:val="20"/>
                <w:szCs w:val="18"/>
                <w:lang w:val="en-US"/>
              </w:rPr>
              <w:t>‘</w:t>
            </w:r>
            <w:r w:rsidRPr="00DF21CD">
              <w:rPr>
                <w:sz w:val="20"/>
                <w:szCs w:val="18"/>
                <w:lang w:val="en-US"/>
              </w:rPr>
              <w:t>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15/11/12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Geneva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6th International Symposium on Telecommunications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6/11/12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8/11/12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Teheran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GS Forum 2012</w:t>
            </w:r>
            <w:r w:rsidR="001F434A" w:rsidRPr="00DF21CD">
              <w:rPr>
                <w:sz w:val="20"/>
                <w:szCs w:val="18"/>
                <w:lang w:val="en-US"/>
              </w:rPr>
              <w:t xml:space="preserve"> – </w:t>
            </w:r>
            <w:r w:rsidRPr="00DF21CD">
              <w:rPr>
                <w:sz w:val="20"/>
                <w:szCs w:val="18"/>
                <w:lang w:val="en-US"/>
              </w:rPr>
              <w:t>Digital Broadcasting Worldwide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8/11/12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Kaliningrad</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Satellite Interference Reduction Group Annual Conference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Dubai</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BBC</w:t>
            </w:r>
            <w:r w:rsidR="001F434A" w:rsidRPr="00DF21CD">
              <w:rPr>
                <w:sz w:val="20"/>
                <w:szCs w:val="18"/>
                <w:lang w:val="en-US"/>
              </w:rPr>
              <w:t xml:space="preserve"> – </w:t>
            </w:r>
            <w:r w:rsidRPr="00DF21CD">
              <w:rPr>
                <w:sz w:val="20"/>
                <w:szCs w:val="18"/>
                <w:lang w:val="en-US"/>
              </w:rPr>
              <w:t>International Broadcasting Without Barriers Event</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London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Launch meeting for transition to Digital TV</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28/11/12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San Salvador</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WBU-ISOG Forum</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28/11/12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Geneva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SWFs Brussels Space Policy Round Table:</w:t>
            </w:r>
            <w:r w:rsidR="0089328C" w:rsidRPr="00DF21CD">
              <w:rPr>
                <w:sz w:val="20"/>
                <w:szCs w:val="18"/>
                <w:lang w:val="en-US"/>
              </w:rPr>
              <w:t xml:space="preserve"> </w:t>
            </w:r>
            <w:r w:rsidRPr="00DF21CD">
              <w:rPr>
                <w:sz w:val="20"/>
                <w:szCs w:val="18"/>
                <w:lang w:val="en-US"/>
              </w:rPr>
              <w:t>2012 Space Security Index Launch in Europe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Brussels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EBU</w:t>
            </w:r>
            <w:r w:rsidR="001F434A" w:rsidRPr="00DF21CD">
              <w:rPr>
                <w:sz w:val="20"/>
                <w:szCs w:val="18"/>
                <w:lang w:val="en-US"/>
              </w:rPr>
              <w:t xml:space="preserve"> – </w:t>
            </w:r>
            <w:r w:rsidRPr="00DF21CD">
              <w:rPr>
                <w:sz w:val="20"/>
                <w:szCs w:val="18"/>
                <w:lang w:val="en-US"/>
              </w:rPr>
              <w:t>Sustainable Spectrum Management Group</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17/12/12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17/12/12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Geneva</w:t>
            </w:r>
          </w:p>
        </w:tc>
      </w:tr>
      <w:tr w:rsidR="00DF21CD" w:rsidRPr="00DF21CD" w:rsidTr="00183009">
        <w:trPr>
          <w:trHeight w:val="225"/>
        </w:trPr>
        <w:tc>
          <w:tcPr>
            <w:tcW w:w="5543" w:type="dxa"/>
            <w:shd w:val="clear" w:color="auto" w:fill="D9D9D9"/>
            <w:noWrap/>
            <w:vAlign w:val="center"/>
            <w:hideMark/>
          </w:tcPr>
          <w:p w:rsidR="0026766C" w:rsidRPr="00DF21CD" w:rsidRDefault="0026766C" w:rsidP="00183009">
            <w:pPr>
              <w:pStyle w:val="Tabletext"/>
              <w:rPr>
                <w:sz w:val="20"/>
                <w:szCs w:val="18"/>
                <w:lang w:val="en-US" w:eastAsia="zh-CN"/>
              </w:rPr>
            </w:pPr>
            <w:r w:rsidRPr="00DF21CD">
              <w:rPr>
                <w:sz w:val="20"/>
                <w:szCs w:val="18"/>
                <w:lang w:val="en-US" w:eastAsia="zh-CN"/>
              </w:rPr>
              <w:t>ITU SEMINARS, WORKSHOPS &amp; MEETINGS</w:t>
            </w:r>
          </w:p>
        </w:tc>
        <w:tc>
          <w:tcPr>
            <w:tcW w:w="1134" w:type="dxa"/>
            <w:shd w:val="clear" w:color="auto" w:fill="D9D9D9"/>
            <w:noWrap/>
            <w:vAlign w:val="center"/>
            <w:hideMark/>
          </w:tcPr>
          <w:p w:rsidR="0026766C" w:rsidRPr="00DF21CD" w:rsidRDefault="0026766C" w:rsidP="00183009">
            <w:pPr>
              <w:pStyle w:val="Tabletext"/>
              <w:rPr>
                <w:sz w:val="20"/>
                <w:szCs w:val="18"/>
                <w:lang w:val="en-US" w:eastAsia="zh-CN"/>
              </w:rPr>
            </w:pPr>
          </w:p>
        </w:tc>
        <w:tc>
          <w:tcPr>
            <w:tcW w:w="1134" w:type="dxa"/>
            <w:shd w:val="clear" w:color="auto" w:fill="D9D9D9"/>
            <w:noWrap/>
            <w:vAlign w:val="center"/>
            <w:hideMark/>
          </w:tcPr>
          <w:p w:rsidR="0026766C" w:rsidRPr="00DF21CD" w:rsidRDefault="0026766C" w:rsidP="00183009">
            <w:pPr>
              <w:pStyle w:val="Tabletext"/>
              <w:rPr>
                <w:sz w:val="20"/>
                <w:szCs w:val="18"/>
                <w:lang w:val="en-US" w:eastAsia="zh-CN"/>
              </w:rPr>
            </w:pPr>
          </w:p>
        </w:tc>
        <w:tc>
          <w:tcPr>
            <w:tcW w:w="1559" w:type="dxa"/>
            <w:shd w:val="clear" w:color="auto" w:fill="D9D9D9"/>
            <w:noWrap/>
            <w:vAlign w:val="center"/>
            <w:hideMark/>
          </w:tcPr>
          <w:p w:rsidR="0026766C" w:rsidRPr="00DF21CD" w:rsidRDefault="0026766C" w:rsidP="00183009">
            <w:pPr>
              <w:pStyle w:val="Tabletext"/>
              <w:rPr>
                <w:sz w:val="20"/>
                <w:szCs w:val="18"/>
                <w:lang w:val="en-US" w:eastAsia="zh-CN"/>
              </w:rPr>
            </w:pP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 Regional Workshop on transition to digital TV</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Bangkok</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ITU/AICTO Seminar</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28/2/12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29/2/12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Tunis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Connect Arab States Summit</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Doha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ATU/ITU Workshop on transition to digital TV</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15/3/12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Bamako</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CoE training on the transition and digital dividend</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14/3/12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16/3/12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Athens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lastRenderedPageBreak/>
              <w:t>ITU Regional Workshop on transition to digital TV</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16/4/12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20/4/12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Kampala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Regional Development Forum for the Americas</w:t>
            </w:r>
          </w:p>
        </w:tc>
        <w:tc>
          <w:tcPr>
            <w:tcW w:w="1134" w:type="dxa"/>
            <w:shd w:val="clear" w:color="auto" w:fill="auto"/>
            <w:vAlign w:val="center"/>
            <w:hideMark/>
          </w:tcPr>
          <w:p w:rsidR="0026766C" w:rsidRPr="00DF21CD" w:rsidRDefault="0026766C" w:rsidP="00183009">
            <w:pPr>
              <w:pStyle w:val="Tabletext"/>
              <w:rPr>
                <w:sz w:val="20"/>
                <w:szCs w:val="18"/>
                <w:lang w:val="en-US"/>
              </w:rPr>
            </w:pPr>
            <w:r w:rsidRPr="00DF21CD">
              <w:rPr>
                <w:sz w:val="20"/>
                <w:szCs w:val="18"/>
                <w:lang w:val="en-US"/>
              </w:rPr>
              <w:t>18/4/12</w:t>
            </w:r>
          </w:p>
        </w:tc>
        <w:tc>
          <w:tcPr>
            <w:tcW w:w="1134" w:type="dxa"/>
            <w:shd w:val="clear" w:color="auto" w:fill="auto"/>
            <w:vAlign w:val="center"/>
            <w:hideMark/>
          </w:tcPr>
          <w:p w:rsidR="0026766C" w:rsidRPr="00DF21CD" w:rsidRDefault="0026766C" w:rsidP="00183009">
            <w:pPr>
              <w:pStyle w:val="Tabletext"/>
              <w:rPr>
                <w:sz w:val="20"/>
                <w:szCs w:val="18"/>
                <w:lang w:val="en-US"/>
              </w:rPr>
            </w:pPr>
            <w:r w:rsidRPr="00DF21CD">
              <w:rPr>
                <w:sz w:val="20"/>
                <w:szCs w:val="18"/>
                <w:lang w:val="en-US"/>
              </w:rPr>
              <w:t>19/4/12</w:t>
            </w:r>
          </w:p>
        </w:tc>
        <w:tc>
          <w:tcPr>
            <w:tcW w:w="1559" w:type="dxa"/>
            <w:shd w:val="clear" w:color="auto" w:fill="auto"/>
            <w:vAlign w:val="center"/>
            <w:hideMark/>
          </w:tcPr>
          <w:p w:rsidR="0026766C" w:rsidRPr="00DF21CD" w:rsidRDefault="0026766C" w:rsidP="00183009">
            <w:pPr>
              <w:pStyle w:val="Tabletext"/>
              <w:rPr>
                <w:sz w:val="20"/>
                <w:szCs w:val="18"/>
                <w:lang w:val="en-US"/>
              </w:rPr>
            </w:pPr>
            <w:r w:rsidRPr="00DF21CD">
              <w:rPr>
                <w:sz w:val="20"/>
                <w:szCs w:val="18"/>
                <w:lang w:val="en-US"/>
              </w:rPr>
              <w:t>Mexico City</w:t>
            </w:r>
          </w:p>
        </w:tc>
      </w:tr>
      <w:tr w:rsidR="00DF21CD" w:rsidRPr="00DF21CD" w:rsidTr="00183009">
        <w:trPr>
          <w:trHeight w:val="225"/>
        </w:trPr>
        <w:tc>
          <w:tcPr>
            <w:tcW w:w="5543"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ITU Regional Space Workshop</w:t>
            </w:r>
          </w:p>
        </w:tc>
        <w:tc>
          <w:tcPr>
            <w:tcW w:w="1134" w:type="dxa"/>
            <w:shd w:val="clear" w:color="auto" w:fill="auto"/>
            <w:vAlign w:val="center"/>
          </w:tcPr>
          <w:p w:rsidR="0026766C" w:rsidRPr="00DF21CD" w:rsidRDefault="0026766C" w:rsidP="00183009">
            <w:pPr>
              <w:pStyle w:val="Tabletext"/>
              <w:rPr>
                <w:sz w:val="20"/>
                <w:szCs w:val="18"/>
                <w:lang w:val="en-US"/>
              </w:rPr>
            </w:pPr>
            <w:r w:rsidRPr="00DF21CD">
              <w:rPr>
                <w:sz w:val="20"/>
                <w:szCs w:val="18"/>
                <w:lang w:val="en-US"/>
              </w:rPr>
              <w:t>23/4/12</w:t>
            </w:r>
          </w:p>
        </w:tc>
        <w:tc>
          <w:tcPr>
            <w:tcW w:w="1134" w:type="dxa"/>
            <w:shd w:val="clear" w:color="auto" w:fill="auto"/>
            <w:vAlign w:val="center"/>
          </w:tcPr>
          <w:p w:rsidR="0026766C" w:rsidRPr="00DF21CD" w:rsidRDefault="0026766C" w:rsidP="00183009">
            <w:pPr>
              <w:pStyle w:val="Tabletext"/>
              <w:rPr>
                <w:sz w:val="20"/>
                <w:szCs w:val="18"/>
                <w:lang w:val="en-US"/>
              </w:rPr>
            </w:pPr>
            <w:r w:rsidRPr="00DF21CD">
              <w:rPr>
                <w:sz w:val="20"/>
                <w:szCs w:val="18"/>
                <w:lang w:val="en-US"/>
              </w:rPr>
              <w:t>27/4/12</w:t>
            </w:r>
          </w:p>
        </w:tc>
        <w:tc>
          <w:tcPr>
            <w:tcW w:w="1559" w:type="dxa"/>
            <w:shd w:val="clear" w:color="auto" w:fill="auto"/>
            <w:vAlign w:val="center"/>
          </w:tcPr>
          <w:p w:rsidR="0026766C" w:rsidRPr="00DF21CD" w:rsidRDefault="0026766C" w:rsidP="00183009">
            <w:pPr>
              <w:pStyle w:val="Tabletext"/>
              <w:rPr>
                <w:sz w:val="20"/>
                <w:szCs w:val="18"/>
                <w:lang w:val="en-US"/>
              </w:rPr>
            </w:pPr>
            <w:r w:rsidRPr="00DF21CD">
              <w:rPr>
                <w:sz w:val="20"/>
                <w:szCs w:val="18"/>
                <w:lang w:val="en-US"/>
              </w:rPr>
              <w:t>Bangkok</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Workshop on Spectrum Management and Digital Dividend</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8/5/12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Warsaw</w:t>
            </w:r>
          </w:p>
        </w:tc>
      </w:tr>
      <w:tr w:rsidR="00DF21CD" w:rsidRPr="00DF21CD" w:rsidTr="00183009">
        <w:trPr>
          <w:trHeight w:val="214"/>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Regional Development Forum for Africa</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9/5/12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11/5/12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Kigali</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Americas Region Preparatory Meeting for WTSA-12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15/5/12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Buenos Aires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Regional Development Forum for Asia-Pacific</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Bangkok</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 Asia-Pacific Centres of Excellence Training Workshop</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Isfahan</w:t>
            </w:r>
          </w:p>
        </w:tc>
      </w:tr>
      <w:tr w:rsidR="00DF21CD" w:rsidRPr="00DF21CD" w:rsidTr="00183009">
        <w:trPr>
          <w:trHeight w:val="225"/>
        </w:trPr>
        <w:tc>
          <w:tcPr>
            <w:tcW w:w="5543" w:type="dxa"/>
            <w:shd w:val="clear" w:color="auto" w:fill="auto"/>
            <w:noWrap/>
            <w:vAlign w:val="center"/>
            <w:hideMark/>
          </w:tcPr>
          <w:p w:rsidR="0026766C" w:rsidRPr="00DF21CD" w:rsidRDefault="0089328C" w:rsidP="00183009">
            <w:pPr>
              <w:pStyle w:val="Tabletext"/>
              <w:rPr>
                <w:sz w:val="20"/>
                <w:szCs w:val="18"/>
                <w:lang w:val="en-US"/>
              </w:rPr>
            </w:pPr>
            <w:r w:rsidRPr="00DF21CD">
              <w:rPr>
                <w:sz w:val="20"/>
                <w:szCs w:val="18"/>
                <w:lang w:val="en-US"/>
              </w:rPr>
              <w:t>Regional Workshop for Caribbean</w:t>
            </w:r>
            <w:r w:rsidR="0026766C" w:rsidRPr="00DF21CD">
              <w:rPr>
                <w:sz w:val="20"/>
                <w:szCs w:val="18"/>
                <w:lang w:val="en-US"/>
              </w:rPr>
              <w:t xml:space="preserve"> </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Barbados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Regional Development Forum for CIS countries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23/5/12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Chisinau</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7th Symposium on ICTs, the Environment and Climate Change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31/5/12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Montreal</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Seminar on transition to digital TV</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30/5/12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Montevideo</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Workshop on Radiocommunication develop.in light of WRC-12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8/6/12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St. Petersburg</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FTRA 2012</w:t>
            </w:r>
            <w:r w:rsidR="001F434A" w:rsidRPr="00DF21CD">
              <w:rPr>
                <w:sz w:val="20"/>
                <w:szCs w:val="18"/>
                <w:lang w:val="en-US"/>
              </w:rPr>
              <w:t xml:space="preserve"> – </w:t>
            </w:r>
            <w:r w:rsidRPr="00DF21CD">
              <w:rPr>
                <w:sz w:val="20"/>
                <w:szCs w:val="18"/>
                <w:lang w:val="en-US"/>
              </w:rPr>
              <w:t>13th Forum Telec. /ICT Reg. &amp; Partnership</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Libreville</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 Spectrum Management Workshop</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18/6/12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21/6/12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Bogota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Connect Americas Summit</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17/7/12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19/7/12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 xml:space="preserve">Panama </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CLM/ITU Multi-stakeholder Forum</w:t>
            </w:r>
            <w:r w:rsidR="001F434A" w:rsidRPr="00DF21CD">
              <w:rPr>
                <w:sz w:val="20"/>
                <w:szCs w:val="18"/>
                <w:lang w:val="en-US"/>
              </w:rPr>
              <w:t xml:space="preserve"> – </w:t>
            </w:r>
            <w:r w:rsidRPr="00DF21CD">
              <w:rPr>
                <w:sz w:val="20"/>
                <w:szCs w:val="18"/>
                <w:lang w:val="en-US"/>
              </w:rPr>
              <w:t>Role of ICT in Disaster</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24/7/12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26/7/12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Bogota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ITU/TTA Regional BSG fo</w:t>
            </w:r>
            <w:r w:rsidR="0089328C" w:rsidRPr="00DF21CD">
              <w:rPr>
                <w:sz w:val="20"/>
                <w:szCs w:val="18"/>
                <w:lang w:val="en-US"/>
              </w:rPr>
              <w:t>r</w:t>
            </w:r>
            <w:r w:rsidRPr="00DF21CD">
              <w:rPr>
                <w:sz w:val="20"/>
                <w:szCs w:val="18"/>
                <w:lang w:val="en-US"/>
              </w:rPr>
              <w:t xml:space="preserve"> countries in Asia-Pacific region</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30/7/12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31/7/12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Ventiane</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 for SADC sub-reg. GE06 Freq. Coord. Workshop DTT Broadcasting Migration</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20/8/12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24/8/12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Johannesburg</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Sect.</w:t>
            </w:r>
            <w:r w:rsidR="0089328C" w:rsidRPr="00DF21CD">
              <w:rPr>
                <w:sz w:val="20"/>
                <w:szCs w:val="18"/>
                <w:lang w:val="en-US"/>
              </w:rPr>
              <w:t xml:space="preserve"> </w:t>
            </w:r>
            <w:r w:rsidRPr="00DF21CD">
              <w:rPr>
                <w:sz w:val="20"/>
                <w:szCs w:val="18"/>
                <w:lang w:val="en-US"/>
              </w:rPr>
              <w:t>Member Reg.</w:t>
            </w:r>
            <w:r w:rsidR="0089328C" w:rsidRPr="00DF21CD">
              <w:rPr>
                <w:sz w:val="20"/>
                <w:szCs w:val="18"/>
                <w:lang w:val="en-US"/>
              </w:rPr>
              <w:t xml:space="preserve"> </w:t>
            </w:r>
            <w:r w:rsidRPr="00DF21CD">
              <w:rPr>
                <w:sz w:val="20"/>
                <w:szCs w:val="18"/>
                <w:lang w:val="en-US"/>
              </w:rPr>
              <w:t>Meeting Public/Priv.</w:t>
            </w:r>
            <w:r w:rsidR="0089328C" w:rsidRPr="00DF21CD">
              <w:rPr>
                <w:sz w:val="20"/>
                <w:szCs w:val="18"/>
                <w:lang w:val="en-US"/>
              </w:rPr>
              <w:t xml:space="preserve"> </w:t>
            </w:r>
            <w:r w:rsidRPr="00DF21CD">
              <w:rPr>
                <w:sz w:val="20"/>
                <w:szCs w:val="18"/>
                <w:lang w:val="en-US"/>
              </w:rPr>
              <w:t>Partnership CIS countries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21/8/12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24/8/12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Issyk-Kul lake</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Workshop Key event</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Kazakhstan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 Regional Forum for CIS countries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11/9/12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Kiev</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Regional Development Forum + ICT4all</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Hammamet</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 Seminar for Americas Region on Spectrum Management</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20/9/12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Manta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ATU/ITU Digital Transition and Spectrum Policy Summit</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27/9/12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28/9/12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Accra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GSR-12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4/10/12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Colombo</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 Telecom</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Dubai</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 Global Forum on building human capabilities &amp; skills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22/10/12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25/10/12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Cape Town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 Regional Radiocommunication Seminar</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30/10/12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San Jose</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 Regulatory Seminar on Digital Broadcasting</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5/11/12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7/11/12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Budapest</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4th ITU CTO meeting + Reception with GSS speakers &amp; Elected Officials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Dubai</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GSS &amp; WTSA-12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19/11/12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Dubai</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WTSA-12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25/11/12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Dubai</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WCIT-12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3/12/12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14/12/12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Dubai</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ITU/GISFI Workshop on Bridging the Standardization Gap</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17/12/12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18/12/12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Bangalore</w:t>
            </w:r>
          </w:p>
        </w:tc>
      </w:tr>
      <w:tr w:rsidR="00DF21CD" w:rsidRPr="00DF21CD" w:rsidTr="00183009">
        <w:trPr>
          <w:trHeight w:val="225"/>
        </w:trPr>
        <w:tc>
          <w:tcPr>
            <w:tcW w:w="5543" w:type="dxa"/>
            <w:shd w:val="clear" w:color="auto" w:fill="D9D9D9"/>
            <w:noWrap/>
            <w:vAlign w:val="center"/>
            <w:hideMark/>
          </w:tcPr>
          <w:p w:rsidR="0026766C" w:rsidRPr="00DF21CD" w:rsidRDefault="0026766C" w:rsidP="00183009">
            <w:pPr>
              <w:pStyle w:val="Tabletext"/>
              <w:rPr>
                <w:sz w:val="20"/>
                <w:szCs w:val="18"/>
                <w:lang w:val="en-US" w:eastAsia="zh-CN"/>
              </w:rPr>
            </w:pPr>
            <w:r w:rsidRPr="00DF21CD">
              <w:rPr>
                <w:sz w:val="20"/>
                <w:szCs w:val="18"/>
                <w:lang w:val="en-US" w:eastAsia="zh-CN"/>
              </w:rPr>
              <w:t>ASSISTANCE/INFORMATION REQUESTS</w:t>
            </w:r>
          </w:p>
        </w:tc>
        <w:tc>
          <w:tcPr>
            <w:tcW w:w="1134" w:type="dxa"/>
            <w:shd w:val="clear" w:color="auto" w:fill="D9D9D9"/>
            <w:noWrap/>
            <w:vAlign w:val="center"/>
            <w:hideMark/>
          </w:tcPr>
          <w:p w:rsidR="0026766C" w:rsidRPr="00DF21CD" w:rsidRDefault="0026766C" w:rsidP="00183009">
            <w:pPr>
              <w:pStyle w:val="Tabletext"/>
              <w:rPr>
                <w:sz w:val="20"/>
                <w:szCs w:val="18"/>
                <w:lang w:val="en-US" w:eastAsia="zh-CN"/>
              </w:rPr>
            </w:pPr>
          </w:p>
        </w:tc>
        <w:tc>
          <w:tcPr>
            <w:tcW w:w="1134" w:type="dxa"/>
            <w:shd w:val="clear" w:color="auto" w:fill="D9D9D9"/>
            <w:noWrap/>
            <w:vAlign w:val="center"/>
            <w:hideMark/>
          </w:tcPr>
          <w:p w:rsidR="0026766C" w:rsidRPr="00DF21CD" w:rsidRDefault="0026766C" w:rsidP="00183009">
            <w:pPr>
              <w:pStyle w:val="Tabletext"/>
              <w:rPr>
                <w:sz w:val="20"/>
                <w:szCs w:val="18"/>
                <w:lang w:val="en-US" w:eastAsia="zh-CN"/>
              </w:rPr>
            </w:pPr>
          </w:p>
        </w:tc>
        <w:tc>
          <w:tcPr>
            <w:tcW w:w="1559" w:type="dxa"/>
            <w:shd w:val="clear" w:color="auto" w:fill="D9D9D9"/>
            <w:noWrap/>
            <w:vAlign w:val="center"/>
            <w:hideMark/>
          </w:tcPr>
          <w:p w:rsidR="0026766C" w:rsidRPr="00DF21CD" w:rsidRDefault="0026766C" w:rsidP="00183009">
            <w:pPr>
              <w:pStyle w:val="Tabletext"/>
              <w:rPr>
                <w:sz w:val="20"/>
                <w:szCs w:val="18"/>
                <w:lang w:val="en-US" w:eastAsia="zh-CN"/>
              </w:rPr>
            </w:pP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Assistance to Albania on Strategies for transition to digital TV</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10/1/12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10/1/12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Tirana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Technical assistance to NICTA (Papua New Guinea)</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30/7/12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3/8/12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Port Moresby</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Assistance to Palestine</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10/9/12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13/9/12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Palestine</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Assistance to MERCOSUR</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29/10/12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Brasilia</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lastRenderedPageBreak/>
              <w:t>Assistance to Gabon</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16/11/12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Gabon</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Assistance to Thailand</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12/11/12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15/11/12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Bangkok</w:t>
            </w:r>
          </w:p>
        </w:tc>
      </w:tr>
      <w:tr w:rsidR="00DF21CD" w:rsidRPr="00DF21CD" w:rsidTr="00183009">
        <w:trPr>
          <w:trHeight w:val="214"/>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Assistance to Maldives</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26/11/12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30/11/12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Maldives</w:t>
            </w:r>
          </w:p>
        </w:tc>
      </w:tr>
      <w:tr w:rsidR="00DF21CD" w:rsidRPr="00DF21CD" w:rsidTr="00183009">
        <w:trPr>
          <w:trHeight w:val="225"/>
        </w:trPr>
        <w:tc>
          <w:tcPr>
            <w:tcW w:w="5543"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Assistance to NBTC Thailand</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10/12/12</w:t>
            </w:r>
          </w:p>
        </w:tc>
        <w:tc>
          <w:tcPr>
            <w:tcW w:w="1134"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14/12/12</w:t>
            </w:r>
          </w:p>
        </w:tc>
        <w:tc>
          <w:tcPr>
            <w:tcW w:w="1559" w:type="dxa"/>
            <w:shd w:val="clear" w:color="auto" w:fill="auto"/>
            <w:noWrap/>
            <w:vAlign w:val="center"/>
            <w:hideMark/>
          </w:tcPr>
          <w:p w:rsidR="0026766C" w:rsidRPr="00DF21CD" w:rsidRDefault="0026766C" w:rsidP="00183009">
            <w:pPr>
              <w:pStyle w:val="Tabletext"/>
              <w:rPr>
                <w:sz w:val="20"/>
                <w:szCs w:val="18"/>
                <w:lang w:val="en-US"/>
              </w:rPr>
            </w:pPr>
            <w:r w:rsidRPr="00DF21CD">
              <w:rPr>
                <w:sz w:val="20"/>
                <w:szCs w:val="18"/>
                <w:lang w:val="en-US"/>
              </w:rPr>
              <w:t>Bangkok</w:t>
            </w:r>
          </w:p>
        </w:tc>
      </w:tr>
      <w:tr w:rsidR="00DF21CD" w:rsidRPr="00DF21CD" w:rsidTr="00183009">
        <w:trPr>
          <w:trHeight w:val="225"/>
        </w:trPr>
        <w:tc>
          <w:tcPr>
            <w:tcW w:w="5543" w:type="dxa"/>
            <w:shd w:val="pct15" w:color="auto" w:fill="auto"/>
            <w:noWrap/>
            <w:vAlign w:val="center"/>
          </w:tcPr>
          <w:p w:rsidR="0026766C" w:rsidRPr="00DF21CD" w:rsidRDefault="0026766C" w:rsidP="00183009">
            <w:pPr>
              <w:pStyle w:val="Tabletext"/>
              <w:rPr>
                <w:sz w:val="20"/>
                <w:szCs w:val="18"/>
                <w:lang w:val="en-US"/>
              </w:rPr>
            </w:pPr>
            <w:r w:rsidRPr="00DF21CD">
              <w:rPr>
                <w:sz w:val="20"/>
                <w:szCs w:val="18"/>
                <w:lang w:val="en-US"/>
              </w:rPr>
              <w:t>MISCELLANEOUS (MSC)</w:t>
            </w:r>
          </w:p>
        </w:tc>
        <w:tc>
          <w:tcPr>
            <w:tcW w:w="1134" w:type="dxa"/>
            <w:shd w:val="pct15" w:color="auto" w:fill="auto"/>
            <w:noWrap/>
            <w:vAlign w:val="center"/>
          </w:tcPr>
          <w:p w:rsidR="0026766C" w:rsidRPr="00DF21CD" w:rsidRDefault="0026766C" w:rsidP="00183009">
            <w:pPr>
              <w:pStyle w:val="Tabletext"/>
              <w:rPr>
                <w:sz w:val="20"/>
                <w:szCs w:val="18"/>
                <w:lang w:val="en-US"/>
              </w:rPr>
            </w:pPr>
          </w:p>
        </w:tc>
        <w:tc>
          <w:tcPr>
            <w:tcW w:w="1134" w:type="dxa"/>
            <w:shd w:val="pct15" w:color="auto" w:fill="auto"/>
            <w:noWrap/>
            <w:vAlign w:val="center"/>
          </w:tcPr>
          <w:p w:rsidR="0026766C" w:rsidRPr="00DF21CD" w:rsidRDefault="0026766C" w:rsidP="00183009">
            <w:pPr>
              <w:pStyle w:val="Tabletext"/>
              <w:rPr>
                <w:sz w:val="20"/>
                <w:szCs w:val="18"/>
                <w:lang w:val="en-US"/>
              </w:rPr>
            </w:pPr>
          </w:p>
        </w:tc>
        <w:tc>
          <w:tcPr>
            <w:tcW w:w="1559" w:type="dxa"/>
            <w:shd w:val="pct15" w:color="auto" w:fill="auto"/>
            <w:noWrap/>
            <w:vAlign w:val="center"/>
          </w:tcPr>
          <w:p w:rsidR="0026766C" w:rsidRPr="00DF21CD" w:rsidRDefault="0026766C" w:rsidP="00183009">
            <w:pPr>
              <w:pStyle w:val="Tabletext"/>
              <w:rPr>
                <w:sz w:val="20"/>
                <w:szCs w:val="18"/>
                <w:lang w:val="en-US"/>
              </w:rPr>
            </w:pPr>
          </w:p>
        </w:tc>
      </w:tr>
      <w:tr w:rsidR="00DF21CD" w:rsidRPr="00DF21CD" w:rsidTr="00183009">
        <w:trPr>
          <w:trHeight w:val="225"/>
        </w:trPr>
        <w:tc>
          <w:tcPr>
            <w:tcW w:w="5543"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63rd Annual Technology &amp; Engineering EMMY Award</w:t>
            </w:r>
          </w:p>
        </w:tc>
        <w:tc>
          <w:tcPr>
            <w:tcW w:w="1134"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12/1/12</w:t>
            </w:r>
          </w:p>
        </w:tc>
        <w:tc>
          <w:tcPr>
            <w:tcW w:w="1134"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12/1/12</w:t>
            </w:r>
          </w:p>
        </w:tc>
        <w:tc>
          <w:tcPr>
            <w:tcW w:w="1559"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Las Vegas</w:t>
            </w:r>
          </w:p>
        </w:tc>
      </w:tr>
      <w:tr w:rsidR="00DF21CD" w:rsidRPr="00DF21CD" w:rsidTr="00183009">
        <w:trPr>
          <w:trHeight w:val="225"/>
        </w:trPr>
        <w:tc>
          <w:tcPr>
            <w:tcW w:w="5543"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100th Meeting MPEG Celebration Event</w:t>
            </w:r>
          </w:p>
        </w:tc>
        <w:tc>
          <w:tcPr>
            <w:tcW w:w="1134"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2/5/12</w:t>
            </w:r>
          </w:p>
        </w:tc>
        <w:tc>
          <w:tcPr>
            <w:tcW w:w="1134"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2/5/12</w:t>
            </w:r>
          </w:p>
        </w:tc>
        <w:tc>
          <w:tcPr>
            <w:tcW w:w="1559"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Geneva</w:t>
            </w:r>
          </w:p>
        </w:tc>
      </w:tr>
      <w:tr w:rsidR="00DF21CD" w:rsidRPr="00DF21CD" w:rsidTr="00183009">
        <w:trPr>
          <w:trHeight w:val="225"/>
        </w:trPr>
        <w:tc>
          <w:tcPr>
            <w:tcW w:w="5543"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Visit to INVAP in Bariloche + ARSAT in Benavidez</w:t>
            </w:r>
          </w:p>
        </w:tc>
        <w:tc>
          <w:tcPr>
            <w:tcW w:w="1134"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26/5/12</w:t>
            </w:r>
          </w:p>
        </w:tc>
        <w:tc>
          <w:tcPr>
            <w:tcW w:w="1134"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29/5/12</w:t>
            </w:r>
          </w:p>
        </w:tc>
        <w:tc>
          <w:tcPr>
            <w:tcW w:w="1559"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Buenos Aires</w:t>
            </w:r>
          </w:p>
        </w:tc>
      </w:tr>
      <w:tr w:rsidR="00DF21CD" w:rsidRPr="00DF21CD" w:rsidTr="00183009">
        <w:trPr>
          <w:trHeight w:val="225"/>
        </w:trPr>
        <w:tc>
          <w:tcPr>
            <w:tcW w:w="5543"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Lecture on Satellite Commun</w:t>
            </w:r>
            <w:r w:rsidR="0089328C" w:rsidRPr="00DF21CD">
              <w:rPr>
                <w:sz w:val="20"/>
                <w:szCs w:val="18"/>
                <w:lang w:val="en-US"/>
              </w:rPr>
              <w:t>i</w:t>
            </w:r>
            <w:r w:rsidRPr="00DF21CD">
              <w:rPr>
                <w:sz w:val="20"/>
                <w:szCs w:val="18"/>
                <w:lang w:val="en-US"/>
              </w:rPr>
              <w:t>cations at the University of Luxemburg</w:t>
            </w:r>
          </w:p>
        </w:tc>
        <w:tc>
          <w:tcPr>
            <w:tcW w:w="1134"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20/11/12</w:t>
            </w:r>
          </w:p>
        </w:tc>
        <w:tc>
          <w:tcPr>
            <w:tcW w:w="1134"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20/11/12</w:t>
            </w:r>
          </w:p>
        </w:tc>
        <w:tc>
          <w:tcPr>
            <w:tcW w:w="1559" w:type="dxa"/>
            <w:shd w:val="clear" w:color="auto" w:fill="auto"/>
            <w:noWrap/>
            <w:vAlign w:val="center"/>
          </w:tcPr>
          <w:p w:rsidR="0026766C" w:rsidRPr="00DF21CD" w:rsidRDefault="0026766C" w:rsidP="00183009">
            <w:pPr>
              <w:pStyle w:val="Tabletext"/>
              <w:rPr>
                <w:sz w:val="20"/>
                <w:szCs w:val="18"/>
                <w:lang w:val="en-US"/>
              </w:rPr>
            </w:pPr>
            <w:r w:rsidRPr="00DF21CD">
              <w:rPr>
                <w:sz w:val="20"/>
                <w:szCs w:val="18"/>
                <w:lang w:val="en-US"/>
              </w:rPr>
              <w:t>Limpertsberg</w:t>
            </w:r>
          </w:p>
        </w:tc>
      </w:tr>
    </w:tbl>
    <w:p w:rsidR="0026766C" w:rsidRPr="001D08AC" w:rsidRDefault="0026766C" w:rsidP="001D08AC">
      <w:pPr>
        <w:rPr>
          <w:lang w:val="en-US"/>
        </w:rPr>
      </w:pPr>
    </w:p>
    <w:p w:rsidR="0026766C" w:rsidRPr="001D08AC" w:rsidRDefault="0026766C" w:rsidP="001857B5">
      <w:pPr>
        <w:jc w:val="center"/>
        <w:rPr>
          <w:lang w:val="en-US"/>
        </w:rPr>
      </w:pPr>
      <w:r w:rsidRPr="001D08AC">
        <w:rPr>
          <w:lang w:val="en-US" w:eastAsia="zh-CN"/>
        </w:rPr>
        <w:t>__________</w:t>
      </w:r>
      <w:r w:rsidR="001857B5">
        <w:rPr>
          <w:lang w:val="en-US" w:eastAsia="zh-CN"/>
        </w:rPr>
        <w:t>____</w:t>
      </w:r>
    </w:p>
    <w:sectPr w:rsidR="0026766C" w:rsidRPr="001D08AC" w:rsidSect="00F749FF">
      <w:headerReference w:type="even" r:id="rId27"/>
      <w:headerReference w:type="default" r:id="rId28"/>
      <w:footerReference w:type="even" r:id="rId29"/>
      <w:footerReference w:type="default" r:id="rId30"/>
      <w:headerReference w:type="firs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8E3" w:rsidRDefault="002528E3">
      <w:r>
        <w:separator/>
      </w:r>
    </w:p>
  </w:endnote>
  <w:endnote w:type="continuationSeparator" w:id="0">
    <w:p w:rsidR="002528E3" w:rsidRDefault="0025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8E" w:rsidRDefault="00397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E3" w:rsidRPr="004A7348" w:rsidRDefault="002528E3">
    <w:pPr>
      <w:pStyle w:val="Footer"/>
      <w:rPr>
        <w:lang w:val="de-DE"/>
      </w:rPr>
    </w:pPr>
    <w:r>
      <w:fldChar w:fldCharType="begin"/>
    </w:r>
    <w:r w:rsidRPr="004A7348">
      <w:rPr>
        <w:lang w:val="de-DE"/>
      </w:rPr>
      <w:instrText xml:space="preserve"> FILENAME \p  \* MERGEFORMAT </w:instrText>
    </w:r>
    <w:r>
      <w:fldChar w:fldCharType="separate"/>
    </w:r>
    <w:r w:rsidR="0039768E">
      <w:rPr>
        <w:lang w:val="de-DE"/>
      </w:rPr>
      <w:t>P:\ENG\ITU-R\AG\RAG13\RAG-1\000\001V2E.DOCX</w:t>
    </w:r>
    <w:r>
      <w:fldChar w:fldCharType="end"/>
    </w:r>
    <w:bookmarkStart w:id="6" w:name="_GoBack"/>
    <w:bookmarkEnd w:id="6"/>
    <w:r w:rsidRPr="004A7348">
      <w:rPr>
        <w:lang w:val="de-DE"/>
      </w:rPr>
      <w:t xml:space="preserve"> (341203)</w:t>
    </w:r>
    <w:r w:rsidRPr="004A7348">
      <w:rPr>
        <w:lang w:val="de-DE"/>
      </w:rPr>
      <w:tab/>
    </w:r>
    <w:r>
      <w:fldChar w:fldCharType="begin"/>
    </w:r>
    <w:r>
      <w:instrText xml:space="preserve"> SAVEDATE \@ DD.MM.YY </w:instrText>
    </w:r>
    <w:r>
      <w:fldChar w:fldCharType="separate"/>
    </w:r>
    <w:r w:rsidR="007F20D3">
      <w:t>27.03.13</w:t>
    </w:r>
    <w:r>
      <w:fldChar w:fldCharType="end"/>
    </w:r>
    <w:r w:rsidRPr="004A7348">
      <w:rPr>
        <w:lang w:val="de-DE"/>
      </w:rPr>
      <w:tab/>
    </w:r>
    <w:r>
      <w:fldChar w:fldCharType="begin"/>
    </w:r>
    <w:r>
      <w:instrText xml:space="preserve"> PRINTDATE \@ DD.MM.YY </w:instrText>
    </w:r>
    <w:r>
      <w:fldChar w:fldCharType="separate"/>
    </w:r>
    <w:r>
      <w:t>30.09.99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E3" w:rsidRPr="008B03B9" w:rsidRDefault="002528E3" w:rsidP="001E41A0">
    <w:pPr>
      <w:pStyle w:val="Footer"/>
      <w:rPr>
        <w:lang w:val="de-DE"/>
      </w:rPr>
    </w:pPr>
    <w:r>
      <w:fldChar w:fldCharType="begin"/>
    </w:r>
    <w:r w:rsidRPr="008B03B9">
      <w:rPr>
        <w:lang w:val="de-DE"/>
      </w:rPr>
      <w:instrText xml:space="preserve"> FILENAME \p \* MERGEFORMAT </w:instrText>
    </w:r>
    <w:r>
      <w:fldChar w:fldCharType="separate"/>
    </w:r>
    <w:r w:rsidR="0039768E">
      <w:rPr>
        <w:lang w:val="de-DE"/>
      </w:rPr>
      <w:t>P:\ENG\ITU-R\AG\RAG13\RAG-1\000\001V2E.DOCX</w:t>
    </w:r>
    <w:r>
      <w:rPr>
        <w:lang w:val="es-ES_tradnl"/>
      </w:rPr>
      <w:fldChar w:fldCharType="end"/>
    </w:r>
    <w:r w:rsidRPr="008B03B9">
      <w:rPr>
        <w:lang w:val="de-DE"/>
      </w:rPr>
      <w:t xml:space="preserve"> (341203)</w:t>
    </w:r>
    <w:r w:rsidRPr="008B03B9">
      <w:rPr>
        <w:lang w:val="de-DE"/>
      </w:rPr>
      <w:tab/>
    </w:r>
    <w:r>
      <w:fldChar w:fldCharType="begin"/>
    </w:r>
    <w:r>
      <w:instrText xml:space="preserve"> savedate \@ dd.MM.yy </w:instrText>
    </w:r>
    <w:r>
      <w:fldChar w:fldCharType="separate"/>
    </w:r>
    <w:r w:rsidR="007F20D3">
      <w:t>27.03.13</w:t>
    </w:r>
    <w:r>
      <w:fldChar w:fldCharType="end"/>
    </w:r>
    <w:r w:rsidRPr="008B03B9">
      <w:rPr>
        <w:lang w:val="de-DE"/>
      </w:rPr>
      <w:tab/>
    </w:r>
    <w:r>
      <w:fldChar w:fldCharType="begin"/>
    </w:r>
    <w:r>
      <w:instrText xml:space="preserve"> printdate \@ dd.MM.yy </w:instrText>
    </w:r>
    <w:r>
      <w:fldChar w:fldCharType="separate"/>
    </w:r>
    <w:r>
      <w:t>30.09.99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8E3" w:rsidRDefault="002528E3">
      <w:r>
        <w:t>____________________</w:t>
      </w:r>
    </w:p>
  </w:footnote>
  <w:footnote w:type="continuationSeparator" w:id="0">
    <w:p w:rsidR="002528E3" w:rsidRDefault="002528E3">
      <w:r>
        <w:continuationSeparator/>
      </w:r>
    </w:p>
  </w:footnote>
  <w:footnote w:id="1">
    <w:p w:rsidR="002528E3" w:rsidRPr="00F71BD5" w:rsidRDefault="002528E3" w:rsidP="001D08AC">
      <w:pPr>
        <w:pStyle w:val="FootnoteText"/>
        <w:rPr>
          <w:lang w:val="en-US"/>
        </w:rPr>
      </w:pPr>
      <w:r>
        <w:rPr>
          <w:rStyle w:val="FootnoteReference"/>
        </w:rPr>
        <w:footnoteRef/>
      </w:r>
      <w:r>
        <w:t xml:space="preserve"> </w:t>
      </w:r>
      <w:r>
        <w:tab/>
      </w:r>
      <w:r>
        <w:rPr>
          <w:lang w:val="en-US"/>
        </w:rPr>
        <w:t>The Bureau is currently working on upgrading the install utility to ensure full compatibility with Windows 8</w:t>
      </w:r>
      <w:r w:rsidRPr="00F71BD5">
        <w:rPr>
          <w:vertAlign w:val="superscript"/>
        </w:rPr>
        <w:t>®</w:t>
      </w:r>
      <w:r>
        <w:rPr>
          <w:lang w:val="en-US"/>
        </w:rPr>
        <w:t xml:space="preserve"> as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8E" w:rsidRDefault="003976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E3" w:rsidRDefault="002528E3" w:rsidP="001E41A0">
    <w:pPr>
      <w:pStyle w:val="Header"/>
      <w:rPr>
        <w:lang w:val="es-ES"/>
      </w:rPr>
    </w:pPr>
    <w:r>
      <w:fldChar w:fldCharType="begin"/>
    </w:r>
    <w:r>
      <w:instrText xml:space="preserve"> PAGE </w:instrText>
    </w:r>
    <w:r>
      <w:fldChar w:fldCharType="separate"/>
    </w:r>
    <w:r w:rsidR="0039768E">
      <w:rPr>
        <w:noProof/>
      </w:rPr>
      <w:t>2</w:t>
    </w:r>
    <w:r>
      <w:rPr>
        <w:noProof/>
      </w:rPr>
      <w:fldChar w:fldCharType="end"/>
    </w:r>
  </w:p>
  <w:p w:rsidR="002528E3" w:rsidRDefault="002528E3" w:rsidP="004A7348">
    <w:pPr>
      <w:pStyle w:val="Header"/>
      <w:rPr>
        <w:lang w:val="es-ES"/>
      </w:rPr>
    </w:pPr>
    <w:r>
      <w:rPr>
        <w:lang w:val="es-ES"/>
      </w:rPr>
      <w:t>RAG13-1/1-E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8E" w:rsidRDefault="00397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09D3AAE"/>
    <w:multiLevelType w:val="hybridMultilevel"/>
    <w:tmpl w:val="BC220644"/>
    <w:lvl w:ilvl="0" w:tplc="A43AB9A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300A03"/>
    <w:multiLevelType w:val="hybridMultilevel"/>
    <w:tmpl w:val="835AB172"/>
    <w:lvl w:ilvl="0" w:tplc="A43AB9AA">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895600A"/>
    <w:multiLevelType w:val="hybridMultilevel"/>
    <w:tmpl w:val="48EC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8674B2"/>
    <w:multiLevelType w:val="hybridMultilevel"/>
    <w:tmpl w:val="3FDA1C84"/>
    <w:lvl w:ilvl="0" w:tplc="A43AB9A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8790028"/>
    <w:multiLevelType w:val="multilevel"/>
    <w:tmpl w:val="46C45DE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47567F"/>
    <w:multiLevelType w:val="multilevel"/>
    <w:tmpl w:val="0D5C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6345B53"/>
    <w:multiLevelType w:val="hybridMultilevel"/>
    <w:tmpl w:val="A3489C4E"/>
    <w:lvl w:ilvl="0" w:tplc="85DE0DB2">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B85225"/>
    <w:multiLevelType w:val="hybridMultilevel"/>
    <w:tmpl w:val="1534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D44D91"/>
    <w:multiLevelType w:val="multilevel"/>
    <w:tmpl w:val="DE4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6"/>
  </w:num>
  <w:num w:numId="14">
    <w:abstractNumId w:val="18"/>
  </w:num>
  <w:num w:numId="15">
    <w:abstractNumId w:val="14"/>
  </w:num>
  <w:num w:numId="16">
    <w:abstractNumId w:val="21"/>
  </w:num>
  <w:num w:numId="17">
    <w:abstractNumId w:val="20"/>
  </w:num>
  <w:num w:numId="18">
    <w:abstractNumId w:val="19"/>
  </w:num>
  <w:num w:numId="19">
    <w:abstractNumId w:val="12"/>
  </w:num>
  <w:num w:numId="20">
    <w:abstractNumId w:val="1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E4"/>
    <w:rsid w:val="00093C73"/>
    <w:rsid w:val="001377D6"/>
    <w:rsid w:val="00183009"/>
    <w:rsid w:val="001857B5"/>
    <w:rsid w:val="001B0AD0"/>
    <w:rsid w:val="001D08AC"/>
    <w:rsid w:val="001E41A0"/>
    <w:rsid w:val="001F434A"/>
    <w:rsid w:val="002528E3"/>
    <w:rsid w:val="0026766C"/>
    <w:rsid w:val="002774E4"/>
    <w:rsid w:val="0039768E"/>
    <w:rsid w:val="003D068D"/>
    <w:rsid w:val="003F4B9A"/>
    <w:rsid w:val="004A7348"/>
    <w:rsid w:val="00507DA3"/>
    <w:rsid w:val="0051782D"/>
    <w:rsid w:val="00597657"/>
    <w:rsid w:val="00746923"/>
    <w:rsid w:val="00783FA6"/>
    <w:rsid w:val="007A17E4"/>
    <w:rsid w:val="007F20D3"/>
    <w:rsid w:val="00806E63"/>
    <w:rsid w:val="00832727"/>
    <w:rsid w:val="0089328C"/>
    <w:rsid w:val="008B03B9"/>
    <w:rsid w:val="008B3F50"/>
    <w:rsid w:val="0095426A"/>
    <w:rsid w:val="00A16CB2"/>
    <w:rsid w:val="00B35BE4"/>
    <w:rsid w:val="00B52992"/>
    <w:rsid w:val="00B7349C"/>
    <w:rsid w:val="00BC356A"/>
    <w:rsid w:val="00CC1D49"/>
    <w:rsid w:val="00CD4D80"/>
    <w:rsid w:val="00D211BC"/>
    <w:rsid w:val="00DD3BF8"/>
    <w:rsid w:val="00DF21CD"/>
    <w:rsid w:val="00F53F22"/>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aliases w:val="Heading 3 Char,h3,H3,H31"/>
    <w:basedOn w:val="Heading1"/>
    <w:next w:val="Normal"/>
    <w:link w:val="Heading3Char1"/>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uiPriority w:val="99"/>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26766C"/>
    <w:rPr>
      <w:color w:val="0000FF"/>
      <w:u w:val="single"/>
    </w:rPr>
  </w:style>
  <w:style w:type="paragraph" w:styleId="BodyText">
    <w:name w:val="Body Text"/>
    <w:basedOn w:val="Normal"/>
    <w:link w:val="BodyTextChar"/>
    <w:rsid w:val="0026766C"/>
    <w:rPr>
      <w:b/>
      <w:bCs/>
      <w:i/>
      <w:iCs/>
      <w:szCs w:val="24"/>
    </w:rPr>
  </w:style>
  <w:style w:type="character" w:customStyle="1" w:styleId="BodyTextChar">
    <w:name w:val="Body Text Char"/>
    <w:basedOn w:val="DefaultParagraphFont"/>
    <w:link w:val="BodyText"/>
    <w:rsid w:val="0026766C"/>
    <w:rPr>
      <w:rFonts w:ascii="Times New Roman" w:hAnsi="Times New Roman"/>
      <w:b/>
      <w:bCs/>
      <w:i/>
      <w:iCs/>
      <w:sz w:val="24"/>
      <w:szCs w:val="24"/>
      <w:lang w:val="en-GB" w:eastAsia="en-US"/>
    </w:rPr>
  </w:style>
  <w:style w:type="paragraph" w:customStyle="1" w:styleId="TableNo">
    <w:name w:val="Table_No"/>
    <w:basedOn w:val="Normal"/>
    <w:next w:val="Normal"/>
    <w:rsid w:val="0026766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26766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26766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6766C"/>
    <w:rPr>
      <w:color w:val="606420"/>
      <w:u w:val="single"/>
    </w:rPr>
  </w:style>
  <w:style w:type="character" w:customStyle="1" w:styleId="Heading3Char1">
    <w:name w:val="Heading 3 Char1"/>
    <w:aliases w:val="Heading 3 Char Char,h3 Char,H3 Char,H31 Char"/>
    <w:basedOn w:val="DefaultParagraphFont"/>
    <w:link w:val="Heading3"/>
    <w:rsid w:val="0026766C"/>
    <w:rPr>
      <w:rFonts w:ascii="Times New Roman" w:hAnsi="Times New Roman"/>
      <w:b/>
      <w:sz w:val="24"/>
      <w:lang w:val="en-GB" w:eastAsia="en-US"/>
    </w:rPr>
  </w:style>
  <w:style w:type="character" w:customStyle="1" w:styleId="itur-title1">
    <w:name w:val="itur-title1"/>
    <w:basedOn w:val="DefaultParagraphFont"/>
    <w:rsid w:val="0026766C"/>
    <w:rPr>
      <w:b/>
      <w:bCs/>
      <w:color w:val="5B84D7"/>
      <w:sz w:val="26"/>
      <w:szCs w:val="26"/>
    </w:rPr>
  </w:style>
  <w:style w:type="character" w:styleId="Strong">
    <w:name w:val="Strong"/>
    <w:basedOn w:val="DefaultParagraphFont"/>
    <w:uiPriority w:val="22"/>
    <w:qFormat/>
    <w:rsid w:val="0026766C"/>
    <w:rPr>
      <w:b/>
      <w:bCs/>
    </w:rPr>
  </w:style>
  <w:style w:type="character" w:customStyle="1" w:styleId="EmailStyle119">
    <w:name w:val="EmailStyle119"/>
    <w:basedOn w:val="DefaultParagraphFont"/>
    <w:semiHidden/>
    <w:rsid w:val="0026766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26766C"/>
    <w:rPr>
      <w:rFonts w:ascii="Times New Roman" w:hAnsi="Times New Roman"/>
      <w:sz w:val="22"/>
      <w:lang w:val="en-GB" w:eastAsia="en-US"/>
    </w:rPr>
  </w:style>
  <w:style w:type="paragraph" w:customStyle="1" w:styleId="Char">
    <w:name w:val="Char"/>
    <w:basedOn w:val="Normal"/>
    <w:rsid w:val="0026766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NormalWeb">
    <w:name w:val="Normal (Web)"/>
    <w:basedOn w:val="Normal"/>
    <w:rsid w:val="0026766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26766C"/>
    <w:rPr>
      <w:b/>
      <w:bCs/>
      <w:color w:val="3366CC"/>
      <w:sz w:val="36"/>
      <w:szCs w:val="36"/>
    </w:rPr>
  </w:style>
  <w:style w:type="character" w:customStyle="1" w:styleId="msoins0">
    <w:name w:val="msoins"/>
    <w:basedOn w:val="DefaultParagraphFont"/>
    <w:rsid w:val="0026766C"/>
  </w:style>
  <w:style w:type="character" w:customStyle="1" w:styleId="msoins00">
    <w:name w:val="msoins0"/>
    <w:basedOn w:val="DefaultParagraphFont"/>
    <w:rsid w:val="0026766C"/>
  </w:style>
  <w:style w:type="paragraph" w:customStyle="1" w:styleId="CharCharCharCharCharChar">
    <w:name w:val="Char Char Char Char Char Char"/>
    <w:basedOn w:val="Normal"/>
    <w:rsid w:val="0026766C"/>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26766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26766C"/>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26766C"/>
    <w:rPr>
      <w:rFonts w:ascii="Times New Roman" w:hAnsi="Times New Roman"/>
      <w:b/>
      <w:sz w:val="28"/>
      <w:lang w:val="en-GB" w:eastAsia="en-US"/>
    </w:rPr>
  </w:style>
  <w:style w:type="character" w:customStyle="1" w:styleId="CallChar">
    <w:name w:val="Call Char"/>
    <w:basedOn w:val="DefaultParagraphFont"/>
    <w:link w:val="Call"/>
    <w:uiPriority w:val="99"/>
    <w:locked/>
    <w:rsid w:val="0026766C"/>
    <w:rPr>
      <w:rFonts w:ascii="Times New Roman" w:hAnsi="Times New Roman"/>
      <w:i/>
      <w:sz w:val="24"/>
      <w:lang w:val="en-GB" w:eastAsia="en-US"/>
    </w:rPr>
  </w:style>
  <w:style w:type="paragraph" w:styleId="ListParagraph">
    <w:name w:val="List Paragraph"/>
    <w:basedOn w:val="Normal"/>
    <w:uiPriority w:val="34"/>
    <w:qFormat/>
    <w:rsid w:val="0026766C"/>
    <w:pPr>
      <w:ind w:left="720"/>
      <w:contextualSpacing/>
      <w:jc w:val="both"/>
      <w:textAlignment w:val="auto"/>
    </w:pPr>
  </w:style>
  <w:style w:type="paragraph" w:customStyle="1" w:styleId="DecimalAligned">
    <w:name w:val="Decimal Aligned"/>
    <w:basedOn w:val="Normal"/>
    <w:uiPriority w:val="40"/>
    <w:rsid w:val="0026766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26766C"/>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26766C"/>
    <w:rPr>
      <w:rFonts w:ascii="Cambria" w:eastAsia="SimSun" w:hAnsi="Cambria"/>
      <w:i/>
      <w:iCs/>
      <w:color w:val="4F81BD"/>
      <w:spacing w:val="15"/>
      <w:sz w:val="24"/>
      <w:szCs w:val="24"/>
    </w:rPr>
  </w:style>
  <w:style w:type="paragraph" w:styleId="BodyText2">
    <w:name w:val="Body Text 2"/>
    <w:basedOn w:val="Normal"/>
    <w:link w:val="BodyText2Char"/>
    <w:unhideWhenUsed/>
    <w:rsid w:val="0026766C"/>
    <w:pPr>
      <w:spacing w:after="120" w:line="480" w:lineRule="auto"/>
      <w:textAlignment w:val="auto"/>
    </w:pPr>
  </w:style>
  <w:style w:type="character" w:customStyle="1" w:styleId="BodyText2Char">
    <w:name w:val="Body Text 2 Char"/>
    <w:basedOn w:val="DefaultParagraphFont"/>
    <w:link w:val="BodyText2"/>
    <w:rsid w:val="0026766C"/>
    <w:rPr>
      <w:rFonts w:ascii="Times New Roman" w:hAnsi="Times New Roman"/>
      <w:sz w:val="24"/>
      <w:lang w:val="en-GB" w:eastAsia="en-US"/>
    </w:rPr>
  </w:style>
  <w:style w:type="paragraph" w:styleId="Revision">
    <w:name w:val="Revision"/>
    <w:hidden/>
    <w:uiPriority w:val="99"/>
    <w:semiHidden/>
    <w:rsid w:val="0026766C"/>
    <w:rPr>
      <w:rFonts w:ascii="Times New Roman" w:hAnsi="Times New Roman"/>
      <w:sz w:val="24"/>
      <w:lang w:val="en-GB" w:eastAsia="en-US"/>
    </w:rPr>
  </w:style>
  <w:style w:type="character" w:customStyle="1" w:styleId="Heading2Char">
    <w:name w:val="Heading 2 Char"/>
    <w:basedOn w:val="DefaultParagraphFont"/>
    <w:link w:val="Heading2"/>
    <w:rsid w:val="0026766C"/>
    <w:rPr>
      <w:rFonts w:ascii="Times New Roman" w:hAnsi="Times New Roman"/>
      <w:b/>
      <w:sz w:val="24"/>
      <w:lang w:val="en-GB" w:eastAsia="en-US"/>
    </w:rPr>
  </w:style>
  <w:style w:type="paragraph" w:styleId="BodyTextIndent">
    <w:name w:val="Body Text Indent"/>
    <w:basedOn w:val="Normal"/>
    <w:link w:val="BodyTextIndentChar"/>
    <w:rsid w:val="0026766C"/>
    <w:pPr>
      <w:spacing w:after="120"/>
      <w:ind w:left="360"/>
    </w:pPr>
  </w:style>
  <w:style w:type="character" w:customStyle="1" w:styleId="BodyTextIndentChar">
    <w:name w:val="Body Text Indent Char"/>
    <w:basedOn w:val="DefaultParagraphFont"/>
    <w:link w:val="BodyTextIndent"/>
    <w:rsid w:val="0026766C"/>
    <w:rPr>
      <w:rFonts w:ascii="Times New Roman" w:hAnsi="Times New Roman"/>
      <w:sz w:val="24"/>
      <w:lang w:val="en-GB" w:eastAsia="en-US"/>
    </w:rPr>
  </w:style>
  <w:style w:type="paragraph" w:customStyle="1" w:styleId="Tabletitle">
    <w:name w:val="Table_title"/>
    <w:basedOn w:val="Normal"/>
    <w:next w:val="Tabletext"/>
    <w:rsid w:val="0026766C"/>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HeadingbChar">
    <w:name w:val="Heading_b Char"/>
    <w:link w:val="Headingb"/>
    <w:locked/>
    <w:rsid w:val="0026766C"/>
    <w:rPr>
      <w:rFonts w:ascii="Times New Roman" w:hAnsi="Times New Roman"/>
      <w:b/>
      <w:sz w:val="24"/>
      <w:lang w:val="en-GB" w:eastAsia="en-US"/>
    </w:rPr>
  </w:style>
  <w:style w:type="paragraph" w:styleId="PlainText">
    <w:name w:val="Plain Text"/>
    <w:basedOn w:val="Normal"/>
    <w:link w:val="PlainTextChar"/>
    <w:uiPriority w:val="99"/>
    <w:unhideWhenUsed/>
    <w:rsid w:val="0026766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6766C"/>
    <w:rPr>
      <w:rFonts w:ascii="Calibri" w:eastAsiaTheme="minorEastAsia" w:hAnsi="Calibri" w:cstheme="minorBidi"/>
      <w:sz w:val="22"/>
      <w:szCs w:val="21"/>
    </w:rPr>
  </w:style>
  <w:style w:type="character" w:styleId="IntenseEmphasis">
    <w:name w:val="Intense Emphasis"/>
    <w:basedOn w:val="DefaultParagraphFont"/>
    <w:uiPriority w:val="21"/>
    <w:qFormat/>
    <w:rsid w:val="0026766C"/>
    <w:rPr>
      <w:b/>
      <w:bCs/>
      <w:i/>
      <w:iCs/>
      <w:color w:val="4F81BD" w:themeColor="accent1"/>
    </w:rPr>
  </w:style>
  <w:style w:type="paragraph" w:styleId="EndnoteText">
    <w:name w:val="endnote text"/>
    <w:basedOn w:val="Normal"/>
    <w:link w:val="EndnoteTextChar"/>
    <w:uiPriority w:val="99"/>
    <w:unhideWhenUsed/>
    <w:rsid w:val="0026766C"/>
    <w:pPr>
      <w:spacing w:before="0"/>
    </w:pPr>
    <w:rPr>
      <w:sz w:val="20"/>
    </w:rPr>
  </w:style>
  <w:style w:type="character" w:customStyle="1" w:styleId="EndnoteTextChar">
    <w:name w:val="Endnote Text Char"/>
    <w:basedOn w:val="DefaultParagraphFont"/>
    <w:link w:val="EndnoteText"/>
    <w:uiPriority w:val="99"/>
    <w:rsid w:val="0026766C"/>
    <w:rPr>
      <w:rFonts w:ascii="Times New Roman" w:hAnsi="Times New Roman"/>
      <w:lang w:val="en-GB" w:eastAsia="en-US"/>
    </w:rPr>
  </w:style>
  <w:style w:type="character" w:customStyle="1" w:styleId="hps">
    <w:name w:val="hps"/>
    <w:basedOn w:val="DefaultParagraphFont"/>
    <w:rsid w:val="0026766C"/>
  </w:style>
  <w:style w:type="paragraph" w:styleId="Title">
    <w:name w:val="Title"/>
    <w:basedOn w:val="Normal"/>
    <w:next w:val="Normal"/>
    <w:link w:val="TitleChar"/>
    <w:qFormat/>
    <w:rsid w:val="0026766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6766C"/>
    <w:rPr>
      <w:rFonts w:asciiTheme="majorHAnsi" w:eastAsiaTheme="majorEastAsia" w:hAnsiTheme="majorHAnsi" w:cstheme="majorBidi"/>
      <w:color w:val="17365D" w:themeColor="text2" w:themeShade="BF"/>
      <w:spacing w:val="5"/>
      <w:kern w:val="28"/>
      <w:sz w:val="52"/>
      <w:szCs w:val="5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aliases w:val="Heading 3 Char,h3,H3,H31"/>
    <w:basedOn w:val="Heading1"/>
    <w:next w:val="Normal"/>
    <w:link w:val="Heading3Char1"/>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uiPriority w:val="99"/>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26766C"/>
    <w:rPr>
      <w:color w:val="0000FF"/>
      <w:u w:val="single"/>
    </w:rPr>
  </w:style>
  <w:style w:type="paragraph" w:styleId="BodyText">
    <w:name w:val="Body Text"/>
    <w:basedOn w:val="Normal"/>
    <w:link w:val="BodyTextChar"/>
    <w:rsid w:val="0026766C"/>
    <w:rPr>
      <w:b/>
      <w:bCs/>
      <w:i/>
      <w:iCs/>
      <w:szCs w:val="24"/>
    </w:rPr>
  </w:style>
  <w:style w:type="character" w:customStyle="1" w:styleId="BodyTextChar">
    <w:name w:val="Body Text Char"/>
    <w:basedOn w:val="DefaultParagraphFont"/>
    <w:link w:val="BodyText"/>
    <w:rsid w:val="0026766C"/>
    <w:rPr>
      <w:rFonts w:ascii="Times New Roman" w:hAnsi="Times New Roman"/>
      <w:b/>
      <w:bCs/>
      <w:i/>
      <w:iCs/>
      <w:sz w:val="24"/>
      <w:szCs w:val="24"/>
      <w:lang w:val="en-GB" w:eastAsia="en-US"/>
    </w:rPr>
  </w:style>
  <w:style w:type="paragraph" w:customStyle="1" w:styleId="TableNo">
    <w:name w:val="Table_No"/>
    <w:basedOn w:val="Normal"/>
    <w:next w:val="Normal"/>
    <w:rsid w:val="0026766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26766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26766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6766C"/>
    <w:rPr>
      <w:color w:val="606420"/>
      <w:u w:val="single"/>
    </w:rPr>
  </w:style>
  <w:style w:type="character" w:customStyle="1" w:styleId="Heading3Char1">
    <w:name w:val="Heading 3 Char1"/>
    <w:aliases w:val="Heading 3 Char Char,h3 Char,H3 Char,H31 Char"/>
    <w:basedOn w:val="DefaultParagraphFont"/>
    <w:link w:val="Heading3"/>
    <w:rsid w:val="0026766C"/>
    <w:rPr>
      <w:rFonts w:ascii="Times New Roman" w:hAnsi="Times New Roman"/>
      <w:b/>
      <w:sz w:val="24"/>
      <w:lang w:val="en-GB" w:eastAsia="en-US"/>
    </w:rPr>
  </w:style>
  <w:style w:type="character" w:customStyle="1" w:styleId="itur-title1">
    <w:name w:val="itur-title1"/>
    <w:basedOn w:val="DefaultParagraphFont"/>
    <w:rsid w:val="0026766C"/>
    <w:rPr>
      <w:b/>
      <w:bCs/>
      <w:color w:val="5B84D7"/>
      <w:sz w:val="26"/>
      <w:szCs w:val="26"/>
    </w:rPr>
  </w:style>
  <w:style w:type="character" w:styleId="Strong">
    <w:name w:val="Strong"/>
    <w:basedOn w:val="DefaultParagraphFont"/>
    <w:uiPriority w:val="22"/>
    <w:qFormat/>
    <w:rsid w:val="0026766C"/>
    <w:rPr>
      <w:b/>
      <w:bCs/>
    </w:rPr>
  </w:style>
  <w:style w:type="character" w:customStyle="1" w:styleId="EmailStyle119">
    <w:name w:val="EmailStyle119"/>
    <w:basedOn w:val="DefaultParagraphFont"/>
    <w:semiHidden/>
    <w:rsid w:val="0026766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26766C"/>
    <w:rPr>
      <w:rFonts w:ascii="Times New Roman" w:hAnsi="Times New Roman"/>
      <w:sz w:val="22"/>
      <w:lang w:val="en-GB" w:eastAsia="en-US"/>
    </w:rPr>
  </w:style>
  <w:style w:type="paragraph" w:customStyle="1" w:styleId="Char">
    <w:name w:val="Char"/>
    <w:basedOn w:val="Normal"/>
    <w:rsid w:val="0026766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NormalWeb">
    <w:name w:val="Normal (Web)"/>
    <w:basedOn w:val="Normal"/>
    <w:rsid w:val="0026766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26766C"/>
    <w:rPr>
      <w:b/>
      <w:bCs/>
      <w:color w:val="3366CC"/>
      <w:sz w:val="36"/>
      <w:szCs w:val="36"/>
    </w:rPr>
  </w:style>
  <w:style w:type="character" w:customStyle="1" w:styleId="msoins0">
    <w:name w:val="msoins"/>
    <w:basedOn w:val="DefaultParagraphFont"/>
    <w:rsid w:val="0026766C"/>
  </w:style>
  <w:style w:type="character" w:customStyle="1" w:styleId="msoins00">
    <w:name w:val="msoins0"/>
    <w:basedOn w:val="DefaultParagraphFont"/>
    <w:rsid w:val="0026766C"/>
  </w:style>
  <w:style w:type="paragraph" w:customStyle="1" w:styleId="CharCharCharCharCharChar">
    <w:name w:val="Char Char Char Char Char Char"/>
    <w:basedOn w:val="Normal"/>
    <w:rsid w:val="0026766C"/>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26766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26766C"/>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26766C"/>
    <w:rPr>
      <w:rFonts w:ascii="Times New Roman" w:hAnsi="Times New Roman"/>
      <w:b/>
      <w:sz w:val="28"/>
      <w:lang w:val="en-GB" w:eastAsia="en-US"/>
    </w:rPr>
  </w:style>
  <w:style w:type="character" w:customStyle="1" w:styleId="CallChar">
    <w:name w:val="Call Char"/>
    <w:basedOn w:val="DefaultParagraphFont"/>
    <w:link w:val="Call"/>
    <w:uiPriority w:val="99"/>
    <w:locked/>
    <w:rsid w:val="0026766C"/>
    <w:rPr>
      <w:rFonts w:ascii="Times New Roman" w:hAnsi="Times New Roman"/>
      <w:i/>
      <w:sz w:val="24"/>
      <w:lang w:val="en-GB" w:eastAsia="en-US"/>
    </w:rPr>
  </w:style>
  <w:style w:type="paragraph" w:styleId="ListParagraph">
    <w:name w:val="List Paragraph"/>
    <w:basedOn w:val="Normal"/>
    <w:uiPriority w:val="34"/>
    <w:qFormat/>
    <w:rsid w:val="0026766C"/>
    <w:pPr>
      <w:ind w:left="720"/>
      <w:contextualSpacing/>
      <w:jc w:val="both"/>
      <w:textAlignment w:val="auto"/>
    </w:pPr>
  </w:style>
  <w:style w:type="paragraph" w:customStyle="1" w:styleId="DecimalAligned">
    <w:name w:val="Decimal Aligned"/>
    <w:basedOn w:val="Normal"/>
    <w:uiPriority w:val="40"/>
    <w:rsid w:val="0026766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26766C"/>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26766C"/>
    <w:rPr>
      <w:rFonts w:ascii="Cambria" w:eastAsia="SimSun" w:hAnsi="Cambria"/>
      <w:i/>
      <w:iCs/>
      <w:color w:val="4F81BD"/>
      <w:spacing w:val="15"/>
      <w:sz w:val="24"/>
      <w:szCs w:val="24"/>
    </w:rPr>
  </w:style>
  <w:style w:type="paragraph" w:styleId="BodyText2">
    <w:name w:val="Body Text 2"/>
    <w:basedOn w:val="Normal"/>
    <w:link w:val="BodyText2Char"/>
    <w:unhideWhenUsed/>
    <w:rsid w:val="0026766C"/>
    <w:pPr>
      <w:spacing w:after="120" w:line="480" w:lineRule="auto"/>
      <w:textAlignment w:val="auto"/>
    </w:pPr>
  </w:style>
  <w:style w:type="character" w:customStyle="1" w:styleId="BodyText2Char">
    <w:name w:val="Body Text 2 Char"/>
    <w:basedOn w:val="DefaultParagraphFont"/>
    <w:link w:val="BodyText2"/>
    <w:rsid w:val="0026766C"/>
    <w:rPr>
      <w:rFonts w:ascii="Times New Roman" w:hAnsi="Times New Roman"/>
      <w:sz w:val="24"/>
      <w:lang w:val="en-GB" w:eastAsia="en-US"/>
    </w:rPr>
  </w:style>
  <w:style w:type="paragraph" w:styleId="Revision">
    <w:name w:val="Revision"/>
    <w:hidden/>
    <w:uiPriority w:val="99"/>
    <w:semiHidden/>
    <w:rsid w:val="0026766C"/>
    <w:rPr>
      <w:rFonts w:ascii="Times New Roman" w:hAnsi="Times New Roman"/>
      <w:sz w:val="24"/>
      <w:lang w:val="en-GB" w:eastAsia="en-US"/>
    </w:rPr>
  </w:style>
  <w:style w:type="character" w:customStyle="1" w:styleId="Heading2Char">
    <w:name w:val="Heading 2 Char"/>
    <w:basedOn w:val="DefaultParagraphFont"/>
    <w:link w:val="Heading2"/>
    <w:rsid w:val="0026766C"/>
    <w:rPr>
      <w:rFonts w:ascii="Times New Roman" w:hAnsi="Times New Roman"/>
      <w:b/>
      <w:sz w:val="24"/>
      <w:lang w:val="en-GB" w:eastAsia="en-US"/>
    </w:rPr>
  </w:style>
  <w:style w:type="paragraph" w:styleId="BodyTextIndent">
    <w:name w:val="Body Text Indent"/>
    <w:basedOn w:val="Normal"/>
    <w:link w:val="BodyTextIndentChar"/>
    <w:rsid w:val="0026766C"/>
    <w:pPr>
      <w:spacing w:after="120"/>
      <w:ind w:left="360"/>
    </w:pPr>
  </w:style>
  <w:style w:type="character" w:customStyle="1" w:styleId="BodyTextIndentChar">
    <w:name w:val="Body Text Indent Char"/>
    <w:basedOn w:val="DefaultParagraphFont"/>
    <w:link w:val="BodyTextIndent"/>
    <w:rsid w:val="0026766C"/>
    <w:rPr>
      <w:rFonts w:ascii="Times New Roman" w:hAnsi="Times New Roman"/>
      <w:sz w:val="24"/>
      <w:lang w:val="en-GB" w:eastAsia="en-US"/>
    </w:rPr>
  </w:style>
  <w:style w:type="paragraph" w:customStyle="1" w:styleId="Tabletitle">
    <w:name w:val="Table_title"/>
    <w:basedOn w:val="Normal"/>
    <w:next w:val="Tabletext"/>
    <w:rsid w:val="0026766C"/>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HeadingbChar">
    <w:name w:val="Heading_b Char"/>
    <w:link w:val="Headingb"/>
    <w:locked/>
    <w:rsid w:val="0026766C"/>
    <w:rPr>
      <w:rFonts w:ascii="Times New Roman" w:hAnsi="Times New Roman"/>
      <w:b/>
      <w:sz w:val="24"/>
      <w:lang w:val="en-GB" w:eastAsia="en-US"/>
    </w:rPr>
  </w:style>
  <w:style w:type="paragraph" w:styleId="PlainText">
    <w:name w:val="Plain Text"/>
    <w:basedOn w:val="Normal"/>
    <w:link w:val="PlainTextChar"/>
    <w:uiPriority w:val="99"/>
    <w:unhideWhenUsed/>
    <w:rsid w:val="0026766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6766C"/>
    <w:rPr>
      <w:rFonts w:ascii="Calibri" w:eastAsiaTheme="minorEastAsia" w:hAnsi="Calibri" w:cstheme="minorBidi"/>
      <w:sz w:val="22"/>
      <w:szCs w:val="21"/>
    </w:rPr>
  </w:style>
  <w:style w:type="character" w:styleId="IntenseEmphasis">
    <w:name w:val="Intense Emphasis"/>
    <w:basedOn w:val="DefaultParagraphFont"/>
    <w:uiPriority w:val="21"/>
    <w:qFormat/>
    <w:rsid w:val="0026766C"/>
    <w:rPr>
      <w:b/>
      <w:bCs/>
      <w:i/>
      <w:iCs/>
      <w:color w:val="4F81BD" w:themeColor="accent1"/>
    </w:rPr>
  </w:style>
  <w:style w:type="paragraph" w:styleId="EndnoteText">
    <w:name w:val="endnote text"/>
    <w:basedOn w:val="Normal"/>
    <w:link w:val="EndnoteTextChar"/>
    <w:uiPriority w:val="99"/>
    <w:unhideWhenUsed/>
    <w:rsid w:val="0026766C"/>
    <w:pPr>
      <w:spacing w:before="0"/>
    </w:pPr>
    <w:rPr>
      <w:sz w:val="20"/>
    </w:rPr>
  </w:style>
  <w:style w:type="character" w:customStyle="1" w:styleId="EndnoteTextChar">
    <w:name w:val="Endnote Text Char"/>
    <w:basedOn w:val="DefaultParagraphFont"/>
    <w:link w:val="EndnoteText"/>
    <w:uiPriority w:val="99"/>
    <w:rsid w:val="0026766C"/>
    <w:rPr>
      <w:rFonts w:ascii="Times New Roman" w:hAnsi="Times New Roman"/>
      <w:lang w:val="en-GB" w:eastAsia="en-US"/>
    </w:rPr>
  </w:style>
  <w:style w:type="character" w:customStyle="1" w:styleId="hps">
    <w:name w:val="hps"/>
    <w:basedOn w:val="DefaultParagraphFont"/>
    <w:rsid w:val="0026766C"/>
  </w:style>
  <w:style w:type="paragraph" w:styleId="Title">
    <w:name w:val="Title"/>
    <w:basedOn w:val="Normal"/>
    <w:next w:val="Normal"/>
    <w:link w:val="TitleChar"/>
    <w:qFormat/>
    <w:rsid w:val="0026766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6766C"/>
    <w:rPr>
      <w:rFonts w:asciiTheme="majorHAnsi" w:eastAsiaTheme="majorEastAsia" w:hAnsiTheme="majorHAnsi" w:cstheme="majorBidi"/>
      <w:color w:val="17365D" w:themeColor="text2" w:themeShade="BF"/>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xtranet.itu.int/itu-r/conferences/rag/cg_resolution_itu_r_1_6/" TargetMode="External"/><Relationship Id="rId18" Type="http://schemas.openxmlformats.org/officeDocument/2006/relationships/hyperlink" Target="http://www.itu.int/md/R00-CR-CIR/en" TargetMode="External"/><Relationship Id="rId26" Type="http://schemas.openxmlformats.org/officeDocument/2006/relationships/hyperlink" Target="http://www.itu.int/ITU-R/go/seminars" TargetMode="External"/><Relationship Id="rId3" Type="http://schemas.microsoft.com/office/2007/relationships/stylesWithEffects" Target="stylesWithEffects.xml"/><Relationship Id="rId21" Type="http://schemas.openxmlformats.org/officeDocument/2006/relationships/hyperlink" Target="http://www.itu.int/pub/T-RES/%09%09%09%09%09%09%09publications.aspx?lang=en&amp;parent=T-RES-T.57-200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xtranet.itu.int/itu-r/conferences/rag/cg_resolution_itu_r_1_6" TargetMode="External"/><Relationship Id="rId17" Type="http://schemas.openxmlformats.org/officeDocument/2006/relationships/hyperlink" Target="https://extranet.itu.int/itu-r/conferences/rag/cg_resolution_itu_r_6_1/" TargetMode="External"/><Relationship Id="rId25" Type="http://schemas.openxmlformats.org/officeDocument/2006/relationships/hyperlink" Target="http://www.itu.int/ITU-R/go/performance-reports/%2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xtranet.itu.int/itu-r/conferences/rag/cg_resolution_itu_r_6_1" TargetMode="External"/><Relationship Id="rId20" Type="http://schemas.openxmlformats.org/officeDocument/2006/relationships/hyperlink" Target="http://www.itu.int/pub/T-RES/%09%09%09%09%09%09%09publications.aspx?lang=en&amp;parent=T-RES-T.55-200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xtranet.itu.int/ITU-R/space-assets" TargetMode="External"/><Relationship Id="rId24" Type="http://schemas.openxmlformats.org/officeDocument/2006/relationships/hyperlink" Target="http://www.itu.int/ITU-R/go/operational-plans/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xtranet.itu.int/itu-r/conferences/rag/cg_format_itu_r_rec/" TargetMode="External"/><Relationship Id="rId23" Type="http://schemas.openxmlformats.org/officeDocument/2006/relationships/hyperlink" Target="http://www.itu.int/ITU-R/go/rcpm-wrc-15-studies" TargetMode="External"/><Relationship Id="rId28" Type="http://schemas.openxmlformats.org/officeDocument/2006/relationships/header" Target="header2.xml"/><Relationship Id="rId10" Type="http://schemas.openxmlformats.org/officeDocument/2006/relationships/hyperlink" Target="http://www.itu.int/council/" TargetMode="External"/><Relationship Id="rId19" Type="http://schemas.openxmlformats.org/officeDocument/2006/relationships/hyperlink" Target="http://www.itu.int/en/ITU-T/wtsa12/Pages/default.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00-CA-CIR-0207" TargetMode="External"/><Relationship Id="rId14" Type="http://schemas.openxmlformats.org/officeDocument/2006/relationships/hyperlink" Target="https://extranet.itu.int/itu-r/conferences/rag/cg_format_itu_r_rec" TargetMode="External"/><Relationship Id="rId22" Type="http://schemas.openxmlformats.org/officeDocument/2006/relationships/hyperlink" Target="http://www.itu.int/go/wrc-15"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PE_RAG13.dotm</Template>
  <TotalTime>1</TotalTime>
  <Pages>17</Pages>
  <Words>6524</Words>
  <Characters>38658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turnbulk</dc:creator>
  <cp:keywords/>
  <dc:description>PE_RAG10.dotm  For: _x000d_Document date: _x000d_Saved by TRA44246 at 12:32:17 on 12.02.2010</dc:description>
  <cp:lastModifiedBy>currie</cp:lastModifiedBy>
  <cp:revision>3</cp:revision>
  <cp:lastPrinted>1999-09-30T15:03:00Z</cp:lastPrinted>
  <dcterms:created xsi:type="dcterms:W3CDTF">2013-04-09T09:30:00Z</dcterms:created>
  <dcterms:modified xsi:type="dcterms:W3CDTF">2013-04-09T09:30:00Z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