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5778"/>
        <w:gridCol w:w="4253"/>
      </w:tblGrid>
      <w:tr w:rsidR="0095148A" w:rsidTr="00BC6D22">
        <w:trPr>
          <w:cantSplit/>
        </w:trPr>
        <w:tc>
          <w:tcPr>
            <w:tcW w:w="5778" w:type="dxa"/>
          </w:tcPr>
          <w:p w:rsidR="0095148A" w:rsidRPr="00DF23FC" w:rsidRDefault="00DD2A00" w:rsidP="001D3B8B">
            <w:pPr>
              <w:spacing w:before="400" w:after="48" w:line="240" w:lineRule="atLeast"/>
              <w:rPr>
                <w:rFonts w:ascii="Verdana" w:hAnsi="Verdana"/>
                <w:position w:val="6"/>
              </w:rPr>
            </w:pPr>
            <w:r>
              <w:rPr>
                <w:rFonts w:ascii="Verdana" w:hAnsi="Verdana" w:cs="Times New Roman Bold"/>
                <w:b/>
                <w:sz w:val="26"/>
                <w:szCs w:val="26"/>
              </w:rPr>
              <w:t>1</w:t>
            </w:r>
            <w:r w:rsidRPr="00DD2A00">
              <w:rPr>
                <w:rFonts w:ascii="Verdana" w:hAnsi="Verdana" w:cs="Times New Roman Bold"/>
                <w:b/>
                <w:sz w:val="26"/>
                <w:szCs w:val="26"/>
                <w:vertAlign w:val="superscript"/>
              </w:rPr>
              <w:t>st</w:t>
            </w:r>
            <w:r>
              <w:rPr>
                <w:rFonts w:ascii="Verdana" w:hAnsi="Verdana" w:cs="Times New Roman Bold"/>
                <w:b/>
                <w:sz w:val="26"/>
                <w:szCs w:val="26"/>
              </w:rPr>
              <w:t xml:space="preserve"> </w:t>
            </w:r>
            <w:r w:rsidR="00712519" w:rsidRPr="00D27FD7">
              <w:rPr>
                <w:rFonts w:ascii="Verdana" w:hAnsi="Verdana" w:cs="Times New Roman Bold"/>
                <w:b/>
                <w:sz w:val="26"/>
                <w:szCs w:val="26"/>
              </w:rPr>
              <w:t>ITU I</w:t>
            </w:r>
            <w:r>
              <w:rPr>
                <w:rFonts w:ascii="Verdana" w:hAnsi="Verdana" w:cs="Times New Roman Bold"/>
                <w:b/>
                <w:sz w:val="26"/>
                <w:szCs w:val="26"/>
              </w:rPr>
              <w:t>nter</w:t>
            </w:r>
            <w:r w:rsidR="001D3B8B">
              <w:rPr>
                <w:rFonts w:ascii="Verdana" w:hAnsi="Verdana" w:cs="Times New Roman Bold"/>
                <w:b/>
                <w:sz w:val="26"/>
                <w:szCs w:val="26"/>
              </w:rPr>
              <w:t>-r</w:t>
            </w:r>
            <w:r>
              <w:rPr>
                <w:rFonts w:ascii="Verdana" w:hAnsi="Verdana" w:cs="Times New Roman Bold"/>
                <w:b/>
                <w:sz w:val="26"/>
                <w:szCs w:val="26"/>
              </w:rPr>
              <w:t>egional Workshop</w:t>
            </w:r>
            <w:r w:rsidR="001D3B8B">
              <w:rPr>
                <w:rFonts w:ascii="Verdana" w:hAnsi="Verdana" w:cs="Times New Roman Bold"/>
                <w:b/>
                <w:sz w:val="26"/>
                <w:szCs w:val="26"/>
              </w:rPr>
              <w:t xml:space="preserve"> on</w:t>
            </w:r>
            <w:r w:rsidR="00712519" w:rsidRPr="00D27FD7">
              <w:rPr>
                <w:rFonts w:ascii="Verdana" w:hAnsi="Verdana" w:cs="Times New Roman Bold"/>
                <w:b/>
                <w:sz w:val="26"/>
                <w:szCs w:val="26"/>
              </w:rPr>
              <w:br/>
              <w:t>WRC-1</w:t>
            </w:r>
            <w:r>
              <w:rPr>
                <w:rFonts w:ascii="Verdana" w:hAnsi="Verdana" w:cs="Times New Roman Bold"/>
                <w:b/>
                <w:sz w:val="26"/>
                <w:szCs w:val="26"/>
              </w:rPr>
              <w:t>5</w:t>
            </w:r>
            <w:r w:rsidR="00712519" w:rsidRPr="00D27FD7">
              <w:rPr>
                <w:rFonts w:ascii="Verdana" w:hAnsi="Verdana" w:cs="Times New Roman Bold"/>
                <w:b/>
                <w:sz w:val="26"/>
                <w:szCs w:val="26"/>
              </w:rPr>
              <w:t xml:space="preserve"> Preparation</w:t>
            </w:r>
            <w:r w:rsidR="00712519" w:rsidRPr="00D27FD7">
              <w:rPr>
                <w:rFonts w:ascii="Verdana" w:hAnsi="Verdana" w:cs="Times New Roman Bold"/>
                <w:b/>
                <w:sz w:val="26"/>
                <w:szCs w:val="26"/>
              </w:rPr>
              <w:br/>
            </w:r>
            <w:r w:rsidR="00712519" w:rsidRPr="00D27FD7">
              <w:rPr>
                <w:rFonts w:ascii="Verdana" w:hAnsi="Verdana" w:cs="Times New Roman Bold"/>
                <w:b/>
                <w:bCs/>
                <w:sz w:val="20"/>
              </w:rPr>
              <w:t xml:space="preserve">Geneva, </w:t>
            </w:r>
            <w:r>
              <w:rPr>
                <w:rFonts w:ascii="Verdana" w:hAnsi="Verdana" w:cs="Times New Roman Bold"/>
                <w:b/>
                <w:bCs/>
                <w:sz w:val="20"/>
              </w:rPr>
              <w:t>4</w:t>
            </w:r>
            <w:r w:rsidR="00712519" w:rsidRPr="00D27FD7">
              <w:rPr>
                <w:rFonts w:ascii="Verdana" w:hAnsi="Verdana" w:cs="Times New Roman Bold"/>
                <w:b/>
                <w:bCs/>
                <w:sz w:val="20"/>
              </w:rPr>
              <w:t>-</w:t>
            </w:r>
            <w:r>
              <w:rPr>
                <w:rFonts w:ascii="Verdana" w:hAnsi="Verdana" w:cs="Times New Roman Bold"/>
                <w:b/>
                <w:bCs/>
                <w:sz w:val="20"/>
              </w:rPr>
              <w:t>5</w:t>
            </w:r>
            <w:r w:rsidR="00712519" w:rsidRPr="00D27FD7">
              <w:rPr>
                <w:rFonts w:ascii="Verdana" w:hAnsi="Verdana" w:cs="Times New Roman Bold"/>
                <w:b/>
                <w:bCs/>
                <w:sz w:val="20"/>
              </w:rPr>
              <w:t xml:space="preserve"> </w:t>
            </w:r>
            <w:r>
              <w:rPr>
                <w:rFonts w:ascii="Verdana" w:hAnsi="Verdana" w:cs="Times New Roman Bold"/>
                <w:b/>
                <w:bCs/>
                <w:sz w:val="20"/>
              </w:rPr>
              <w:t>Dec</w:t>
            </w:r>
            <w:r w:rsidR="001D3B8B">
              <w:rPr>
                <w:rFonts w:ascii="Verdana" w:hAnsi="Verdana" w:cs="Times New Roman Bold"/>
                <w:b/>
                <w:bCs/>
                <w:sz w:val="20"/>
              </w:rPr>
              <w:t>e</w:t>
            </w:r>
            <w:r>
              <w:rPr>
                <w:rFonts w:ascii="Verdana" w:hAnsi="Verdana" w:cs="Times New Roman Bold"/>
                <w:b/>
                <w:bCs/>
                <w:sz w:val="20"/>
              </w:rPr>
              <w:t xml:space="preserve">mber </w:t>
            </w:r>
            <w:r w:rsidR="00712519" w:rsidRPr="00D27FD7">
              <w:rPr>
                <w:rFonts w:ascii="Verdana" w:hAnsi="Verdana" w:cs="Times New Roman Bold"/>
                <w:b/>
                <w:bCs/>
                <w:sz w:val="20"/>
              </w:rPr>
              <w:t>201</w:t>
            </w:r>
            <w:r>
              <w:rPr>
                <w:rFonts w:ascii="Verdana" w:hAnsi="Verdana" w:cs="Times New Roman Bold"/>
                <w:b/>
                <w:bCs/>
                <w:sz w:val="20"/>
              </w:rPr>
              <w:t>3</w:t>
            </w:r>
          </w:p>
        </w:tc>
        <w:tc>
          <w:tcPr>
            <w:tcW w:w="4253" w:type="dxa"/>
          </w:tcPr>
          <w:p w:rsidR="0095148A" w:rsidRDefault="001C33A2" w:rsidP="00266046">
            <w:pPr>
              <w:spacing w:before="0" w:line="240" w:lineRule="atLeast"/>
            </w:pPr>
            <w:bookmarkStart w:id="0" w:name="ditulogo"/>
            <w:bookmarkEnd w:id="0"/>
            <w:r>
              <w:rPr>
                <w:noProof/>
                <w:lang w:val="en-US" w:eastAsia="zh-CN"/>
              </w:rPr>
              <w:drawing>
                <wp:inline distT="0" distB="0" distL="0" distR="0" wp14:anchorId="05D1F005" wp14:editId="61F1AEFB">
                  <wp:extent cx="1763395" cy="742315"/>
                  <wp:effectExtent l="0" t="0" r="8255" b="63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3395" cy="742315"/>
                          </a:xfrm>
                          <a:prstGeom prst="rect">
                            <a:avLst/>
                          </a:prstGeom>
                          <a:noFill/>
                          <a:ln>
                            <a:noFill/>
                          </a:ln>
                        </pic:spPr>
                      </pic:pic>
                    </a:graphicData>
                  </a:graphic>
                </wp:inline>
              </w:drawing>
            </w:r>
          </w:p>
        </w:tc>
      </w:tr>
      <w:tr w:rsidR="0095148A" w:rsidRPr="00617BE4" w:rsidTr="00BC6D22">
        <w:trPr>
          <w:cantSplit/>
        </w:trPr>
        <w:tc>
          <w:tcPr>
            <w:tcW w:w="5778" w:type="dxa"/>
            <w:tcBorders>
              <w:bottom w:val="single" w:sz="12" w:space="0" w:color="auto"/>
            </w:tcBorders>
          </w:tcPr>
          <w:p w:rsidR="0095148A" w:rsidRPr="00617BE4" w:rsidRDefault="0095148A" w:rsidP="00266046">
            <w:pPr>
              <w:spacing w:before="0" w:after="48" w:line="240" w:lineRule="atLeast"/>
              <w:rPr>
                <w:b/>
                <w:smallCaps/>
                <w:szCs w:val="24"/>
              </w:rPr>
            </w:pPr>
            <w:bookmarkStart w:id="1" w:name="dhead"/>
          </w:p>
        </w:tc>
        <w:tc>
          <w:tcPr>
            <w:tcW w:w="4253" w:type="dxa"/>
            <w:tcBorders>
              <w:bottom w:val="single" w:sz="12" w:space="0" w:color="auto"/>
            </w:tcBorders>
          </w:tcPr>
          <w:p w:rsidR="0095148A" w:rsidRPr="00617BE4" w:rsidRDefault="0095148A" w:rsidP="00266046">
            <w:pPr>
              <w:spacing w:before="0" w:line="240" w:lineRule="atLeast"/>
              <w:rPr>
                <w:rFonts w:ascii="Verdana" w:hAnsi="Verdana"/>
                <w:szCs w:val="24"/>
              </w:rPr>
            </w:pPr>
          </w:p>
        </w:tc>
      </w:tr>
      <w:tr w:rsidR="0095148A" w:rsidRPr="00C324A8" w:rsidTr="00BC6D22">
        <w:trPr>
          <w:cantSplit/>
        </w:trPr>
        <w:tc>
          <w:tcPr>
            <w:tcW w:w="5778" w:type="dxa"/>
            <w:tcBorders>
              <w:top w:val="single" w:sz="12" w:space="0" w:color="auto"/>
            </w:tcBorders>
          </w:tcPr>
          <w:p w:rsidR="0095148A" w:rsidRPr="00C324A8" w:rsidRDefault="0095148A" w:rsidP="00266046">
            <w:pPr>
              <w:spacing w:before="0" w:after="48" w:line="240" w:lineRule="atLeast"/>
              <w:rPr>
                <w:rFonts w:ascii="Verdana" w:hAnsi="Verdana"/>
                <w:b/>
                <w:smallCaps/>
                <w:sz w:val="20"/>
              </w:rPr>
            </w:pPr>
          </w:p>
        </w:tc>
        <w:tc>
          <w:tcPr>
            <w:tcW w:w="4253" w:type="dxa"/>
            <w:tcBorders>
              <w:top w:val="single" w:sz="12" w:space="0" w:color="auto"/>
            </w:tcBorders>
          </w:tcPr>
          <w:p w:rsidR="0095148A" w:rsidRPr="00C324A8" w:rsidRDefault="0095148A" w:rsidP="00266046">
            <w:pPr>
              <w:spacing w:before="0" w:line="240" w:lineRule="atLeast"/>
              <w:rPr>
                <w:rFonts w:ascii="Verdana" w:hAnsi="Verdana"/>
                <w:sz w:val="20"/>
              </w:rPr>
            </w:pPr>
          </w:p>
        </w:tc>
      </w:tr>
      <w:tr w:rsidR="00712519" w:rsidRPr="00C324A8" w:rsidTr="00BC6D22">
        <w:trPr>
          <w:cantSplit/>
          <w:trHeight w:val="23"/>
        </w:trPr>
        <w:tc>
          <w:tcPr>
            <w:tcW w:w="5778" w:type="dxa"/>
            <w:vMerge w:val="restart"/>
          </w:tcPr>
          <w:p w:rsidR="00712519" w:rsidRPr="00D85051" w:rsidRDefault="00712519" w:rsidP="00712519">
            <w:pPr>
              <w:tabs>
                <w:tab w:val="left" w:pos="851"/>
              </w:tabs>
              <w:spacing w:before="0" w:line="240" w:lineRule="atLeast"/>
              <w:rPr>
                <w:rFonts w:ascii="Verdana" w:hAnsi="Verdana"/>
                <w:sz w:val="20"/>
              </w:rPr>
            </w:pPr>
            <w:bookmarkStart w:id="2" w:name="dnum" w:colFirst="1" w:colLast="1"/>
            <w:bookmarkStart w:id="3" w:name="dmeeting" w:colFirst="0" w:colLast="0"/>
            <w:bookmarkEnd w:id="1"/>
          </w:p>
        </w:tc>
        <w:tc>
          <w:tcPr>
            <w:tcW w:w="4253" w:type="dxa"/>
          </w:tcPr>
          <w:p w:rsidR="00712519" w:rsidRPr="00603F2F" w:rsidRDefault="00712519" w:rsidP="004C0E6B">
            <w:pPr>
              <w:shd w:val="solid" w:color="FFFFFF" w:fill="FFFFFF"/>
              <w:spacing w:before="0" w:line="240" w:lineRule="atLeast"/>
              <w:rPr>
                <w:rFonts w:ascii="Verdana" w:hAnsi="Verdana"/>
                <w:sz w:val="20"/>
                <w:lang w:eastAsia="zh-CN"/>
              </w:rPr>
            </w:pPr>
            <w:r w:rsidRPr="00603F2F">
              <w:rPr>
                <w:rFonts w:ascii="Verdana" w:hAnsi="Verdana"/>
                <w:b/>
                <w:sz w:val="20"/>
                <w:lang w:eastAsia="zh-CN"/>
              </w:rPr>
              <w:t xml:space="preserve">Document </w:t>
            </w:r>
            <w:r w:rsidR="00894E5C">
              <w:rPr>
                <w:rFonts w:ascii="Verdana" w:hAnsi="Verdana"/>
                <w:b/>
                <w:bCs/>
                <w:sz w:val="20"/>
              </w:rPr>
              <w:t>WRC-1</w:t>
            </w:r>
            <w:r w:rsidR="00DD2A00">
              <w:rPr>
                <w:rFonts w:ascii="Verdana" w:hAnsi="Verdana"/>
                <w:b/>
                <w:bCs/>
                <w:sz w:val="20"/>
              </w:rPr>
              <w:t>5</w:t>
            </w:r>
            <w:r w:rsidR="00894E5C">
              <w:rPr>
                <w:rFonts w:ascii="Verdana" w:hAnsi="Verdana"/>
                <w:b/>
                <w:bCs/>
                <w:sz w:val="20"/>
              </w:rPr>
              <w:t>-</w:t>
            </w:r>
            <w:r w:rsidR="00DD2A00">
              <w:rPr>
                <w:rFonts w:ascii="Verdana" w:hAnsi="Verdana"/>
                <w:b/>
                <w:bCs/>
                <w:sz w:val="20"/>
              </w:rPr>
              <w:t>IRWSP</w:t>
            </w:r>
            <w:r w:rsidR="00894E5C">
              <w:rPr>
                <w:rFonts w:ascii="Verdana" w:hAnsi="Verdana"/>
                <w:b/>
                <w:bCs/>
                <w:sz w:val="20"/>
              </w:rPr>
              <w:t>-1</w:t>
            </w:r>
            <w:r w:rsidR="001D3B8B">
              <w:rPr>
                <w:rFonts w:ascii="Verdana" w:hAnsi="Verdana"/>
                <w:b/>
                <w:bCs/>
                <w:sz w:val="20"/>
              </w:rPr>
              <w:t>3</w:t>
            </w:r>
            <w:r w:rsidR="00894E5C">
              <w:rPr>
                <w:rFonts w:ascii="Verdana" w:hAnsi="Verdana"/>
                <w:b/>
                <w:bCs/>
                <w:sz w:val="20"/>
              </w:rPr>
              <w:t>/</w:t>
            </w:r>
            <w:r w:rsidR="00BC6D22">
              <w:rPr>
                <w:rFonts w:ascii="Verdana" w:hAnsi="Verdana"/>
                <w:b/>
                <w:bCs/>
                <w:sz w:val="20"/>
              </w:rPr>
              <w:t>1</w:t>
            </w:r>
            <w:r w:rsidR="004C0E6B">
              <w:rPr>
                <w:rFonts w:ascii="Verdana" w:hAnsi="Verdana"/>
                <w:b/>
                <w:bCs/>
                <w:sz w:val="20"/>
              </w:rPr>
              <w:t>6</w:t>
            </w:r>
            <w:r w:rsidR="00603F2F" w:rsidRPr="00603F2F">
              <w:rPr>
                <w:rFonts w:ascii="Verdana" w:hAnsi="Verdana"/>
                <w:b/>
                <w:bCs/>
                <w:sz w:val="20"/>
              </w:rPr>
              <w:t>-E</w:t>
            </w:r>
          </w:p>
        </w:tc>
      </w:tr>
      <w:tr w:rsidR="00712519" w:rsidRPr="00C324A8" w:rsidTr="00BC6D22">
        <w:trPr>
          <w:cantSplit/>
          <w:trHeight w:val="23"/>
        </w:trPr>
        <w:tc>
          <w:tcPr>
            <w:tcW w:w="5778" w:type="dxa"/>
            <w:vMerge/>
          </w:tcPr>
          <w:p w:rsidR="00712519" w:rsidRPr="00C324A8" w:rsidRDefault="00712519" w:rsidP="00712519">
            <w:pPr>
              <w:tabs>
                <w:tab w:val="left" w:pos="851"/>
              </w:tabs>
              <w:spacing w:line="240" w:lineRule="atLeast"/>
              <w:rPr>
                <w:rFonts w:ascii="Verdana" w:hAnsi="Verdana"/>
                <w:b/>
                <w:sz w:val="20"/>
              </w:rPr>
            </w:pPr>
            <w:bookmarkStart w:id="4" w:name="ddate" w:colFirst="1" w:colLast="1"/>
            <w:bookmarkEnd w:id="2"/>
            <w:bookmarkEnd w:id="3"/>
          </w:p>
        </w:tc>
        <w:tc>
          <w:tcPr>
            <w:tcW w:w="4253" w:type="dxa"/>
          </w:tcPr>
          <w:p w:rsidR="00712519" w:rsidRPr="00D27FD7" w:rsidRDefault="00BC6D22" w:rsidP="00BC6D22">
            <w:pPr>
              <w:shd w:val="solid" w:color="FFFFFF" w:fill="FFFFFF"/>
              <w:spacing w:before="0" w:line="240" w:lineRule="atLeast"/>
              <w:rPr>
                <w:rFonts w:ascii="Verdana" w:hAnsi="Verdana"/>
                <w:sz w:val="20"/>
                <w:lang w:eastAsia="zh-CN"/>
              </w:rPr>
            </w:pPr>
            <w:r>
              <w:rPr>
                <w:rFonts w:ascii="Verdana" w:hAnsi="Verdana"/>
                <w:b/>
                <w:sz w:val="20"/>
                <w:lang w:eastAsia="zh-CN"/>
              </w:rPr>
              <w:t>3</w:t>
            </w:r>
            <w:r w:rsidR="00DD2A00">
              <w:rPr>
                <w:rFonts w:ascii="Verdana" w:hAnsi="Verdana"/>
                <w:b/>
                <w:sz w:val="20"/>
                <w:lang w:eastAsia="zh-CN"/>
              </w:rPr>
              <w:t xml:space="preserve"> </w:t>
            </w:r>
            <w:r>
              <w:rPr>
                <w:rFonts w:ascii="Verdana" w:hAnsi="Verdana"/>
                <w:b/>
                <w:sz w:val="20"/>
                <w:lang w:eastAsia="zh-CN"/>
              </w:rPr>
              <w:t xml:space="preserve">December </w:t>
            </w:r>
            <w:r w:rsidR="00712519" w:rsidRPr="00D27FD7">
              <w:rPr>
                <w:rFonts w:ascii="Verdana" w:hAnsi="Verdana"/>
                <w:b/>
                <w:sz w:val="20"/>
                <w:lang w:eastAsia="zh-CN"/>
              </w:rPr>
              <w:t>201</w:t>
            </w:r>
            <w:r w:rsidR="00DD2A00">
              <w:rPr>
                <w:rFonts w:ascii="Verdana" w:hAnsi="Verdana"/>
                <w:b/>
                <w:sz w:val="20"/>
                <w:lang w:eastAsia="zh-CN"/>
              </w:rPr>
              <w:t>3</w:t>
            </w:r>
          </w:p>
        </w:tc>
      </w:tr>
      <w:tr w:rsidR="00712519" w:rsidRPr="00C324A8" w:rsidTr="00BC6D22">
        <w:trPr>
          <w:cantSplit/>
          <w:trHeight w:val="23"/>
        </w:trPr>
        <w:tc>
          <w:tcPr>
            <w:tcW w:w="5778" w:type="dxa"/>
            <w:vMerge/>
          </w:tcPr>
          <w:p w:rsidR="00712519" w:rsidRPr="00C324A8" w:rsidRDefault="00712519" w:rsidP="00712519">
            <w:pPr>
              <w:tabs>
                <w:tab w:val="left" w:pos="851"/>
              </w:tabs>
              <w:spacing w:line="240" w:lineRule="atLeast"/>
              <w:rPr>
                <w:rFonts w:ascii="Verdana" w:hAnsi="Verdana"/>
                <w:b/>
                <w:sz w:val="20"/>
              </w:rPr>
            </w:pPr>
            <w:bookmarkStart w:id="5" w:name="dorlang" w:colFirst="1" w:colLast="1"/>
            <w:bookmarkEnd w:id="4"/>
          </w:p>
        </w:tc>
        <w:tc>
          <w:tcPr>
            <w:tcW w:w="4253" w:type="dxa"/>
          </w:tcPr>
          <w:p w:rsidR="00712519" w:rsidRPr="00D27FD7" w:rsidRDefault="00712519" w:rsidP="00712519">
            <w:pPr>
              <w:shd w:val="solid" w:color="FFFFFF" w:fill="FFFFFF"/>
              <w:spacing w:before="0" w:line="240" w:lineRule="atLeast"/>
              <w:rPr>
                <w:rFonts w:ascii="Verdana" w:eastAsia="SimSun" w:hAnsi="Verdana"/>
                <w:sz w:val="20"/>
                <w:lang w:eastAsia="zh-CN"/>
              </w:rPr>
            </w:pPr>
            <w:r w:rsidRPr="00D27FD7">
              <w:rPr>
                <w:rFonts w:ascii="Verdana" w:eastAsia="SimSun" w:hAnsi="Verdana"/>
                <w:b/>
                <w:sz w:val="20"/>
                <w:lang w:eastAsia="zh-CN"/>
              </w:rPr>
              <w:t>English only</w:t>
            </w:r>
          </w:p>
        </w:tc>
      </w:tr>
      <w:tr w:rsidR="0095148A" w:rsidTr="00266046">
        <w:trPr>
          <w:cantSplit/>
        </w:trPr>
        <w:tc>
          <w:tcPr>
            <w:tcW w:w="10031" w:type="dxa"/>
            <w:gridSpan w:val="2"/>
          </w:tcPr>
          <w:p w:rsidR="0095148A" w:rsidRPr="008A3954" w:rsidRDefault="00BC6D22" w:rsidP="008A3954">
            <w:pPr>
              <w:pStyle w:val="Source"/>
            </w:pPr>
            <w:bookmarkStart w:id="6" w:name="dsource" w:colFirst="0" w:colLast="0"/>
            <w:bookmarkEnd w:id="5"/>
            <w:r w:rsidRPr="008A3954">
              <w:t>African Telecommunications Union</w:t>
            </w:r>
          </w:p>
        </w:tc>
      </w:tr>
      <w:tr w:rsidR="0095148A" w:rsidTr="00266046">
        <w:trPr>
          <w:cantSplit/>
        </w:trPr>
        <w:tc>
          <w:tcPr>
            <w:tcW w:w="10031" w:type="dxa"/>
            <w:gridSpan w:val="2"/>
          </w:tcPr>
          <w:p w:rsidR="0095148A" w:rsidRPr="008A3954" w:rsidRDefault="00BC6D22" w:rsidP="008A3954">
            <w:pPr>
              <w:pStyle w:val="Title1"/>
            </w:pPr>
            <w:bookmarkStart w:id="7" w:name="dtitle1" w:colFirst="0" w:colLast="0"/>
            <w:bookmarkEnd w:id="6"/>
            <w:r w:rsidRPr="008A3954">
              <w:t>Information Document on WRC-15 Preparations to</w:t>
            </w:r>
            <w:r w:rsidR="008A3954">
              <w:t xml:space="preserve"> </w:t>
            </w:r>
            <w:r w:rsidRPr="008A3954">
              <w:t>the</w:t>
            </w:r>
            <w:r w:rsidR="008A3954">
              <w:br/>
            </w:r>
            <w:r w:rsidRPr="008A3954">
              <w:t>1</w:t>
            </w:r>
            <w:r w:rsidR="008A3954" w:rsidRPr="008A3954">
              <w:rPr>
                <w:sz w:val="24"/>
                <w:szCs w:val="24"/>
                <w:vertAlign w:val="superscript"/>
              </w:rPr>
              <w:t>st</w:t>
            </w:r>
            <w:r w:rsidRPr="008A3954">
              <w:t xml:space="preserve"> ITU Inter-regional Workshop on WRC-15 Preparations</w:t>
            </w:r>
          </w:p>
        </w:tc>
      </w:tr>
      <w:tr w:rsidR="0095148A" w:rsidTr="00266046">
        <w:trPr>
          <w:cantSplit/>
        </w:trPr>
        <w:tc>
          <w:tcPr>
            <w:tcW w:w="10031" w:type="dxa"/>
            <w:gridSpan w:val="2"/>
          </w:tcPr>
          <w:p w:rsidR="0095148A" w:rsidRDefault="0095148A" w:rsidP="008A3954">
            <w:pPr>
              <w:pStyle w:val="Title2"/>
              <w:spacing w:before="240"/>
            </w:pPr>
            <w:bookmarkStart w:id="8" w:name="dtitle2" w:colFirst="0" w:colLast="0"/>
            <w:bookmarkEnd w:id="7"/>
          </w:p>
        </w:tc>
      </w:tr>
    </w:tbl>
    <w:bookmarkEnd w:id="8"/>
    <w:p w:rsidR="00BC6D22" w:rsidRPr="00427989" w:rsidRDefault="008A3954" w:rsidP="008A3954">
      <w:pPr>
        <w:pStyle w:val="Heading1"/>
      </w:pPr>
      <w:r>
        <w:t>1</w:t>
      </w:r>
      <w:r>
        <w:tab/>
      </w:r>
      <w:r w:rsidRPr="00427989">
        <w:t>Introduction</w:t>
      </w:r>
    </w:p>
    <w:p w:rsidR="00BC6D22" w:rsidRPr="00455A4D" w:rsidRDefault="00BC6D22" w:rsidP="008A3954">
      <w:pPr>
        <w:rPr>
          <w:rFonts w:cs="Arial,Bold"/>
          <w:bCs/>
        </w:rPr>
      </w:pPr>
      <w:r>
        <w:t>This information document provides a summary of the status of the ATU region’s WRC-15 preparations as part of the general information for the 1</w:t>
      </w:r>
      <w:r w:rsidRPr="0001049C">
        <w:rPr>
          <w:vertAlign w:val="superscript"/>
        </w:rPr>
        <w:t>st</w:t>
      </w:r>
      <w:r>
        <w:t xml:space="preserve"> ITU Inter-regional Workshop for WRC-15 preparations (4 – 5 December 2013, Geneva – Switzerland). The document only addresses general preparatory arrangements that have been undertaken or planned to be undertaken as of November 2013 on the understanding that the preliminary views on actual WRC-15 agenda items would be provided by the ATU Chapter Coordinators during the sessions of the Workshop. Further details of the elements herein such as reports of meetings and planned activities can be accessed on ATU website </w:t>
      </w:r>
      <w:hyperlink r:id="rId10" w:history="1">
        <w:r w:rsidRPr="009E08C3">
          <w:rPr>
            <w:rStyle w:val="Hyperlink"/>
            <w:rFonts w:cs="Arial"/>
            <w:szCs w:val="24"/>
          </w:rPr>
          <w:t>www</w:t>
        </w:r>
        <w:bookmarkStart w:id="9" w:name="_GoBack"/>
        <w:r w:rsidRPr="009E08C3">
          <w:rPr>
            <w:rStyle w:val="Hyperlink"/>
            <w:rFonts w:cs="Arial"/>
            <w:szCs w:val="24"/>
          </w:rPr>
          <w:t>.atu</w:t>
        </w:r>
        <w:bookmarkEnd w:id="9"/>
        <w:r w:rsidRPr="009E08C3">
          <w:rPr>
            <w:rStyle w:val="Hyperlink"/>
            <w:rFonts w:cs="Arial"/>
            <w:szCs w:val="24"/>
          </w:rPr>
          <w:t>-uat.org</w:t>
        </w:r>
      </w:hyperlink>
      <w:r>
        <w:t xml:space="preserve"> </w:t>
      </w:r>
    </w:p>
    <w:p w:rsidR="00BC6D22" w:rsidRDefault="008A3954" w:rsidP="008A3954">
      <w:pPr>
        <w:pStyle w:val="Heading1"/>
      </w:pPr>
      <w:r>
        <w:t>2</w:t>
      </w:r>
      <w:r>
        <w:tab/>
        <w:t>Organizational Arrangements</w:t>
      </w:r>
    </w:p>
    <w:p w:rsidR="00BC6D22" w:rsidRPr="00DC776A" w:rsidRDefault="00BC6D22" w:rsidP="008A3954">
      <w:r>
        <w:t>Organizational arrangements for regional WRC-15 preparations include ATU WRC-15 preparatory meetings (1 has taken place with up to 4 more planned); the newly established African Spectrum Working Group (</w:t>
      </w:r>
      <w:proofErr w:type="spellStart"/>
      <w:r>
        <w:t>AfriSWoG</w:t>
      </w:r>
      <w:proofErr w:type="spellEnd"/>
      <w:r>
        <w:t xml:space="preserve">), and the </w:t>
      </w:r>
      <w:proofErr w:type="spellStart"/>
      <w:r>
        <w:t>ATU</w:t>
      </w:r>
      <w:proofErr w:type="spellEnd"/>
      <w:r>
        <w:t xml:space="preserve"> WRC-15 Chapter Coordinators.</w:t>
      </w:r>
    </w:p>
    <w:p w:rsidR="00BC6D22" w:rsidRPr="008A3954" w:rsidRDefault="008A3954" w:rsidP="008A3954">
      <w:pPr>
        <w:pStyle w:val="Heading1"/>
      </w:pPr>
      <w:r>
        <w:t>3</w:t>
      </w:r>
      <w:r>
        <w:tab/>
      </w:r>
      <w:r w:rsidRPr="008A3954">
        <w:t>Meetings</w:t>
      </w:r>
    </w:p>
    <w:p w:rsidR="00BC6D22" w:rsidRPr="00427989" w:rsidRDefault="008A3954" w:rsidP="008A3954">
      <w:pPr>
        <w:pStyle w:val="Heading2"/>
      </w:pPr>
      <w:r>
        <w:t>3.1</w:t>
      </w:r>
      <w:r>
        <w:tab/>
      </w:r>
      <w:proofErr w:type="spellStart"/>
      <w:r w:rsidR="00BC6D22">
        <w:t>ATU</w:t>
      </w:r>
      <w:proofErr w:type="spellEnd"/>
      <w:r w:rsidR="00BC6D22">
        <w:t xml:space="preserve"> WRC-15 Preparatory Meetings</w:t>
      </w:r>
    </w:p>
    <w:p w:rsidR="00BC6D22" w:rsidRDefault="00BC6D22" w:rsidP="008A3954">
      <w:r>
        <w:t>The following meetings have or planned to be held:</w:t>
      </w:r>
    </w:p>
    <w:p w:rsidR="00BC6D22" w:rsidRDefault="008A3954" w:rsidP="008A3954">
      <w:pPr>
        <w:pStyle w:val="enumlev1"/>
      </w:pPr>
      <w:r>
        <w:rPr>
          <w:b/>
        </w:rPr>
        <w:sym w:font="Symbol" w:char="F0B7"/>
      </w:r>
      <w:r>
        <w:rPr>
          <w:b/>
        </w:rPr>
        <w:tab/>
      </w:r>
      <w:r w:rsidR="00BC6D22" w:rsidRPr="00197757">
        <w:rPr>
          <w:b/>
        </w:rPr>
        <w:t>Held:</w:t>
      </w:r>
      <w:r w:rsidR="00BC6D22">
        <w:t xml:space="preserve"> The region held its 1</w:t>
      </w:r>
      <w:r w:rsidR="00BC6D22" w:rsidRPr="005D1FC0">
        <w:rPr>
          <w:vertAlign w:val="superscript"/>
        </w:rPr>
        <w:t>st</w:t>
      </w:r>
      <w:r w:rsidR="00BC6D22">
        <w:t xml:space="preserve"> WRC-15 preparatory meeting in Dakar – Senegal from 18 – 20 March 2013. The main outcomes of this meeting included; (1) Adoption of the WRC-15 strategy, (2) Adoption of the </w:t>
      </w:r>
      <w:proofErr w:type="spellStart"/>
      <w:r w:rsidR="00BC6D22">
        <w:t>AfriSWoG</w:t>
      </w:r>
      <w:proofErr w:type="spellEnd"/>
      <w:r w:rsidR="00BC6D22">
        <w:t xml:space="preserve"> framework, and (3) A compilation of preliminary views from sub-regions, administrations and relevant organizations.</w:t>
      </w:r>
    </w:p>
    <w:p w:rsidR="00BC6D22" w:rsidRPr="005D1FC0" w:rsidRDefault="008A3954" w:rsidP="008A3954">
      <w:pPr>
        <w:pStyle w:val="enumlev1"/>
      </w:pPr>
      <w:r>
        <w:rPr>
          <w:b/>
        </w:rPr>
        <w:sym w:font="Symbol" w:char="F0B7"/>
      </w:r>
      <w:r>
        <w:rPr>
          <w:b/>
        </w:rPr>
        <w:tab/>
      </w:r>
      <w:r w:rsidR="00BC6D22" w:rsidRPr="00197757">
        <w:rPr>
          <w:b/>
        </w:rPr>
        <w:t>Planned:</w:t>
      </w:r>
      <w:r w:rsidR="00BC6D22">
        <w:t xml:space="preserve"> The region plans to hold two preparatory meetings in 2014: the first being in Khartoum – Sudan from 27 – 31 January 2014 and the second in Abuja – Nigeria from 1 – 5 December 2014. The region plans to hold a final preparatory meeting at an appropriate time in 2015. The main objective of these meeting is the formulation of African common positions on various WRC-15 agenda items. However, the meetings are also aimed at addressing other regional spectrum related issues. </w:t>
      </w:r>
    </w:p>
    <w:p w:rsidR="00BC6D22" w:rsidRPr="002766A5" w:rsidRDefault="008A3954" w:rsidP="008A3954">
      <w:pPr>
        <w:pStyle w:val="Heading2"/>
      </w:pPr>
      <w:r>
        <w:lastRenderedPageBreak/>
        <w:t>3.2</w:t>
      </w:r>
      <w:r>
        <w:tab/>
      </w:r>
      <w:proofErr w:type="spellStart"/>
      <w:r w:rsidR="00BC6D22" w:rsidRPr="002766A5">
        <w:t>AfriSWoG</w:t>
      </w:r>
      <w:proofErr w:type="spellEnd"/>
      <w:r w:rsidR="00BC6D22" w:rsidRPr="002766A5">
        <w:t xml:space="preserve"> Meetings</w:t>
      </w:r>
    </w:p>
    <w:p w:rsidR="00BC6D22" w:rsidRPr="00DD25D3" w:rsidRDefault="00BC6D22" w:rsidP="008A3954">
      <w:pPr>
        <w:rPr>
          <w:rFonts w:ascii="Calibri" w:hAnsi="Calibri" w:cs="Calibri"/>
          <w:color w:val="000000"/>
          <w:lang w:val="en-US"/>
        </w:rPr>
      </w:pPr>
      <w:proofErr w:type="spellStart"/>
      <w:r w:rsidRPr="002766A5">
        <w:t>AfriSWoG</w:t>
      </w:r>
      <w:proofErr w:type="spellEnd"/>
      <w:r w:rsidRPr="002766A5">
        <w:t xml:space="preserve"> held its 1</w:t>
      </w:r>
      <w:r w:rsidRPr="002766A5">
        <w:rPr>
          <w:vertAlign w:val="superscript"/>
        </w:rPr>
        <w:t>st</w:t>
      </w:r>
      <w:r w:rsidRPr="002766A5">
        <w:t xml:space="preserve"> meeting </w:t>
      </w:r>
      <w:r>
        <w:t>(AfriSWoG-1) from 12 – 14 November 2013 in Nairobi – Kenya. AfriSWoG-1 was highly successful with the following as the main outcomes:</w:t>
      </w:r>
    </w:p>
    <w:p w:rsidR="00BC6D22" w:rsidRPr="00DD25D3" w:rsidRDefault="008A3954" w:rsidP="008A3954">
      <w:pPr>
        <w:pStyle w:val="enumlev1"/>
      </w:pPr>
      <w:r>
        <w:rPr>
          <w:b/>
        </w:rPr>
        <w:sym w:font="Symbol" w:char="F0B7"/>
      </w:r>
      <w:r>
        <w:rPr>
          <w:b/>
        </w:rPr>
        <w:tab/>
      </w:r>
      <w:r w:rsidR="00BC6D22" w:rsidRPr="00DD25D3">
        <w:t xml:space="preserve">Adoption of </w:t>
      </w:r>
      <w:proofErr w:type="gramStart"/>
      <w:r w:rsidR="00BC6D22" w:rsidRPr="00DD25D3">
        <w:t>Working</w:t>
      </w:r>
      <w:proofErr w:type="gramEnd"/>
      <w:r w:rsidR="00BC6D22" w:rsidRPr="00DD25D3">
        <w:t xml:space="preserve"> methods including the working structure </w:t>
      </w:r>
    </w:p>
    <w:p w:rsidR="00BC6D22" w:rsidRPr="00DD25D3" w:rsidRDefault="008A3954" w:rsidP="008A3954">
      <w:pPr>
        <w:pStyle w:val="enumlev1"/>
      </w:pPr>
      <w:r>
        <w:rPr>
          <w:b/>
        </w:rPr>
        <w:sym w:font="Symbol" w:char="F0B7"/>
      </w:r>
      <w:r>
        <w:rPr>
          <w:b/>
        </w:rPr>
        <w:tab/>
      </w:r>
      <w:r w:rsidR="00BC6D22" w:rsidRPr="00DD25D3">
        <w:t xml:space="preserve">Establishment of </w:t>
      </w:r>
      <w:proofErr w:type="spellStart"/>
      <w:r w:rsidR="00BC6D22" w:rsidRPr="00DD25D3">
        <w:t>AfriSWoG</w:t>
      </w:r>
      <w:proofErr w:type="spellEnd"/>
      <w:r w:rsidR="00BC6D22" w:rsidRPr="00DD25D3">
        <w:t xml:space="preserve"> Management Team for the period between now and end of WRC-15; </w:t>
      </w:r>
    </w:p>
    <w:p w:rsidR="00BC6D22" w:rsidRPr="00DD25D3" w:rsidRDefault="008A3954" w:rsidP="008A3954">
      <w:pPr>
        <w:pStyle w:val="enumlev1"/>
      </w:pPr>
      <w:r>
        <w:rPr>
          <w:b/>
        </w:rPr>
        <w:sym w:font="Symbol" w:char="F0B7"/>
      </w:r>
      <w:r>
        <w:rPr>
          <w:b/>
        </w:rPr>
        <w:tab/>
      </w:r>
      <w:r w:rsidR="00BC6D22" w:rsidRPr="00DD25D3">
        <w:t xml:space="preserve">Establishment </w:t>
      </w:r>
      <w:r w:rsidR="00BC6D22">
        <w:t xml:space="preserve">of a Correspondence Group on </w:t>
      </w:r>
      <w:proofErr w:type="spellStart"/>
      <w:r w:rsidR="00BC6D22">
        <w:t>Oo</w:t>
      </w:r>
      <w:r w:rsidR="00BC6D22" w:rsidRPr="00DD25D3">
        <w:t>BE</w:t>
      </w:r>
      <w:proofErr w:type="spellEnd"/>
      <w:r w:rsidR="00BC6D22" w:rsidRPr="00DD25D3">
        <w:t xml:space="preserve"> studies under AI 1.2; </w:t>
      </w:r>
    </w:p>
    <w:p w:rsidR="00BC6D22" w:rsidRPr="00DD25D3" w:rsidRDefault="008A3954" w:rsidP="008A3954">
      <w:pPr>
        <w:pStyle w:val="enumlev1"/>
      </w:pPr>
      <w:r>
        <w:rPr>
          <w:b/>
        </w:rPr>
        <w:sym w:font="Symbol" w:char="F0B7"/>
      </w:r>
      <w:r>
        <w:rPr>
          <w:b/>
        </w:rPr>
        <w:tab/>
      </w:r>
      <w:r w:rsidR="00BC6D22" w:rsidRPr="00DD25D3">
        <w:t xml:space="preserve">Establishment of preliminary recommendations on the identified key agenda items/issues for submission to the Sudan </w:t>
      </w:r>
      <w:proofErr w:type="spellStart"/>
      <w:r w:rsidR="00BC6D22" w:rsidRPr="00DD25D3">
        <w:t>ATU</w:t>
      </w:r>
      <w:proofErr w:type="spellEnd"/>
      <w:r w:rsidR="00BC6D22" w:rsidRPr="00DD25D3">
        <w:t xml:space="preserve"> WRC-15 preparatory meeting</w:t>
      </w:r>
      <w:r w:rsidR="00BC6D22">
        <w:t>.</w:t>
      </w:r>
      <w:r w:rsidR="00BC6D22" w:rsidRPr="00DD25D3">
        <w:t xml:space="preserve"> </w:t>
      </w:r>
    </w:p>
    <w:p w:rsidR="00BC6D22" w:rsidRPr="00DD25D3" w:rsidRDefault="008A3954" w:rsidP="008A3954">
      <w:pPr>
        <w:pStyle w:val="enumlev1"/>
      </w:pPr>
      <w:r>
        <w:rPr>
          <w:b/>
        </w:rPr>
        <w:sym w:font="Symbol" w:char="F0B7"/>
      </w:r>
      <w:r>
        <w:rPr>
          <w:b/>
        </w:rPr>
        <w:tab/>
      </w:r>
      <w:r w:rsidR="00BC6D22" w:rsidRPr="00DD25D3">
        <w:t xml:space="preserve">Adoption of three templates: (1) Template for requesting a study, (2) Template for input contribution for work of </w:t>
      </w:r>
      <w:proofErr w:type="spellStart"/>
      <w:r w:rsidR="00BC6D22" w:rsidRPr="00DD25D3">
        <w:t>AfriSWoG</w:t>
      </w:r>
      <w:proofErr w:type="spellEnd"/>
      <w:r w:rsidR="00BC6D22" w:rsidRPr="00DD25D3">
        <w:t xml:space="preserve">, and (3) Template for Proposals for </w:t>
      </w:r>
      <w:proofErr w:type="spellStart"/>
      <w:r w:rsidR="00BC6D22" w:rsidRPr="00DD25D3">
        <w:t>ATU</w:t>
      </w:r>
      <w:proofErr w:type="spellEnd"/>
      <w:r w:rsidR="00BC6D22" w:rsidRPr="00DD25D3">
        <w:t xml:space="preserve"> WRC-15 Common Views and-or Positions; </w:t>
      </w:r>
    </w:p>
    <w:p w:rsidR="00BC6D22" w:rsidRPr="00DD25D3" w:rsidRDefault="008A3954" w:rsidP="008A3954">
      <w:pPr>
        <w:pStyle w:val="enumlev1"/>
      </w:pPr>
      <w:r>
        <w:rPr>
          <w:b/>
        </w:rPr>
        <w:sym w:font="Symbol" w:char="F0B7"/>
      </w:r>
      <w:r>
        <w:rPr>
          <w:b/>
        </w:rPr>
        <w:tab/>
      </w:r>
      <w:r w:rsidR="00BC6D22" w:rsidRPr="00DD25D3">
        <w:t>Adoption of studies on Digital S</w:t>
      </w:r>
      <w:r w:rsidR="00BC6D22">
        <w:t>ound Broadcasting and possible o</w:t>
      </w:r>
      <w:r w:rsidR="00BC6D22" w:rsidRPr="00DD25D3">
        <w:t xml:space="preserve">ptimisation of the GE84 FM sound broadcasting Plan for approval consideration by the Sudan meeting; </w:t>
      </w:r>
    </w:p>
    <w:p w:rsidR="00BC6D22" w:rsidRDefault="008A3954" w:rsidP="008A3954">
      <w:pPr>
        <w:pStyle w:val="enumlev1"/>
      </w:pPr>
      <w:r>
        <w:rPr>
          <w:b/>
        </w:rPr>
        <w:sym w:font="Symbol" w:char="F0B7"/>
      </w:r>
      <w:r>
        <w:rPr>
          <w:b/>
        </w:rPr>
        <w:tab/>
      </w:r>
      <w:r w:rsidR="00BC6D22" w:rsidRPr="00DD25D3">
        <w:t xml:space="preserve">Establishment of modalities of African regional participation at the ITU WRC-15 prep workshop via the Chapter Coordinators; </w:t>
      </w:r>
    </w:p>
    <w:p w:rsidR="00BC6D22" w:rsidRPr="00036D2A" w:rsidRDefault="00BC6D22" w:rsidP="00BC6D22">
      <w:pPr>
        <w:jc w:val="both"/>
        <w:rPr>
          <w:rFonts w:cs="Arial"/>
          <w:szCs w:val="24"/>
        </w:rPr>
      </w:pPr>
      <w:r>
        <w:rPr>
          <w:rFonts w:cs="Arial,Bold"/>
          <w:bCs/>
          <w:szCs w:val="24"/>
        </w:rPr>
        <w:t xml:space="preserve">The </w:t>
      </w:r>
      <w:proofErr w:type="spellStart"/>
      <w:r>
        <w:rPr>
          <w:rFonts w:cs="Arial,Bold"/>
          <w:bCs/>
          <w:szCs w:val="24"/>
        </w:rPr>
        <w:t>AfriSWoG</w:t>
      </w:r>
      <w:proofErr w:type="spellEnd"/>
      <w:r>
        <w:rPr>
          <w:rFonts w:cs="Arial,Bold"/>
          <w:bCs/>
          <w:szCs w:val="24"/>
        </w:rPr>
        <w:t xml:space="preserve"> Management Team is formulating a work plan which will outline the next meetings and other activities of the group.</w:t>
      </w:r>
    </w:p>
    <w:p w:rsidR="00BC6D22" w:rsidRPr="00F427E3" w:rsidRDefault="008A3954" w:rsidP="008A3954">
      <w:pPr>
        <w:pStyle w:val="Heading2"/>
      </w:pPr>
      <w:r>
        <w:t>3.3</w:t>
      </w:r>
      <w:r>
        <w:tab/>
      </w:r>
      <w:r w:rsidR="00BC6D22" w:rsidRPr="00F427E3">
        <w:t>Sub-regional Meetings</w:t>
      </w:r>
    </w:p>
    <w:p w:rsidR="00BC6D22" w:rsidRPr="00F427E3" w:rsidRDefault="00BC6D22" w:rsidP="008A3954">
      <w:r w:rsidRPr="00F427E3">
        <w:t xml:space="preserve">The </w:t>
      </w:r>
      <w:r>
        <w:t>sub-regions held at least one meeting for their respective sub-regional WRC-15 preparations. It is foreseen that more meetings will be held as part of their preparations for ATU as well as ITU WRC-15 preparatory meetings and other activities.</w:t>
      </w:r>
    </w:p>
    <w:p w:rsidR="00BC6D22" w:rsidRDefault="008A3954" w:rsidP="008A3954">
      <w:pPr>
        <w:pStyle w:val="Heading1"/>
      </w:pPr>
      <w:r>
        <w:t>4</w:t>
      </w:r>
      <w:r>
        <w:tab/>
        <w:t>General status of work on agenda items</w:t>
      </w:r>
    </w:p>
    <w:p w:rsidR="00BC6D22" w:rsidRDefault="00BC6D22" w:rsidP="008A3954">
      <w:r w:rsidRPr="001D5CA8">
        <w:t>Thus far</w:t>
      </w:r>
      <w:r>
        <w:t>, work on WRC-15 agenda items 1.2 has reached an advanced stage with some appreciable debate also taking place regarding AI 1.1. The region will now focus on other agenda items in order to advance them as well taking due advantage of the conclusions within the various study groups. Until now, the region focused on agenda item 1.2 in particular the related GE06 Plan modification and coordination exercise which took considerable amount of time and effort to conclude.</w:t>
      </w:r>
    </w:p>
    <w:p w:rsidR="00BC6D22" w:rsidRPr="00F030FA" w:rsidRDefault="008A3954" w:rsidP="008A3954">
      <w:pPr>
        <w:pStyle w:val="Heading1"/>
      </w:pPr>
      <w:r>
        <w:t>5</w:t>
      </w:r>
      <w:r>
        <w:tab/>
      </w:r>
      <w:r w:rsidRPr="00F030FA">
        <w:t>C</w:t>
      </w:r>
      <w:r>
        <w:t>onclusion</w:t>
      </w:r>
    </w:p>
    <w:p w:rsidR="00BC6D22" w:rsidRPr="00F90EAA" w:rsidRDefault="00BC6D22" w:rsidP="008A3954">
      <w:r w:rsidRPr="00F90EAA">
        <w:t xml:space="preserve">Having </w:t>
      </w:r>
      <w:r>
        <w:t xml:space="preserve">have created the organizational framework notably the WRC-15 strategy and </w:t>
      </w:r>
      <w:proofErr w:type="spellStart"/>
      <w:r>
        <w:t>AfriSWoG</w:t>
      </w:r>
      <w:proofErr w:type="spellEnd"/>
      <w:r>
        <w:t xml:space="preserve">, and noting the advancement of work on Agenda Item 1.2 including the related completion of the GE06 Plan modification and coordination exercise (thanks to the assistance by the ITU BR), the region will now focus on other agenda items in order to advance them as well. It is hoped that the region will be fully prepared before the commencement of WRC-15 in order to fully and actively participate thereby contributing to yet another fruitful WRC. </w:t>
      </w:r>
    </w:p>
    <w:p w:rsidR="00D12578" w:rsidRDefault="00CB4702" w:rsidP="00BC6D22">
      <w:pPr>
        <w:jc w:val="center"/>
      </w:pPr>
      <w:r w:rsidRPr="00CB2268">
        <w:t>______________</w:t>
      </w:r>
    </w:p>
    <w:sectPr w:rsidR="00D12578" w:rsidSect="00593A53">
      <w:headerReference w:type="default" r:id="rId11"/>
      <w:footerReference w:type="even" r:id="rId12"/>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8D3" w:rsidRDefault="00E408D3">
      <w:r>
        <w:separator/>
      </w:r>
    </w:p>
    <w:p w:rsidR="00E408D3" w:rsidRDefault="00E408D3"/>
  </w:endnote>
  <w:endnote w:type="continuationSeparator" w:id="0">
    <w:p w:rsidR="00E408D3" w:rsidRDefault="00E408D3">
      <w:r>
        <w:continuationSeparator/>
      </w:r>
    </w:p>
    <w:p w:rsidR="00E408D3" w:rsidRDefault="00E408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16295E" w:rsidRPr="0041348E" w:rsidRDefault="00DD647C">
    <w:pPr>
      <w:ind w:right="360"/>
      <w:rPr>
        <w:lang w:val="en-US"/>
      </w:rPr>
    </w:pPr>
    <w:fldSimple w:instr=" FILENAME \p  \* MERGEFORMAT ">
      <w:r w:rsidR="008A3954" w:rsidRPr="008A3954">
        <w:rPr>
          <w:noProof/>
          <w:lang w:val="en-US"/>
        </w:rPr>
        <w:t xml:space="preserve">M:\BRSGD\ACTIVITY\1st ITU Inter-regional Workshop on </w:t>
      </w:r>
      <w:r w:rsidR="008A3954">
        <w:rPr>
          <w:noProof/>
        </w:rPr>
        <w:t>WRC-15 Preparation\Documents\0016e.docx</w:t>
      </w:r>
    </w:fldSimple>
    <w:r w:rsidR="0016295E" w:rsidRPr="0041348E">
      <w:rPr>
        <w:lang w:val="en-US"/>
      </w:rPr>
      <w:tab/>
    </w:r>
    <w:r w:rsidR="0016295E">
      <w:fldChar w:fldCharType="begin"/>
    </w:r>
    <w:r w:rsidR="0016295E">
      <w:instrText xml:space="preserve"> SAVEDATE \@ DD.MM.YY </w:instrText>
    </w:r>
    <w:r w:rsidR="0016295E">
      <w:fldChar w:fldCharType="separate"/>
    </w:r>
    <w:r w:rsidR="008A3954">
      <w:rPr>
        <w:noProof/>
      </w:rPr>
      <w:t>03.12.13</w:t>
    </w:r>
    <w:r w:rsidR="0016295E">
      <w:fldChar w:fldCharType="end"/>
    </w:r>
    <w:r w:rsidR="0016295E" w:rsidRPr="0041348E">
      <w:rPr>
        <w:lang w:val="en-US"/>
      </w:rPr>
      <w:tab/>
    </w:r>
    <w:r w:rsidR="0016295E">
      <w:fldChar w:fldCharType="begin"/>
    </w:r>
    <w:r w:rsidR="0016295E">
      <w:instrText xml:space="preserve"> PRINTDATE \@ DD.MM.YY </w:instrText>
    </w:r>
    <w:r w:rsidR="0016295E">
      <w:fldChar w:fldCharType="separate"/>
    </w:r>
    <w:r w:rsidR="008A3954">
      <w:rPr>
        <w:noProof/>
      </w:rPr>
      <w:t>03.12.13</w:t>
    </w:r>
    <w:r w:rsidR="0016295E">
      <w:fldChar w:fldCharType="end"/>
    </w:r>
  </w:p>
  <w:p w:rsidR="0016295E" w:rsidRDefault="001629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8D3" w:rsidRDefault="00E408D3">
      <w:r>
        <w:rPr>
          <w:b/>
        </w:rPr>
        <w:t>_______________</w:t>
      </w:r>
    </w:p>
    <w:p w:rsidR="00E408D3" w:rsidRDefault="00E408D3"/>
  </w:footnote>
  <w:footnote w:type="continuationSeparator" w:id="0">
    <w:p w:rsidR="00E408D3" w:rsidRDefault="00E408D3">
      <w:r>
        <w:continuationSeparator/>
      </w:r>
    </w:p>
    <w:p w:rsidR="00E408D3" w:rsidRDefault="00E408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rsidP="00800972">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A3954">
      <w:rPr>
        <w:rStyle w:val="PageNumber"/>
        <w:noProof/>
      </w:rPr>
      <w:t>2</w:t>
    </w:r>
    <w:r>
      <w:rPr>
        <w:rStyle w:val="PageNumber"/>
      </w:rPr>
      <w:fldChar w:fldCharType="end"/>
    </w:r>
    <w:r>
      <w:rPr>
        <w:rStyle w:val="PageNumber"/>
      </w:rPr>
      <w:t xml:space="preserve"> -</w:t>
    </w:r>
  </w:p>
  <w:p w:rsidR="0016295E" w:rsidRDefault="0016295E" w:rsidP="006B2FE4">
    <w:pPr>
      <w:pStyle w:val="Header"/>
    </w:pPr>
    <w:r>
      <w:t>WRC-1</w:t>
    </w:r>
    <w:r w:rsidR="00DD2A00">
      <w:t>5</w:t>
    </w:r>
    <w:r>
      <w:t>-I</w:t>
    </w:r>
    <w:r w:rsidR="00DD2A00">
      <w:t>RWSP</w:t>
    </w:r>
    <w:r>
      <w:t>-1</w:t>
    </w:r>
    <w:r w:rsidR="00DD2A00">
      <w:t>3</w:t>
    </w:r>
    <w:r>
      <w:t>/</w:t>
    </w:r>
    <w:r w:rsidR="00BC6D22">
      <w:t>1</w:t>
    </w:r>
    <w:r w:rsidR="006B2FE4">
      <w:t>6</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6841C52"/>
    <w:multiLevelType w:val="hybridMultilevel"/>
    <w:tmpl w:val="73B2F1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6">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173468EC"/>
    <w:multiLevelType w:val="multilevel"/>
    <w:tmpl w:val="03621ED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7815F9F"/>
    <w:multiLevelType w:val="hybridMultilevel"/>
    <w:tmpl w:val="3860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3">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4">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6">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7">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9">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20">
    <w:nsid w:val="46DF12DC"/>
    <w:multiLevelType w:val="multilevel"/>
    <w:tmpl w:val="76E2495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AEE5D85"/>
    <w:multiLevelType w:val="multilevel"/>
    <w:tmpl w:val="C472CE5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2">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5">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6">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9">
    <w:nsid w:val="6C177CD8"/>
    <w:multiLevelType w:val="multilevel"/>
    <w:tmpl w:val="A0E6026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30">
    <w:nsid w:val="6C9C5F81"/>
    <w:multiLevelType w:val="hybridMultilevel"/>
    <w:tmpl w:val="445CF2C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31">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2">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3">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4">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4"/>
  </w:num>
  <w:num w:numId="4">
    <w:abstractNumId w:val="11"/>
  </w:num>
  <w:num w:numId="5">
    <w:abstractNumId w:val="2"/>
  </w:num>
  <w:num w:numId="6">
    <w:abstractNumId w:val="18"/>
  </w:num>
  <w:num w:numId="7">
    <w:abstractNumId w:val="13"/>
  </w:num>
  <w:num w:numId="8">
    <w:abstractNumId w:val="12"/>
  </w:num>
  <w:num w:numId="9">
    <w:abstractNumId w:val="32"/>
  </w:num>
  <w:num w:numId="10">
    <w:abstractNumId w:val="15"/>
  </w:num>
  <w:num w:numId="11">
    <w:abstractNumId w:val="19"/>
  </w:num>
  <w:num w:numId="12">
    <w:abstractNumId w:val="10"/>
  </w:num>
  <w:num w:numId="13">
    <w:abstractNumId w:val="6"/>
  </w:num>
  <w:num w:numId="14">
    <w:abstractNumId w:val="30"/>
  </w:num>
  <w:num w:numId="15">
    <w:abstractNumId w:val="27"/>
  </w:num>
  <w:num w:numId="16">
    <w:abstractNumId w:val="16"/>
  </w:num>
  <w:num w:numId="17">
    <w:abstractNumId w:val="3"/>
  </w:num>
  <w:num w:numId="18">
    <w:abstractNumId w:val="26"/>
  </w:num>
  <w:num w:numId="19">
    <w:abstractNumId w:val="20"/>
  </w:num>
  <w:num w:numId="20">
    <w:abstractNumId w:val="31"/>
  </w:num>
  <w:num w:numId="21">
    <w:abstractNumId w:val="22"/>
  </w:num>
  <w:num w:numId="22">
    <w:abstractNumId w:val="24"/>
  </w:num>
  <w:num w:numId="23">
    <w:abstractNumId w:val="29"/>
  </w:num>
  <w:num w:numId="24">
    <w:abstractNumId w:val="23"/>
  </w:num>
  <w:num w:numId="25">
    <w:abstractNumId w:val="4"/>
  </w:num>
  <w:num w:numId="26">
    <w:abstractNumId w:val="21"/>
  </w:num>
  <w:num w:numId="27">
    <w:abstractNumId w:val="9"/>
  </w:num>
  <w:num w:numId="28">
    <w:abstractNumId w:val="25"/>
  </w:num>
  <w:num w:numId="29">
    <w:abstractNumId w:val="34"/>
  </w:num>
  <w:num w:numId="30">
    <w:abstractNumId w:val="33"/>
  </w:num>
  <w:num w:numId="31">
    <w:abstractNumId w:val="5"/>
  </w:num>
  <w:num w:numId="32">
    <w:abstractNumId w:val="28"/>
  </w:num>
  <w:num w:numId="33">
    <w:abstractNumId w:val="35"/>
  </w:num>
  <w:num w:numId="34">
    <w:abstractNumId w:val="17"/>
  </w:num>
  <w:num w:numId="35">
    <w:abstractNumId w:val="7"/>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78"/>
    <w:rsid w:val="000041EA"/>
    <w:rsid w:val="00007D63"/>
    <w:rsid w:val="00034833"/>
    <w:rsid w:val="000355FD"/>
    <w:rsid w:val="00041770"/>
    <w:rsid w:val="00051E39"/>
    <w:rsid w:val="00077239"/>
    <w:rsid w:val="00091346"/>
    <w:rsid w:val="00114CF7"/>
    <w:rsid w:val="00123B68"/>
    <w:rsid w:val="00126F2E"/>
    <w:rsid w:val="0016295E"/>
    <w:rsid w:val="00167EB2"/>
    <w:rsid w:val="001B565D"/>
    <w:rsid w:val="001C33A2"/>
    <w:rsid w:val="001C3B5F"/>
    <w:rsid w:val="001D3B8B"/>
    <w:rsid w:val="001E0892"/>
    <w:rsid w:val="00202CA0"/>
    <w:rsid w:val="00217CB6"/>
    <w:rsid w:val="00266046"/>
    <w:rsid w:val="00271316"/>
    <w:rsid w:val="002D58BE"/>
    <w:rsid w:val="002D7CDB"/>
    <w:rsid w:val="002D7F57"/>
    <w:rsid w:val="00377BD3"/>
    <w:rsid w:val="00384088"/>
    <w:rsid w:val="003926F0"/>
    <w:rsid w:val="003C2E71"/>
    <w:rsid w:val="003C799A"/>
    <w:rsid w:val="003D0F8B"/>
    <w:rsid w:val="0041348E"/>
    <w:rsid w:val="004140A4"/>
    <w:rsid w:val="00462D33"/>
    <w:rsid w:val="0046346F"/>
    <w:rsid w:val="004C0E6B"/>
    <w:rsid w:val="005011BA"/>
    <w:rsid w:val="0050139F"/>
    <w:rsid w:val="00545C44"/>
    <w:rsid w:val="00593A53"/>
    <w:rsid w:val="005964AB"/>
    <w:rsid w:val="005B62FC"/>
    <w:rsid w:val="005C099A"/>
    <w:rsid w:val="005C39D6"/>
    <w:rsid w:val="005E61DD"/>
    <w:rsid w:val="005F6CEB"/>
    <w:rsid w:val="006023DF"/>
    <w:rsid w:val="00603F2F"/>
    <w:rsid w:val="00657DE0"/>
    <w:rsid w:val="006A6E9B"/>
    <w:rsid w:val="006B2FE4"/>
    <w:rsid w:val="006B6982"/>
    <w:rsid w:val="006D1190"/>
    <w:rsid w:val="00712519"/>
    <w:rsid w:val="00727F99"/>
    <w:rsid w:val="007307FA"/>
    <w:rsid w:val="007445F6"/>
    <w:rsid w:val="007742CA"/>
    <w:rsid w:val="00797928"/>
    <w:rsid w:val="007E0DD5"/>
    <w:rsid w:val="007F48C2"/>
    <w:rsid w:val="00800972"/>
    <w:rsid w:val="00811633"/>
    <w:rsid w:val="00872FC8"/>
    <w:rsid w:val="00877E57"/>
    <w:rsid w:val="00894E5C"/>
    <w:rsid w:val="008A3954"/>
    <w:rsid w:val="008B0B50"/>
    <w:rsid w:val="008B0C64"/>
    <w:rsid w:val="008B43F2"/>
    <w:rsid w:val="009274B4"/>
    <w:rsid w:val="00944A5C"/>
    <w:rsid w:val="0095148A"/>
    <w:rsid w:val="009972CA"/>
    <w:rsid w:val="009C56E5"/>
    <w:rsid w:val="009E5FC8"/>
    <w:rsid w:val="009F5FBE"/>
    <w:rsid w:val="00A141AF"/>
    <w:rsid w:val="00A15A38"/>
    <w:rsid w:val="00A31D2D"/>
    <w:rsid w:val="00A4600A"/>
    <w:rsid w:val="00A710E7"/>
    <w:rsid w:val="00A7372E"/>
    <w:rsid w:val="00A9290C"/>
    <w:rsid w:val="00A93626"/>
    <w:rsid w:val="00B67C1C"/>
    <w:rsid w:val="00B817CD"/>
    <w:rsid w:val="00BB3A95"/>
    <w:rsid w:val="00BB3FFD"/>
    <w:rsid w:val="00BC6D22"/>
    <w:rsid w:val="00C0018F"/>
    <w:rsid w:val="00C20466"/>
    <w:rsid w:val="00C234E6"/>
    <w:rsid w:val="00C324A8"/>
    <w:rsid w:val="00C47BC8"/>
    <w:rsid w:val="00C54517"/>
    <w:rsid w:val="00C67A50"/>
    <w:rsid w:val="00C862FD"/>
    <w:rsid w:val="00C97C68"/>
    <w:rsid w:val="00CB4702"/>
    <w:rsid w:val="00CC247A"/>
    <w:rsid w:val="00CE20EA"/>
    <w:rsid w:val="00CE5E47"/>
    <w:rsid w:val="00CF020F"/>
    <w:rsid w:val="00CF6E66"/>
    <w:rsid w:val="00D027E0"/>
    <w:rsid w:val="00D12578"/>
    <w:rsid w:val="00D34EBC"/>
    <w:rsid w:val="00D5651D"/>
    <w:rsid w:val="00D70FD9"/>
    <w:rsid w:val="00D74898"/>
    <w:rsid w:val="00D762F5"/>
    <w:rsid w:val="00D9187F"/>
    <w:rsid w:val="00D936BC"/>
    <w:rsid w:val="00D96530"/>
    <w:rsid w:val="00DD2A00"/>
    <w:rsid w:val="00DD647C"/>
    <w:rsid w:val="00DE67CB"/>
    <w:rsid w:val="00E26226"/>
    <w:rsid w:val="00E275BB"/>
    <w:rsid w:val="00E408D3"/>
    <w:rsid w:val="00E976C1"/>
    <w:rsid w:val="00EB0651"/>
    <w:rsid w:val="00EC6F48"/>
    <w:rsid w:val="00F5790F"/>
    <w:rsid w:val="00F57B83"/>
    <w:rsid w:val="00F65C19"/>
    <w:rsid w:val="00F7750A"/>
    <w:rsid w:val="00FC6618"/>
    <w:rsid w:val="00FE78C7"/>
    <w:rsid w:val="00FF3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uiPriority w:val="99"/>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uiPriority w:val="99"/>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Paragraph">
    <w:name w:val="ECC Paragraph"/>
    <w:basedOn w:val="Normal"/>
    <w:rsid w:val="003C799A"/>
    <w:pPr>
      <w:tabs>
        <w:tab w:val="clear" w:pos="1134"/>
        <w:tab w:val="clear" w:pos="1871"/>
        <w:tab w:val="clear" w:pos="2268"/>
      </w:tabs>
      <w:overflowPunct/>
      <w:autoSpaceDE/>
      <w:autoSpaceDN/>
      <w:adjustRightInd/>
      <w:spacing w:before="0" w:after="240"/>
      <w:jc w:val="both"/>
      <w:textAlignment w:val="auto"/>
    </w:pPr>
    <w:rPr>
      <w:rFonts w:ascii="Arial" w:hAnsi="Arial"/>
      <w:sz w:val="20"/>
      <w:szCs w:val="24"/>
    </w:rPr>
  </w:style>
  <w:style w:type="character" w:customStyle="1" w:styleId="StyleLatinItalic">
    <w:name w:val="Style (Latin) Italic"/>
    <w:basedOn w:val="DefaultParagraphFont"/>
    <w:rsid w:val="00DE67CB"/>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uiPriority w:val="99"/>
    <w:rsid w:val="00593A53"/>
    <w:pPr>
      <w:spacing w:before="0"/>
      <w:jc w:val="center"/>
    </w:pPr>
    <w:rPr>
      <w:sz w:val="18"/>
    </w:rPr>
  </w:style>
  <w:style w:type="paragraph" w:customStyle="1" w:styleId="Headingb">
    <w:name w:val="Heading_b"/>
    <w:basedOn w:val="Normal"/>
    <w:next w:val="Normal"/>
    <w:link w:val="HeadingbChar"/>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uiPriority w:val="99"/>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CParagraph">
    <w:name w:val="ECC Paragraph"/>
    <w:basedOn w:val="Normal"/>
    <w:rsid w:val="003C799A"/>
    <w:pPr>
      <w:tabs>
        <w:tab w:val="clear" w:pos="1134"/>
        <w:tab w:val="clear" w:pos="1871"/>
        <w:tab w:val="clear" w:pos="2268"/>
      </w:tabs>
      <w:overflowPunct/>
      <w:autoSpaceDE/>
      <w:autoSpaceDN/>
      <w:adjustRightInd/>
      <w:spacing w:before="0" w:after="240"/>
      <w:jc w:val="both"/>
      <w:textAlignment w:val="auto"/>
    </w:pPr>
    <w:rPr>
      <w:rFonts w:ascii="Arial" w:hAnsi="Arial"/>
      <w:sz w:val="20"/>
      <w:szCs w:val="24"/>
    </w:rPr>
  </w:style>
  <w:style w:type="character" w:customStyle="1" w:styleId="StyleLatinItalic">
    <w:name w:val="Style (Latin) Italic"/>
    <w:basedOn w:val="DefaultParagraphFont"/>
    <w:rsid w:val="00DE67C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tu-uat.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66DFC-4A7B-405D-8A4F-6DD48B8D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714</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4764</CharactersWithSpaces>
  <SharedDoc>false</SharedDoc>
  <HyperlinkBase/>
  <HLinks>
    <vt:vector size="6" baseType="variant">
      <vt:variant>
        <vt:i4>5636189</vt:i4>
      </vt:variant>
      <vt:variant>
        <vt:i4>0</vt:i4>
      </vt:variant>
      <vt:variant>
        <vt:i4>0</vt:i4>
      </vt:variant>
      <vt:variant>
        <vt:i4>5</vt:i4>
      </vt:variant>
      <vt:variant>
        <vt:lpwstr>http://www.icao.int/safety/acp/Pages/default.aspx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Radiocommunication Conference - 2012</dc:subject>
  <dc:creator>hvanderg</dc:creator>
  <cp:lastModifiedBy>mostyn</cp:lastModifiedBy>
  <cp:revision>12</cp:revision>
  <cp:lastPrinted>2013-12-03T10:19:00Z</cp:lastPrinted>
  <dcterms:created xsi:type="dcterms:W3CDTF">2013-11-22T12:47:00Z</dcterms:created>
  <dcterms:modified xsi:type="dcterms:W3CDTF">2013-12-03T10:21:00Z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