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25734C">
        <w:trPr>
          <w:cantSplit/>
        </w:trPr>
        <w:tc>
          <w:tcPr>
            <w:tcW w:w="6580" w:type="dxa"/>
            <w:vAlign w:val="center"/>
          </w:tcPr>
          <w:p w:rsidR="0025734C" w:rsidRPr="00D8032B" w:rsidRDefault="0025734C"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25734C" w:rsidRDefault="00CA047C" w:rsidP="007360E5">
            <w:pPr>
              <w:shd w:val="solid" w:color="FFFFFF" w:fill="FFFFFF"/>
              <w:spacing w:before="0" w:line="240" w:lineRule="atLeast"/>
            </w:pPr>
            <w:bookmarkStart w:id="0" w:name="ditulogo"/>
            <w:bookmarkEnd w:id="0"/>
            <w:r>
              <w:rPr>
                <w:noProof/>
                <w:lang w:val="en-US" w:eastAsia="zh-CN"/>
              </w:rPr>
              <w:drawing>
                <wp:inline distT="0" distB="0" distL="0" distR="0">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25734C" w:rsidRPr="0051782D">
        <w:trPr>
          <w:cantSplit/>
        </w:trPr>
        <w:tc>
          <w:tcPr>
            <w:tcW w:w="6580" w:type="dxa"/>
            <w:tcBorders>
              <w:bottom w:val="single" w:sz="12" w:space="0" w:color="auto"/>
            </w:tcBorders>
          </w:tcPr>
          <w:p w:rsidR="0025734C" w:rsidRPr="0051782D" w:rsidRDefault="0025734C"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25734C" w:rsidRPr="0051782D" w:rsidRDefault="0025734C" w:rsidP="00A5173C">
            <w:pPr>
              <w:shd w:val="solid" w:color="FFFFFF" w:fill="FFFFFF"/>
              <w:spacing w:before="0" w:after="48" w:line="240" w:lineRule="atLeast"/>
              <w:rPr>
                <w:szCs w:val="22"/>
                <w:lang w:val="en-US"/>
              </w:rPr>
            </w:pPr>
          </w:p>
        </w:tc>
      </w:tr>
      <w:tr w:rsidR="0025734C">
        <w:trPr>
          <w:cantSplit/>
        </w:trPr>
        <w:tc>
          <w:tcPr>
            <w:tcW w:w="6580" w:type="dxa"/>
            <w:tcBorders>
              <w:top w:val="single" w:sz="12" w:space="0" w:color="auto"/>
            </w:tcBorders>
          </w:tcPr>
          <w:p w:rsidR="0025734C" w:rsidRPr="0051782D" w:rsidRDefault="0025734C"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25734C" w:rsidRPr="00710D66" w:rsidRDefault="0025734C" w:rsidP="00A5173C">
            <w:pPr>
              <w:shd w:val="solid" w:color="FFFFFF" w:fill="FFFFFF"/>
              <w:spacing w:before="0" w:after="48" w:line="240" w:lineRule="atLeast"/>
              <w:rPr>
                <w:lang w:val="en-US"/>
              </w:rPr>
            </w:pPr>
          </w:p>
        </w:tc>
      </w:tr>
      <w:tr w:rsidR="0025734C">
        <w:trPr>
          <w:cantSplit/>
        </w:trPr>
        <w:tc>
          <w:tcPr>
            <w:tcW w:w="6580" w:type="dxa"/>
            <w:vMerge w:val="restart"/>
          </w:tcPr>
          <w:p w:rsidR="0025734C" w:rsidRPr="00982084" w:rsidRDefault="0025734C" w:rsidP="007360E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 5A/TEMP/65</w:t>
            </w:r>
          </w:p>
        </w:tc>
        <w:tc>
          <w:tcPr>
            <w:tcW w:w="3451" w:type="dxa"/>
          </w:tcPr>
          <w:p w:rsidR="0025734C" w:rsidRDefault="0025734C"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4 to</w:t>
            </w:r>
          </w:p>
          <w:p w:rsidR="0025734C" w:rsidRPr="007360E5" w:rsidRDefault="0025734C" w:rsidP="003209A8">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3209A8">
              <w:rPr>
                <w:rFonts w:ascii="Verdana" w:hAnsi="Verdana"/>
                <w:b/>
                <w:sz w:val="20"/>
                <w:lang w:eastAsia="zh-CN"/>
              </w:rPr>
              <w:t>198</w:t>
            </w:r>
            <w:r>
              <w:rPr>
                <w:rFonts w:ascii="Verdana" w:hAnsi="Verdana"/>
                <w:b/>
                <w:sz w:val="20"/>
                <w:lang w:eastAsia="zh-CN"/>
              </w:rPr>
              <w:t>-E</w:t>
            </w:r>
          </w:p>
        </w:tc>
      </w:tr>
      <w:tr w:rsidR="0025734C">
        <w:trPr>
          <w:cantSplit/>
        </w:trPr>
        <w:tc>
          <w:tcPr>
            <w:tcW w:w="6580" w:type="dxa"/>
            <w:vMerge/>
          </w:tcPr>
          <w:p w:rsidR="0025734C" w:rsidRDefault="0025734C" w:rsidP="00A5173C">
            <w:pPr>
              <w:spacing w:before="60"/>
              <w:jc w:val="center"/>
              <w:rPr>
                <w:b/>
                <w:smallCaps/>
                <w:sz w:val="32"/>
                <w:lang w:eastAsia="zh-CN"/>
              </w:rPr>
            </w:pPr>
            <w:bookmarkStart w:id="3" w:name="ddate" w:colFirst="1" w:colLast="1"/>
            <w:bookmarkEnd w:id="2"/>
          </w:p>
        </w:tc>
        <w:tc>
          <w:tcPr>
            <w:tcW w:w="3451" w:type="dxa"/>
          </w:tcPr>
          <w:p w:rsidR="0025734C" w:rsidRPr="007360E5" w:rsidRDefault="002F2139" w:rsidP="00A5173C">
            <w:pPr>
              <w:shd w:val="solid" w:color="FFFFFF" w:fill="FFFFFF"/>
              <w:spacing w:before="0" w:line="240" w:lineRule="atLeast"/>
              <w:rPr>
                <w:rFonts w:ascii="Verdana" w:hAnsi="Verdana"/>
                <w:sz w:val="20"/>
                <w:lang w:eastAsia="zh-CN"/>
              </w:rPr>
            </w:pPr>
            <w:r>
              <w:rPr>
                <w:rFonts w:ascii="Verdana" w:hAnsi="Verdana"/>
                <w:b/>
                <w:sz w:val="20"/>
                <w:lang w:eastAsia="zh-CN"/>
              </w:rPr>
              <w:t>20</w:t>
            </w:r>
            <w:r w:rsidR="0025734C">
              <w:rPr>
                <w:rFonts w:ascii="Verdana" w:hAnsi="Verdana"/>
                <w:b/>
                <w:sz w:val="20"/>
                <w:lang w:eastAsia="zh-CN"/>
              </w:rPr>
              <w:t xml:space="preserve"> November 2012</w:t>
            </w:r>
          </w:p>
        </w:tc>
      </w:tr>
      <w:tr w:rsidR="0025734C">
        <w:trPr>
          <w:cantSplit/>
        </w:trPr>
        <w:tc>
          <w:tcPr>
            <w:tcW w:w="6580" w:type="dxa"/>
            <w:vMerge/>
          </w:tcPr>
          <w:p w:rsidR="0025734C" w:rsidRDefault="0025734C" w:rsidP="00A5173C">
            <w:pPr>
              <w:spacing w:before="60"/>
              <w:jc w:val="center"/>
              <w:rPr>
                <w:b/>
                <w:smallCaps/>
                <w:sz w:val="32"/>
                <w:lang w:eastAsia="zh-CN"/>
              </w:rPr>
            </w:pPr>
            <w:bookmarkStart w:id="4" w:name="dorlang" w:colFirst="1" w:colLast="1"/>
            <w:bookmarkEnd w:id="3"/>
          </w:p>
        </w:tc>
        <w:tc>
          <w:tcPr>
            <w:tcW w:w="3451" w:type="dxa"/>
          </w:tcPr>
          <w:p w:rsidR="0025734C" w:rsidRPr="007360E5" w:rsidRDefault="0025734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5734C">
        <w:trPr>
          <w:cantSplit/>
        </w:trPr>
        <w:tc>
          <w:tcPr>
            <w:tcW w:w="10031" w:type="dxa"/>
            <w:gridSpan w:val="2"/>
          </w:tcPr>
          <w:p w:rsidR="0025734C" w:rsidRDefault="0025734C" w:rsidP="007360E5">
            <w:pPr>
              <w:pStyle w:val="Source"/>
              <w:rPr>
                <w:lang w:eastAsia="zh-CN"/>
              </w:rPr>
            </w:pPr>
            <w:bookmarkStart w:id="5" w:name="dsource" w:colFirst="0" w:colLast="0"/>
            <w:bookmarkEnd w:id="4"/>
            <w:r>
              <w:rPr>
                <w:lang w:eastAsia="zh-CN"/>
              </w:rPr>
              <w:t>Annex 4 to Working Party 5A Chairman’s Report</w:t>
            </w:r>
          </w:p>
        </w:tc>
      </w:tr>
      <w:tr w:rsidR="0025734C">
        <w:trPr>
          <w:cantSplit/>
        </w:trPr>
        <w:tc>
          <w:tcPr>
            <w:tcW w:w="10031" w:type="dxa"/>
            <w:gridSpan w:val="2"/>
          </w:tcPr>
          <w:p w:rsidR="0025734C" w:rsidRDefault="0025734C" w:rsidP="00A5173C">
            <w:pPr>
              <w:pStyle w:val="Title1"/>
              <w:rPr>
                <w:lang w:eastAsia="zh-CN"/>
              </w:rPr>
            </w:pPr>
            <w:bookmarkStart w:id="6" w:name="drec" w:colFirst="0" w:colLast="0"/>
            <w:bookmarkStart w:id="7" w:name="_GoBack"/>
            <w:bookmarkEnd w:id="5"/>
            <w:r>
              <w:t xml:space="preserve">working document towardS THE </w:t>
            </w:r>
            <w:r w:rsidRPr="00226282">
              <w:t xml:space="preserve">DRAFT </w:t>
            </w:r>
            <w:r w:rsidRPr="00EC3189">
              <w:t>CPM</w:t>
            </w:r>
            <w:r>
              <w:t xml:space="preserve"> text</w:t>
            </w:r>
            <w:r>
              <w:br/>
              <w:t>for WRC-15 Agenda item</w:t>
            </w:r>
            <w:r w:rsidRPr="00226282">
              <w:t xml:space="preserve"> 1.4</w:t>
            </w:r>
            <w:bookmarkEnd w:id="7"/>
          </w:p>
        </w:tc>
      </w:tr>
      <w:tr w:rsidR="0025734C">
        <w:trPr>
          <w:cantSplit/>
        </w:trPr>
        <w:tc>
          <w:tcPr>
            <w:tcW w:w="10031" w:type="dxa"/>
            <w:gridSpan w:val="2"/>
          </w:tcPr>
          <w:p w:rsidR="0025734C" w:rsidRDefault="0025734C" w:rsidP="00A5173C">
            <w:pPr>
              <w:pStyle w:val="Title1"/>
              <w:rPr>
                <w:lang w:eastAsia="zh-CN"/>
              </w:rPr>
            </w:pPr>
            <w:bookmarkStart w:id="8" w:name="dtitle1" w:colFirst="0" w:colLast="0"/>
            <w:bookmarkEnd w:id="6"/>
          </w:p>
        </w:tc>
      </w:tr>
    </w:tbl>
    <w:p w:rsidR="0025734C" w:rsidRPr="000B02CA" w:rsidRDefault="0025734C" w:rsidP="00771F86">
      <w:pPr>
        <w:pStyle w:val="Normalaftertitle"/>
        <w:rPr>
          <w:b/>
          <w:i/>
          <w:iCs/>
        </w:rPr>
      </w:pPr>
      <w:bookmarkStart w:id="9" w:name="dbreak"/>
      <w:bookmarkStart w:id="10" w:name="_Toc284401780"/>
      <w:bookmarkEnd w:id="8"/>
      <w:bookmarkEnd w:id="9"/>
      <w:r w:rsidRPr="000B02CA">
        <w:rPr>
          <w:i/>
          <w:iCs/>
        </w:rPr>
        <w:t>1.4</w:t>
      </w:r>
      <w:r w:rsidRPr="000B02CA">
        <w:rPr>
          <w:i/>
          <w:iCs/>
        </w:rPr>
        <w:tab/>
        <w:t xml:space="preserve">to consider possible new allocation to the amateur service on a secondary basis within the band 5 250-5 450 kHz in accordance with Resolution </w:t>
      </w:r>
      <w:r w:rsidRPr="000B02CA">
        <w:rPr>
          <w:rFonts w:ascii="Times New Roman Bold" w:hAnsi="Times New Roman Bold" w:cs="Times New Roman Bold"/>
          <w:b/>
          <w:bCs/>
          <w:i/>
          <w:iCs/>
        </w:rPr>
        <w:t>649</w:t>
      </w:r>
      <w:r w:rsidRPr="000B02CA">
        <w:rPr>
          <w:b/>
          <w:bCs/>
          <w:i/>
          <w:iCs/>
        </w:rPr>
        <w:t xml:space="preserve"> (WRC</w:t>
      </w:r>
      <w:r w:rsidRPr="000B02CA">
        <w:rPr>
          <w:b/>
          <w:bCs/>
          <w:i/>
          <w:iCs/>
        </w:rPr>
        <w:noBreakHyphen/>
        <w:t>12)</w:t>
      </w:r>
      <w:r w:rsidRPr="000B02CA">
        <w:rPr>
          <w:i/>
          <w:iCs/>
        </w:rPr>
        <w:t>;</w:t>
      </w:r>
    </w:p>
    <w:p w:rsidR="0025734C" w:rsidRPr="00041322" w:rsidRDefault="0025734C" w:rsidP="006A0996">
      <w:pPr>
        <w:rPr>
          <w:i/>
          <w:iCs/>
        </w:rPr>
      </w:pPr>
      <w:r w:rsidRPr="00740681">
        <w:t xml:space="preserve">Resolution </w:t>
      </w:r>
      <w:r w:rsidRPr="00C808A6">
        <w:rPr>
          <w:rFonts w:ascii="Times New Roman Bold" w:hAnsi="Times New Roman Bold" w:cs="Times New Roman Bold"/>
          <w:b/>
          <w:bCs/>
        </w:rPr>
        <w:t>649</w:t>
      </w:r>
      <w:r w:rsidRPr="0015385C">
        <w:rPr>
          <w:b/>
          <w:bCs/>
        </w:rPr>
        <w:t xml:space="preserve"> (WRC</w:t>
      </w:r>
      <w:r w:rsidRPr="0015385C">
        <w:rPr>
          <w:b/>
          <w:bCs/>
        </w:rPr>
        <w:noBreakHyphen/>
        <w:t>12)</w:t>
      </w:r>
      <w:r>
        <w:t xml:space="preserve">: </w:t>
      </w:r>
      <w:r w:rsidRPr="000B02CA">
        <w:rPr>
          <w:i/>
          <w:iCs/>
        </w:rPr>
        <w:t>Possible allocation to the amateur service on a secondary basis at around 5 300 kHz</w:t>
      </w:r>
    </w:p>
    <w:p w:rsidR="0025734C" w:rsidRPr="006E2EB7" w:rsidRDefault="0025734C" w:rsidP="006A0996">
      <w:pPr>
        <w:pStyle w:val="Heading2"/>
        <w:rPr>
          <w:lang w:eastAsia="ja-JP"/>
        </w:rPr>
      </w:pPr>
      <w:r w:rsidRPr="006E2EB7">
        <w:rPr>
          <w:rFonts w:eastAsia="Batang"/>
        </w:rPr>
        <w:t>1/1.4/</w:t>
      </w:r>
      <w:r>
        <w:rPr>
          <w:rFonts w:eastAsia="Batang"/>
        </w:rPr>
        <w:t>1</w:t>
      </w:r>
      <w:r w:rsidRPr="006E2EB7">
        <w:rPr>
          <w:rFonts w:eastAsia="Batang"/>
        </w:rPr>
        <w:tab/>
        <w:t>Executive Summary</w:t>
      </w:r>
    </w:p>
    <w:p w:rsidR="0025734C" w:rsidRPr="009477F6" w:rsidRDefault="0025734C" w:rsidP="006A0996">
      <w:r w:rsidRPr="009477F6">
        <w:t>[Text of the executive summary</w:t>
      </w:r>
      <w:r>
        <w:t>, not more than half a page</w:t>
      </w:r>
      <w:r w:rsidRPr="00CD672A">
        <w:t xml:space="preserve"> </w:t>
      </w:r>
      <w:r>
        <w:t>of text</w:t>
      </w:r>
      <w:r w:rsidRPr="009477F6">
        <w:t>]</w:t>
      </w:r>
    </w:p>
    <w:p w:rsidR="0025734C" w:rsidRDefault="0025734C" w:rsidP="006A0996">
      <w:pPr>
        <w:rPr>
          <w:color w:val="000000"/>
          <w:lang w:eastAsia="ja-JP"/>
        </w:rPr>
      </w:pPr>
      <w:r w:rsidRPr="006E2EB7">
        <w:rPr>
          <w:color w:val="000000"/>
          <w:lang w:eastAsia="ja-JP"/>
        </w:rPr>
        <w:t>[TBD]</w:t>
      </w:r>
    </w:p>
    <w:p w:rsidR="0025734C" w:rsidRPr="006E2EB7" w:rsidRDefault="0025734C" w:rsidP="006A0996">
      <w:pPr>
        <w:pStyle w:val="Heading2"/>
        <w:rPr>
          <w:rFonts w:eastAsia="Batang"/>
        </w:rPr>
      </w:pPr>
      <w:r w:rsidRPr="006E2EB7">
        <w:rPr>
          <w:rFonts w:eastAsia="Batang"/>
        </w:rPr>
        <w:t>1/1.4/</w:t>
      </w:r>
      <w:r>
        <w:rPr>
          <w:rFonts w:eastAsia="Batang"/>
        </w:rPr>
        <w:t>2</w:t>
      </w:r>
      <w:r w:rsidRPr="006E2EB7">
        <w:rPr>
          <w:rFonts w:eastAsia="Batang"/>
        </w:rPr>
        <w:tab/>
        <w:t>Background</w:t>
      </w:r>
    </w:p>
    <w:p w:rsidR="0025734C" w:rsidRPr="002B35A6" w:rsidRDefault="0025734C" w:rsidP="006A0996">
      <w:pPr>
        <w:rPr>
          <w:i/>
          <w:iCs/>
          <w:color w:val="000000"/>
        </w:rPr>
      </w:pPr>
      <w:r w:rsidRPr="002B35A6">
        <w:rPr>
          <w:i/>
          <w:iCs/>
          <w:color w:val="000000"/>
        </w:rPr>
        <w:t>[Editor’s Note: A half page of text is recommended by the chapter rapporteur as the ideal outcome.]</w:t>
      </w:r>
    </w:p>
    <w:p w:rsidR="0025734C" w:rsidRPr="00C828F3" w:rsidRDefault="0025734C" w:rsidP="006A0996">
      <w:pPr>
        <w:rPr>
          <w:i/>
        </w:rPr>
      </w:pPr>
      <w:r>
        <w:t xml:space="preserve">[Pursuant to </w:t>
      </w:r>
      <w:r w:rsidRPr="0063258E">
        <w:rPr>
          <w:i/>
        </w:rPr>
        <w:t>noting b</w:t>
      </w:r>
      <w:r>
        <w:t xml:space="preserve"> of Resolution </w:t>
      </w:r>
      <w:r w:rsidRPr="00753C3C">
        <w:rPr>
          <w:b/>
          <w:bCs/>
        </w:rPr>
        <w:t>649</w:t>
      </w:r>
      <w:r>
        <w:t xml:space="preserve"> </w:t>
      </w:r>
      <w:r w:rsidRPr="00753C3C">
        <w:rPr>
          <w:b/>
          <w:bCs/>
        </w:rPr>
        <w:t>(WRC-12)</w:t>
      </w:r>
      <w:r>
        <w:t>, an allocation of an appropriate amount of spectrum, not necessarily contiguous, to the amateur service at around 5 300 kHz would be adequate to better satisfy its needs associated with use for providing communications in disaster situations and during relief operations.</w:t>
      </w:r>
    </w:p>
    <w:p w:rsidR="0025734C" w:rsidRDefault="0025734C" w:rsidP="006A0996">
      <w:r>
        <w:t>Recognizing that the band 5 250-5 450 kHz is used by stations in the fixed and mobile (except aeronautical mobile) services in many countries, a range of possible allocations to the amateur service may be proposed such that administrations might determine how much accommodation can be made to the amateur service.]</w:t>
      </w:r>
    </w:p>
    <w:p w:rsidR="0025734C" w:rsidRPr="006E2EB7" w:rsidRDefault="0025734C" w:rsidP="006A0996">
      <w:pPr>
        <w:rPr>
          <w:color w:val="000000"/>
        </w:rPr>
      </w:pPr>
      <w:r w:rsidRPr="006E2EB7">
        <w:rPr>
          <w:color w:val="000000"/>
        </w:rPr>
        <w:t>Based on the recommendation of the 1978 CCIR Special Preparatory Meeting, WARC-79 accepted the princip</w:t>
      </w:r>
      <w:r>
        <w:rPr>
          <w:color w:val="000000"/>
        </w:rPr>
        <w:t>le</w:t>
      </w:r>
      <w:r w:rsidRPr="006E2EB7">
        <w:rPr>
          <w:color w:val="000000"/>
        </w:rPr>
        <w:t xml:space="preserve"> that, like other high-frequency radio services, the amateur service should have access to a family of frequency bands such that communications can be maintained as</w:t>
      </w:r>
      <w:r>
        <w:rPr>
          <w:color w:val="000000"/>
        </w:rPr>
        <w:t xml:space="preserve"> propagation conditions change.</w:t>
      </w:r>
    </w:p>
    <w:p w:rsidR="0025734C" w:rsidRDefault="0025734C">
      <w:pPr>
        <w:tabs>
          <w:tab w:val="clear" w:pos="1134"/>
          <w:tab w:val="clear" w:pos="1871"/>
          <w:tab w:val="clear" w:pos="2268"/>
        </w:tabs>
        <w:overflowPunct/>
        <w:autoSpaceDE/>
        <w:autoSpaceDN/>
        <w:adjustRightInd/>
        <w:spacing w:before="0"/>
        <w:textAlignment w:val="auto"/>
        <w:rPr>
          <w:color w:val="000000"/>
        </w:rPr>
      </w:pPr>
      <w:r>
        <w:rPr>
          <w:color w:val="000000"/>
        </w:rPr>
        <w:br w:type="page"/>
      </w:r>
    </w:p>
    <w:p w:rsidR="0025734C" w:rsidRDefault="0025734C" w:rsidP="006A0996">
      <w:r w:rsidRPr="006E2EB7">
        <w:rPr>
          <w:color w:val="000000"/>
        </w:rPr>
        <w:lastRenderedPageBreak/>
        <w:t>The amateur radio service has access to allocations in the vicinity of 3 500 and 7 000 kHz</w:t>
      </w:r>
      <w:r>
        <w:rPr>
          <w:color w:val="000000"/>
        </w:rPr>
        <w:t>; however, t</w:t>
      </w:r>
      <w:r>
        <w:t>here are frequent occasions when ionospheric conditions render either or both of these allocations unsatisfactory for communications over the [desired distances] [Editor’s note: quantification of “desired distances” to be considered].</w:t>
      </w:r>
    </w:p>
    <w:p w:rsidR="0025734C" w:rsidRPr="00C10845" w:rsidRDefault="0025734C" w:rsidP="006A0996">
      <w:pPr>
        <w:rPr>
          <w:color w:val="000000"/>
        </w:rPr>
      </w:pPr>
      <w:r w:rsidRPr="006E2EB7">
        <w:rPr>
          <w:color w:val="000000"/>
        </w:rPr>
        <w:t xml:space="preserve">Depending on the time of day, season and other propagation factors including the progress of the sunspot cycle, </w:t>
      </w:r>
      <w:r>
        <w:rPr>
          <w:color w:val="000000"/>
        </w:rPr>
        <w:t xml:space="preserve">propagation conditions are </w:t>
      </w:r>
      <w:r w:rsidRPr="006E2EB7">
        <w:rPr>
          <w:color w:val="000000"/>
        </w:rPr>
        <w:t xml:space="preserve">often such that access to spectrum around 5 </w:t>
      </w:r>
      <w:r>
        <w:rPr>
          <w:color w:val="000000"/>
        </w:rPr>
        <w:t>3</w:t>
      </w:r>
      <w:r w:rsidRPr="006E2EB7">
        <w:rPr>
          <w:color w:val="000000"/>
        </w:rPr>
        <w:t xml:space="preserve">00 kHz is essential for </w:t>
      </w:r>
      <w:r>
        <w:rPr>
          <w:color w:val="000000"/>
        </w:rPr>
        <w:t xml:space="preserve">operation of </w:t>
      </w:r>
      <w:r w:rsidRPr="006E2EB7">
        <w:rPr>
          <w:color w:val="000000"/>
        </w:rPr>
        <w:t>amateur stations.</w:t>
      </w:r>
      <w:r>
        <w:rPr>
          <w:color w:val="000000"/>
        </w:rPr>
        <w:t xml:space="preserve">  [A number of administrations [</w:t>
      </w:r>
      <w:r>
        <w:rPr>
          <w:i/>
          <w:color w:val="000000"/>
        </w:rPr>
        <w:t>Ed. Note: further quantify?</w:t>
      </w:r>
      <w:r>
        <w:rPr>
          <w:color w:val="000000"/>
        </w:rPr>
        <w:t xml:space="preserve">]] have authorized, </w:t>
      </w:r>
      <w:r w:rsidRPr="00691C30">
        <w:t xml:space="preserve">subject to the provisions of No. </w:t>
      </w:r>
      <w:r w:rsidRPr="00691C30">
        <w:rPr>
          <w:b/>
        </w:rPr>
        <w:t>4.4</w:t>
      </w:r>
      <w:r w:rsidRPr="00691C30">
        <w:t xml:space="preserve"> of the R</w:t>
      </w:r>
      <w:r>
        <w:t xml:space="preserve">adio </w:t>
      </w:r>
      <w:r w:rsidRPr="00691C30">
        <w:t>R</w:t>
      </w:r>
      <w:r>
        <w:t>egulations,</w:t>
      </w:r>
      <w:r>
        <w:rPr>
          <w:color w:val="000000"/>
        </w:rPr>
        <w:t xml:space="preserve"> </w:t>
      </w:r>
      <w:r w:rsidRPr="00691C30">
        <w:t xml:space="preserve">operation by amateur radio licensees </w:t>
      </w:r>
      <w:r>
        <w:t>with</w:t>
      </w:r>
      <w:r w:rsidRPr="00691C30">
        <w:t xml:space="preserve">in </w:t>
      </w:r>
      <w:r>
        <w:t>the 5 250 – 5 450</w:t>
      </w:r>
      <w:r w:rsidRPr="00691C30">
        <w:t xml:space="preserve"> </w:t>
      </w:r>
      <w:r>
        <w:t xml:space="preserve">kHz </w:t>
      </w:r>
      <w:r w:rsidRPr="00691C30">
        <w:t>frequency range.</w:t>
      </w:r>
    </w:p>
    <w:p w:rsidR="0025734C" w:rsidRPr="00B80384" w:rsidRDefault="0025734C" w:rsidP="006A0996">
      <w:pPr>
        <w:rPr>
          <w:color w:val="000000"/>
        </w:rPr>
      </w:pPr>
      <w:r>
        <w:rPr>
          <w:color w:val="000000"/>
        </w:rPr>
        <w:t>[</w:t>
      </w:r>
      <w:r>
        <w:rPr>
          <w:i/>
          <w:color w:val="000000"/>
        </w:rPr>
        <w:t>Ed. Note: Discussion of amateur service spectrum requirements to be inserted.</w:t>
      </w:r>
      <w:r>
        <w:rPr>
          <w:color w:val="000000"/>
        </w:rPr>
        <w:t>]</w:t>
      </w:r>
    </w:p>
    <w:p w:rsidR="0025734C" w:rsidRPr="006E2EB7" w:rsidRDefault="0025734C" w:rsidP="006A0996">
      <w:pPr>
        <w:rPr>
          <w:color w:val="000000"/>
          <w:lang w:eastAsia="ja-JP"/>
        </w:rPr>
      </w:pPr>
      <w:r w:rsidRPr="006E2EB7">
        <w:rPr>
          <w:color w:val="000000"/>
        </w:rPr>
        <w:t xml:space="preserve">Therefore, to be equipped to provide communications at any time, including in times of emergency and disaster-relief, radio amateurs require access to frequencies in the vicinity of 5 </w:t>
      </w:r>
      <w:r>
        <w:rPr>
          <w:color w:val="000000"/>
        </w:rPr>
        <w:t>3</w:t>
      </w:r>
      <w:r w:rsidRPr="006E2EB7">
        <w:rPr>
          <w:color w:val="000000"/>
        </w:rPr>
        <w:t>00 kHz.</w:t>
      </w:r>
      <w:r>
        <w:t xml:space="preserve"> Depending upon the results of studies as requested by Resolution </w:t>
      </w:r>
      <w:r w:rsidRPr="00691C30">
        <w:rPr>
          <w:b/>
        </w:rPr>
        <w:t>649 (WRC-12)</w:t>
      </w:r>
      <w:r>
        <w:t xml:space="preserve">, several possible methods by which this might be accomplished are set out in </w:t>
      </w:r>
      <w:hyperlink w:anchor="_1/1.4/6_Methods_to" w:history="1">
        <w:r w:rsidRPr="00C141F8">
          <w:rPr>
            <w:rStyle w:val="Hyperlink"/>
          </w:rPr>
          <w:t xml:space="preserve">Section </w:t>
        </w:r>
        <w:r>
          <w:rPr>
            <w:rStyle w:val="Hyperlink"/>
          </w:rPr>
          <w:t>1/1.4/5</w:t>
        </w:r>
        <w:r w:rsidRPr="00C141F8">
          <w:rPr>
            <w:rStyle w:val="Hyperlink"/>
          </w:rPr>
          <w:t>.</w:t>
        </w:r>
      </w:hyperlink>
    </w:p>
    <w:p w:rsidR="0025734C" w:rsidRPr="006E2EB7" w:rsidRDefault="0025734C" w:rsidP="006A0996">
      <w:pPr>
        <w:pStyle w:val="Heading2"/>
        <w:rPr>
          <w:rFonts w:eastAsia="Batang"/>
        </w:rPr>
      </w:pPr>
      <w:r w:rsidRPr="006E2EB7">
        <w:rPr>
          <w:rFonts w:eastAsia="Batang"/>
        </w:rPr>
        <w:t>1/1.4/</w:t>
      </w:r>
      <w:r>
        <w:rPr>
          <w:rFonts w:eastAsia="Batang"/>
        </w:rPr>
        <w:t>3</w:t>
      </w:r>
      <w:r w:rsidRPr="006E2EB7">
        <w:rPr>
          <w:rFonts w:eastAsia="Batang"/>
        </w:rPr>
        <w:tab/>
        <w:t>Summary of technical and operational studies, including a list of relevant ITU-R Recommendations and Reports</w:t>
      </w:r>
    </w:p>
    <w:p w:rsidR="0025734C" w:rsidRPr="006E2EB7" w:rsidRDefault="0025734C" w:rsidP="006A0996">
      <w:pPr>
        <w:rPr>
          <w:color w:val="000000"/>
        </w:rPr>
      </w:pPr>
      <w:r>
        <w:rPr>
          <w:i/>
          <w:iCs/>
          <w:color w:val="000000"/>
        </w:rPr>
        <w:t>[Editor’s Note:</w:t>
      </w:r>
      <w:r w:rsidRPr="006E2EB7">
        <w:rPr>
          <w:i/>
          <w:iCs/>
          <w:color w:val="000000"/>
        </w:rPr>
        <w:t xml:space="preserve"> Studies undertaken in support of this Agenda item should identify the nature of the radio transmissions amateurs would typically make should the requested allocation be realized.  Other studies should demonstrate the ability of the amateur service t</w:t>
      </w:r>
      <w:r>
        <w:rPr>
          <w:i/>
          <w:iCs/>
          <w:color w:val="000000"/>
        </w:rPr>
        <w:t>o co-exist in the capacity of a </w:t>
      </w:r>
      <w:r w:rsidRPr="006E2EB7">
        <w:rPr>
          <w:i/>
          <w:iCs/>
          <w:color w:val="000000"/>
        </w:rPr>
        <w:t>secondary user with other services in the frequency range sought in the agenda i</w:t>
      </w:r>
      <w:r>
        <w:rPr>
          <w:i/>
          <w:iCs/>
          <w:color w:val="000000"/>
        </w:rPr>
        <w:t>tem.  In </w:t>
      </w:r>
      <w:r w:rsidRPr="006E2EB7">
        <w:rPr>
          <w:i/>
          <w:iCs/>
          <w:color w:val="000000"/>
        </w:rPr>
        <w:t>particular, these studies should include an analysis of the occupancy by existing users of individual channels and frequency segments in the spectrum range referenced in the agenda i</w:t>
      </w:r>
      <w:r>
        <w:rPr>
          <w:i/>
          <w:iCs/>
          <w:color w:val="000000"/>
        </w:rPr>
        <w:t>tem as </w:t>
      </w:r>
      <w:r w:rsidRPr="006E2EB7">
        <w:rPr>
          <w:i/>
          <w:iCs/>
          <w:color w:val="000000"/>
        </w:rPr>
        <w:t>a function of location and time-of-day.]</w:t>
      </w:r>
    </w:p>
    <w:p w:rsidR="0025734C" w:rsidRPr="006E2EB7" w:rsidRDefault="0025734C" w:rsidP="006A0996">
      <w:pPr>
        <w:rPr>
          <w:color w:val="000000"/>
        </w:rPr>
      </w:pPr>
      <w:r w:rsidRPr="006E2EB7">
        <w:rPr>
          <w:color w:val="000000"/>
          <w:lang w:eastAsia="ja-JP"/>
        </w:rPr>
        <w:t>[</w:t>
      </w:r>
      <w:r w:rsidRPr="006E2EB7">
        <w:rPr>
          <w:color w:val="000000"/>
        </w:rPr>
        <w:t xml:space="preserve">Relevant ITU Recommendations would include …  </w:t>
      </w:r>
    </w:p>
    <w:p w:rsidR="0025734C" w:rsidRPr="00B80384" w:rsidRDefault="0025734C" w:rsidP="006A0996">
      <w:pPr>
        <w:pStyle w:val="enumlev1"/>
        <w:rPr>
          <w:color w:val="000000"/>
          <w:lang w:val="en-US"/>
        </w:rPr>
      </w:pPr>
      <w:r w:rsidRPr="007E0123">
        <w:rPr>
          <w:color w:val="000000"/>
          <w:lang w:val="en-US"/>
        </w:rPr>
        <w:t>–</w:t>
      </w:r>
      <w:r w:rsidRPr="007E0123">
        <w:rPr>
          <w:color w:val="000000"/>
          <w:lang w:val="en-US"/>
        </w:rPr>
        <w:tab/>
        <w:t xml:space="preserve">Recommendation </w:t>
      </w:r>
      <w:hyperlink r:id="rId8" w:history="1">
        <w:r w:rsidRPr="00771F86">
          <w:rPr>
            <w:rStyle w:val="Hyperlink"/>
            <w:lang w:val="en-US"/>
          </w:rPr>
          <w:t>ITU-R F.240-7</w:t>
        </w:r>
      </w:hyperlink>
      <w:r w:rsidRPr="007E0123">
        <w:rPr>
          <w:lang w:val="en-US"/>
        </w:rPr>
        <w:t xml:space="preserve"> </w:t>
      </w:r>
      <w:r>
        <w:t>Signal-to-interference protection ratios for various classes of emission in the fixed service below about 30 MHz</w:t>
      </w:r>
    </w:p>
    <w:p w:rsidR="0025734C" w:rsidRPr="00147920" w:rsidRDefault="0025734C" w:rsidP="006A0996">
      <w:pPr>
        <w:pStyle w:val="enumlev1"/>
        <w:rPr>
          <w:color w:val="000000"/>
          <w:lang w:val="en-US"/>
        </w:rPr>
      </w:pPr>
      <w:r w:rsidRPr="00147920">
        <w:rPr>
          <w:color w:val="000000"/>
          <w:lang w:val="en-US"/>
        </w:rPr>
        <w:t>–</w:t>
      </w:r>
      <w:r w:rsidRPr="00147920">
        <w:rPr>
          <w:color w:val="000000"/>
          <w:lang w:val="en-US"/>
        </w:rPr>
        <w:tab/>
        <w:t xml:space="preserve">Recommendation </w:t>
      </w:r>
      <w:hyperlink r:id="rId9" w:history="1">
        <w:r w:rsidRPr="00771F86">
          <w:rPr>
            <w:rStyle w:val="Hyperlink"/>
            <w:lang w:val="en-US"/>
          </w:rPr>
          <w:t>ITU-R F.339-7</w:t>
        </w:r>
      </w:hyperlink>
      <w:r w:rsidRPr="00147920">
        <w:rPr>
          <w:lang w:val="en-US"/>
        </w:rPr>
        <w:t xml:space="preserve"> Bandwidths, signal-to-noise ratios and fading a</w:t>
      </w:r>
      <w:r>
        <w:rPr>
          <w:lang w:val="en-US"/>
        </w:rPr>
        <w:t>llowances in complete systems</w:t>
      </w:r>
    </w:p>
    <w:p w:rsidR="0025734C" w:rsidRPr="0004756F" w:rsidRDefault="0025734C" w:rsidP="006A0996">
      <w:pPr>
        <w:pStyle w:val="enumlev1"/>
        <w:rPr>
          <w:color w:val="000000"/>
          <w:lang w:val="fr-CH"/>
        </w:rPr>
      </w:pPr>
      <w:r w:rsidRPr="0004756F">
        <w:rPr>
          <w:color w:val="000000"/>
          <w:lang w:val="fr-CH"/>
        </w:rPr>
        <w:t>–</w:t>
      </w:r>
      <w:r w:rsidRPr="0004756F">
        <w:rPr>
          <w:color w:val="000000"/>
          <w:lang w:val="fr-CH"/>
        </w:rPr>
        <w:tab/>
        <w:t xml:space="preserve">Recommendation </w:t>
      </w:r>
      <w:hyperlink r:id="rId10" w:history="1">
        <w:r w:rsidRPr="00771F86">
          <w:rPr>
            <w:rStyle w:val="Hyperlink"/>
            <w:lang w:val="fr-CH"/>
          </w:rPr>
          <w:t>ITU-R M.1677-1</w:t>
        </w:r>
      </w:hyperlink>
      <w:r>
        <w:rPr>
          <w:lang w:val="fr-CA"/>
        </w:rPr>
        <w:t xml:space="preserve"> </w:t>
      </w:r>
      <w:r w:rsidRPr="00147920">
        <w:rPr>
          <w:lang w:val="fr-CA"/>
        </w:rPr>
        <w:t>International Morse code</w:t>
      </w:r>
    </w:p>
    <w:p w:rsidR="0025734C" w:rsidRPr="00147920" w:rsidRDefault="0025734C" w:rsidP="006A0996">
      <w:pPr>
        <w:pStyle w:val="enumlev1"/>
        <w:rPr>
          <w:color w:val="000000"/>
          <w:lang w:val="en-US"/>
        </w:rPr>
      </w:pPr>
      <w:r w:rsidRPr="00147920">
        <w:rPr>
          <w:color w:val="000000"/>
          <w:lang w:val="en-US"/>
        </w:rPr>
        <w:t>–</w:t>
      </w:r>
      <w:r w:rsidRPr="00147920">
        <w:rPr>
          <w:color w:val="000000"/>
          <w:lang w:val="en-US"/>
        </w:rPr>
        <w:tab/>
        <w:t xml:space="preserve">Recommendation </w:t>
      </w:r>
      <w:hyperlink r:id="rId11" w:history="1">
        <w:r w:rsidRPr="00771F86">
          <w:rPr>
            <w:rStyle w:val="Hyperlink"/>
            <w:lang w:val="en-US"/>
          </w:rPr>
          <w:t>ITU-R M.1732-1</w:t>
        </w:r>
      </w:hyperlink>
      <w:r w:rsidRPr="00147920">
        <w:rPr>
          <w:lang w:val="en-US"/>
        </w:rPr>
        <w:t xml:space="preserve"> Characteristics of systems operating in the amateur and amateur-satellite services for use in sharing studies</w:t>
      </w:r>
    </w:p>
    <w:p w:rsidR="0025734C" w:rsidRPr="00147920" w:rsidRDefault="0025734C" w:rsidP="006A0996">
      <w:pPr>
        <w:pStyle w:val="enumlev1"/>
        <w:rPr>
          <w:color w:val="000000"/>
          <w:lang w:val="en-US"/>
        </w:rPr>
      </w:pPr>
      <w:r w:rsidRPr="00147920">
        <w:rPr>
          <w:color w:val="000000"/>
          <w:lang w:val="en-US"/>
        </w:rPr>
        <w:t>–</w:t>
      </w:r>
      <w:r w:rsidRPr="00147920">
        <w:rPr>
          <w:color w:val="000000"/>
          <w:lang w:val="en-US"/>
        </w:rPr>
        <w:tab/>
        <w:t xml:space="preserve">Recommendation </w:t>
      </w:r>
      <w:hyperlink r:id="rId12" w:history="1">
        <w:r w:rsidRPr="00771F86">
          <w:rPr>
            <w:rStyle w:val="Hyperlink"/>
            <w:lang w:val="en-US"/>
          </w:rPr>
          <w:t>ITU-R F.1761</w:t>
        </w:r>
      </w:hyperlink>
      <w:r w:rsidRPr="00147920">
        <w:rPr>
          <w:lang w:val="en-US"/>
        </w:rPr>
        <w:t xml:space="preserve"> Characteristics of HF fix</w:t>
      </w:r>
      <w:r>
        <w:rPr>
          <w:lang w:val="en-US"/>
        </w:rPr>
        <w:t>ed radiocommunication systems</w:t>
      </w:r>
    </w:p>
    <w:p w:rsidR="0025734C" w:rsidRPr="00147920" w:rsidRDefault="0025734C" w:rsidP="006A0996">
      <w:pPr>
        <w:pStyle w:val="enumlev1"/>
        <w:rPr>
          <w:color w:val="000000"/>
          <w:lang w:val="en-US"/>
        </w:rPr>
      </w:pPr>
      <w:r w:rsidRPr="00147920">
        <w:rPr>
          <w:color w:val="000000"/>
          <w:lang w:val="en-US"/>
        </w:rPr>
        <w:t>–</w:t>
      </w:r>
      <w:r w:rsidRPr="00147920">
        <w:rPr>
          <w:color w:val="000000"/>
          <w:lang w:val="en-US"/>
        </w:rPr>
        <w:tab/>
        <w:t xml:space="preserve">Recommendation </w:t>
      </w:r>
      <w:hyperlink r:id="rId13" w:history="1">
        <w:r w:rsidRPr="00771F86">
          <w:rPr>
            <w:rStyle w:val="Hyperlink"/>
            <w:lang w:val="en-US"/>
          </w:rPr>
          <w:t>ITU-R F.1762</w:t>
        </w:r>
      </w:hyperlink>
      <w:r w:rsidRPr="00147920">
        <w:rPr>
          <w:lang w:val="en-US"/>
        </w:rPr>
        <w:t xml:space="preserve"> </w:t>
      </w:r>
      <w:r>
        <w:t>Characteristics of enhanced applications for high frequency (HF) radiocommunication systems</w:t>
      </w:r>
    </w:p>
    <w:p w:rsidR="0025734C" w:rsidRPr="00147920" w:rsidRDefault="0025734C" w:rsidP="006A0996">
      <w:pPr>
        <w:pStyle w:val="enumlev1"/>
        <w:rPr>
          <w:color w:val="000000"/>
          <w:lang w:val="en-US"/>
        </w:rPr>
      </w:pPr>
      <w:r w:rsidRPr="00147920">
        <w:rPr>
          <w:color w:val="000000"/>
          <w:lang w:val="en-US"/>
        </w:rPr>
        <w:t>–</w:t>
      </w:r>
      <w:r w:rsidRPr="00147920">
        <w:rPr>
          <w:color w:val="000000"/>
          <w:lang w:val="en-US"/>
        </w:rPr>
        <w:tab/>
        <w:t xml:space="preserve">Recommendation </w:t>
      </w:r>
      <w:hyperlink r:id="rId14" w:history="1">
        <w:r w:rsidRPr="00771F86">
          <w:rPr>
            <w:rStyle w:val="Hyperlink"/>
            <w:lang w:val="en-US"/>
          </w:rPr>
          <w:t>ITU-R F.1821</w:t>
        </w:r>
      </w:hyperlink>
      <w:r w:rsidRPr="00147920">
        <w:rPr>
          <w:lang w:val="en-US"/>
        </w:rPr>
        <w:t xml:space="preserve"> </w:t>
      </w:r>
      <w:r>
        <w:t>Characteristics of advanced digital high frequency (HF) radiocommunication systems</w:t>
      </w:r>
    </w:p>
    <w:p w:rsidR="0025734C" w:rsidRPr="00147920" w:rsidRDefault="0025734C" w:rsidP="006A0996">
      <w:pPr>
        <w:pStyle w:val="enumlev1"/>
        <w:rPr>
          <w:rStyle w:val="Hyperlink"/>
          <w:color w:val="000000"/>
          <w:lang w:val="en-US"/>
        </w:rPr>
      </w:pPr>
      <w:r w:rsidRPr="00147920">
        <w:rPr>
          <w:color w:val="000000"/>
          <w:lang w:val="en-US"/>
        </w:rPr>
        <w:t>–</w:t>
      </w:r>
      <w:r w:rsidRPr="00147920">
        <w:rPr>
          <w:color w:val="000000"/>
          <w:lang w:val="en-US"/>
        </w:rPr>
        <w:tab/>
      </w:r>
      <w:r w:rsidRPr="002B35A6">
        <w:rPr>
          <w:color w:val="000000"/>
          <w:lang w:val="en-US"/>
        </w:rPr>
        <w:fldChar w:fldCharType="begin"/>
      </w:r>
      <w:r w:rsidRPr="002B35A6">
        <w:rPr>
          <w:color w:val="000000"/>
          <w:lang w:val="en-US"/>
        </w:rPr>
        <w:instrText xml:space="preserve"> HYPERLINK "http://www.itu.int/rec/R-REC-SM.1541/en" </w:instrText>
      </w:r>
      <w:r w:rsidRPr="002B35A6">
        <w:rPr>
          <w:color w:val="000000"/>
          <w:lang w:val="en-US"/>
        </w:rPr>
        <w:fldChar w:fldCharType="separate"/>
      </w:r>
      <w:r w:rsidRPr="002B35A6">
        <w:rPr>
          <w:rStyle w:val="Hyperlink"/>
          <w:color w:val="000000"/>
          <w:u w:val="none"/>
          <w:lang w:val="en-US"/>
        </w:rPr>
        <w:t>Recommendation</w:t>
      </w:r>
      <w:r w:rsidRPr="00771F86">
        <w:rPr>
          <w:rStyle w:val="Hyperlink"/>
          <w:color w:val="000000"/>
          <w:u w:val="none"/>
          <w:lang w:val="en-US"/>
        </w:rPr>
        <w:t xml:space="preserve"> </w:t>
      </w:r>
      <w:r w:rsidRPr="00771F86">
        <w:rPr>
          <w:rStyle w:val="Hyperlink"/>
          <w:lang w:val="en-US"/>
        </w:rPr>
        <w:t>ITU-R.SM.1541-4</w:t>
      </w:r>
      <w:r w:rsidRPr="00771F86">
        <w:rPr>
          <w:rStyle w:val="Hyperlink"/>
          <w:color w:val="000000"/>
          <w:u w:val="none"/>
          <w:lang w:val="en-US"/>
        </w:rPr>
        <w:t xml:space="preserve"> </w:t>
      </w:r>
      <w:proofErr w:type="gramStart"/>
      <w:r>
        <w:t>Unwanted</w:t>
      </w:r>
      <w:proofErr w:type="gramEnd"/>
      <w:r>
        <w:t xml:space="preserve"> emissions in the out-of-band domain</w:t>
      </w:r>
    </w:p>
    <w:p w:rsidR="0025734C" w:rsidRPr="006E2EB7" w:rsidRDefault="0025734C" w:rsidP="006A0996">
      <w:pPr>
        <w:pStyle w:val="enumlev1"/>
        <w:rPr>
          <w:color w:val="000000"/>
        </w:rPr>
      </w:pPr>
      <w:r w:rsidRPr="002B35A6">
        <w:rPr>
          <w:color w:val="000000"/>
          <w:lang w:val="en-US"/>
        </w:rPr>
        <w:fldChar w:fldCharType="end"/>
      </w:r>
      <w:r>
        <w:rPr>
          <w:color w:val="000000"/>
          <w:lang w:val="en-US"/>
        </w:rPr>
        <w:t>–</w:t>
      </w:r>
      <w:r>
        <w:rPr>
          <w:color w:val="000000"/>
          <w:lang w:val="en-US"/>
        </w:rPr>
        <w:tab/>
      </w:r>
      <w:r w:rsidRPr="006E2EB7">
        <w:rPr>
          <w:color w:val="000000"/>
          <w:lang w:val="en-US"/>
        </w:rPr>
        <w:t>Report ITU-R M.[HF-SO]</w:t>
      </w:r>
    </w:p>
    <w:p w:rsidR="0025734C" w:rsidRDefault="0025734C" w:rsidP="006A0996">
      <w:pPr>
        <w:pStyle w:val="enumlev1"/>
        <w:rPr>
          <w:color w:val="000000"/>
          <w:lang w:val="pt-BR"/>
        </w:rPr>
      </w:pPr>
      <w:r w:rsidRPr="004D34D4">
        <w:rPr>
          <w:color w:val="000000"/>
          <w:lang w:val="pt-BR"/>
        </w:rPr>
        <w:t>–</w:t>
      </w:r>
      <w:r w:rsidRPr="004D34D4">
        <w:rPr>
          <w:color w:val="000000"/>
          <w:lang w:val="pt-BR"/>
        </w:rPr>
        <w:tab/>
        <w:t>Report</w:t>
      </w:r>
      <w:r w:rsidRPr="004D34D4">
        <w:rPr>
          <w:caps/>
          <w:color w:val="000000"/>
          <w:lang w:val="pt-BR" w:eastAsia="zh-CN"/>
        </w:rPr>
        <w:t xml:space="preserve"> ITU-R </w:t>
      </w:r>
      <w:r w:rsidRPr="006E2EB7">
        <w:rPr>
          <w:caps/>
          <w:color w:val="000000"/>
          <w:lang w:val="ru-RU" w:eastAsia="zh-CN"/>
        </w:rPr>
        <w:t>М</w:t>
      </w:r>
      <w:r w:rsidRPr="004D34D4">
        <w:rPr>
          <w:caps/>
          <w:color w:val="000000"/>
          <w:lang w:val="pt-BR" w:eastAsia="zh-CN"/>
        </w:rPr>
        <w:t>.[</w:t>
      </w:r>
      <w:r>
        <w:rPr>
          <w:caps/>
          <w:color w:val="000000"/>
          <w:lang w:val="pt-BR" w:eastAsia="zh-CN"/>
        </w:rPr>
        <w:t>5 MHZ CHAR</w:t>
      </w:r>
      <w:r w:rsidRPr="004D34D4">
        <w:rPr>
          <w:caps/>
          <w:color w:val="000000"/>
          <w:lang w:val="pt-BR" w:eastAsia="zh-CN"/>
        </w:rPr>
        <w:t>]</w:t>
      </w:r>
      <w:r w:rsidRPr="004D34D4">
        <w:rPr>
          <w:color w:val="000000"/>
          <w:lang w:val="pt-BR"/>
        </w:rPr>
        <w:t xml:space="preserve"> </w:t>
      </w:r>
    </w:p>
    <w:p w:rsidR="0025734C" w:rsidRPr="004D34D4" w:rsidRDefault="0025734C" w:rsidP="006A0996">
      <w:pPr>
        <w:pStyle w:val="enumlev1"/>
        <w:rPr>
          <w:color w:val="000000"/>
          <w:lang w:val="pt-BR"/>
        </w:rPr>
      </w:pPr>
      <w:r w:rsidRPr="004D34D4">
        <w:rPr>
          <w:color w:val="000000"/>
          <w:lang w:val="pt-BR"/>
        </w:rPr>
        <w:t>–</w:t>
      </w:r>
      <w:r w:rsidRPr="004D34D4">
        <w:rPr>
          <w:color w:val="000000"/>
          <w:lang w:val="pt-BR"/>
        </w:rPr>
        <w:tab/>
        <w:t>Report</w:t>
      </w:r>
      <w:r w:rsidRPr="004D34D4">
        <w:rPr>
          <w:caps/>
          <w:color w:val="000000"/>
          <w:lang w:val="pt-BR" w:eastAsia="zh-CN"/>
        </w:rPr>
        <w:t xml:space="preserve"> ITU-R </w:t>
      </w:r>
      <w:r w:rsidRPr="006E2EB7">
        <w:rPr>
          <w:caps/>
          <w:color w:val="000000"/>
          <w:lang w:val="ru-RU" w:eastAsia="zh-CN"/>
        </w:rPr>
        <w:t>М</w:t>
      </w:r>
      <w:r w:rsidRPr="004D34D4">
        <w:rPr>
          <w:caps/>
          <w:color w:val="000000"/>
          <w:lang w:val="pt-BR" w:eastAsia="zh-CN"/>
        </w:rPr>
        <w:t>.[</w:t>
      </w:r>
      <w:r>
        <w:rPr>
          <w:caps/>
          <w:color w:val="000000"/>
          <w:lang w:val="pt-BR" w:eastAsia="zh-CN"/>
        </w:rPr>
        <w:t>5 MHZ compat</w:t>
      </w:r>
      <w:r w:rsidRPr="004D34D4">
        <w:rPr>
          <w:caps/>
          <w:color w:val="000000"/>
          <w:lang w:val="pt-BR" w:eastAsia="zh-CN"/>
        </w:rPr>
        <w:t>]</w:t>
      </w:r>
      <w:r w:rsidRPr="004D34D4">
        <w:rPr>
          <w:color w:val="000000"/>
          <w:lang w:val="pt-BR"/>
        </w:rPr>
        <w:t xml:space="preserve"> </w:t>
      </w:r>
      <w:r w:rsidRPr="004D34D4">
        <w:rPr>
          <w:color w:val="000000"/>
          <w:lang w:val="pt-BR" w:eastAsia="ja-JP"/>
        </w:rPr>
        <w:t>]</w:t>
      </w:r>
    </w:p>
    <w:p w:rsidR="0025734C" w:rsidRPr="006E2EB7" w:rsidRDefault="0025734C" w:rsidP="006A0996">
      <w:pPr>
        <w:pStyle w:val="Heading2"/>
        <w:rPr>
          <w:rFonts w:eastAsia="Batang"/>
        </w:rPr>
      </w:pPr>
      <w:r w:rsidRPr="006E2EB7">
        <w:rPr>
          <w:rFonts w:eastAsia="Batang"/>
        </w:rPr>
        <w:t>1/1.4/</w:t>
      </w:r>
      <w:r>
        <w:rPr>
          <w:rFonts w:eastAsia="Batang"/>
        </w:rPr>
        <w:t>4</w:t>
      </w:r>
      <w:r w:rsidRPr="006E2EB7">
        <w:rPr>
          <w:rFonts w:eastAsia="Batang"/>
        </w:rPr>
        <w:tab/>
        <w:t>Analysis of the results of studies</w:t>
      </w:r>
    </w:p>
    <w:p w:rsidR="0025734C" w:rsidRPr="006E2EB7" w:rsidRDefault="0025734C" w:rsidP="006A0996">
      <w:pPr>
        <w:rPr>
          <w:b/>
          <w:bCs/>
          <w:color w:val="000000"/>
        </w:rPr>
      </w:pPr>
      <w:bookmarkStart w:id="11" w:name="_1/1.4/5_Method(s)_to"/>
      <w:bookmarkEnd w:id="11"/>
      <w:r w:rsidRPr="006E2EB7">
        <w:rPr>
          <w:color w:val="000000"/>
        </w:rPr>
        <w:t>[TBD]</w:t>
      </w:r>
    </w:p>
    <w:p w:rsidR="0025734C" w:rsidRPr="006E2EB7" w:rsidRDefault="0025734C" w:rsidP="006A0996">
      <w:pPr>
        <w:pStyle w:val="Heading2"/>
        <w:rPr>
          <w:lang w:eastAsia="ja-JP"/>
        </w:rPr>
      </w:pPr>
      <w:bookmarkStart w:id="12" w:name="_1/1.4/6_Methods_to"/>
      <w:bookmarkEnd w:id="12"/>
      <w:r w:rsidRPr="006E2EB7">
        <w:rPr>
          <w:rFonts w:eastAsia="Batang"/>
        </w:rPr>
        <w:lastRenderedPageBreak/>
        <w:t>1/1.4/</w:t>
      </w:r>
      <w:r>
        <w:rPr>
          <w:rFonts w:eastAsia="Batang"/>
        </w:rPr>
        <w:t>5</w:t>
      </w:r>
      <w:r w:rsidRPr="006E2EB7">
        <w:rPr>
          <w:rFonts w:eastAsia="Batang"/>
        </w:rPr>
        <w:tab/>
        <w:t>Methods to satisfy the agenda item</w:t>
      </w:r>
    </w:p>
    <w:p w:rsidR="0025734C" w:rsidRPr="006E2EB7" w:rsidRDefault="0025734C" w:rsidP="006A0996">
      <w:pPr>
        <w:rPr>
          <w:color w:val="000000"/>
          <w:lang w:eastAsia="ja-JP"/>
        </w:rPr>
      </w:pPr>
      <w:r w:rsidRPr="006E2EB7">
        <w:rPr>
          <w:color w:val="000000"/>
          <w:lang w:eastAsia="ja-JP"/>
        </w:rPr>
        <w:t>[TBD]</w:t>
      </w:r>
    </w:p>
    <w:p w:rsidR="0025734C" w:rsidRPr="006E2EB7" w:rsidRDefault="0025734C" w:rsidP="006A0996">
      <w:pPr>
        <w:rPr>
          <w:b/>
          <w:bCs/>
          <w:i/>
          <w:iCs/>
          <w:color w:val="000000"/>
        </w:rPr>
      </w:pPr>
      <w:r>
        <w:rPr>
          <w:i/>
          <w:iCs/>
          <w:color w:val="000000"/>
        </w:rPr>
        <w:t xml:space="preserve">[Editor’s Note: </w:t>
      </w:r>
      <w:r w:rsidRPr="006E2EB7">
        <w:rPr>
          <w:i/>
          <w:iCs/>
          <w:color w:val="000000"/>
        </w:rPr>
        <w:t>Methods to satisfy the agenda item should be developed and refined pursuant to studies identifying the required protection criteria of the existing users vis-à-vis the proposed secondary allocation.  These methods may include a single conti</w:t>
      </w:r>
      <w:r>
        <w:rPr>
          <w:i/>
          <w:iCs/>
          <w:color w:val="000000"/>
        </w:rPr>
        <w:t>guous secondary allocation or a </w:t>
      </w:r>
      <w:r w:rsidRPr="006E2EB7">
        <w:rPr>
          <w:i/>
          <w:iCs/>
          <w:color w:val="000000"/>
        </w:rPr>
        <w:t>few smaller allocations within the frequency range of 5 250 to 5 450 kHz.]</w:t>
      </w:r>
    </w:p>
    <w:p w:rsidR="0025734C" w:rsidRPr="006E2EB7" w:rsidRDefault="0025734C" w:rsidP="006A0996">
      <w:pPr>
        <w:pStyle w:val="Heading2"/>
      </w:pPr>
      <w:r w:rsidRPr="006E2EB7">
        <w:rPr>
          <w:rFonts w:eastAsia="Batang"/>
        </w:rPr>
        <w:t>1/1.4/</w:t>
      </w:r>
      <w:r>
        <w:rPr>
          <w:rFonts w:eastAsia="Batang"/>
        </w:rPr>
        <w:t>6</w:t>
      </w:r>
      <w:r w:rsidRPr="006E2EB7">
        <w:rPr>
          <w:rFonts w:eastAsia="Batang"/>
        </w:rPr>
        <w:tab/>
        <w:t>Regulatory and procedural considerations</w:t>
      </w:r>
    </w:p>
    <w:p w:rsidR="0025734C" w:rsidRPr="006E2EB7" w:rsidRDefault="0025734C" w:rsidP="006A0996">
      <w:pPr>
        <w:rPr>
          <w:color w:val="000000"/>
        </w:rPr>
      </w:pPr>
      <w:r w:rsidRPr="006E2EB7">
        <w:rPr>
          <w:i/>
          <w:iCs/>
          <w:color w:val="000000"/>
        </w:rPr>
        <w:t>[Edi</w:t>
      </w:r>
      <w:r>
        <w:rPr>
          <w:i/>
          <w:iCs/>
          <w:color w:val="000000"/>
        </w:rPr>
        <w:t>tor’s Note: For reference, the</w:t>
      </w:r>
      <w:r w:rsidRPr="006E2EB7">
        <w:rPr>
          <w:i/>
          <w:iCs/>
          <w:color w:val="000000"/>
          <w:lang w:eastAsia="ja-JP"/>
        </w:rPr>
        <w:t xml:space="preserve"> </w:t>
      </w:r>
      <w:r>
        <w:rPr>
          <w:i/>
          <w:iCs/>
          <w:color w:val="000000"/>
          <w:lang w:eastAsia="ja-JP"/>
        </w:rPr>
        <w:t xml:space="preserve">applicable portion of the </w:t>
      </w:r>
      <w:r w:rsidRPr="006E2EB7">
        <w:rPr>
          <w:i/>
          <w:iCs/>
          <w:color w:val="000000"/>
        </w:rPr>
        <w:t>Table of Frequency Allocations</w:t>
      </w:r>
      <w:r>
        <w:rPr>
          <w:i/>
          <w:iCs/>
          <w:color w:val="000000"/>
        </w:rPr>
        <w:t>, including the modifications made at WRC-12,</w:t>
      </w:r>
      <w:r w:rsidRPr="006E2EB7">
        <w:rPr>
          <w:i/>
          <w:iCs/>
          <w:color w:val="000000"/>
        </w:rPr>
        <w:t xml:space="preserve"> is provided</w:t>
      </w:r>
      <w:r>
        <w:rPr>
          <w:i/>
          <w:iCs/>
          <w:color w:val="000000"/>
        </w:rPr>
        <w:t xml:space="preserve"> below.</w:t>
      </w:r>
      <w:r w:rsidRPr="006E2EB7">
        <w:rPr>
          <w:i/>
          <w:iCs/>
          <w:color w:val="000000"/>
        </w:rPr>
        <w:t xml:space="preserve">  </w:t>
      </w:r>
    </w:p>
    <w:p w:rsidR="0025734C" w:rsidRDefault="0025734C" w:rsidP="006A0996">
      <w:pPr>
        <w:spacing w:line="360" w:lineRule="auto"/>
        <w:jc w:val="center"/>
        <w:rPr>
          <w:rStyle w:val="Artdef"/>
          <w:color w:val="000000"/>
          <w:sz w:val="20"/>
          <w:lang w:val="en-AU"/>
        </w:rPr>
      </w:pPr>
      <w:r w:rsidRPr="00691C30">
        <w:rPr>
          <w:rStyle w:val="Artdef"/>
          <w:color w:val="000000"/>
          <w:sz w:val="20"/>
          <w:lang w:val="en-AU"/>
        </w:rPr>
        <w:t xml:space="preserve">5 </w:t>
      </w:r>
      <w:r>
        <w:rPr>
          <w:rStyle w:val="Artdef"/>
          <w:color w:val="000000"/>
          <w:sz w:val="20"/>
          <w:lang w:val="en-AU"/>
        </w:rPr>
        <w:t>060-5 680 kHz</w:t>
      </w:r>
    </w:p>
    <w:tbl>
      <w:tblPr>
        <w:tblW w:w="9300" w:type="dxa"/>
        <w:jc w:val="center"/>
        <w:tblLayout w:type="fixed"/>
        <w:tblCellMar>
          <w:left w:w="107" w:type="dxa"/>
          <w:right w:w="107" w:type="dxa"/>
        </w:tblCellMar>
        <w:tblLook w:val="00A0" w:firstRow="1" w:lastRow="0" w:firstColumn="1" w:lastColumn="0" w:noHBand="0" w:noVBand="0"/>
      </w:tblPr>
      <w:tblGrid>
        <w:gridCol w:w="3100"/>
        <w:gridCol w:w="3100"/>
        <w:gridCol w:w="3100"/>
      </w:tblGrid>
      <w:tr w:rsidR="0025734C" w:rsidTr="001D081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25734C" w:rsidRDefault="0025734C" w:rsidP="001D0814">
            <w:pPr>
              <w:pStyle w:val="Tablehead"/>
              <w:spacing w:line="200" w:lineRule="exact"/>
              <w:rPr>
                <w:color w:val="000000"/>
                <w:lang w:val="en-AU"/>
              </w:rPr>
            </w:pPr>
            <w:r>
              <w:rPr>
                <w:color w:val="000000"/>
                <w:lang w:val="en-AU"/>
              </w:rPr>
              <w:t>Allocation to services</w:t>
            </w:r>
          </w:p>
        </w:tc>
      </w:tr>
      <w:tr w:rsidR="0025734C" w:rsidTr="001D0814">
        <w:trPr>
          <w:cantSplit/>
          <w:jc w:val="center"/>
        </w:trPr>
        <w:tc>
          <w:tcPr>
            <w:tcW w:w="3100" w:type="dxa"/>
            <w:tcBorders>
              <w:top w:val="single" w:sz="2" w:space="0" w:color="auto"/>
              <w:left w:val="single" w:sz="2" w:space="0" w:color="auto"/>
              <w:bottom w:val="single" w:sz="2" w:space="0" w:color="auto"/>
              <w:right w:val="single" w:sz="6" w:space="0" w:color="auto"/>
            </w:tcBorders>
          </w:tcPr>
          <w:p w:rsidR="0025734C" w:rsidRDefault="0025734C" w:rsidP="001D0814">
            <w:pPr>
              <w:pStyle w:val="Tablehead"/>
              <w:spacing w:line="200" w:lineRule="exact"/>
              <w:rPr>
                <w:color w:val="000000"/>
                <w:lang w:val="en-AU"/>
              </w:rPr>
            </w:pPr>
            <w:r>
              <w:rPr>
                <w:color w:val="000000"/>
                <w:lang w:val="en-AU"/>
              </w:rPr>
              <w:t>Region 1</w:t>
            </w:r>
          </w:p>
        </w:tc>
        <w:tc>
          <w:tcPr>
            <w:tcW w:w="3100" w:type="dxa"/>
            <w:tcBorders>
              <w:top w:val="single" w:sz="2" w:space="0" w:color="auto"/>
              <w:left w:val="single" w:sz="6" w:space="0" w:color="auto"/>
              <w:bottom w:val="single" w:sz="2" w:space="0" w:color="auto"/>
              <w:right w:val="single" w:sz="6" w:space="0" w:color="auto"/>
            </w:tcBorders>
          </w:tcPr>
          <w:p w:rsidR="0025734C" w:rsidRDefault="0025734C" w:rsidP="001D0814">
            <w:pPr>
              <w:pStyle w:val="Tablehead"/>
              <w:spacing w:line="200" w:lineRule="exact"/>
              <w:rPr>
                <w:color w:val="000000"/>
                <w:lang w:val="en-AU"/>
              </w:rPr>
            </w:pPr>
            <w:r>
              <w:rPr>
                <w:color w:val="000000"/>
                <w:lang w:val="en-AU"/>
              </w:rPr>
              <w:t>Region 2</w:t>
            </w:r>
          </w:p>
        </w:tc>
        <w:tc>
          <w:tcPr>
            <w:tcW w:w="3100" w:type="dxa"/>
            <w:tcBorders>
              <w:top w:val="single" w:sz="2" w:space="0" w:color="auto"/>
              <w:left w:val="single" w:sz="6" w:space="0" w:color="auto"/>
              <w:bottom w:val="single" w:sz="2" w:space="0" w:color="auto"/>
              <w:right w:val="single" w:sz="2" w:space="0" w:color="auto"/>
            </w:tcBorders>
          </w:tcPr>
          <w:p w:rsidR="0025734C" w:rsidRDefault="0025734C" w:rsidP="001D0814">
            <w:pPr>
              <w:pStyle w:val="Tablehead"/>
              <w:spacing w:line="200" w:lineRule="exact"/>
              <w:rPr>
                <w:color w:val="000000"/>
                <w:lang w:val="en-AU"/>
              </w:rPr>
            </w:pPr>
            <w:r>
              <w:rPr>
                <w:color w:val="000000"/>
                <w:lang w:val="en-AU"/>
              </w:rPr>
              <w:t>Region 3</w:t>
            </w:r>
          </w:p>
        </w:tc>
      </w:tr>
      <w:tr w:rsidR="0025734C" w:rsidTr="001D081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25734C" w:rsidRDefault="0025734C" w:rsidP="001D0814">
            <w:pPr>
              <w:pStyle w:val="TableTextS5"/>
              <w:spacing w:line="200" w:lineRule="exact"/>
              <w:rPr>
                <w:b/>
                <w:color w:val="000000"/>
                <w:lang w:val="en-AU"/>
              </w:rPr>
            </w:pPr>
            <w:r>
              <w:rPr>
                <w:rStyle w:val="Tablefreq"/>
                <w:color w:val="000000"/>
                <w:lang w:val="en-AU"/>
              </w:rPr>
              <w:t>. . .</w:t>
            </w:r>
          </w:p>
        </w:tc>
      </w:tr>
      <w:tr w:rsidR="0025734C" w:rsidRPr="00CA047C" w:rsidTr="001D081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25734C" w:rsidRPr="000E3ED4" w:rsidRDefault="0025734C" w:rsidP="001D0814">
            <w:pPr>
              <w:pStyle w:val="TableTextS5"/>
              <w:spacing w:line="200" w:lineRule="exact"/>
              <w:rPr>
                <w:color w:val="000000"/>
                <w:lang w:val="fr-CH"/>
              </w:rPr>
            </w:pPr>
            <w:r w:rsidRPr="000E3ED4">
              <w:rPr>
                <w:rStyle w:val="Tablefreq"/>
                <w:color w:val="000000"/>
                <w:lang w:val="fr-CH"/>
              </w:rPr>
              <w:t>5</w:t>
            </w:r>
            <w:r w:rsidRPr="000E3ED4">
              <w:rPr>
                <w:rStyle w:val="Tablefreq"/>
                <w:rFonts w:ascii="Tms Rmn" w:hAnsi="Tms Rmn"/>
                <w:color w:val="000000"/>
                <w:sz w:val="12"/>
                <w:lang w:val="fr-CH"/>
              </w:rPr>
              <w:t> </w:t>
            </w:r>
            <w:r w:rsidRPr="000E3ED4">
              <w:rPr>
                <w:rStyle w:val="Tablefreq"/>
                <w:color w:val="000000"/>
                <w:lang w:val="fr-CH"/>
              </w:rPr>
              <w:t>060-5</w:t>
            </w:r>
            <w:r w:rsidRPr="000E3ED4">
              <w:rPr>
                <w:rStyle w:val="Tablefreq"/>
                <w:rFonts w:ascii="Tms Rmn" w:hAnsi="Tms Rmn"/>
                <w:color w:val="000000"/>
                <w:sz w:val="12"/>
                <w:lang w:val="fr-CH"/>
              </w:rPr>
              <w:t> </w:t>
            </w:r>
            <w:r w:rsidRPr="000E3ED4">
              <w:rPr>
                <w:rStyle w:val="Tablefreq"/>
                <w:color w:val="000000"/>
                <w:lang w:val="fr-CH"/>
              </w:rPr>
              <w:t>250</w:t>
            </w:r>
            <w:r w:rsidRPr="000E3ED4">
              <w:rPr>
                <w:color w:val="000000"/>
                <w:lang w:val="fr-CH"/>
              </w:rPr>
              <w:tab/>
              <w:t>FIXED</w:t>
            </w:r>
          </w:p>
          <w:p w:rsidR="0025734C" w:rsidRPr="000E3ED4" w:rsidRDefault="0025734C" w:rsidP="001D0814">
            <w:pPr>
              <w:pStyle w:val="TableTextS5"/>
              <w:spacing w:line="200" w:lineRule="exact"/>
              <w:rPr>
                <w:color w:val="000000"/>
                <w:lang w:val="fr-CH"/>
              </w:rPr>
            </w:pPr>
            <w:r w:rsidRPr="000E3ED4">
              <w:rPr>
                <w:color w:val="000000"/>
                <w:lang w:val="fr-CH"/>
              </w:rPr>
              <w:tab/>
            </w:r>
            <w:r w:rsidRPr="000E3ED4">
              <w:rPr>
                <w:color w:val="000000"/>
                <w:lang w:val="fr-CH"/>
              </w:rPr>
              <w:tab/>
            </w:r>
            <w:r w:rsidRPr="000E3ED4">
              <w:rPr>
                <w:color w:val="000000"/>
                <w:lang w:val="fr-CH"/>
              </w:rPr>
              <w:tab/>
            </w:r>
            <w:r w:rsidRPr="000E3ED4">
              <w:rPr>
                <w:color w:val="000000"/>
                <w:lang w:val="fr-CH"/>
              </w:rPr>
              <w:tab/>
              <w:t>Mobile except aeronautical mobile</w:t>
            </w:r>
          </w:p>
          <w:p w:rsidR="0025734C" w:rsidRPr="000E3ED4" w:rsidRDefault="0025734C" w:rsidP="001D0814">
            <w:pPr>
              <w:pStyle w:val="TableTextS5"/>
              <w:spacing w:line="200" w:lineRule="exact"/>
              <w:rPr>
                <w:color w:val="000000"/>
                <w:lang w:val="fr-CH"/>
              </w:rPr>
            </w:pPr>
            <w:r w:rsidRPr="000E3ED4">
              <w:rPr>
                <w:color w:val="000000"/>
                <w:lang w:val="fr-CH"/>
              </w:rPr>
              <w:tab/>
            </w:r>
            <w:r w:rsidRPr="000E3ED4">
              <w:rPr>
                <w:color w:val="000000"/>
                <w:lang w:val="fr-CH"/>
              </w:rPr>
              <w:tab/>
            </w:r>
            <w:r w:rsidRPr="000E3ED4">
              <w:rPr>
                <w:color w:val="000000"/>
                <w:lang w:val="fr-CH"/>
              </w:rPr>
              <w:tab/>
            </w:r>
            <w:r w:rsidRPr="000E3ED4">
              <w:rPr>
                <w:color w:val="000000"/>
                <w:lang w:val="fr-CH"/>
              </w:rPr>
              <w:tab/>
            </w:r>
            <w:r w:rsidRPr="000E3ED4">
              <w:rPr>
                <w:rStyle w:val="Artref"/>
                <w:color w:val="000000"/>
                <w:lang w:val="fr-CH"/>
              </w:rPr>
              <w:t>5.133</w:t>
            </w:r>
          </w:p>
        </w:tc>
      </w:tr>
      <w:tr w:rsidR="0025734C" w:rsidTr="001D0814">
        <w:trPr>
          <w:cantSplit/>
          <w:jc w:val="center"/>
        </w:trPr>
        <w:tc>
          <w:tcPr>
            <w:tcW w:w="3100" w:type="dxa"/>
            <w:tcBorders>
              <w:top w:val="single" w:sz="2" w:space="0" w:color="auto"/>
              <w:left w:val="single" w:sz="2" w:space="0" w:color="auto"/>
              <w:bottom w:val="single" w:sz="2" w:space="0" w:color="auto"/>
              <w:right w:val="single" w:sz="6" w:space="0" w:color="auto"/>
            </w:tcBorders>
          </w:tcPr>
          <w:p w:rsidR="0025734C" w:rsidRDefault="0025734C" w:rsidP="001D0814">
            <w:pPr>
              <w:pStyle w:val="TableTextS5"/>
              <w:ind w:left="170" w:hanging="170"/>
              <w:rPr>
                <w:rStyle w:val="Tablefreq"/>
              </w:rPr>
            </w:pPr>
            <w:r>
              <w:rPr>
                <w:rStyle w:val="Tablefreq"/>
              </w:rPr>
              <w:t>5 250-5 275</w:t>
            </w:r>
          </w:p>
          <w:p w:rsidR="0025734C" w:rsidRDefault="0025734C" w:rsidP="001D0814">
            <w:pPr>
              <w:pStyle w:val="TableTextS5"/>
              <w:ind w:left="170" w:hanging="170"/>
            </w:pPr>
            <w:r>
              <w:t>FIXED</w:t>
            </w:r>
          </w:p>
          <w:p w:rsidR="0025734C" w:rsidRDefault="0025734C" w:rsidP="001D0814">
            <w:pPr>
              <w:pStyle w:val="TableTextS5"/>
              <w:ind w:left="170" w:hanging="170"/>
            </w:pPr>
            <w:smartTag w:uri="urn:schemas-microsoft-com:office:smarttags" w:element="place">
              <w:smartTag w:uri="urn:schemas-microsoft-com:office:smarttags" w:element="City">
                <w:r>
                  <w:t>MOBILE</w:t>
                </w:r>
              </w:smartTag>
            </w:smartTag>
            <w:r>
              <w:t xml:space="preserve"> except aeronautical mobile</w:t>
            </w:r>
          </w:p>
          <w:p w:rsidR="0025734C" w:rsidRDefault="0025734C" w:rsidP="001D0814">
            <w:pPr>
              <w:pStyle w:val="TableTextS5"/>
              <w:ind w:left="170" w:hanging="170"/>
            </w:pPr>
            <w:r>
              <w:t>Radiolocation   5.132A</w:t>
            </w:r>
          </w:p>
          <w:p w:rsidR="0025734C" w:rsidRDefault="0025734C" w:rsidP="001D0814">
            <w:pPr>
              <w:pStyle w:val="TableTextS5"/>
              <w:ind w:left="170" w:hanging="170"/>
            </w:pPr>
            <w:r>
              <w:t> 5.133A</w:t>
            </w:r>
          </w:p>
        </w:tc>
        <w:tc>
          <w:tcPr>
            <w:tcW w:w="3100" w:type="dxa"/>
            <w:tcBorders>
              <w:top w:val="single" w:sz="2" w:space="0" w:color="auto"/>
              <w:left w:val="single" w:sz="6" w:space="0" w:color="auto"/>
              <w:bottom w:val="single" w:sz="2" w:space="0" w:color="auto"/>
              <w:right w:val="single" w:sz="6" w:space="0" w:color="auto"/>
            </w:tcBorders>
          </w:tcPr>
          <w:p w:rsidR="0025734C" w:rsidRPr="006A4596" w:rsidRDefault="0025734C" w:rsidP="001D0814">
            <w:pPr>
              <w:pStyle w:val="TableTextS5"/>
              <w:keepNext/>
              <w:rPr>
                <w:rStyle w:val="Tablefreq"/>
                <w:lang w:val="fr-CA"/>
              </w:rPr>
            </w:pPr>
            <w:r w:rsidRPr="007E0123">
              <w:rPr>
                <w:rStyle w:val="Tablefreq"/>
                <w:lang w:val="fr-CA"/>
              </w:rPr>
              <w:t>5</w:t>
            </w:r>
            <w:r>
              <w:rPr>
                <w:rStyle w:val="Tablefreq"/>
                <w:lang w:val="fr-CA"/>
              </w:rPr>
              <w:t> </w:t>
            </w:r>
            <w:r w:rsidRPr="007E0123">
              <w:rPr>
                <w:rStyle w:val="Tablefreq"/>
                <w:lang w:val="fr-CA"/>
              </w:rPr>
              <w:t>250-5</w:t>
            </w:r>
            <w:r>
              <w:rPr>
                <w:rStyle w:val="Tablefreq"/>
                <w:lang w:val="fr-CA"/>
              </w:rPr>
              <w:t> </w:t>
            </w:r>
            <w:r w:rsidRPr="007E0123">
              <w:rPr>
                <w:rStyle w:val="Tablefreq"/>
                <w:lang w:val="fr-CA"/>
              </w:rPr>
              <w:t>275</w:t>
            </w:r>
          </w:p>
          <w:p w:rsidR="0025734C" w:rsidRPr="006A4596" w:rsidRDefault="0025734C" w:rsidP="001D0814">
            <w:pPr>
              <w:pStyle w:val="TableTextS5"/>
              <w:rPr>
                <w:lang w:val="fr-CA"/>
              </w:rPr>
            </w:pPr>
            <w:r w:rsidRPr="007E0123">
              <w:rPr>
                <w:lang w:val="fr-CA"/>
              </w:rPr>
              <w:t>FIXED</w:t>
            </w:r>
          </w:p>
          <w:p w:rsidR="0025734C" w:rsidRPr="006A4596" w:rsidRDefault="0025734C" w:rsidP="001D0814">
            <w:pPr>
              <w:pStyle w:val="TableTextS5"/>
              <w:ind w:left="170" w:hanging="170"/>
              <w:rPr>
                <w:lang w:val="fr-CA"/>
              </w:rPr>
            </w:pPr>
            <w:r w:rsidRPr="007E0123">
              <w:rPr>
                <w:lang w:val="fr-CA"/>
              </w:rPr>
              <w:t>MOBILE except aeronautical mobile</w:t>
            </w:r>
          </w:p>
          <w:p w:rsidR="0025734C" w:rsidRDefault="0025734C" w:rsidP="001D0814">
            <w:pPr>
              <w:pStyle w:val="TableTextS5"/>
            </w:pPr>
            <w:r w:rsidRPr="007E0123">
              <w:rPr>
                <w:lang w:val="fr-CA"/>
              </w:rPr>
              <w:t xml:space="preserve">RADIOLOCATION </w:t>
            </w:r>
            <w:r w:rsidRPr="00EC5D16">
              <w:rPr>
                <w:lang w:val="fr-CA"/>
              </w:rPr>
              <w:t> </w:t>
            </w:r>
            <w:r w:rsidRPr="007E0123">
              <w:rPr>
                <w:lang w:val="fr-CA"/>
              </w:rPr>
              <w:t>5.</w:t>
            </w:r>
            <w:r>
              <w:t>132A</w:t>
            </w:r>
          </w:p>
        </w:tc>
        <w:tc>
          <w:tcPr>
            <w:tcW w:w="3100" w:type="dxa"/>
            <w:tcBorders>
              <w:top w:val="single" w:sz="2" w:space="0" w:color="auto"/>
              <w:left w:val="single" w:sz="6" w:space="0" w:color="auto"/>
              <w:bottom w:val="single" w:sz="2" w:space="0" w:color="auto"/>
              <w:right w:val="single" w:sz="2" w:space="0" w:color="auto"/>
            </w:tcBorders>
          </w:tcPr>
          <w:p w:rsidR="0025734C" w:rsidRDefault="0025734C" w:rsidP="001D0814">
            <w:pPr>
              <w:pStyle w:val="TableTextS5"/>
              <w:rPr>
                <w:rStyle w:val="Tablefreq"/>
              </w:rPr>
            </w:pPr>
            <w:r>
              <w:rPr>
                <w:rStyle w:val="Tablefreq"/>
              </w:rPr>
              <w:t>5 250-5 275</w:t>
            </w:r>
          </w:p>
          <w:p w:rsidR="0025734C" w:rsidRDefault="0025734C" w:rsidP="001D0814">
            <w:pPr>
              <w:pStyle w:val="TableTextS5"/>
            </w:pPr>
            <w:r>
              <w:t>FIXED</w:t>
            </w:r>
          </w:p>
          <w:p w:rsidR="0025734C" w:rsidRDefault="0025734C" w:rsidP="001D0814">
            <w:pPr>
              <w:pStyle w:val="TableTextS5"/>
              <w:ind w:left="170" w:hanging="170"/>
            </w:pPr>
            <w:smartTag w:uri="urn:schemas-microsoft-com:office:smarttags" w:element="place">
              <w:smartTag w:uri="urn:schemas-microsoft-com:office:smarttags" w:element="City">
                <w:r>
                  <w:t>MOBILE</w:t>
                </w:r>
              </w:smartTag>
            </w:smartTag>
            <w:r>
              <w:t xml:space="preserve"> except aeronautical mobile</w:t>
            </w:r>
          </w:p>
          <w:p w:rsidR="0025734C" w:rsidRDefault="0025734C" w:rsidP="001D0814">
            <w:pPr>
              <w:pStyle w:val="TableTextS5"/>
            </w:pPr>
            <w:r>
              <w:t>Radiolocation  5.132A</w:t>
            </w:r>
          </w:p>
        </w:tc>
      </w:tr>
      <w:tr w:rsidR="0025734C" w:rsidRPr="002F2139" w:rsidTr="001D081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25734C" w:rsidRDefault="0025734C" w:rsidP="001D0814">
            <w:pPr>
              <w:pStyle w:val="TableTextS5"/>
              <w:ind w:left="170" w:hanging="170"/>
              <w:rPr>
                <w:lang w:val="fr-CH"/>
              </w:rPr>
            </w:pPr>
            <w:r>
              <w:rPr>
                <w:rStyle w:val="Tablefreq"/>
                <w:lang w:val="fr-CH"/>
              </w:rPr>
              <w:t>5 275-5 450</w:t>
            </w:r>
            <w:r>
              <w:rPr>
                <w:lang w:val="fr-CH"/>
              </w:rPr>
              <w:tab/>
              <w:t>FIXED</w:t>
            </w:r>
          </w:p>
          <w:p w:rsidR="0025734C" w:rsidRPr="008D1B5F" w:rsidRDefault="0025734C" w:rsidP="001D0814">
            <w:pPr>
              <w:pStyle w:val="TableTextS5"/>
              <w:keepNext/>
              <w:spacing w:line="200" w:lineRule="exact"/>
              <w:rPr>
                <w:rStyle w:val="Tablefreq"/>
                <w:color w:val="000000"/>
                <w:lang w:val="fr-CH"/>
              </w:rPr>
            </w:pPr>
            <w:r>
              <w:rPr>
                <w:lang w:val="fr-CH"/>
              </w:rPr>
              <w:t xml:space="preserve">                                                            MOBILE except aeronautical mobile</w:t>
            </w:r>
          </w:p>
        </w:tc>
      </w:tr>
      <w:tr w:rsidR="0025734C" w:rsidTr="001D0814">
        <w:trPr>
          <w:cantSplit/>
          <w:jc w:val="center"/>
        </w:trPr>
        <w:tc>
          <w:tcPr>
            <w:tcW w:w="3100" w:type="dxa"/>
            <w:tcBorders>
              <w:top w:val="single" w:sz="2" w:space="0" w:color="auto"/>
              <w:left w:val="single" w:sz="2" w:space="0" w:color="auto"/>
              <w:bottom w:val="single" w:sz="2" w:space="0" w:color="auto"/>
              <w:right w:val="single" w:sz="6" w:space="0" w:color="auto"/>
            </w:tcBorders>
          </w:tcPr>
          <w:p w:rsidR="0025734C" w:rsidRDefault="0025734C" w:rsidP="001D0814">
            <w:pPr>
              <w:pStyle w:val="TableTextS5"/>
              <w:spacing w:line="200" w:lineRule="exact"/>
              <w:rPr>
                <w:color w:val="000000"/>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450-5</w:t>
            </w:r>
            <w:r>
              <w:rPr>
                <w:rStyle w:val="Tablefreq"/>
                <w:rFonts w:ascii="Tms Rmn" w:hAnsi="Tms Rmn"/>
                <w:color w:val="000000"/>
                <w:sz w:val="12"/>
                <w:lang w:val="en-AU"/>
              </w:rPr>
              <w:t> </w:t>
            </w:r>
            <w:r>
              <w:rPr>
                <w:rStyle w:val="Tablefreq"/>
                <w:color w:val="000000"/>
                <w:lang w:val="en-AU"/>
              </w:rPr>
              <w:t>480</w:t>
            </w:r>
          </w:p>
          <w:p w:rsidR="0025734C" w:rsidRDefault="0025734C" w:rsidP="001D0814">
            <w:pPr>
              <w:pStyle w:val="TableTextS5"/>
              <w:spacing w:line="200" w:lineRule="exact"/>
              <w:rPr>
                <w:color w:val="000000"/>
                <w:lang w:val="en-AU"/>
              </w:rPr>
            </w:pPr>
            <w:r>
              <w:rPr>
                <w:color w:val="000000"/>
                <w:lang w:val="en-AU"/>
              </w:rPr>
              <w:t>FIXED</w:t>
            </w:r>
          </w:p>
          <w:p w:rsidR="0025734C" w:rsidRDefault="0025734C" w:rsidP="001D0814">
            <w:pPr>
              <w:pStyle w:val="TableTextS5"/>
              <w:spacing w:line="200" w:lineRule="exact"/>
              <w:rPr>
                <w:color w:val="000000"/>
                <w:lang w:val="en-AU"/>
              </w:rPr>
            </w:pPr>
            <w:r>
              <w:rPr>
                <w:color w:val="000000"/>
                <w:lang w:val="en-AU"/>
              </w:rPr>
              <w:t xml:space="preserve">AERONAUTICAL </w:t>
            </w:r>
            <w:smartTag w:uri="urn:schemas-microsoft-com:office:smarttags" w:element="place">
              <w:smartTag w:uri="urn:schemas-microsoft-com:office:smarttags" w:element="City">
                <w:r>
                  <w:rPr>
                    <w:color w:val="000000"/>
                    <w:lang w:val="en-AU"/>
                  </w:rPr>
                  <w:t>MOBILE</w:t>
                </w:r>
              </w:smartTag>
            </w:smartTag>
            <w:r>
              <w:rPr>
                <w:color w:val="000000"/>
                <w:lang w:val="en-AU"/>
              </w:rPr>
              <w:t xml:space="preserve"> (OR)</w:t>
            </w:r>
          </w:p>
          <w:p w:rsidR="0025734C" w:rsidRDefault="0025734C" w:rsidP="001D0814">
            <w:pPr>
              <w:pStyle w:val="TableTextS5"/>
              <w:spacing w:line="200" w:lineRule="exact"/>
              <w:rPr>
                <w:color w:val="000000"/>
                <w:lang w:val="en-AU"/>
              </w:rPr>
            </w:pPr>
            <w:r>
              <w:rPr>
                <w:color w:val="000000"/>
                <w:lang w:val="en-AU"/>
              </w:rPr>
              <w:t xml:space="preserve">LAND </w:t>
            </w:r>
            <w:smartTag w:uri="urn:schemas-microsoft-com:office:smarttags" w:element="place">
              <w:smartTag w:uri="urn:schemas-microsoft-com:office:smarttags" w:element="City">
                <w:r>
                  <w:rPr>
                    <w:color w:val="000000"/>
                    <w:lang w:val="en-AU"/>
                  </w:rPr>
                  <w:t>MOBILE</w:t>
                </w:r>
              </w:smartTag>
            </w:smartTag>
          </w:p>
        </w:tc>
        <w:tc>
          <w:tcPr>
            <w:tcW w:w="3100" w:type="dxa"/>
            <w:tcBorders>
              <w:top w:val="single" w:sz="2" w:space="0" w:color="auto"/>
              <w:left w:val="single" w:sz="6" w:space="0" w:color="auto"/>
              <w:bottom w:val="single" w:sz="2" w:space="0" w:color="auto"/>
              <w:right w:val="single" w:sz="6" w:space="0" w:color="auto"/>
            </w:tcBorders>
          </w:tcPr>
          <w:p w:rsidR="0025734C" w:rsidRDefault="0025734C" w:rsidP="001D0814">
            <w:pPr>
              <w:pStyle w:val="TableTextS5"/>
              <w:spacing w:line="200" w:lineRule="exact"/>
              <w:rPr>
                <w:color w:val="000000"/>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450-5</w:t>
            </w:r>
            <w:r>
              <w:rPr>
                <w:rStyle w:val="Tablefreq"/>
                <w:rFonts w:ascii="Tms Rmn" w:hAnsi="Tms Rmn"/>
                <w:color w:val="000000"/>
                <w:sz w:val="12"/>
                <w:lang w:val="en-AU"/>
              </w:rPr>
              <w:t> </w:t>
            </w:r>
            <w:r>
              <w:rPr>
                <w:rStyle w:val="Tablefreq"/>
                <w:color w:val="000000"/>
                <w:lang w:val="en-AU"/>
              </w:rPr>
              <w:t>480</w:t>
            </w:r>
          </w:p>
          <w:p w:rsidR="0025734C" w:rsidRDefault="0025734C" w:rsidP="001D0814">
            <w:pPr>
              <w:pStyle w:val="TableTextS5"/>
              <w:spacing w:line="200" w:lineRule="exact"/>
              <w:rPr>
                <w:color w:val="000000"/>
                <w:lang w:val="en-AU"/>
              </w:rPr>
            </w:pPr>
            <w:r>
              <w:rPr>
                <w:color w:val="000000"/>
                <w:lang w:val="en-AU"/>
              </w:rPr>
              <w:t>AERONAUTICAL MOBILE (R)</w:t>
            </w:r>
          </w:p>
        </w:tc>
        <w:tc>
          <w:tcPr>
            <w:tcW w:w="3100" w:type="dxa"/>
            <w:tcBorders>
              <w:top w:val="single" w:sz="2" w:space="0" w:color="auto"/>
              <w:left w:val="single" w:sz="6" w:space="0" w:color="auto"/>
              <w:bottom w:val="single" w:sz="2" w:space="0" w:color="auto"/>
              <w:right w:val="single" w:sz="2" w:space="0" w:color="auto"/>
            </w:tcBorders>
          </w:tcPr>
          <w:p w:rsidR="0025734C" w:rsidRDefault="0025734C" w:rsidP="001D0814">
            <w:pPr>
              <w:pStyle w:val="TableTextS5"/>
              <w:spacing w:line="200" w:lineRule="exact"/>
              <w:rPr>
                <w:color w:val="000000"/>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450-5</w:t>
            </w:r>
            <w:r>
              <w:rPr>
                <w:rStyle w:val="Tablefreq"/>
                <w:rFonts w:ascii="Tms Rmn" w:hAnsi="Tms Rmn"/>
                <w:color w:val="000000"/>
                <w:sz w:val="12"/>
                <w:lang w:val="en-AU"/>
              </w:rPr>
              <w:t> </w:t>
            </w:r>
            <w:r>
              <w:rPr>
                <w:rStyle w:val="Tablefreq"/>
                <w:color w:val="000000"/>
                <w:lang w:val="en-AU"/>
              </w:rPr>
              <w:t>480</w:t>
            </w:r>
          </w:p>
          <w:p w:rsidR="0025734C" w:rsidRDefault="0025734C" w:rsidP="001D0814">
            <w:pPr>
              <w:pStyle w:val="TableTextS5"/>
              <w:spacing w:line="200" w:lineRule="exact"/>
              <w:rPr>
                <w:color w:val="000000"/>
                <w:lang w:val="en-AU"/>
              </w:rPr>
            </w:pPr>
            <w:r>
              <w:rPr>
                <w:color w:val="000000"/>
                <w:lang w:val="en-AU"/>
              </w:rPr>
              <w:t>FIXED</w:t>
            </w:r>
          </w:p>
          <w:p w:rsidR="0025734C" w:rsidRDefault="0025734C" w:rsidP="001D0814">
            <w:pPr>
              <w:pStyle w:val="TableTextS5"/>
              <w:spacing w:line="200" w:lineRule="exact"/>
              <w:rPr>
                <w:color w:val="000000"/>
                <w:lang w:val="en-AU"/>
              </w:rPr>
            </w:pPr>
            <w:r>
              <w:rPr>
                <w:color w:val="000000"/>
                <w:lang w:val="en-AU"/>
              </w:rPr>
              <w:t xml:space="preserve">AERONAUTICAL </w:t>
            </w:r>
            <w:smartTag w:uri="urn:schemas-microsoft-com:office:smarttags" w:element="place">
              <w:smartTag w:uri="urn:schemas-microsoft-com:office:smarttags" w:element="City">
                <w:r>
                  <w:rPr>
                    <w:color w:val="000000"/>
                    <w:lang w:val="en-AU"/>
                  </w:rPr>
                  <w:t>MOBILE</w:t>
                </w:r>
              </w:smartTag>
            </w:smartTag>
            <w:r>
              <w:rPr>
                <w:color w:val="000000"/>
                <w:lang w:val="en-AU"/>
              </w:rPr>
              <w:t xml:space="preserve"> (OR)</w:t>
            </w:r>
          </w:p>
          <w:p w:rsidR="0025734C" w:rsidRDefault="0025734C" w:rsidP="001D0814">
            <w:pPr>
              <w:pStyle w:val="TableTextS5"/>
              <w:spacing w:line="200" w:lineRule="exact"/>
              <w:rPr>
                <w:color w:val="000000"/>
                <w:lang w:val="en-AU"/>
              </w:rPr>
            </w:pPr>
            <w:r>
              <w:rPr>
                <w:color w:val="000000"/>
                <w:lang w:val="en-AU"/>
              </w:rPr>
              <w:t xml:space="preserve">LAND </w:t>
            </w:r>
            <w:smartTag w:uri="urn:schemas-microsoft-com:office:smarttags" w:element="place">
              <w:smartTag w:uri="urn:schemas-microsoft-com:office:smarttags" w:element="City">
                <w:r>
                  <w:rPr>
                    <w:color w:val="000000"/>
                    <w:lang w:val="en-AU"/>
                  </w:rPr>
                  <w:t>MOBILE</w:t>
                </w:r>
              </w:smartTag>
            </w:smartTag>
          </w:p>
        </w:tc>
      </w:tr>
      <w:tr w:rsidR="0025734C" w:rsidTr="001D081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25734C" w:rsidRDefault="0025734C" w:rsidP="001D0814">
            <w:pPr>
              <w:pStyle w:val="TableTextS5"/>
              <w:spacing w:line="200" w:lineRule="exact"/>
              <w:rPr>
                <w:color w:val="000000"/>
                <w:lang w:val="en-AU"/>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480-5</w:t>
            </w:r>
            <w:r>
              <w:rPr>
                <w:rStyle w:val="Tablefreq"/>
                <w:rFonts w:ascii="Tms Rmn" w:hAnsi="Tms Rmn"/>
                <w:color w:val="000000"/>
                <w:sz w:val="12"/>
                <w:lang w:val="en-AU"/>
              </w:rPr>
              <w:t> </w:t>
            </w:r>
            <w:r>
              <w:rPr>
                <w:rStyle w:val="Tablefreq"/>
                <w:color w:val="000000"/>
                <w:lang w:val="en-AU"/>
              </w:rPr>
              <w:t>680</w:t>
            </w:r>
            <w:r>
              <w:rPr>
                <w:color w:val="000000"/>
                <w:lang w:val="en-AU"/>
              </w:rPr>
              <w:tab/>
              <w:t xml:space="preserve">AERONAUTICAL </w:t>
            </w:r>
            <w:smartTag w:uri="urn:schemas-microsoft-com:office:smarttags" w:element="place">
              <w:smartTag w:uri="urn:schemas-microsoft-com:office:smarttags" w:element="City">
                <w:r>
                  <w:rPr>
                    <w:color w:val="000000"/>
                    <w:lang w:val="en-AU"/>
                  </w:rPr>
                  <w:t>MOBILE</w:t>
                </w:r>
              </w:smartTag>
            </w:smartTag>
            <w:r>
              <w:rPr>
                <w:color w:val="000000"/>
                <w:lang w:val="en-AU"/>
              </w:rPr>
              <w:t xml:space="preserve"> (R)</w:t>
            </w:r>
          </w:p>
          <w:p w:rsidR="0025734C" w:rsidRDefault="0025734C" w:rsidP="001D0814">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5.111</w:t>
            </w:r>
            <w:r>
              <w:rPr>
                <w:color w:val="000000"/>
                <w:lang w:val="en-AU"/>
              </w:rPr>
              <w:t xml:space="preserve">  </w:t>
            </w:r>
            <w:r>
              <w:rPr>
                <w:rStyle w:val="Artref"/>
                <w:color w:val="000000"/>
                <w:lang w:val="en-AU"/>
              </w:rPr>
              <w:t>5.115</w:t>
            </w:r>
          </w:p>
        </w:tc>
      </w:tr>
      <w:tr w:rsidR="0025734C" w:rsidTr="001D081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25734C" w:rsidRDefault="0025734C" w:rsidP="001D0814">
            <w:pPr>
              <w:pStyle w:val="TableTextS5"/>
              <w:spacing w:line="200" w:lineRule="exact"/>
              <w:rPr>
                <w:color w:val="000000"/>
                <w:lang w:val="en-AU"/>
              </w:rPr>
            </w:pPr>
            <w:r>
              <w:rPr>
                <w:rStyle w:val="Tablefreq"/>
                <w:color w:val="000000"/>
                <w:lang w:val="en-AU"/>
              </w:rPr>
              <w:t>. . .</w:t>
            </w:r>
          </w:p>
        </w:tc>
      </w:tr>
    </w:tbl>
    <w:p w:rsidR="0025734C" w:rsidRDefault="0025734C" w:rsidP="006A0996">
      <w:pPr>
        <w:rPr>
          <w:rStyle w:val="Artdef"/>
          <w:color w:val="000000"/>
          <w:sz w:val="20"/>
          <w:lang w:val="en-AU"/>
        </w:rPr>
      </w:pPr>
    </w:p>
    <w:p w:rsidR="0025734C" w:rsidRDefault="0025734C" w:rsidP="006A0996">
      <w:pPr>
        <w:rPr>
          <w:lang w:val="en-US"/>
        </w:rPr>
      </w:pPr>
      <w:r>
        <w:rPr>
          <w:rStyle w:val="Artdef"/>
          <w:color w:val="000000"/>
          <w:lang w:val="en-US"/>
        </w:rPr>
        <w:t>5.111</w:t>
      </w:r>
      <w:r>
        <w:rPr>
          <w:rStyle w:val="Artdef"/>
          <w:color w:val="000000"/>
          <w:lang w:val="en-US"/>
        </w:rPr>
        <w:tab/>
      </w:r>
      <w:r>
        <w:rPr>
          <w:lang w:val="en-US"/>
        </w:rPr>
        <w:t>The carrier frequencies 2</w:t>
      </w:r>
      <w:r>
        <w:rPr>
          <w:sz w:val="12"/>
          <w:lang w:val="en-US"/>
        </w:rPr>
        <w:t> </w:t>
      </w:r>
      <w:r>
        <w:rPr>
          <w:lang w:val="en-US"/>
        </w:rPr>
        <w:t>182 kHz, 3</w:t>
      </w:r>
      <w:r>
        <w:rPr>
          <w:sz w:val="12"/>
          <w:lang w:val="en-US"/>
        </w:rPr>
        <w:t> </w:t>
      </w:r>
      <w:r>
        <w:rPr>
          <w:lang w:val="en-US"/>
        </w:rPr>
        <w:t>023 kHz, 5</w:t>
      </w:r>
      <w:r>
        <w:rPr>
          <w:sz w:val="12"/>
          <w:lang w:val="en-US"/>
        </w:rPr>
        <w:t> </w:t>
      </w:r>
      <w:r>
        <w:rPr>
          <w:lang w:val="en-US"/>
        </w:rPr>
        <w:t>680 kHz, 8</w:t>
      </w:r>
      <w:r>
        <w:rPr>
          <w:sz w:val="12"/>
          <w:lang w:val="en-US"/>
        </w:rPr>
        <w:t> </w:t>
      </w:r>
      <w:r>
        <w:rPr>
          <w:lang w:val="en-US"/>
        </w:rPr>
        <w:t>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t>
      </w:r>
      <w:r>
        <w:rPr>
          <w:rStyle w:val="Artref"/>
          <w:b/>
          <w:color w:val="000000"/>
          <w:lang w:val="en-US"/>
        </w:rPr>
        <w:t>31</w:t>
      </w:r>
      <w:r>
        <w:rPr>
          <w:lang w:val="en-US"/>
        </w:rPr>
        <w:t>.</w:t>
      </w:r>
    </w:p>
    <w:p w:rsidR="0025734C" w:rsidRDefault="0025734C" w:rsidP="006A0996">
      <w:pPr>
        <w:pStyle w:val="Note"/>
        <w:rPr>
          <w:color w:val="000000"/>
          <w:sz w:val="16"/>
          <w:szCs w:val="16"/>
          <w:lang w:val="en-US"/>
        </w:rPr>
      </w:pPr>
      <w:r>
        <w:rPr>
          <w:color w:val="000000"/>
          <w:lang w:val="en-US"/>
        </w:rPr>
        <w:tab/>
      </w:r>
      <w:r>
        <w:rPr>
          <w:color w:val="000000"/>
          <w:lang w:val="en-US"/>
        </w:rPr>
        <w:tab/>
        <w:t>The same applies to the frequencies 10</w:t>
      </w:r>
      <w:r>
        <w:rPr>
          <w:color w:val="000000"/>
          <w:sz w:val="12"/>
          <w:lang w:val="en-US"/>
        </w:rPr>
        <w:t> </w:t>
      </w:r>
      <w:r>
        <w:rPr>
          <w:color w:val="000000"/>
          <w:lang w:val="en-US"/>
        </w:rPr>
        <w:t>003 kHz, 14</w:t>
      </w:r>
      <w:r>
        <w:rPr>
          <w:color w:val="000000"/>
          <w:sz w:val="12"/>
          <w:lang w:val="en-US"/>
        </w:rPr>
        <w:t> </w:t>
      </w:r>
      <w:r>
        <w:rPr>
          <w:color w:val="000000"/>
          <w:lang w:val="en-US"/>
        </w:rPr>
        <w:t>993 kHz and 19</w:t>
      </w:r>
      <w:r>
        <w:rPr>
          <w:color w:val="000000"/>
          <w:sz w:val="12"/>
          <w:lang w:val="en-US"/>
        </w:rPr>
        <w:t> </w:t>
      </w:r>
      <w:r>
        <w:rPr>
          <w:color w:val="000000"/>
          <w:lang w:val="en-US"/>
        </w:rPr>
        <w:t xml:space="preserve">993 kHz, but in each of these cases emissions must be confined in a band of </w:t>
      </w:r>
      <w:r>
        <w:rPr>
          <w:rFonts w:ascii="Symbol" w:hAnsi="Symbol"/>
          <w:color w:val="000000"/>
        </w:rPr>
        <w:t></w:t>
      </w:r>
      <w:r>
        <w:rPr>
          <w:color w:val="000000"/>
          <w:sz w:val="8"/>
          <w:lang w:val="en-US"/>
        </w:rPr>
        <w:t> </w:t>
      </w:r>
      <w:r>
        <w:rPr>
          <w:color w:val="000000"/>
          <w:lang w:val="en-US"/>
        </w:rPr>
        <w:t>3 kHz about the frequency.</w:t>
      </w:r>
      <w:r>
        <w:rPr>
          <w:color w:val="000000"/>
          <w:sz w:val="16"/>
          <w:szCs w:val="16"/>
          <w:lang w:val="en-US"/>
        </w:rPr>
        <w:t>     (WRC</w:t>
      </w:r>
      <w:r>
        <w:rPr>
          <w:color w:val="000000"/>
          <w:sz w:val="16"/>
          <w:szCs w:val="16"/>
          <w:lang w:val="en-US"/>
        </w:rPr>
        <w:noBreakHyphen/>
        <w:t>07)</w:t>
      </w:r>
    </w:p>
    <w:p w:rsidR="0025734C" w:rsidRDefault="0025734C" w:rsidP="006A0996">
      <w:pPr>
        <w:pStyle w:val="Note"/>
        <w:rPr>
          <w:color w:val="000000"/>
          <w:sz w:val="16"/>
          <w:szCs w:val="16"/>
          <w:lang w:val="en-US"/>
        </w:rPr>
      </w:pPr>
      <w:r>
        <w:rPr>
          <w:rStyle w:val="Artdef"/>
          <w:color w:val="000000"/>
          <w:lang w:val="en-US"/>
        </w:rPr>
        <w:t>5.115</w:t>
      </w:r>
      <w:r>
        <w:rPr>
          <w:rStyle w:val="Artdef"/>
          <w:color w:val="000000"/>
          <w:lang w:val="en-US"/>
        </w:rPr>
        <w:tab/>
      </w:r>
      <w:r>
        <w:rPr>
          <w:color w:val="000000"/>
          <w:lang w:val="en-US"/>
        </w:rPr>
        <w:t>The carrier (reference) frequencies 3</w:t>
      </w:r>
      <w:r>
        <w:rPr>
          <w:color w:val="000000"/>
          <w:sz w:val="12"/>
          <w:lang w:val="en-US"/>
        </w:rPr>
        <w:t> </w:t>
      </w:r>
      <w:r>
        <w:rPr>
          <w:color w:val="000000"/>
          <w:lang w:val="en-US"/>
        </w:rPr>
        <w:t>023 kHz and 5</w:t>
      </w:r>
      <w:r>
        <w:rPr>
          <w:color w:val="000000"/>
          <w:sz w:val="12"/>
          <w:lang w:val="en-US"/>
        </w:rPr>
        <w:t> </w:t>
      </w:r>
      <w:r>
        <w:rPr>
          <w:color w:val="000000"/>
          <w:lang w:val="en-US"/>
        </w:rPr>
        <w:t>680 kHz may also be used, in accordance with Article </w:t>
      </w:r>
      <w:r>
        <w:rPr>
          <w:rStyle w:val="Artref"/>
          <w:b/>
          <w:color w:val="000000"/>
          <w:lang w:val="en-US"/>
        </w:rPr>
        <w:t>31</w:t>
      </w:r>
      <w:r>
        <w:rPr>
          <w:color w:val="000000"/>
          <w:lang w:val="en-US"/>
        </w:rPr>
        <w:t>, by stations of the maritime mobile service engaged in coordinated search and rescue operations.</w:t>
      </w:r>
      <w:r>
        <w:rPr>
          <w:color w:val="000000"/>
          <w:sz w:val="16"/>
          <w:szCs w:val="16"/>
          <w:lang w:val="en-US"/>
        </w:rPr>
        <w:t>  (WRC</w:t>
      </w:r>
      <w:r>
        <w:rPr>
          <w:color w:val="000000"/>
          <w:sz w:val="16"/>
          <w:szCs w:val="16"/>
          <w:lang w:val="en-US"/>
        </w:rPr>
        <w:noBreakHyphen/>
        <w:t>07)</w:t>
      </w:r>
    </w:p>
    <w:p w:rsidR="0025734C" w:rsidRDefault="0025734C" w:rsidP="006A0996">
      <w:pPr>
        <w:pStyle w:val="Note"/>
        <w:rPr>
          <w:color w:val="000000"/>
          <w:sz w:val="16"/>
          <w:szCs w:val="16"/>
          <w:lang w:val="en-US"/>
        </w:rPr>
      </w:pPr>
      <w:r>
        <w:rPr>
          <w:b/>
          <w:color w:val="000000"/>
          <w:lang w:val="en-US"/>
        </w:rPr>
        <w:t>5.132A</w:t>
      </w:r>
      <w:r>
        <w:rPr>
          <w:color w:val="000000"/>
          <w:lang w:val="en-US"/>
        </w:rPr>
        <w:tab/>
        <w:t>Stations in the radiolocation service shall not cause harmful interference to, or claim protection from, stations operating in the fixed or mobile services. Applications of the radiolocation service are limited to oceanographic radars operating in accordance with Resolution </w:t>
      </w:r>
      <w:r w:rsidRPr="0004756F">
        <w:rPr>
          <w:b/>
          <w:bCs/>
          <w:color w:val="000000"/>
          <w:lang w:val="en-US"/>
        </w:rPr>
        <w:t>612 (Rev.WRC</w:t>
      </w:r>
      <w:r w:rsidRPr="0004756F">
        <w:rPr>
          <w:b/>
          <w:bCs/>
          <w:color w:val="000000"/>
          <w:lang w:val="en-US"/>
        </w:rPr>
        <w:noBreakHyphen/>
        <w:t>12)</w:t>
      </w:r>
      <w:r>
        <w:rPr>
          <w:color w:val="000000"/>
          <w:lang w:val="en-US"/>
        </w:rPr>
        <w:t xml:space="preserve">. </w:t>
      </w:r>
      <w:r>
        <w:rPr>
          <w:color w:val="000000"/>
          <w:sz w:val="16"/>
          <w:szCs w:val="16"/>
          <w:lang w:val="en-US"/>
        </w:rPr>
        <w:t>(WRC</w:t>
      </w:r>
      <w:r>
        <w:rPr>
          <w:color w:val="000000"/>
          <w:sz w:val="16"/>
          <w:szCs w:val="16"/>
          <w:lang w:val="en-US"/>
        </w:rPr>
        <w:noBreakHyphen/>
        <w:t>12)</w:t>
      </w:r>
    </w:p>
    <w:p w:rsidR="0025734C" w:rsidRPr="0004756F" w:rsidRDefault="0025734C" w:rsidP="006A0996">
      <w:pPr>
        <w:pStyle w:val="Note"/>
        <w:rPr>
          <w:b/>
          <w:bCs/>
          <w:color w:val="000000"/>
          <w:szCs w:val="24"/>
          <w:lang w:val="en-US"/>
        </w:rPr>
      </w:pPr>
      <w:r>
        <w:rPr>
          <w:b/>
          <w:bCs/>
          <w:color w:val="000000"/>
          <w:szCs w:val="24"/>
          <w:lang w:val="en-US"/>
        </w:rPr>
        <w:lastRenderedPageBreak/>
        <w:t>5.133</w:t>
      </w:r>
      <w:r>
        <w:rPr>
          <w:b/>
          <w:bCs/>
          <w:color w:val="000000"/>
          <w:szCs w:val="24"/>
          <w:lang w:val="en-US"/>
        </w:rPr>
        <w:tab/>
      </w:r>
      <w:r w:rsidRPr="0004756F">
        <w:rPr>
          <w:i/>
          <w:iCs/>
          <w:color w:val="000000"/>
          <w:szCs w:val="24"/>
          <w:lang w:val="en-AU"/>
        </w:rPr>
        <w:t>Different category of service:  </w:t>
      </w:r>
      <w:r w:rsidRPr="0004756F">
        <w:rPr>
          <w:color w:val="000000"/>
          <w:szCs w:val="24"/>
          <w:lang w:val="en-AU"/>
        </w:rPr>
        <w:t>in Armenia, Azerbaijan, Belarus, the Russian Federation, Georgia, Kazakhstan, Latvia, Lithuania, Moldova, Uzbekistan, Kyrgyzstan, Tajikistan, Turkmenistan and Ukraine, the allocation of the band 5 130-5 250 kHz to the mobile, except</w:t>
      </w:r>
      <w:r>
        <w:rPr>
          <w:color w:val="000000"/>
          <w:szCs w:val="24"/>
          <w:lang w:val="en-AU"/>
        </w:rPr>
        <w:t> </w:t>
      </w:r>
      <w:r w:rsidRPr="0004756F">
        <w:rPr>
          <w:color w:val="000000"/>
          <w:szCs w:val="24"/>
          <w:lang w:val="en-AU"/>
        </w:rPr>
        <w:t>aeronautical mobile, service is on a primary basis (see No. </w:t>
      </w:r>
      <w:r w:rsidRPr="0004756F">
        <w:rPr>
          <w:rStyle w:val="Artref"/>
          <w:b/>
          <w:bCs/>
          <w:color w:val="000000"/>
          <w:szCs w:val="24"/>
          <w:lang w:val="en-AU"/>
        </w:rPr>
        <w:t>5.33</w:t>
      </w:r>
      <w:r w:rsidRPr="0004756F">
        <w:rPr>
          <w:color w:val="000000"/>
          <w:szCs w:val="24"/>
          <w:lang w:val="en-AU"/>
        </w:rPr>
        <w:t>).</w:t>
      </w:r>
      <w:r>
        <w:rPr>
          <w:color w:val="000000"/>
          <w:szCs w:val="24"/>
          <w:lang w:val="en-AU"/>
        </w:rPr>
        <w:t xml:space="preserve"> </w:t>
      </w:r>
      <w:r>
        <w:rPr>
          <w:color w:val="000000"/>
          <w:sz w:val="16"/>
          <w:szCs w:val="16"/>
          <w:lang w:val="en-US"/>
        </w:rPr>
        <w:t>(WRC</w:t>
      </w:r>
      <w:r>
        <w:rPr>
          <w:color w:val="000000"/>
          <w:sz w:val="16"/>
          <w:szCs w:val="16"/>
          <w:lang w:val="en-US"/>
        </w:rPr>
        <w:noBreakHyphen/>
        <w:t>12)</w:t>
      </w:r>
    </w:p>
    <w:p w:rsidR="0025734C" w:rsidRDefault="0025734C" w:rsidP="006A0996">
      <w:pPr>
        <w:pStyle w:val="Note"/>
        <w:spacing w:before="240"/>
        <w:rPr>
          <w:color w:val="000000"/>
          <w:sz w:val="16"/>
          <w:szCs w:val="16"/>
          <w:lang w:val="en-US"/>
        </w:rPr>
      </w:pPr>
      <w:r>
        <w:rPr>
          <w:b/>
          <w:color w:val="000000"/>
          <w:lang w:val="en-US"/>
        </w:rPr>
        <w:t>5.133A</w:t>
      </w:r>
      <w:r>
        <w:rPr>
          <w:color w:val="000000"/>
          <w:lang w:val="en-US"/>
        </w:rPr>
        <w:tab/>
        <w:t xml:space="preserve">Alternative allocation: in </w:t>
      </w:r>
      <w:smartTag w:uri="urn:schemas-microsoft-com:office:smarttags" w:element="country-region">
        <w:r>
          <w:rPr>
            <w:color w:val="000000"/>
            <w:lang w:val="en-US"/>
          </w:rPr>
          <w:t>Armenia</w:t>
        </w:r>
      </w:smartTag>
      <w:r>
        <w:rPr>
          <w:color w:val="000000"/>
          <w:lang w:val="en-US"/>
        </w:rPr>
        <w:t xml:space="preserve">, </w:t>
      </w:r>
      <w:smartTag w:uri="urn:schemas-microsoft-com:office:smarttags" w:element="country-region">
        <w:r>
          <w:rPr>
            <w:color w:val="000000"/>
            <w:lang w:val="en-US"/>
          </w:rPr>
          <w:t>Austria</w:t>
        </w:r>
      </w:smartTag>
      <w:r>
        <w:rPr>
          <w:color w:val="000000"/>
          <w:lang w:val="en-US"/>
        </w:rPr>
        <w:t xml:space="preserve">, </w:t>
      </w:r>
      <w:smartTag w:uri="urn:schemas-microsoft-com:office:smarttags" w:element="country-region">
        <w:r>
          <w:rPr>
            <w:color w:val="000000"/>
            <w:lang w:val="en-US"/>
          </w:rPr>
          <w:t>Belarus</w:t>
        </w:r>
      </w:smartTag>
      <w:r>
        <w:rPr>
          <w:color w:val="000000"/>
          <w:lang w:val="en-US"/>
        </w:rPr>
        <w:t xml:space="preserve">, </w:t>
      </w:r>
      <w:smartTag w:uri="urn:schemas-microsoft-com:office:smarttags" w:element="country-region">
        <w:r>
          <w:rPr>
            <w:color w:val="000000"/>
            <w:lang w:val="en-US"/>
          </w:rPr>
          <w:t>Moldova</w:t>
        </w:r>
      </w:smartTag>
      <w:r>
        <w:rPr>
          <w:color w:val="000000"/>
          <w:lang w:val="en-US"/>
        </w:rPr>
        <w:t xml:space="preserve">, </w:t>
      </w:r>
      <w:smartTag w:uri="urn:schemas-microsoft-com:office:smarttags" w:element="country-region">
        <w:r>
          <w:rPr>
            <w:color w:val="000000"/>
            <w:lang w:val="en-US"/>
          </w:rPr>
          <w:t>Uzbekistan</w:t>
        </w:r>
      </w:smartTag>
      <w:r>
        <w:rPr>
          <w:color w:val="000000"/>
          <w:lang w:val="en-US"/>
        </w:rPr>
        <w:t xml:space="preserve"> and </w:t>
      </w:r>
      <w:smartTag w:uri="urn:schemas-microsoft-com:office:smarttags" w:element="place">
        <w:smartTag w:uri="urn:schemas-microsoft-com:office:smarttags" w:element="country-region">
          <w:r>
            <w:rPr>
              <w:color w:val="000000"/>
              <w:lang w:val="en-US"/>
            </w:rPr>
            <w:t>Kyrgyzstan</w:t>
          </w:r>
        </w:smartTag>
      </w:smartTag>
      <w:r>
        <w:rPr>
          <w:color w:val="000000"/>
          <w:lang w:val="en-US"/>
        </w:rPr>
        <w:t>, the frequency bands 5 250-5 275 kHz and 26 200-26 350 kHz are allocated to the fixed and mobile, except aeronautical mobile, services on a primary basis.</w:t>
      </w:r>
      <w:bookmarkEnd w:id="10"/>
      <w:r>
        <w:rPr>
          <w:color w:val="000000"/>
          <w:lang w:val="en-US"/>
        </w:rPr>
        <w:t xml:space="preserve"> </w:t>
      </w:r>
      <w:r>
        <w:rPr>
          <w:color w:val="000000"/>
          <w:sz w:val="16"/>
          <w:szCs w:val="16"/>
          <w:lang w:val="en-US"/>
        </w:rPr>
        <w:t>(WRC</w:t>
      </w:r>
      <w:r>
        <w:rPr>
          <w:color w:val="000000"/>
          <w:sz w:val="16"/>
          <w:szCs w:val="16"/>
          <w:lang w:val="en-US"/>
        </w:rPr>
        <w:noBreakHyphen/>
        <w:t>12)</w:t>
      </w:r>
    </w:p>
    <w:p w:rsidR="0025734C" w:rsidRDefault="0025734C" w:rsidP="002F2139">
      <w:pPr>
        <w:rPr>
          <w:lang w:val="en-US"/>
        </w:rPr>
      </w:pPr>
    </w:p>
    <w:p w:rsidR="002F2139" w:rsidRDefault="002F2139" w:rsidP="002F2139">
      <w:pPr>
        <w:rPr>
          <w:lang w:val="en-US"/>
        </w:rPr>
      </w:pPr>
    </w:p>
    <w:p w:rsidR="002F2139" w:rsidRDefault="002F2139" w:rsidP="002F2139">
      <w:pPr>
        <w:rPr>
          <w:lang w:val="en-US"/>
        </w:rPr>
      </w:pPr>
    </w:p>
    <w:p w:rsidR="002F2139" w:rsidRDefault="002F2139" w:rsidP="002F2139">
      <w:pPr>
        <w:jc w:val="center"/>
        <w:rPr>
          <w:lang w:val="en-US"/>
        </w:rPr>
      </w:pPr>
      <w:r>
        <w:rPr>
          <w:lang w:val="en-US"/>
        </w:rPr>
        <w:t>_____________</w:t>
      </w:r>
    </w:p>
    <w:sectPr w:rsidR="002F2139"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4C" w:rsidRDefault="0025734C">
      <w:r>
        <w:separator/>
      </w:r>
    </w:p>
  </w:endnote>
  <w:endnote w:type="continuationSeparator" w:id="0">
    <w:p w:rsidR="0025734C" w:rsidRDefault="0025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4C" w:rsidRPr="002F2139" w:rsidRDefault="002F2139" w:rsidP="002F2139">
    <w:pPr>
      <w:pStyle w:val="Footer"/>
      <w:rPr>
        <w:lang w:val="es-ES_tradnl"/>
      </w:rPr>
    </w:pPr>
    <w:r>
      <w:fldChar w:fldCharType="begin"/>
    </w:r>
    <w:r w:rsidRPr="002F2139">
      <w:rPr>
        <w:lang w:val="es-ES_tradnl"/>
      </w:rPr>
      <w:instrText xml:space="preserve"> FILENAME  \p  \* MERGEFORMAT </w:instrText>
    </w:r>
    <w:r>
      <w:fldChar w:fldCharType="separate"/>
    </w:r>
    <w:r w:rsidR="00771F86">
      <w:rPr>
        <w:lang w:val="es-ES_tradnl"/>
      </w:rPr>
      <w:t>M:\BRSGD\TEXT2012\SG05\WP5A\100\198e\198N04e.docx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4C" w:rsidRPr="002F2139" w:rsidRDefault="002F2139" w:rsidP="002F2139">
    <w:pPr>
      <w:pStyle w:val="Footer"/>
      <w:rPr>
        <w:lang w:val="es-ES_tradnl"/>
      </w:rPr>
    </w:pPr>
    <w:r>
      <w:fldChar w:fldCharType="begin"/>
    </w:r>
    <w:r w:rsidRPr="002F2139">
      <w:rPr>
        <w:lang w:val="es-ES_tradnl"/>
      </w:rPr>
      <w:instrText xml:space="preserve"> FILENAME  \p  \* MERGEFORMAT </w:instrText>
    </w:r>
    <w:r>
      <w:fldChar w:fldCharType="separate"/>
    </w:r>
    <w:r w:rsidR="00771F86">
      <w:rPr>
        <w:lang w:val="es-ES_tradnl"/>
      </w:rPr>
      <w:t>M:\BRSGD\TEXT2012\SG05\WP5A\100\198e\198N04e.docx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4C" w:rsidRDefault="0025734C">
      <w:r>
        <w:t>____________________</w:t>
      </w:r>
    </w:p>
  </w:footnote>
  <w:footnote w:type="continuationSeparator" w:id="0">
    <w:p w:rsidR="0025734C" w:rsidRDefault="00257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4C" w:rsidRDefault="0025734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71F86">
      <w:rPr>
        <w:rStyle w:val="PageNumber"/>
        <w:noProof/>
      </w:rPr>
      <w:t>2</w:t>
    </w:r>
    <w:r>
      <w:rPr>
        <w:rStyle w:val="PageNumber"/>
      </w:rPr>
      <w:fldChar w:fldCharType="end"/>
    </w:r>
    <w:r>
      <w:rPr>
        <w:rStyle w:val="PageNumber"/>
      </w:rPr>
      <w:t xml:space="preserve"> -</w:t>
    </w:r>
  </w:p>
  <w:p w:rsidR="0025734C" w:rsidRDefault="0025734C" w:rsidP="00331E2A">
    <w:pPr>
      <w:pStyle w:val="Header"/>
      <w:rPr>
        <w:lang w:val="en-US"/>
      </w:rPr>
    </w:pPr>
    <w:r>
      <w:rPr>
        <w:lang w:val="en-US"/>
      </w:rPr>
      <w:t>5A/</w:t>
    </w:r>
    <w:r w:rsidR="002F2139">
      <w:rPr>
        <w:lang w:val="en-US"/>
      </w:rPr>
      <w:t>1</w:t>
    </w:r>
    <w:r w:rsidR="00331E2A">
      <w:rPr>
        <w:lang w:val="en-US"/>
      </w:rPr>
      <w:t>98</w:t>
    </w:r>
    <w:r>
      <w:rPr>
        <w:lang w:val="en-US"/>
      </w:rPr>
      <w:t xml:space="preserve"> (Annex 4)-E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E5"/>
    <w:rsid w:val="000069D4"/>
    <w:rsid w:val="000174AD"/>
    <w:rsid w:val="00041322"/>
    <w:rsid w:val="0004756F"/>
    <w:rsid w:val="000A7D55"/>
    <w:rsid w:val="000B02CA"/>
    <w:rsid w:val="000C2E8E"/>
    <w:rsid w:val="000E0E7C"/>
    <w:rsid w:val="000E3ED4"/>
    <w:rsid w:val="000F1B4B"/>
    <w:rsid w:val="0012744F"/>
    <w:rsid w:val="00147920"/>
    <w:rsid w:val="0015385C"/>
    <w:rsid w:val="00156F66"/>
    <w:rsid w:val="00182528"/>
    <w:rsid w:val="0018500B"/>
    <w:rsid w:val="00196A19"/>
    <w:rsid w:val="001D0814"/>
    <w:rsid w:val="00202DC1"/>
    <w:rsid w:val="002116EE"/>
    <w:rsid w:val="00226282"/>
    <w:rsid w:val="002309D8"/>
    <w:rsid w:val="0025734C"/>
    <w:rsid w:val="002A7FE2"/>
    <w:rsid w:val="002B35A6"/>
    <w:rsid w:val="002E1B4F"/>
    <w:rsid w:val="002F2139"/>
    <w:rsid w:val="002F2E67"/>
    <w:rsid w:val="00315546"/>
    <w:rsid w:val="003209A8"/>
    <w:rsid w:val="00330567"/>
    <w:rsid w:val="00331E2A"/>
    <w:rsid w:val="00386A9D"/>
    <w:rsid w:val="00391081"/>
    <w:rsid w:val="00393AC5"/>
    <w:rsid w:val="003B2789"/>
    <w:rsid w:val="003C13CE"/>
    <w:rsid w:val="003E2518"/>
    <w:rsid w:val="004B1EF7"/>
    <w:rsid w:val="004B3FAD"/>
    <w:rsid w:val="004D34D4"/>
    <w:rsid w:val="00501DCA"/>
    <w:rsid w:val="00513A47"/>
    <w:rsid w:val="0051782D"/>
    <w:rsid w:val="005408DF"/>
    <w:rsid w:val="00573344"/>
    <w:rsid w:val="00583F9B"/>
    <w:rsid w:val="00591E84"/>
    <w:rsid w:val="005E5C10"/>
    <w:rsid w:val="005F2C78"/>
    <w:rsid w:val="006144E4"/>
    <w:rsid w:val="00626BB6"/>
    <w:rsid w:val="0063258E"/>
    <w:rsid w:val="00650299"/>
    <w:rsid w:val="00655FC5"/>
    <w:rsid w:val="00691C30"/>
    <w:rsid w:val="006A0996"/>
    <w:rsid w:val="006A4596"/>
    <w:rsid w:val="006E2EB7"/>
    <w:rsid w:val="00710D66"/>
    <w:rsid w:val="007360E5"/>
    <w:rsid w:val="00740681"/>
    <w:rsid w:val="00753C3C"/>
    <w:rsid w:val="00771F86"/>
    <w:rsid w:val="0078259F"/>
    <w:rsid w:val="007E0123"/>
    <w:rsid w:val="00822581"/>
    <w:rsid w:val="008309DD"/>
    <w:rsid w:val="0083227A"/>
    <w:rsid w:val="00866900"/>
    <w:rsid w:val="00881BA1"/>
    <w:rsid w:val="008C26B8"/>
    <w:rsid w:val="008D1B5F"/>
    <w:rsid w:val="009477F6"/>
    <w:rsid w:val="00982084"/>
    <w:rsid w:val="00995963"/>
    <w:rsid w:val="009B61EB"/>
    <w:rsid w:val="009C2064"/>
    <w:rsid w:val="009D1697"/>
    <w:rsid w:val="009E0565"/>
    <w:rsid w:val="00A014F8"/>
    <w:rsid w:val="00A5173C"/>
    <w:rsid w:val="00A61AEF"/>
    <w:rsid w:val="00AF173A"/>
    <w:rsid w:val="00B066A4"/>
    <w:rsid w:val="00B07A13"/>
    <w:rsid w:val="00B4279B"/>
    <w:rsid w:val="00B45FC9"/>
    <w:rsid w:val="00B80384"/>
    <w:rsid w:val="00BC7CCF"/>
    <w:rsid w:val="00BE470B"/>
    <w:rsid w:val="00C10845"/>
    <w:rsid w:val="00C141F8"/>
    <w:rsid w:val="00C57A91"/>
    <w:rsid w:val="00C808A6"/>
    <w:rsid w:val="00C828F3"/>
    <w:rsid w:val="00CA047C"/>
    <w:rsid w:val="00CC01C2"/>
    <w:rsid w:val="00CD672A"/>
    <w:rsid w:val="00CF21F2"/>
    <w:rsid w:val="00D02712"/>
    <w:rsid w:val="00D214D0"/>
    <w:rsid w:val="00D6546B"/>
    <w:rsid w:val="00D8032B"/>
    <w:rsid w:val="00DD4BED"/>
    <w:rsid w:val="00DE39F0"/>
    <w:rsid w:val="00DF0AF3"/>
    <w:rsid w:val="00E27D7E"/>
    <w:rsid w:val="00E42E13"/>
    <w:rsid w:val="00E6257C"/>
    <w:rsid w:val="00E63C59"/>
    <w:rsid w:val="00EC3189"/>
    <w:rsid w:val="00EC5D16"/>
    <w:rsid w:val="00FA124A"/>
    <w:rsid w:val="00FC08DD"/>
    <w:rsid w:val="00FC2316"/>
    <w:rsid w:val="00FC2CFD"/>
    <w:rsid w:val="00FE091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B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7024BD"/>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7024BD"/>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7024BD"/>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7024BD"/>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7024BD"/>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7024BD"/>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7024BD"/>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7024BD"/>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7024BD"/>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7024BD"/>
    <w:rPr>
      <w:rFonts w:ascii="Times New Roman" w:hAnsi="Times New Roman"/>
      <w:sz w:val="20"/>
      <w:szCs w:val="20"/>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7024BD"/>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6A0996"/>
    <w:rPr>
      <w:rFonts w:cs="Times New Roman"/>
      <w:color w:val="0000FF"/>
      <w:u w:val="single"/>
    </w:rPr>
  </w:style>
  <w:style w:type="character" w:customStyle="1" w:styleId="enumlev1Char">
    <w:name w:val="enumlev1 Char"/>
    <w:link w:val="enumlev1"/>
    <w:uiPriority w:val="99"/>
    <w:locked/>
    <w:rsid w:val="006A0996"/>
    <w:rPr>
      <w:rFonts w:ascii="Times New Roman" w:hAnsi="Times New Roman"/>
      <w:sz w:val="24"/>
      <w:lang w:val="en-GB" w:eastAsia="en-US"/>
    </w:rPr>
  </w:style>
  <w:style w:type="character" w:customStyle="1" w:styleId="NoteChar">
    <w:name w:val="Note Char"/>
    <w:link w:val="Note"/>
    <w:uiPriority w:val="99"/>
    <w:locked/>
    <w:rsid w:val="006A0996"/>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B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7024BD"/>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7024BD"/>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7024BD"/>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7024BD"/>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7024BD"/>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7024BD"/>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7024BD"/>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7024BD"/>
    <w:rPr>
      <w:rFonts w:asciiTheme="majorHAnsi" w:eastAsiaTheme="majorEastAsia" w:hAnsiTheme="majorHAnsi" w:cstheme="majorBidi"/>
      <w:lang w:val="en-GB" w:eastAsia="en-US"/>
    </w:rPr>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7024BD"/>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7024BD"/>
    <w:rPr>
      <w:rFonts w:ascii="Times New Roman" w:hAnsi="Times New Roman"/>
      <w:sz w:val="20"/>
      <w:szCs w:val="20"/>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7024BD"/>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uiPriority w:val="99"/>
    <w:rsid w:val="00E63C59"/>
    <w:rPr>
      <w:rFonts w:ascii="Times New Roman" w:hAnsi="Times New Roman" w:cs="Times New Roman"/>
      <w:b/>
    </w:rPr>
  </w:style>
  <w:style w:type="character" w:customStyle="1" w:styleId="Artref">
    <w:name w:val="Art_ref"/>
    <w:basedOn w:val="DefaultParagraphFont"/>
    <w:uiPriority w:val="99"/>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uiPriority w:val="99"/>
    <w:rsid w:val="006A0996"/>
    <w:rPr>
      <w:rFonts w:cs="Times New Roman"/>
      <w:color w:val="0000FF"/>
      <w:u w:val="single"/>
    </w:rPr>
  </w:style>
  <w:style w:type="character" w:customStyle="1" w:styleId="enumlev1Char">
    <w:name w:val="enumlev1 Char"/>
    <w:link w:val="enumlev1"/>
    <w:uiPriority w:val="99"/>
    <w:locked/>
    <w:rsid w:val="006A0996"/>
    <w:rPr>
      <w:rFonts w:ascii="Times New Roman" w:hAnsi="Times New Roman"/>
      <w:sz w:val="24"/>
      <w:lang w:val="en-GB" w:eastAsia="en-US"/>
    </w:rPr>
  </w:style>
  <w:style w:type="character" w:customStyle="1" w:styleId="NoteChar">
    <w:name w:val="Note Char"/>
    <w:link w:val="Note"/>
    <w:uiPriority w:val="99"/>
    <w:locked/>
    <w:rsid w:val="006A099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F.240-7-200602-I/en" TargetMode="External"/><Relationship Id="rId13" Type="http://schemas.openxmlformats.org/officeDocument/2006/relationships/hyperlink" Target="http://www.itu.int/rec/R-REC-F.1762-0-200602-I/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rec/R-REC-F.1761-0-200602-I/en" TargetMode="Externa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itu.int/rec/R-REC-M.1732/e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rec/R-REC-M.1677/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rec/R-REC-F.339-7-200602-I/en" TargetMode="External"/><Relationship Id="rId14" Type="http://schemas.openxmlformats.org/officeDocument/2006/relationships/hyperlink" Target="http://www.itu.int/rec/R-REC-F.1821-0-200709-I/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4</TotalTime>
  <Pages>4</Pages>
  <Words>1143</Words>
  <Characters>7127</Characters>
  <Application>Microsoft Office Word</Application>
  <DocSecurity>0</DocSecurity>
  <Lines>59</Lines>
  <Paragraphs>16</Paragraphs>
  <ScaleCrop>false</ScaleCrop>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subject/>
  <dc:creator>detraz</dc:creator>
  <cp:keywords/>
  <dc:description/>
  <cp:lastModifiedBy>Fernandez Virginia</cp:lastModifiedBy>
  <cp:revision>4</cp:revision>
  <cp:lastPrinted>2012-11-15T10:27:00Z</cp:lastPrinted>
  <dcterms:created xsi:type="dcterms:W3CDTF">2012-11-20T13:10:00Z</dcterms:created>
  <dcterms:modified xsi:type="dcterms:W3CDTF">2012-11-20T13:14:00Z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