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442E2">
        <w:trPr>
          <w:cantSplit/>
        </w:trPr>
        <w:tc>
          <w:tcPr>
            <w:tcW w:w="6629" w:type="dxa"/>
          </w:tcPr>
          <w:p w:rsidR="004442E2" w:rsidRPr="00016648" w:rsidRDefault="004442E2" w:rsidP="00AD26C8">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4442E2" w:rsidRDefault="004442E2" w:rsidP="00223DF9">
            <w:pPr>
              <w:spacing w:line="240" w:lineRule="atLeast"/>
              <w:jc w:val="right"/>
            </w:pPr>
            <w:bookmarkStart w:id="0" w:name="ditulogo"/>
            <w:bookmarkEnd w:id="0"/>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617BE4">
        <w:trPr>
          <w:cantSplit/>
        </w:trPr>
        <w:tc>
          <w:tcPr>
            <w:tcW w:w="6629" w:type="dxa"/>
            <w:tcBorders>
              <w:bottom w:val="single" w:sz="12" w:space="0" w:color="auto"/>
            </w:tcBorders>
          </w:tcPr>
          <w:p w:rsidR="004442E2" w:rsidRPr="00617BE4" w:rsidRDefault="004442E2" w:rsidP="004442E2">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4442E2" w:rsidRPr="00617BE4" w:rsidRDefault="004442E2" w:rsidP="004442E2">
            <w:pPr>
              <w:spacing w:before="0" w:line="240" w:lineRule="atLeast"/>
              <w:rPr>
                <w:rFonts w:ascii="Verdana" w:hAnsi="Verdana"/>
                <w:szCs w:val="24"/>
              </w:rPr>
            </w:pPr>
          </w:p>
        </w:tc>
      </w:tr>
      <w:tr w:rsidR="004442E2" w:rsidRPr="00C324A8">
        <w:trPr>
          <w:cantSplit/>
        </w:trPr>
        <w:tc>
          <w:tcPr>
            <w:tcW w:w="6629" w:type="dxa"/>
            <w:tcBorders>
              <w:top w:val="single" w:sz="12" w:space="0" w:color="auto"/>
            </w:tcBorders>
          </w:tcPr>
          <w:p w:rsidR="004442E2" w:rsidRPr="00C324A8" w:rsidRDefault="004442E2" w:rsidP="004442E2">
            <w:pPr>
              <w:spacing w:before="0" w:after="48" w:line="240" w:lineRule="atLeast"/>
              <w:rPr>
                <w:rFonts w:ascii="Verdana" w:hAnsi="Verdana"/>
                <w:b/>
                <w:smallCaps/>
                <w:sz w:val="20"/>
              </w:rPr>
            </w:pPr>
          </w:p>
        </w:tc>
        <w:tc>
          <w:tcPr>
            <w:tcW w:w="3402" w:type="dxa"/>
            <w:tcBorders>
              <w:top w:val="single" w:sz="12" w:space="0" w:color="auto"/>
            </w:tcBorders>
          </w:tcPr>
          <w:p w:rsidR="004442E2" w:rsidRPr="00C324A8" w:rsidRDefault="004442E2" w:rsidP="004442E2">
            <w:pPr>
              <w:spacing w:before="0" w:line="240" w:lineRule="atLeast"/>
              <w:rPr>
                <w:rFonts w:ascii="Verdana" w:hAnsi="Verdana"/>
                <w:sz w:val="20"/>
              </w:rPr>
            </w:pPr>
          </w:p>
        </w:tc>
      </w:tr>
      <w:tr w:rsidR="004442E2" w:rsidRPr="00C324A8">
        <w:trPr>
          <w:cantSplit/>
          <w:trHeight w:val="23"/>
        </w:trPr>
        <w:tc>
          <w:tcPr>
            <w:tcW w:w="6629" w:type="dxa"/>
            <w:vMerge w:val="restart"/>
          </w:tcPr>
          <w:p w:rsidR="004442E2" w:rsidRPr="004442E2" w:rsidRDefault="004442E2" w:rsidP="004442E2">
            <w:pPr>
              <w:tabs>
                <w:tab w:val="left" w:pos="851"/>
              </w:tabs>
              <w:spacing w:before="0" w:line="240" w:lineRule="atLeast"/>
              <w:rPr>
                <w:rFonts w:ascii="Verdana" w:hAnsi="Verdana"/>
                <w:sz w:val="20"/>
              </w:rPr>
            </w:pPr>
            <w:bookmarkStart w:id="2" w:name="dnum" w:colFirst="1" w:colLast="1"/>
            <w:bookmarkStart w:id="3" w:name="dmeeting" w:colFirst="0" w:colLast="0"/>
            <w:bookmarkStart w:id="4" w:name="dbluepink" w:colFirst="0" w:colLast="0"/>
            <w:bookmarkEnd w:id="1"/>
          </w:p>
        </w:tc>
        <w:tc>
          <w:tcPr>
            <w:tcW w:w="3402" w:type="dxa"/>
          </w:tcPr>
          <w:p w:rsidR="004442E2" w:rsidRPr="004442E2" w:rsidRDefault="006E6F42" w:rsidP="004442E2">
            <w:pPr>
              <w:tabs>
                <w:tab w:val="left" w:pos="851"/>
              </w:tabs>
              <w:spacing w:before="0" w:line="240" w:lineRule="atLeast"/>
              <w:rPr>
                <w:rFonts w:ascii="Verdana" w:hAnsi="Verdana"/>
                <w:sz w:val="20"/>
              </w:rPr>
            </w:pPr>
            <w:r>
              <w:rPr>
                <w:rFonts w:ascii="Verdana" w:hAnsi="Verdana"/>
                <w:b/>
                <w:sz w:val="20"/>
              </w:rPr>
              <w:t>Document 7/1001</w:t>
            </w:r>
            <w:r w:rsidR="004442E2">
              <w:rPr>
                <w:rFonts w:ascii="Verdana" w:hAnsi="Verdana"/>
                <w:b/>
                <w:sz w:val="20"/>
              </w:rPr>
              <w:t>-F</w:t>
            </w:r>
          </w:p>
        </w:tc>
      </w:tr>
      <w:tr w:rsidR="004442E2" w:rsidRPr="00C324A8">
        <w:trPr>
          <w:cantSplit/>
          <w:trHeight w:val="23"/>
        </w:trPr>
        <w:tc>
          <w:tcPr>
            <w:tcW w:w="6629" w:type="dxa"/>
            <w:vMerge/>
          </w:tcPr>
          <w:p w:rsidR="004442E2" w:rsidRPr="00C324A8" w:rsidRDefault="004442E2">
            <w:pPr>
              <w:tabs>
                <w:tab w:val="left" w:pos="851"/>
              </w:tabs>
              <w:spacing w:line="240" w:lineRule="atLeast"/>
              <w:rPr>
                <w:rFonts w:ascii="Verdana" w:hAnsi="Verdana"/>
                <w:b/>
                <w:sz w:val="20"/>
              </w:rPr>
            </w:pPr>
            <w:bookmarkStart w:id="5" w:name="ddate" w:colFirst="1" w:colLast="1"/>
            <w:bookmarkEnd w:id="2"/>
            <w:bookmarkEnd w:id="3"/>
          </w:p>
        </w:tc>
        <w:tc>
          <w:tcPr>
            <w:tcW w:w="3402" w:type="dxa"/>
          </w:tcPr>
          <w:p w:rsidR="004442E2" w:rsidRPr="004442E2" w:rsidRDefault="006E6F42" w:rsidP="004442E2">
            <w:pPr>
              <w:tabs>
                <w:tab w:val="left" w:pos="993"/>
              </w:tabs>
              <w:spacing w:before="0"/>
              <w:rPr>
                <w:rFonts w:ascii="Verdana" w:hAnsi="Verdana"/>
                <w:sz w:val="20"/>
              </w:rPr>
            </w:pPr>
            <w:r>
              <w:rPr>
                <w:rFonts w:ascii="Verdana" w:hAnsi="Verdana"/>
                <w:b/>
                <w:sz w:val="20"/>
              </w:rPr>
              <w:t>1er septembre</w:t>
            </w:r>
            <w:r w:rsidR="004442E2">
              <w:rPr>
                <w:rFonts w:ascii="Verdana" w:hAnsi="Verdana"/>
                <w:b/>
                <w:sz w:val="20"/>
              </w:rPr>
              <w:t xml:space="preserve"> 2015</w:t>
            </w:r>
          </w:p>
        </w:tc>
      </w:tr>
      <w:tr w:rsidR="004442E2" w:rsidRPr="00C324A8">
        <w:trPr>
          <w:cantSplit/>
          <w:trHeight w:val="23"/>
        </w:trPr>
        <w:tc>
          <w:tcPr>
            <w:tcW w:w="6629" w:type="dxa"/>
            <w:vMerge/>
          </w:tcPr>
          <w:p w:rsidR="004442E2" w:rsidRPr="00C324A8" w:rsidRDefault="004442E2">
            <w:pPr>
              <w:tabs>
                <w:tab w:val="left" w:pos="851"/>
              </w:tabs>
              <w:spacing w:line="240" w:lineRule="atLeast"/>
              <w:rPr>
                <w:rFonts w:ascii="Verdana" w:hAnsi="Verdana"/>
                <w:b/>
                <w:sz w:val="20"/>
              </w:rPr>
            </w:pPr>
            <w:bookmarkStart w:id="6" w:name="dorlang" w:colFirst="1" w:colLast="1"/>
            <w:bookmarkEnd w:id="5"/>
          </w:p>
        </w:tc>
        <w:tc>
          <w:tcPr>
            <w:tcW w:w="3402" w:type="dxa"/>
          </w:tcPr>
          <w:p w:rsidR="004442E2" w:rsidRPr="004442E2" w:rsidRDefault="004442E2" w:rsidP="004442E2">
            <w:pPr>
              <w:tabs>
                <w:tab w:val="left" w:pos="993"/>
              </w:tabs>
              <w:spacing w:before="0" w:after="120"/>
              <w:rPr>
                <w:rFonts w:ascii="Verdana" w:hAnsi="Verdana"/>
                <w:sz w:val="20"/>
              </w:rPr>
            </w:pPr>
          </w:p>
        </w:tc>
      </w:tr>
    </w:tbl>
    <w:tbl>
      <w:tblPr>
        <w:tblW w:w="20062" w:type="dxa"/>
        <w:tblLayout w:type="fixed"/>
        <w:tblLook w:val="0000" w:firstRow="0" w:lastRow="0" w:firstColumn="0" w:lastColumn="0" w:noHBand="0" w:noVBand="0"/>
      </w:tblPr>
      <w:tblGrid>
        <w:gridCol w:w="10031"/>
        <w:gridCol w:w="10031"/>
      </w:tblGrid>
      <w:tr w:rsidR="000C1C83" w:rsidTr="000C1C83">
        <w:trPr>
          <w:cantSplit/>
        </w:trPr>
        <w:tc>
          <w:tcPr>
            <w:tcW w:w="10031" w:type="dxa"/>
          </w:tcPr>
          <w:bookmarkEnd w:id="4"/>
          <w:bookmarkEnd w:id="6"/>
          <w:p w:rsidR="000C1C83" w:rsidRDefault="006E6F42" w:rsidP="00926C49">
            <w:pPr>
              <w:pStyle w:val="Source"/>
              <w:rPr>
                <w:lang w:val="fr-CH"/>
              </w:rPr>
            </w:pPr>
            <w:r>
              <w:rPr>
                <w:lang w:val="fr-CH"/>
              </w:rPr>
              <w:t xml:space="preserve">Président de la </w:t>
            </w:r>
            <w:r w:rsidR="000C1C83">
              <w:rPr>
                <w:lang w:val="fr-CH"/>
              </w:rPr>
              <w:t>Commission d</w:t>
            </w:r>
            <w:r w:rsidR="006042ED">
              <w:rPr>
                <w:lang w:val="fr-CH"/>
              </w:rPr>
              <w:t>'</w:t>
            </w:r>
            <w:r w:rsidR="000C1C83">
              <w:rPr>
                <w:lang w:val="fr-CH"/>
              </w:rPr>
              <w:t>études 7 des radiocommunications</w:t>
            </w:r>
          </w:p>
        </w:tc>
        <w:tc>
          <w:tcPr>
            <w:tcW w:w="10031" w:type="dxa"/>
          </w:tcPr>
          <w:p w:rsidR="000C1C83" w:rsidRDefault="000C1C83" w:rsidP="00926C49">
            <w:pPr>
              <w:pStyle w:val="Source"/>
              <w:rPr>
                <w:lang w:val="fr-CH"/>
              </w:rPr>
            </w:pPr>
            <w:bookmarkStart w:id="7" w:name="dsource" w:colFirst="0" w:colLast="0"/>
          </w:p>
        </w:tc>
      </w:tr>
      <w:tr w:rsidR="000C1C83" w:rsidTr="000C1C83">
        <w:trPr>
          <w:cantSplit/>
        </w:trPr>
        <w:tc>
          <w:tcPr>
            <w:tcW w:w="10031" w:type="dxa"/>
          </w:tcPr>
          <w:p w:rsidR="000C1C83" w:rsidRDefault="006E6F42" w:rsidP="00926C49">
            <w:pPr>
              <w:pStyle w:val="Title1"/>
              <w:rPr>
                <w:lang w:val="fr-CH"/>
              </w:rPr>
            </w:pPr>
            <w:bookmarkStart w:id="8" w:name="lt_pId006"/>
            <w:r w:rsidRPr="001F4B71">
              <w:t>RAPPORT DU PRÉSIDENT</w:t>
            </w:r>
            <w:bookmarkEnd w:id="8"/>
          </w:p>
        </w:tc>
        <w:tc>
          <w:tcPr>
            <w:tcW w:w="10031" w:type="dxa"/>
          </w:tcPr>
          <w:p w:rsidR="000C1C83" w:rsidRDefault="000C1C83" w:rsidP="00926C49">
            <w:pPr>
              <w:pStyle w:val="Title1"/>
              <w:rPr>
                <w:lang w:val="fr-CH"/>
              </w:rPr>
            </w:pPr>
            <w:bookmarkStart w:id="9" w:name="dtitle1" w:colFirst="0" w:colLast="0"/>
            <w:bookmarkEnd w:id="7"/>
          </w:p>
        </w:tc>
      </w:tr>
      <w:tr w:rsidR="000C1C83" w:rsidTr="000C1C83">
        <w:trPr>
          <w:cantSplit/>
        </w:trPr>
        <w:tc>
          <w:tcPr>
            <w:tcW w:w="10031" w:type="dxa"/>
          </w:tcPr>
          <w:p w:rsidR="000C1C83" w:rsidRDefault="006E6F42" w:rsidP="00926C49">
            <w:pPr>
              <w:pStyle w:val="Title2"/>
              <w:rPr>
                <w:lang w:val="fr-CH"/>
              </w:rPr>
            </w:pPr>
            <w:bookmarkStart w:id="10" w:name="lt_pId007"/>
            <w:r w:rsidRPr="001F4B71">
              <w:t>SERVICES SCIENTIFIQUES</w:t>
            </w:r>
            <w:bookmarkEnd w:id="10"/>
          </w:p>
        </w:tc>
        <w:tc>
          <w:tcPr>
            <w:tcW w:w="10031" w:type="dxa"/>
          </w:tcPr>
          <w:p w:rsidR="000C1C83" w:rsidRDefault="000C1C83" w:rsidP="00926C49">
            <w:pPr>
              <w:pStyle w:val="Title2"/>
              <w:rPr>
                <w:lang w:val="fr-CH"/>
              </w:rPr>
            </w:pPr>
            <w:bookmarkStart w:id="11" w:name="dtitle2" w:colFirst="0" w:colLast="0"/>
            <w:bookmarkEnd w:id="9"/>
          </w:p>
        </w:tc>
      </w:tr>
    </w:tbl>
    <w:bookmarkEnd w:id="11"/>
    <w:p w:rsidR="006042ED" w:rsidRPr="001D7F74" w:rsidRDefault="006042ED" w:rsidP="00926C49">
      <w:pPr>
        <w:pStyle w:val="Heading1"/>
      </w:pPr>
      <w:r w:rsidRPr="001D7F74">
        <w:t>1</w:t>
      </w:r>
      <w:r w:rsidRPr="001D7F74">
        <w:tab/>
      </w:r>
      <w:bookmarkStart w:id="12" w:name="lt_pId009"/>
      <w:r w:rsidRPr="001F4B71">
        <w:t>Introduction</w:t>
      </w:r>
      <w:bookmarkEnd w:id="12"/>
    </w:p>
    <w:p w:rsidR="006042ED" w:rsidRPr="002166F8" w:rsidRDefault="006042ED" w:rsidP="00926C49">
      <w:pPr>
        <w:rPr>
          <w:lang w:val="fr-CH"/>
        </w:rPr>
      </w:pPr>
      <w:bookmarkStart w:id="13" w:name="lt_pId010"/>
      <w:r w:rsidRPr="002166F8">
        <w:rPr>
          <w:lang w:val="fr-CH"/>
        </w:rPr>
        <w:t>Conformément à la Résolution UIT-R 4-6, la Commission d</w:t>
      </w:r>
      <w:r>
        <w:rPr>
          <w:lang w:val="fr-CH"/>
        </w:rPr>
        <w:t>'</w:t>
      </w:r>
      <w:r w:rsidRPr="002166F8">
        <w:rPr>
          <w:lang w:val="fr-CH"/>
        </w:rPr>
        <w:t>études 7 (CE 7) de l</w:t>
      </w:r>
      <w:r>
        <w:rPr>
          <w:lang w:val="fr-CH"/>
        </w:rPr>
        <w:t>'</w:t>
      </w:r>
      <w:r w:rsidRPr="002166F8">
        <w:rPr>
          <w:lang w:val="fr-CH"/>
        </w:rPr>
        <w:t xml:space="preserve">UIT-R étudie des </w:t>
      </w:r>
      <w:r>
        <w:rPr>
          <w:lang w:val="fr-CH"/>
        </w:rPr>
        <w:t>sujets intéressant les services scientifiques (é</w:t>
      </w:r>
      <w:r w:rsidRPr="002166F8">
        <w:rPr>
          <w:color w:val="000000"/>
          <w:lang w:val="fr-CH"/>
        </w:rPr>
        <w:t>missions de fréquences étalon et de signaux horaires</w:t>
      </w:r>
      <w:r>
        <w:rPr>
          <w:color w:val="000000"/>
          <w:lang w:val="fr-CH"/>
        </w:rPr>
        <w:t xml:space="preserve">, recherche spatiale, </w:t>
      </w:r>
      <w:r w:rsidRPr="002166F8">
        <w:rPr>
          <w:color w:val="000000"/>
          <w:lang w:val="fr-CH"/>
        </w:rPr>
        <w:t>exploration de la Terre par satellite</w:t>
      </w:r>
      <w:r>
        <w:rPr>
          <w:color w:val="000000"/>
          <w:lang w:val="fr-CH"/>
        </w:rPr>
        <w:t xml:space="preserve">, exploitation spatiale, météorologie, radioastronomie et radarastronomie). </w:t>
      </w:r>
      <w:r>
        <w:rPr>
          <w:lang w:val="fr-CH"/>
        </w:rPr>
        <w:t>Les Président et Vice-Présidents élus de la Commission d'études sont les suivants</w:t>
      </w:r>
      <w:r>
        <w:rPr>
          <w:color w:val="000000"/>
          <w:lang w:val="fr-CH"/>
        </w:rPr>
        <w:t>:</w:t>
      </w:r>
    </w:p>
    <w:p w:rsidR="006042ED" w:rsidRPr="00FC788D" w:rsidRDefault="006042ED" w:rsidP="00926C49">
      <w:pPr>
        <w:rPr>
          <w:lang w:val="fr-CH"/>
        </w:rPr>
      </w:pPr>
      <w:bookmarkStart w:id="14" w:name="lt_pId012"/>
      <w:bookmarkEnd w:id="13"/>
      <w:r w:rsidRPr="001F4B71">
        <w:rPr>
          <w:lang w:val="fr-CH"/>
        </w:rPr>
        <w:t>Président:</w:t>
      </w:r>
      <w:bookmarkEnd w:id="14"/>
      <w:r w:rsidRPr="00FC788D">
        <w:rPr>
          <w:lang w:val="fr-CH"/>
        </w:rPr>
        <w:tab/>
      </w:r>
      <w:r w:rsidRPr="00FC788D">
        <w:rPr>
          <w:lang w:val="fr-CH"/>
        </w:rPr>
        <w:tab/>
      </w:r>
      <w:r w:rsidRPr="00FC788D">
        <w:rPr>
          <w:lang w:val="fr-CH"/>
        </w:rPr>
        <w:tab/>
      </w:r>
      <w:bookmarkStart w:id="15" w:name="lt_pId013"/>
      <w:r w:rsidRPr="001F4B71">
        <w:rPr>
          <w:lang w:val="fr-CH"/>
        </w:rPr>
        <w:t>M. V.</w:t>
      </w:r>
      <w:bookmarkEnd w:id="15"/>
      <w:r w:rsidRPr="00FC788D">
        <w:rPr>
          <w:lang w:val="fr-CH"/>
        </w:rPr>
        <w:t xml:space="preserve"> </w:t>
      </w:r>
      <w:bookmarkStart w:id="16" w:name="lt_pId014"/>
      <w:r w:rsidRPr="001F4B71">
        <w:rPr>
          <w:lang w:val="fr-CH"/>
        </w:rPr>
        <w:t>MEENS</w:t>
      </w:r>
      <w:bookmarkEnd w:id="16"/>
      <w:r w:rsidRPr="00FC788D">
        <w:rPr>
          <w:lang w:val="fr-CH"/>
        </w:rPr>
        <w:tab/>
      </w:r>
      <w:r w:rsidRPr="00FC788D">
        <w:rPr>
          <w:lang w:val="fr-CH"/>
        </w:rPr>
        <w:tab/>
      </w:r>
      <w:r w:rsidRPr="00FC788D">
        <w:rPr>
          <w:lang w:val="fr-CH"/>
        </w:rPr>
        <w:tab/>
      </w:r>
      <w:bookmarkStart w:id="17" w:name="lt_pId017"/>
      <w:r w:rsidRPr="001F4B71">
        <w:rPr>
          <w:lang w:val="fr-CH"/>
        </w:rPr>
        <w:t>(France)</w:t>
      </w:r>
      <w:bookmarkEnd w:id="17"/>
    </w:p>
    <w:p w:rsidR="006042ED" w:rsidRPr="00EA7DAB" w:rsidRDefault="006042ED" w:rsidP="00926C49">
      <w:pPr>
        <w:ind w:left="2265" w:hanging="2265"/>
        <w:rPr>
          <w:lang w:val="fr-CH"/>
        </w:rPr>
      </w:pPr>
      <w:bookmarkStart w:id="18" w:name="lt_pId018"/>
      <w:r w:rsidRPr="001F4B71">
        <w:rPr>
          <w:lang w:val="fr-CH"/>
        </w:rPr>
        <w:t>Vice-Présidents:</w:t>
      </w:r>
      <w:bookmarkEnd w:id="18"/>
      <w:r w:rsidRPr="00EA7DAB">
        <w:rPr>
          <w:lang w:val="fr-CH"/>
        </w:rPr>
        <w:tab/>
      </w:r>
      <w:r w:rsidRPr="00EA7DAB">
        <w:rPr>
          <w:lang w:val="fr-CH"/>
        </w:rPr>
        <w:tab/>
      </w:r>
      <w:r w:rsidRPr="00EA7DAB">
        <w:rPr>
          <w:lang w:val="fr-CH"/>
        </w:rPr>
        <w:tab/>
      </w:r>
      <w:bookmarkStart w:id="19" w:name="lt_pId019"/>
      <w:r w:rsidRPr="001F4B71">
        <w:rPr>
          <w:lang w:val="fr-CH"/>
        </w:rPr>
        <w:t>M. A.</w:t>
      </w:r>
      <w:bookmarkEnd w:id="19"/>
      <w:r w:rsidRPr="00EA7DAB">
        <w:rPr>
          <w:lang w:val="fr-CH"/>
        </w:rPr>
        <w:t xml:space="preserve"> </w:t>
      </w:r>
      <w:bookmarkStart w:id="20" w:name="lt_pId020"/>
      <w:r w:rsidRPr="00EA7DAB">
        <w:rPr>
          <w:lang w:val="fr-CH"/>
        </w:rPr>
        <w:t>AL-ARAIMI</w:t>
      </w:r>
      <w:bookmarkEnd w:id="20"/>
      <w:r w:rsidRPr="00EA7DAB">
        <w:rPr>
          <w:lang w:val="fr-CH"/>
        </w:rPr>
        <w:tab/>
      </w:r>
      <w:r w:rsidRPr="00EA7DAB">
        <w:rPr>
          <w:lang w:val="fr-CH"/>
        </w:rPr>
        <w:tab/>
      </w:r>
      <w:r w:rsidRPr="00EA7DAB">
        <w:rPr>
          <w:lang w:val="fr-CH"/>
        </w:rPr>
        <w:tab/>
      </w:r>
      <w:bookmarkStart w:id="21" w:name="lt_pId023"/>
      <w:r>
        <w:rPr>
          <w:lang w:val="fr-CH"/>
        </w:rPr>
        <w:t>(</w:t>
      </w:r>
      <w:r w:rsidRPr="001F4B71">
        <w:rPr>
          <w:lang w:val="fr-CH"/>
        </w:rPr>
        <w:t>Sultanat d</w:t>
      </w:r>
      <w:r>
        <w:rPr>
          <w:lang w:val="fr-CH"/>
        </w:rPr>
        <w:t>'</w:t>
      </w:r>
      <w:r w:rsidRPr="001F4B71">
        <w:rPr>
          <w:lang w:val="fr-CH"/>
        </w:rPr>
        <w:t>Oman</w:t>
      </w:r>
      <w:bookmarkEnd w:id="21"/>
      <w:r>
        <w:rPr>
          <w:lang w:val="fr-CH"/>
        </w:rPr>
        <w:t xml:space="preserve">) </w:t>
      </w:r>
      <w:r w:rsidRPr="00EA7DAB">
        <w:rPr>
          <w:lang w:val="fr-CH"/>
        </w:rPr>
        <w:br/>
      </w:r>
      <w:bookmarkStart w:id="22" w:name="lt_pId024"/>
      <w:r w:rsidRPr="00EA7DAB">
        <w:rPr>
          <w:lang w:val="fr-CH"/>
        </w:rPr>
        <w:t>M. H.-S.</w:t>
      </w:r>
      <w:bookmarkEnd w:id="22"/>
      <w:r w:rsidRPr="00EA7DAB">
        <w:rPr>
          <w:lang w:val="fr-CH"/>
        </w:rPr>
        <w:t xml:space="preserve"> </w:t>
      </w:r>
      <w:bookmarkStart w:id="23" w:name="lt_pId025"/>
      <w:r w:rsidRPr="00EA7DAB">
        <w:rPr>
          <w:lang w:val="fr-CH"/>
        </w:rPr>
        <w:t>CHUNG</w:t>
      </w:r>
      <w:bookmarkEnd w:id="23"/>
      <w:r w:rsidRPr="00EA7DAB">
        <w:rPr>
          <w:lang w:val="fr-CH"/>
        </w:rPr>
        <w:tab/>
      </w:r>
      <w:r w:rsidRPr="00EA7DAB">
        <w:rPr>
          <w:lang w:val="fr-CH"/>
        </w:rPr>
        <w:tab/>
      </w:r>
      <w:r w:rsidRPr="00EA7DAB">
        <w:rPr>
          <w:lang w:val="fr-CH"/>
        </w:rPr>
        <w:tab/>
      </w:r>
      <w:bookmarkStart w:id="24" w:name="lt_pId028"/>
      <w:r>
        <w:rPr>
          <w:lang w:val="fr-CH"/>
        </w:rPr>
        <w:t>(République de Corée)</w:t>
      </w:r>
      <w:bookmarkEnd w:id="24"/>
      <w:r w:rsidRPr="00EA7DAB">
        <w:rPr>
          <w:lang w:val="fr-CH"/>
        </w:rPr>
        <w:br/>
      </w:r>
      <w:r w:rsidRPr="00EA7DAB">
        <w:rPr>
          <w:lang w:val="fr-CH"/>
        </w:rPr>
        <w:tab/>
      </w:r>
      <w:bookmarkStart w:id="25" w:name="lt_pId030"/>
      <w:r w:rsidRPr="00EA7DAB">
        <w:rPr>
          <w:lang w:val="fr-CH"/>
        </w:rPr>
        <w:t>M. U.K. SRIVASTAVA</w:t>
      </w:r>
      <w:bookmarkEnd w:id="25"/>
      <w:r w:rsidRPr="00EA7DAB">
        <w:rPr>
          <w:lang w:val="fr-CH"/>
        </w:rPr>
        <w:tab/>
      </w:r>
      <w:r w:rsidRPr="00EA7DAB">
        <w:rPr>
          <w:lang w:val="fr-CH"/>
        </w:rPr>
        <w:tab/>
      </w:r>
      <w:bookmarkStart w:id="26" w:name="lt_pId032"/>
      <w:r w:rsidRPr="001F4B71">
        <w:rPr>
          <w:lang w:val="fr-CH"/>
        </w:rPr>
        <w:t>(République de l</w:t>
      </w:r>
      <w:r>
        <w:rPr>
          <w:lang w:val="fr-CH"/>
        </w:rPr>
        <w:t>'</w:t>
      </w:r>
      <w:r w:rsidRPr="001F4B71">
        <w:rPr>
          <w:lang w:val="fr-CH"/>
        </w:rPr>
        <w:t>Inde</w:t>
      </w:r>
      <w:bookmarkEnd w:id="26"/>
      <w:r w:rsidRPr="001F4B71">
        <w:rPr>
          <w:lang w:val="fr-CH"/>
        </w:rPr>
        <w:t xml:space="preserve">) </w:t>
      </w:r>
      <w:r w:rsidRPr="00EA7DAB">
        <w:rPr>
          <w:lang w:val="fr-CH"/>
        </w:rPr>
        <w:br/>
      </w:r>
      <w:bookmarkStart w:id="27" w:name="lt_pId033"/>
      <w:r w:rsidRPr="001F4B71">
        <w:rPr>
          <w:lang w:val="fr-CH"/>
        </w:rPr>
        <w:t>M. A.V. VASSILIEV</w:t>
      </w:r>
      <w:bookmarkEnd w:id="27"/>
      <w:r w:rsidRPr="00EA7DAB">
        <w:rPr>
          <w:lang w:val="fr-CH"/>
        </w:rPr>
        <w:tab/>
      </w:r>
      <w:r w:rsidRPr="00EA7DAB">
        <w:rPr>
          <w:lang w:val="fr-CH"/>
        </w:rPr>
        <w:tab/>
      </w:r>
      <w:bookmarkStart w:id="28" w:name="lt_pId035"/>
      <w:r>
        <w:rPr>
          <w:lang w:val="fr-CH"/>
        </w:rPr>
        <w:t>(</w:t>
      </w:r>
      <w:r w:rsidRPr="001F4B71">
        <w:rPr>
          <w:lang w:val="fr-CH"/>
        </w:rPr>
        <w:t>Fédération de Russie</w:t>
      </w:r>
      <w:bookmarkEnd w:id="28"/>
      <w:r>
        <w:rPr>
          <w:lang w:val="fr-CH"/>
        </w:rPr>
        <w:t xml:space="preserve">) </w:t>
      </w:r>
      <w:r w:rsidRPr="00EA7DAB">
        <w:rPr>
          <w:lang w:val="fr-CH"/>
        </w:rPr>
        <w:br/>
      </w:r>
      <w:bookmarkStart w:id="29" w:name="lt_pId036"/>
      <w:r w:rsidRPr="001F4B71">
        <w:rPr>
          <w:lang w:val="fr-CH"/>
        </w:rPr>
        <w:t>M. J.</w:t>
      </w:r>
      <w:bookmarkEnd w:id="29"/>
      <w:r w:rsidRPr="00EA7DAB">
        <w:rPr>
          <w:lang w:val="fr-CH"/>
        </w:rPr>
        <w:t xml:space="preserve"> </w:t>
      </w:r>
      <w:bookmarkStart w:id="30" w:name="lt_pId037"/>
      <w:r>
        <w:rPr>
          <w:lang w:val="fr-CH"/>
        </w:rPr>
        <w:t>ZUZEK</w:t>
      </w:r>
      <w:bookmarkEnd w:id="30"/>
      <w:r w:rsidRPr="00EA7DAB">
        <w:rPr>
          <w:lang w:val="fr-CH"/>
        </w:rPr>
        <w:tab/>
      </w:r>
      <w:r w:rsidRPr="00EA7DAB">
        <w:rPr>
          <w:lang w:val="fr-CH"/>
        </w:rPr>
        <w:tab/>
      </w:r>
      <w:r w:rsidRPr="00EA7DAB">
        <w:rPr>
          <w:lang w:val="fr-CH"/>
        </w:rPr>
        <w:tab/>
      </w:r>
      <w:bookmarkStart w:id="31" w:name="lt_pId040"/>
      <w:r>
        <w:rPr>
          <w:lang w:val="fr-CH"/>
        </w:rPr>
        <w:tab/>
        <w:t>(E</w:t>
      </w:r>
      <w:r w:rsidRPr="001F4B71">
        <w:rPr>
          <w:lang w:val="fr-CH"/>
        </w:rPr>
        <w:t>tats-Unis d</w:t>
      </w:r>
      <w:r>
        <w:rPr>
          <w:lang w:val="fr-CH"/>
        </w:rPr>
        <w:t>'</w:t>
      </w:r>
      <w:r w:rsidRPr="001F4B71">
        <w:rPr>
          <w:lang w:val="fr-CH"/>
        </w:rPr>
        <w:t>Amérique</w:t>
      </w:r>
      <w:bookmarkEnd w:id="31"/>
      <w:r>
        <w:rPr>
          <w:lang w:val="fr-CH"/>
        </w:rPr>
        <w:t>)</w:t>
      </w:r>
    </w:p>
    <w:p w:rsidR="006042ED" w:rsidRPr="00782AD8" w:rsidRDefault="006042ED" w:rsidP="00926C49">
      <w:pPr>
        <w:rPr>
          <w:lang w:val="fr-CH"/>
        </w:rPr>
      </w:pPr>
      <w:bookmarkStart w:id="32" w:name="lt_pId041"/>
      <w:r w:rsidRPr="00CA0A0E">
        <w:rPr>
          <w:lang w:val="fr-CH"/>
        </w:rPr>
        <w:t>Afin de mener efficacement les études dont elle est chargée</w:t>
      </w:r>
      <w:r w:rsidRPr="00782AD8">
        <w:rPr>
          <w:lang w:val="fr-CH"/>
        </w:rPr>
        <w:t xml:space="preserve">, la </w:t>
      </w:r>
      <w:r>
        <w:rPr>
          <w:lang w:val="fr-CH"/>
        </w:rPr>
        <w:t>CE </w:t>
      </w:r>
      <w:r w:rsidRPr="00782AD8">
        <w:rPr>
          <w:lang w:val="fr-CH"/>
        </w:rPr>
        <w:t xml:space="preserve">7 </w:t>
      </w:r>
      <w:r w:rsidRPr="00CA0A0E">
        <w:rPr>
          <w:lang w:val="fr-CH"/>
        </w:rPr>
        <w:t xml:space="preserve">confie les études </w:t>
      </w:r>
      <w:r>
        <w:rPr>
          <w:lang w:val="fr-CH"/>
        </w:rPr>
        <w:t>concrètes</w:t>
      </w:r>
      <w:r w:rsidRPr="00CA0A0E">
        <w:rPr>
          <w:lang w:val="fr-CH"/>
        </w:rPr>
        <w:t xml:space="preserve"> à l</w:t>
      </w:r>
      <w:r>
        <w:rPr>
          <w:lang w:val="fr-CH"/>
        </w:rPr>
        <w:t>'</w:t>
      </w:r>
      <w:r w:rsidRPr="00CA0A0E">
        <w:rPr>
          <w:lang w:val="fr-CH"/>
        </w:rPr>
        <w:t>un des quatre Groupes de travail (GT) suivants:</w:t>
      </w:r>
    </w:p>
    <w:p w:rsidR="006042ED" w:rsidRPr="00BB3830" w:rsidRDefault="006042ED" w:rsidP="00926C49">
      <w:pPr>
        <w:spacing w:before="80"/>
        <w:rPr>
          <w:lang w:val="fr-CH"/>
        </w:rPr>
      </w:pPr>
      <w:bookmarkStart w:id="33" w:name="lt_pId042"/>
      <w:bookmarkEnd w:id="32"/>
      <w:r w:rsidRPr="00BB3830">
        <w:rPr>
          <w:lang w:val="fr-CH"/>
        </w:rPr>
        <w:t xml:space="preserve">GT 7A – </w:t>
      </w:r>
      <w:r>
        <w:rPr>
          <w:color w:val="000000"/>
          <w:lang w:val="fr-CH"/>
        </w:rPr>
        <w:t>E</w:t>
      </w:r>
      <w:r w:rsidRPr="00BB3830">
        <w:rPr>
          <w:color w:val="000000"/>
          <w:lang w:val="fr-CH"/>
        </w:rPr>
        <w:t>missions de fréquences étalon et de signaux horaires</w:t>
      </w:r>
      <w:r w:rsidRPr="00BB3830">
        <w:rPr>
          <w:lang w:val="fr-CH"/>
        </w:rPr>
        <w:t xml:space="preserve">, </w:t>
      </w:r>
      <w:r>
        <w:rPr>
          <w:lang w:val="fr-CH"/>
        </w:rPr>
        <w:t>présidé par</w:t>
      </w:r>
      <w:r w:rsidRPr="00BB3830">
        <w:rPr>
          <w:lang w:val="fr-CH"/>
        </w:rPr>
        <w:t xml:space="preserve"> </w:t>
      </w:r>
      <w:r>
        <w:rPr>
          <w:lang w:val="fr-CH"/>
        </w:rPr>
        <w:t>M. Ronald </w:t>
      </w:r>
      <w:r w:rsidRPr="00BB3830">
        <w:rPr>
          <w:lang w:val="fr-CH"/>
        </w:rPr>
        <w:t>BEARD (</w:t>
      </w:r>
      <w:r>
        <w:rPr>
          <w:lang w:val="fr-CH"/>
        </w:rPr>
        <w:t>Etats-Unis</w:t>
      </w:r>
      <w:r w:rsidRPr="00BB3830">
        <w:rPr>
          <w:lang w:val="fr-CH"/>
        </w:rPr>
        <w:t>)</w:t>
      </w:r>
      <w:bookmarkEnd w:id="33"/>
    </w:p>
    <w:p w:rsidR="006042ED" w:rsidRPr="00BB3830" w:rsidRDefault="006042ED" w:rsidP="00926C49">
      <w:pPr>
        <w:spacing w:before="80"/>
        <w:rPr>
          <w:lang w:val="fr-CH"/>
        </w:rPr>
      </w:pPr>
      <w:bookmarkStart w:id="34" w:name="lt_pId043"/>
      <w:r w:rsidRPr="00BB3830">
        <w:rPr>
          <w:lang w:val="fr-CH"/>
        </w:rPr>
        <w:t xml:space="preserve">GT 7B – </w:t>
      </w:r>
      <w:r w:rsidRPr="0015264F">
        <w:rPr>
          <w:color w:val="000000"/>
          <w:lang w:val="fr-CH"/>
        </w:rPr>
        <w:t>Applications des radiocommunications spatiales</w:t>
      </w:r>
      <w:r w:rsidRPr="00BB3830">
        <w:rPr>
          <w:lang w:val="fr-CH"/>
        </w:rPr>
        <w:t xml:space="preserve">, </w:t>
      </w:r>
      <w:r>
        <w:rPr>
          <w:lang w:val="fr-CH"/>
        </w:rPr>
        <w:t>présidé par</w:t>
      </w:r>
      <w:r w:rsidRPr="00BB3830">
        <w:rPr>
          <w:lang w:val="fr-CH"/>
        </w:rPr>
        <w:t xml:space="preserve"> </w:t>
      </w:r>
      <w:r>
        <w:rPr>
          <w:lang w:val="fr-CH"/>
        </w:rPr>
        <w:t>M. Bradford </w:t>
      </w:r>
      <w:r w:rsidRPr="00BB3830">
        <w:rPr>
          <w:lang w:val="fr-CH"/>
        </w:rPr>
        <w:t>KAUFMAN (</w:t>
      </w:r>
      <w:r>
        <w:rPr>
          <w:lang w:val="fr-CH"/>
        </w:rPr>
        <w:t>Etats-Unis</w:t>
      </w:r>
      <w:r w:rsidRPr="00BB3830">
        <w:rPr>
          <w:lang w:val="fr-CH"/>
        </w:rPr>
        <w:t>)</w:t>
      </w:r>
      <w:bookmarkEnd w:id="34"/>
    </w:p>
    <w:p w:rsidR="006042ED" w:rsidRPr="00FF618C" w:rsidRDefault="006042ED" w:rsidP="00926C49">
      <w:pPr>
        <w:spacing w:before="80"/>
        <w:rPr>
          <w:lang w:val="fr-CH"/>
        </w:rPr>
      </w:pPr>
      <w:bookmarkStart w:id="35" w:name="lt_pId044"/>
      <w:r w:rsidRPr="00FF618C">
        <w:rPr>
          <w:lang w:val="fr-CH"/>
        </w:rPr>
        <w:t xml:space="preserve">GT 7C – </w:t>
      </w:r>
      <w:r w:rsidRPr="0015264F">
        <w:rPr>
          <w:color w:val="000000"/>
          <w:lang w:val="fr-CH"/>
        </w:rPr>
        <w:t>Systèmes de télédétection</w:t>
      </w:r>
      <w:r w:rsidRPr="00FF618C">
        <w:rPr>
          <w:lang w:val="fr-CH"/>
        </w:rPr>
        <w:t xml:space="preserve">, </w:t>
      </w:r>
      <w:r>
        <w:rPr>
          <w:lang w:val="fr-CH"/>
        </w:rPr>
        <w:t>présidé par</w:t>
      </w:r>
      <w:r w:rsidRPr="00FF618C">
        <w:rPr>
          <w:lang w:val="fr-CH"/>
        </w:rPr>
        <w:t xml:space="preserve"> </w:t>
      </w:r>
      <w:r>
        <w:rPr>
          <w:lang w:val="fr-CH"/>
        </w:rPr>
        <w:t>M. Edoardo </w:t>
      </w:r>
      <w:r w:rsidRPr="00FF618C">
        <w:rPr>
          <w:lang w:val="fr-CH"/>
        </w:rPr>
        <w:t>MARELLI (ESA)</w:t>
      </w:r>
      <w:bookmarkEnd w:id="35"/>
    </w:p>
    <w:p w:rsidR="006042ED" w:rsidRPr="00FF618C" w:rsidRDefault="006042ED" w:rsidP="00926C49">
      <w:pPr>
        <w:spacing w:before="80"/>
        <w:rPr>
          <w:lang w:val="fr-CH"/>
        </w:rPr>
      </w:pPr>
      <w:bookmarkStart w:id="36" w:name="lt_pId045"/>
      <w:r w:rsidRPr="00FF618C">
        <w:rPr>
          <w:lang w:val="fr-CH"/>
        </w:rPr>
        <w:t>GT</w:t>
      </w:r>
      <w:r>
        <w:rPr>
          <w:lang w:val="fr-CH"/>
        </w:rPr>
        <w:t xml:space="preserve"> 7D – Radioastronomie</w:t>
      </w:r>
      <w:r w:rsidRPr="00FF618C">
        <w:rPr>
          <w:lang w:val="fr-CH"/>
        </w:rPr>
        <w:t xml:space="preserve">, </w:t>
      </w:r>
      <w:r>
        <w:rPr>
          <w:lang w:val="fr-CH"/>
        </w:rPr>
        <w:t>présidé par</w:t>
      </w:r>
      <w:r w:rsidRPr="00FF618C">
        <w:rPr>
          <w:lang w:val="fr-CH"/>
        </w:rPr>
        <w:t xml:space="preserve"> </w:t>
      </w:r>
      <w:r>
        <w:rPr>
          <w:lang w:val="fr-CH"/>
        </w:rPr>
        <w:t>M. Anastasios </w:t>
      </w:r>
      <w:r w:rsidRPr="00FF618C">
        <w:rPr>
          <w:lang w:val="fr-CH"/>
        </w:rPr>
        <w:t>TZIOUMIS (</w:t>
      </w:r>
      <w:r>
        <w:rPr>
          <w:lang w:val="fr-CH"/>
        </w:rPr>
        <w:t>Australie</w:t>
      </w:r>
      <w:r w:rsidRPr="00FF618C">
        <w:rPr>
          <w:lang w:val="fr-CH"/>
        </w:rPr>
        <w:t>)</w:t>
      </w:r>
      <w:bookmarkEnd w:id="36"/>
    </w:p>
    <w:p w:rsidR="006042ED" w:rsidRPr="00B01278" w:rsidRDefault="006042ED" w:rsidP="00926C49">
      <w:pPr>
        <w:pStyle w:val="Heading1"/>
        <w:rPr>
          <w:lang w:val="fr-CH"/>
        </w:rPr>
      </w:pPr>
      <w:r w:rsidRPr="00B01278">
        <w:rPr>
          <w:lang w:val="fr-CH"/>
        </w:rPr>
        <w:t>2</w:t>
      </w:r>
      <w:r w:rsidRPr="00B01278">
        <w:rPr>
          <w:lang w:val="fr-CH"/>
        </w:rPr>
        <w:tab/>
      </w:r>
      <w:bookmarkStart w:id="37" w:name="lt_pId047"/>
      <w:r w:rsidRPr="001F4B71">
        <w:rPr>
          <w:lang w:val="fr-CH"/>
        </w:rPr>
        <w:t>Transparence</w:t>
      </w:r>
      <w:bookmarkEnd w:id="37"/>
    </w:p>
    <w:p w:rsidR="006042ED" w:rsidRPr="008238A5" w:rsidRDefault="006042ED" w:rsidP="00926C49">
      <w:pPr>
        <w:rPr>
          <w:lang w:val="fr-CH"/>
        </w:rPr>
      </w:pPr>
      <w:r w:rsidRPr="007C00FE">
        <w:rPr>
          <w:lang w:val="fr-CH"/>
        </w:rPr>
        <w:t xml:space="preserve">La gestion de la </w:t>
      </w:r>
      <w:r>
        <w:rPr>
          <w:lang w:val="fr-CH"/>
        </w:rPr>
        <w:t xml:space="preserve">Commission d'études 7 </w:t>
      </w:r>
      <w:r w:rsidRPr="007C00FE">
        <w:rPr>
          <w:lang w:val="fr-CH"/>
        </w:rPr>
        <w:t xml:space="preserve">est </w:t>
      </w:r>
      <w:r>
        <w:rPr>
          <w:lang w:val="fr-CH"/>
        </w:rPr>
        <w:t xml:space="preserve">supervisée par </w:t>
      </w:r>
      <w:r w:rsidRPr="007C00FE">
        <w:rPr>
          <w:color w:val="000000"/>
          <w:lang w:val="fr-CH"/>
        </w:rPr>
        <w:t xml:space="preserve">le Groupe </w:t>
      </w:r>
      <w:r w:rsidRPr="007A3935">
        <w:rPr>
          <w:lang w:val="fr-CH"/>
        </w:rPr>
        <w:t xml:space="preserve">de direction </w:t>
      </w:r>
      <w:r>
        <w:rPr>
          <w:color w:val="000000"/>
          <w:lang w:val="fr-CH"/>
        </w:rPr>
        <w:t xml:space="preserve">de la CE, composé du Président et des Vice-Présidents de la </w:t>
      </w:r>
      <w:r>
        <w:rPr>
          <w:lang w:val="fr-CH"/>
        </w:rPr>
        <w:t xml:space="preserve">CE et des Présidents des GT, </w:t>
      </w:r>
      <w:r w:rsidRPr="007A3935">
        <w:rPr>
          <w:lang w:val="fr-CH"/>
        </w:rPr>
        <w:t>auquel le Conseiller du BR donne des avis</w:t>
      </w:r>
      <w:r>
        <w:rPr>
          <w:color w:val="000000"/>
          <w:lang w:val="fr-CH"/>
        </w:rPr>
        <w:t xml:space="preserve">. </w:t>
      </w:r>
      <w:r w:rsidRPr="007A3935">
        <w:rPr>
          <w:lang w:val="fr-CH"/>
        </w:rPr>
        <w:t>Les décisions du Groupe de direction sont présentées à l</w:t>
      </w:r>
      <w:r>
        <w:rPr>
          <w:lang w:val="fr-CH"/>
        </w:rPr>
        <w:t>'</w:t>
      </w:r>
      <w:r w:rsidRPr="007A3935">
        <w:rPr>
          <w:lang w:val="fr-CH"/>
        </w:rPr>
        <w:t>ensemble de la Commission d</w:t>
      </w:r>
      <w:r>
        <w:rPr>
          <w:lang w:val="fr-CH"/>
        </w:rPr>
        <w:t>'</w:t>
      </w:r>
      <w:r w:rsidRPr="007A3935">
        <w:rPr>
          <w:lang w:val="fr-CH"/>
        </w:rPr>
        <w:t xml:space="preserve">études pour </w:t>
      </w:r>
      <w:r>
        <w:rPr>
          <w:lang w:val="fr-CH"/>
        </w:rPr>
        <w:t xml:space="preserve">que les </w:t>
      </w:r>
      <w:r w:rsidRPr="007A3935">
        <w:rPr>
          <w:lang w:val="fr-CH"/>
        </w:rPr>
        <w:t>participants</w:t>
      </w:r>
      <w:r>
        <w:rPr>
          <w:lang w:val="fr-CH"/>
        </w:rPr>
        <w:t xml:space="preserve"> les approuvent</w:t>
      </w:r>
      <w:r>
        <w:rPr>
          <w:color w:val="000000"/>
          <w:lang w:val="fr-CH"/>
        </w:rPr>
        <w:t xml:space="preserve">. Le Groupe </w:t>
      </w:r>
      <w:r w:rsidRPr="007A3935">
        <w:rPr>
          <w:lang w:val="fr-CH"/>
        </w:rPr>
        <w:t xml:space="preserve">de direction </w:t>
      </w:r>
      <w:r>
        <w:rPr>
          <w:color w:val="000000"/>
          <w:lang w:val="fr-CH"/>
        </w:rPr>
        <w:t xml:space="preserve">se réunit au moins une fois pendant la réunion de la CE et les réunions des GT </w:t>
      </w:r>
      <w:r w:rsidRPr="007A3935">
        <w:rPr>
          <w:lang w:val="fr-CH"/>
        </w:rPr>
        <w:t>et effectue certains travaux préparatoires par courrier électronique.</w:t>
      </w:r>
    </w:p>
    <w:p w:rsidR="006042ED" w:rsidRPr="00B01278" w:rsidRDefault="006042ED" w:rsidP="00926C49">
      <w:pPr>
        <w:pStyle w:val="Heading1"/>
        <w:rPr>
          <w:lang w:val="fr-CH"/>
        </w:rPr>
      </w:pPr>
      <w:r w:rsidRPr="00B01278">
        <w:rPr>
          <w:lang w:val="fr-CH"/>
        </w:rPr>
        <w:lastRenderedPageBreak/>
        <w:t>3</w:t>
      </w:r>
      <w:r w:rsidRPr="00B01278">
        <w:rPr>
          <w:lang w:val="fr-CH"/>
        </w:rPr>
        <w:tab/>
      </w:r>
      <w:bookmarkStart w:id="38" w:name="lt_pId053"/>
      <w:r w:rsidRPr="001F4B71">
        <w:rPr>
          <w:lang w:val="fr-CH"/>
        </w:rPr>
        <w:t>Réunions</w:t>
      </w:r>
      <w:bookmarkEnd w:id="38"/>
    </w:p>
    <w:p w:rsidR="006042ED" w:rsidRDefault="006042ED" w:rsidP="00926C49">
      <w:pPr>
        <w:rPr>
          <w:lang w:val="fr-CH"/>
        </w:rPr>
      </w:pPr>
      <w:r w:rsidRPr="00240CAB">
        <w:rPr>
          <w:lang w:val="fr-CH"/>
        </w:rPr>
        <w:t>Pendant la période couverte par le rapport</w:t>
      </w:r>
      <w:r>
        <w:rPr>
          <w:lang w:val="fr-CH"/>
        </w:rPr>
        <w:t xml:space="preserve"> (</w:t>
      </w:r>
      <w:r w:rsidRPr="00906188">
        <w:rPr>
          <w:lang w:val="fr-CH"/>
        </w:rPr>
        <w:t xml:space="preserve">20 janvier 2012 </w:t>
      </w:r>
      <w:r>
        <w:rPr>
          <w:lang w:val="fr-CH"/>
        </w:rPr>
        <w:t xml:space="preserve">– </w:t>
      </w:r>
      <w:r w:rsidRPr="00906188">
        <w:rPr>
          <w:lang w:val="fr-CH"/>
        </w:rPr>
        <w:t>26 octobre 2015</w:t>
      </w:r>
      <w:r>
        <w:rPr>
          <w:lang w:val="fr-CH"/>
        </w:rPr>
        <w:t>)</w:t>
      </w:r>
      <w:r w:rsidRPr="00906188">
        <w:rPr>
          <w:lang w:val="fr-CH"/>
        </w:rPr>
        <w:t xml:space="preserve">, la CE 7 </w:t>
      </w:r>
      <w:r>
        <w:rPr>
          <w:lang w:val="fr-CH"/>
        </w:rPr>
        <w:t>a tenu</w:t>
      </w:r>
      <w:r w:rsidRPr="00906188">
        <w:rPr>
          <w:lang w:val="fr-CH"/>
        </w:rPr>
        <w:t xml:space="preserve"> quatre </w:t>
      </w:r>
      <w:r>
        <w:rPr>
          <w:lang w:val="fr-CH"/>
        </w:rPr>
        <w:t>réunions</w:t>
      </w:r>
      <w:r w:rsidRPr="00906188">
        <w:rPr>
          <w:lang w:val="fr-CH"/>
        </w:rPr>
        <w:t xml:space="preserve">, deux </w:t>
      </w:r>
      <w:r>
        <w:rPr>
          <w:lang w:val="fr-CH"/>
        </w:rPr>
        <w:t xml:space="preserve">d'entre elles </w:t>
      </w:r>
      <w:r w:rsidRPr="00906188">
        <w:rPr>
          <w:lang w:val="fr-CH"/>
        </w:rPr>
        <w:t>d</w:t>
      </w:r>
      <w:r>
        <w:rPr>
          <w:lang w:val="fr-CH"/>
        </w:rPr>
        <w:t>'</w:t>
      </w:r>
      <w:r w:rsidRPr="00906188">
        <w:rPr>
          <w:lang w:val="fr-CH"/>
        </w:rPr>
        <w:t xml:space="preserve">une </w:t>
      </w:r>
      <w:r>
        <w:rPr>
          <w:lang w:val="fr-CH"/>
        </w:rPr>
        <w:t xml:space="preserve">durée d'un jour et </w:t>
      </w:r>
      <w:r w:rsidRPr="00906188">
        <w:rPr>
          <w:lang w:val="fr-CH"/>
        </w:rPr>
        <w:t xml:space="preserve">deux </w:t>
      </w:r>
      <w:r>
        <w:rPr>
          <w:lang w:val="fr-CH"/>
        </w:rPr>
        <w:t xml:space="preserve">autres d'une durée de </w:t>
      </w:r>
      <w:r w:rsidRPr="00906188">
        <w:rPr>
          <w:lang w:val="fr-CH"/>
        </w:rPr>
        <w:t>deux jours.</w:t>
      </w:r>
      <w:r>
        <w:rPr>
          <w:lang w:val="fr-CH"/>
        </w:rPr>
        <w:t xml:space="preserve"> La réunion de deux jours s'est tenue sur deux jours ouvrables non consécutifs, </w:t>
      </w:r>
      <w:r w:rsidRPr="00240CAB">
        <w:rPr>
          <w:lang w:val="fr-CH"/>
        </w:rPr>
        <w:t>entre lesquels les GT</w:t>
      </w:r>
      <w:r>
        <w:rPr>
          <w:lang w:val="fr-CH"/>
        </w:rPr>
        <w:t xml:space="preserve"> </w:t>
      </w:r>
      <w:r w:rsidRPr="00240CAB">
        <w:rPr>
          <w:lang w:val="fr-CH"/>
        </w:rPr>
        <w:t>se sont réunis</w:t>
      </w:r>
      <w:r>
        <w:rPr>
          <w:lang w:val="fr-CH"/>
        </w:rPr>
        <w:t xml:space="preserve">. </w:t>
      </w:r>
      <w:r w:rsidRPr="00AD5E5C">
        <w:rPr>
          <w:lang w:val="fr-CH"/>
        </w:rPr>
        <w:t xml:space="preserve">Les raisons </w:t>
      </w:r>
      <w:r>
        <w:rPr>
          <w:lang w:val="fr-CH"/>
        </w:rPr>
        <w:t xml:space="preserve">pour lesquelles cette </w:t>
      </w:r>
      <w:r w:rsidRPr="00AD5E5C">
        <w:rPr>
          <w:lang w:val="fr-CH"/>
        </w:rPr>
        <w:t xml:space="preserve">méthode de travail </w:t>
      </w:r>
      <w:r>
        <w:rPr>
          <w:lang w:val="fr-CH"/>
        </w:rPr>
        <w:t xml:space="preserve">a été retenue </w:t>
      </w:r>
      <w:r w:rsidRPr="00AD5E5C">
        <w:rPr>
          <w:lang w:val="fr-CH"/>
        </w:rPr>
        <w:t>sont décrites plus en détail ci-après dans la section</w:t>
      </w:r>
      <w:r>
        <w:rPr>
          <w:lang w:val="fr-CH"/>
        </w:rPr>
        <w:t xml:space="preserve"> «Méthode de travail» du présent document.</w:t>
      </w:r>
      <w:bookmarkStart w:id="39" w:name="lt_pId057"/>
      <w:r>
        <w:rPr>
          <w:lang w:val="fr-CH"/>
        </w:rPr>
        <w:t xml:space="preserve"> </w:t>
      </w:r>
      <w:r w:rsidRPr="001F4B71">
        <w:rPr>
          <w:lang w:val="fr-CH"/>
        </w:rPr>
        <w:t xml:space="preserve">Les comptes rendus de </w:t>
      </w:r>
      <w:r>
        <w:rPr>
          <w:lang w:val="fr-CH"/>
        </w:rPr>
        <w:t xml:space="preserve">chaque réunion peuvent être consultés à l'adresse suivante: </w:t>
      </w:r>
      <w:hyperlink r:id="rId9" w:history="1">
        <w:r w:rsidR="00926C49" w:rsidRPr="000300A7">
          <w:rPr>
            <w:rStyle w:val="Hyperlink"/>
            <w:color w:val="0000FF" w:themeColor="hyperlink"/>
            <w:u w:val="single"/>
          </w:rPr>
          <w:t>http://www.itu.int/md/R12-SG07-C/en</w:t>
        </w:r>
      </w:hyperlink>
      <w:r w:rsidRPr="001F4B71">
        <w:rPr>
          <w:lang w:val="fr-CH"/>
        </w:rPr>
        <w:t>.</w:t>
      </w:r>
      <w:bookmarkEnd w:id="39"/>
    </w:p>
    <w:p w:rsidR="006042ED" w:rsidRDefault="006042ED" w:rsidP="00926C49">
      <w:pPr>
        <w:spacing w:after="360"/>
        <w:rPr>
          <w:lang w:val="fr-CH"/>
        </w:rPr>
      </w:pPr>
      <w:r>
        <w:rPr>
          <w:lang w:val="fr-CH"/>
        </w:rPr>
        <w:t>Comme l'indique le tableau ci-après, pendant cette période, les GT 7A, 7B, 7C et 7D se sont réunis chacun six fois (une fois en 2012, deux fois en 2013 et 2014, et une fois en 2015).</w:t>
      </w:r>
    </w:p>
    <w:tbl>
      <w:tblPr>
        <w:tblW w:w="7839" w:type="dxa"/>
        <w:jc w:val="center"/>
        <w:tblCellMar>
          <w:left w:w="70" w:type="dxa"/>
          <w:right w:w="70" w:type="dxa"/>
        </w:tblCellMar>
        <w:tblLook w:val="0000" w:firstRow="0" w:lastRow="0" w:firstColumn="0" w:lastColumn="0" w:noHBand="0" w:noVBand="0"/>
      </w:tblPr>
      <w:tblGrid>
        <w:gridCol w:w="916"/>
        <w:gridCol w:w="851"/>
        <w:gridCol w:w="850"/>
        <w:gridCol w:w="851"/>
        <w:gridCol w:w="440"/>
        <w:gridCol w:w="494"/>
        <w:gridCol w:w="418"/>
        <w:gridCol w:w="818"/>
        <w:gridCol w:w="440"/>
        <w:gridCol w:w="440"/>
        <w:gridCol w:w="440"/>
        <w:gridCol w:w="463"/>
        <w:gridCol w:w="418"/>
      </w:tblGrid>
      <w:tr w:rsidR="004231E4" w:rsidRPr="001D7F74" w:rsidTr="00994106">
        <w:trPr>
          <w:trHeight w:val="270"/>
          <w:jc w:val="center"/>
        </w:trPr>
        <w:tc>
          <w:tcPr>
            <w:tcW w:w="916" w:type="dxa"/>
            <w:tcBorders>
              <w:bottom w:val="nil"/>
              <w:right w:val="nil"/>
            </w:tcBorders>
            <w:shd w:val="clear" w:color="auto" w:fill="auto"/>
            <w:noWrap/>
            <w:vAlign w:val="bottom"/>
          </w:tcPr>
          <w:p w:rsidR="004231E4" w:rsidRPr="001D7F74" w:rsidRDefault="004231E4" w:rsidP="00926C49">
            <w:pPr>
              <w:pStyle w:val="Tabletext"/>
              <w:jc w:val="center"/>
            </w:pPr>
          </w:p>
        </w:tc>
        <w:tc>
          <w:tcPr>
            <w:tcW w:w="851" w:type="dxa"/>
            <w:vMerge w:val="restart"/>
            <w:tcBorders>
              <w:top w:val="double" w:sz="6" w:space="0" w:color="auto"/>
              <w:left w:val="double" w:sz="6" w:space="0" w:color="auto"/>
              <w:bottom w:val="double" w:sz="6" w:space="0" w:color="auto"/>
              <w:right w:val="double" w:sz="6" w:space="0" w:color="auto"/>
            </w:tcBorders>
            <w:shd w:val="clear" w:color="auto" w:fill="FBD4B4" w:themeFill="accent6" w:themeFillTint="66"/>
            <w:noWrap/>
            <w:vAlign w:val="center"/>
          </w:tcPr>
          <w:p w:rsidR="004231E4" w:rsidRPr="001D7F74" w:rsidRDefault="004231E4" w:rsidP="00926C49">
            <w:pPr>
              <w:jc w:val="center"/>
              <w:rPr>
                <w:b/>
                <w:sz w:val="20"/>
              </w:rPr>
            </w:pPr>
            <w:r>
              <w:rPr>
                <w:b/>
                <w:sz w:val="20"/>
              </w:rPr>
              <w:t>Mai</w:t>
            </w:r>
            <w:r w:rsidRPr="001D7F74">
              <w:rPr>
                <w:b/>
                <w:sz w:val="20"/>
              </w:rPr>
              <w:t>-12</w:t>
            </w:r>
          </w:p>
        </w:tc>
        <w:tc>
          <w:tcPr>
            <w:tcW w:w="850" w:type="dxa"/>
            <w:vMerge w:val="restart"/>
            <w:tcBorders>
              <w:top w:val="double" w:sz="6" w:space="0" w:color="auto"/>
              <w:left w:val="nil"/>
              <w:bottom w:val="double" w:sz="6" w:space="0" w:color="auto"/>
              <w:right w:val="double" w:sz="6" w:space="0" w:color="auto"/>
            </w:tcBorders>
            <w:shd w:val="clear" w:color="auto" w:fill="FBD4B4" w:themeFill="accent6" w:themeFillTint="66"/>
            <w:noWrap/>
            <w:vAlign w:val="center"/>
          </w:tcPr>
          <w:p w:rsidR="004231E4" w:rsidRPr="001D7F74" w:rsidRDefault="004231E4" w:rsidP="00926C49">
            <w:pPr>
              <w:jc w:val="center"/>
              <w:rPr>
                <w:b/>
                <w:sz w:val="20"/>
              </w:rPr>
            </w:pPr>
            <w:r w:rsidRPr="001D7F74">
              <w:rPr>
                <w:b/>
                <w:sz w:val="20"/>
              </w:rPr>
              <w:t>Sep</w:t>
            </w:r>
            <w:r>
              <w:rPr>
                <w:b/>
                <w:sz w:val="20"/>
              </w:rPr>
              <w:t>t</w:t>
            </w:r>
            <w:r w:rsidRPr="001D7F74">
              <w:rPr>
                <w:b/>
                <w:sz w:val="20"/>
              </w:rPr>
              <w:t>-12</w:t>
            </w:r>
          </w:p>
        </w:tc>
        <w:tc>
          <w:tcPr>
            <w:tcW w:w="851" w:type="dxa"/>
            <w:vMerge w:val="restart"/>
            <w:tcBorders>
              <w:top w:val="double" w:sz="6" w:space="0" w:color="auto"/>
              <w:left w:val="double" w:sz="6" w:space="0" w:color="auto"/>
              <w:bottom w:val="double" w:sz="6" w:space="0" w:color="auto"/>
              <w:right w:val="double" w:sz="6" w:space="0" w:color="auto"/>
            </w:tcBorders>
            <w:shd w:val="clear" w:color="auto" w:fill="FBD4B4" w:themeFill="accent6" w:themeFillTint="66"/>
            <w:noWrap/>
            <w:vAlign w:val="center"/>
          </w:tcPr>
          <w:p w:rsidR="004231E4" w:rsidRPr="001D7F74" w:rsidRDefault="004231E4" w:rsidP="00926C49">
            <w:pPr>
              <w:jc w:val="center"/>
              <w:rPr>
                <w:b/>
                <w:sz w:val="20"/>
              </w:rPr>
            </w:pPr>
            <w:r w:rsidRPr="001D7F74">
              <w:rPr>
                <w:b/>
                <w:sz w:val="20"/>
              </w:rPr>
              <w:t>A</w:t>
            </w:r>
            <w:r>
              <w:rPr>
                <w:b/>
                <w:sz w:val="20"/>
              </w:rPr>
              <w:t>v</w:t>
            </w:r>
            <w:r w:rsidRPr="001D7F74">
              <w:rPr>
                <w:b/>
                <w:sz w:val="20"/>
              </w:rPr>
              <w:t>r-13</w:t>
            </w:r>
          </w:p>
        </w:tc>
        <w:tc>
          <w:tcPr>
            <w:tcW w:w="1352" w:type="dxa"/>
            <w:gridSpan w:val="3"/>
            <w:tcBorders>
              <w:top w:val="double" w:sz="6" w:space="0" w:color="auto"/>
              <w:left w:val="double" w:sz="6" w:space="0" w:color="auto"/>
              <w:right w:val="double" w:sz="6" w:space="0" w:color="auto"/>
            </w:tcBorders>
            <w:shd w:val="clear" w:color="auto" w:fill="FBD4B4" w:themeFill="accent6" w:themeFillTint="66"/>
            <w:noWrap/>
            <w:vAlign w:val="center"/>
          </w:tcPr>
          <w:p w:rsidR="004231E4" w:rsidRPr="001D7F74" w:rsidRDefault="004231E4" w:rsidP="00926C49">
            <w:pPr>
              <w:jc w:val="center"/>
              <w:rPr>
                <w:b/>
                <w:sz w:val="20"/>
              </w:rPr>
            </w:pPr>
            <w:r w:rsidRPr="001D7F74">
              <w:rPr>
                <w:b/>
                <w:sz w:val="20"/>
              </w:rPr>
              <w:t>Sep</w:t>
            </w:r>
            <w:r>
              <w:rPr>
                <w:b/>
                <w:sz w:val="20"/>
              </w:rPr>
              <w:t>t</w:t>
            </w:r>
            <w:r w:rsidRPr="001D7F74">
              <w:rPr>
                <w:b/>
                <w:sz w:val="20"/>
              </w:rPr>
              <w:t>-13</w:t>
            </w:r>
          </w:p>
        </w:tc>
        <w:tc>
          <w:tcPr>
            <w:tcW w:w="818" w:type="dxa"/>
            <w:vMerge w:val="restart"/>
            <w:tcBorders>
              <w:top w:val="double" w:sz="6" w:space="0" w:color="auto"/>
              <w:left w:val="double" w:sz="6" w:space="0" w:color="auto"/>
              <w:bottom w:val="double" w:sz="6" w:space="0" w:color="auto"/>
              <w:right w:val="double" w:sz="6" w:space="0" w:color="auto"/>
            </w:tcBorders>
            <w:shd w:val="clear" w:color="auto" w:fill="FBD4B4" w:themeFill="accent6" w:themeFillTint="66"/>
            <w:vAlign w:val="center"/>
          </w:tcPr>
          <w:p w:rsidR="004231E4" w:rsidRPr="001D7F74" w:rsidRDefault="004231E4" w:rsidP="00926C49">
            <w:pPr>
              <w:jc w:val="center"/>
              <w:rPr>
                <w:b/>
                <w:sz w:val="20"/>
              </w:rPr>
            </w:pPr>
            <w:r>
              <w:rPr>
                <w:b/>
                <w:sz w:val="20"/>
              </w:rPr>
              <w:t>Mai</w:t>
            </w:r>
            <w:r w:rsidRPr="001D7F74">
              <w:rPr>
                <w:b/>
                <w:sz w:val="20"/>
              </w:rPr>
              <w:t>-14</w:t>
            </w:r>
          </w:p>
          <w:p w:rsidR="004231E4" w:rsidRPr="001D7F74" w:rsidRDefault="004231E4" w:rsidP="00926C49">
            <w:pPr>
              <w:jc w:val="center"/>
              <w:rPr>
                <w:b/>
                <w:sz w:val="20"/>
              </w:rPr>
            </w:pPr>
          </w:p>
        </w:tc>
        <w:tc>
          <w:tcPr>
            <w:tcW w:w="1320" w:type="dxa"/>
            <w:gridSpan w:val="3"/>
            <w:tcBorders>
              <w:top w:val="double" w:sz="6" w:space="0" w:color="auto"/>
              <w:left w:val="double" w:sz="6" w:space="0" w:color="auto"/>
              <w:right w:val="double" w:sz="6" w:space="0" w:color="auto"/>
            </w:tcBorders>
            <w:shd w:val="clear" w:color="auto" w:fill="FBD4B4" w:themeFill="accent6" w:themeFillTint="66"/>
            <w:noWrap/>
            <w:vAlign w:val="center"/>
          </w:tcPr>
          <w:p w:rsidR="004231E4" w:rsidRPr="001D7F74" w:rsidRDefault="004231E4" w:rsidP="00926C49">
            <w:pPr>
              <w:jc w:val="center"/>
              <w:rPr>
                <w:b/>
                <w:sz w:val="20"/>
              </w:rPr>
            </w:pPr>
            <w:r w:rsidRPr="001D7F74">
              <w:rPr>
                <w:b/>
                <w:sz w:val="20"/>
              </w:rPr>
              <w:t>Oct-14</w:t>
            </w:r>
          </w:p>
        </w:tc>
        <w:tc>
          <w:tcPr>
            <w:tcW w:w="881" w:type="dxa"/>
            <w:gridSpan w:val="2"/>
            <w:tcBorders>
              <w:top w:val="double" w:sz="6" w:space="0" w:color="auto"/>
              <w:left w:val="double" w:sz="6" w:space="0" w:color="auto"/>
              <w:right w:val="double" w:sz="6" w:space="0" w:color="auto"/>
            </w:tcBorders>
            <w:shd w:val="clear" w:color="auto" w:fill="FBD4B4" w:themeFill="accent6" w:themeFillTint="66"/>
            <w:noWrap/>
            <w:vAlign w:val="center"/>
          </w:tcPr>
          <w:p w:rsidR="004231E4" w:rsidRPr="001D7F74" w:rsidRDefault="004231E4" w:rsidP="00926C49">
            <w:pPr>
              <w:jc w:val="center"/>
              <w:rPr>
                <w:b/>
                <w:sz w:val="20"/>
              </w:rPr>
            </w:pPr>
            <w:r w:rsidRPr="001D7F74">
              <w:rPr>
                <w:b/>
                <w:sz w:val="20"/>
              </w:rPr>
              <w:t>Ma</w:t>
            </w:r>
            <w:r>
              <w:rPr>
                <w:b/>
                <w:sz w:val="20"/>
              </w:rPr>
              <w:t>i</w:t>
            </w:r>
            <w:r w:rsidRPr="001D7F74">
              <w:rPr>
                <w:b/>
                <w:sz w:val="20"/>
              </w:rPr>
              <w:t>-15</w:t>
            </w:r>
          </w:p>
        </w:tc>
      </w:tr>
      <w:tr w:rsidR="004231E4" w:rsidRPr="001D7F74" w:rsidTr="00994106">
        <w:trPr>
          <w:trHeight w:val="270"/>
          <w:jc w:val="center"/>
        </w:trPr>
        <w:tc>
          <w:tcPr>
            <w:tcW w:w="916" w:type="dxa"/>
            <w:tcBorders>
              <w:top w:val="nil"/>
              <w:bottom w:val="nil"/>
              <w:right w:val="nil"/>
            </w:tcBorders>
            <w:shd w:val="clear" w:color="auto" w:fill="auto"/>
            <w:noWrap/>
            <w:vAlign w:val="bottom"/>
          </w:tcPr>
          <w:p w:rsidR="004231E4" w:rsidRPr="001D7F74" w:rsidRDefault="004231E4" w:rsidP="00926C49">
            <w:pPr>
              <w:pStyle w:val="Tabletext"/>
              <w:jc w:val="center"/>
            </w:pPr>
          </w:p>
        </w:tc>
        <w:tc>
          <w:tcPr>
            <w:tcW w:w="851" w:type="dxa"/>
            <w:vMerge/>
            <w:tcBorders>
              <w:left w:val="double" w:sz="6" w:space="0" w:color="auto"/>
              <w:bottom w:val="double" w:sz="6" w:space="0" w:color="auto"/>
              <w:right w:val="double" w:sz="6" w:space="0" w:color="auto"/>
            </w:tcBorders>
            <w:shd w:val="clear" w:color="auto" w:fill="FBD4B4" w:themeFill="accent6" w:themeFillTint="66"/>
            <w:noWrap/>
            <w:vAlign w:val="center"/>
          </w:tcPr>
          <w:p w:rsidR="004231E4" w:rsidRPr="001D7F74" w:rsidRDefault="004231E4" w:rsidP="00926C49">
            <w:pPr>
              <w:jc w:val="center"/>
              <w:rPr>
                <w:b/>
                <w:sz w:val="20"/>
              </w:rPr>
            </w:pPr>
          </w:p>
        </w:tc>
        <w:tc>
          <w:tcPr>
            <w:tcW w:w="850" w:type="dxa"/>
            <w:vMerge/>
            <w:tcBorders>
              <w:left w:val="nil"/>
              <w:bottom w:val="double" w:sz="6" w:space="0" w:color="auto"/>
              <w:right w:val="double" w:sz="6" w:space="0" w:color="auto"/>
            </w:tcBorders>
            <w:shd w:val="clear" w:color="auto" w:fill="FBD4B4" w:themeFill="accent6" w:themeFillTint="66"/>
            <w:noWrap/>
            <w:vAlign w:val="center"/>
          </w:tcPr>
          <w:p w:rsidR="004231E4" w:rsidRPr="001D7F74" w:rsidRDefault="004231E4" w:rsidP="00926C49">
            <w:pPr>
              <w:jc w:val="center"/>
              <w:rPr>
                <w:b/>
                <w:sz w:val="20"/>
              </w:rPr>
            </w:pPr>
          </w:p>
        </w:tc>
        <w:tc>
          <w:tcPr>
            <w:tcW w:w="851" w:type="dxa"/>
            <w:vMerge/>
            <w:tcBorders>
              <w:left w:val="double" w:sz="6" w:space="0" w:color="auto"/>
              <w:bottom w:val="double" w:sz="6" w:space="0" w:color="auto"/>
              <w:right w:val="double" w:sz="6" w:space="0" w:color="auto"/>
            </w:tcBorders>
            <w:shd w:val="clear" w:color="auto" w:fill="FBD4B4" w:themeFill="accent6" w:themeFillTint="66"/>
            <w:noWrap/>
            <w:vAlign w:val="center"/>
          </w:tcPr>
          <w:p w:rsidR="004231E4" w:rsidRPr="001D7F74" w:rsidRDefault="004231E4" w:rsidP="00926C49">
            <w:pPr>
              <w:jc w:val="center"/>
              <w:rPr>
                <w:b/>
                <w:sz w:val="20"/>
              </w:rPr>
            </w:pPr>
          </w:p>
        </w:tc>
        <w:tc>
          <w:tcPr>
            <w:tcW w:w="440" w:type="dxa"/>
            <w:tcBorders>
              <w:top w:val="nil"/>
              <w:left w:val="double" w:sz="6" w:space="0" w:color="auto"/>
              <w:bottom w:val="double" w:sz="6" w:space="0" w:color="auto"/>
            </w:tcBorders>
            <w:shd w:val="clear" w:color="auto" w:fill="FBD4B4" w:themeFill="accent6" w:themeFillTint="66"/>
            <w:noWrap/>
            <w:vAlign w:val="center"/>
          </w:tcPr>
          <w:p w:rsidR="004231E4" w:rsidRPr="001D7F74" w:rsidRDefault="004231E4" w:rsidP="00926C49">
            <w:pPr>
              <w:jc w:val="center"/>
              <w:rPr>
                <w:b/>
                <w:sz w:val="20"/>
              </w:rPr>
            </w:pPr>
            <w:r>
              <w:rPr>
                <w:b/>
                <w:sz w:val="20"/>
              </w:rPr>
              <w:t>CE</w:t>
            </w:r>
          </w:p>
        </w:tc>
        <w:tc>
          <w:tcPr>
            <w:tcW w:w="494" w:type="dxa"/>
            <w:tcBorders>
              <w:top w:val="nil"/>
              <w:bottom w:val="double" w:sz="6" w:space="0" w:color="auto"/>
            </w:tcBorders>
            <w:shd w:val="clear" w:color="auto" w:fill="FBD4B4" w:themeFill="accent6" w:themeFillTint="66"/>
            <w:vAlign w:val="center"/>
          </w:tcPr>
          <w:p w:rsidR="004231E4" w:rsidRPr="001D7F74" w:rsidRDefault="004231E4" w:rsidP="00926C49">
            <w:pPr>
              <w:jc w:val="center"/>
              <w:rPr>
                <w:b/>
                <w:sz w:val="20"/>
              </w:rPr>
            </w:pPr>
            <w:r>
              <w:rPr>
                <w:b/>
                <w:sz w:val="20"/>
              </w:rPr>
              <w:t>GT</w:t>
            </w:r>
          </w:p>
        </w:tc>
        <w:tc>
          <w:tcPr>
            <w:tcW w:w="418" w:type="dxa"/>
            <w:tcBorders>
              <w:top w:val="nil"/>
              <w:bottom w:val="double" w:sz="6" w:space="0" w:color="auto"/>
              <w:right w:val="double" w:sz="6" w:space="0" w:color="auto"/>
            </w:tcBorders>
            <w:shd w:val="clear" w:color="auto" w:fill="FBD4B4" w:themeFill="accent6" w:themeFillTint="66"/>
            <w:noWrap/>
            <w:vAlign w:val="center"/>
          </w:tcPr>
          <w:p w:rsidR="004231E4" w:rsidRPr="001D7F74" w:rsidRDefault="004231E4" w:rsidP="00926C49">
            <w:pPr>
              <w:jc w:val="center"/>
              <w:rPr>
                <w:b/>
                <w:sz w:val="20"/>
              </w:rPr>
            </w:pPr>
            <w:r>
              <w:rPr>
                <w:b/>
                <w:sz w:val="20"/>
              </w:rPr>
              <w:t>CE</w:t>
            </w:r>
          </w:p>
        </w:tc>
        <w:tc>
          <w:tcPr>
            <w:tcW w:w="818" w:type="dxa"/>
            <w:vMerge/>
            <w:tcBorders>
              <w:left w:val="double" w:sz="6" w:space="0" w:color="auto"/>
              <w:bottom w:val="double" w:sz="6" w:space="0" w:color="auto"/>
              <w:right w:val="double" w:sz="6" w:space="0" w:color="auto"/>
            </w:tcBorders>
            <w:shd w:val="clear" w:color="auto" w:fill="FBD4B4" w:themeFill="accent6" w:themeFillTint="66"/>
            <w:vAlign w:val="center"/>
          </w:tcPr>
          <w:p w:rsidR="004231E4" w:rsidRPr="001D7F74" w:rsidRDefault="004231E4" w:rsidP="00926C49">
            <w:pPr>
              <w:jc w:val="center"/>
              <w:rPr>
                <w:b/>
                <w:sz w:val="20"/>
              </w:rPr>
            </w:pPr>
          </w:p>
        </w:tc>
        <w:tc>
          <w:tcPr>
            <w:tcW w:w="440" w:type="dxa"/>
            <w:tcBorders>
              <w:top w:val="nil"/>
              <w:left w:val="double" w:sz="6" w:space="0" w:color="auto"/>
              <w:bottom w:val="double" w:sz="6" w:space="0" w:color="auto"/>
            </w:tcBorders>
            <w:shd w:val="clear" w:color="auto" w:fill="FBD4B4" w:themeFill="accent6" w:themeFillTint="66"/>
            <w:noWrap/>
            <w:vAlign w:val="center"/>
          </w:tcPr>
          <w:p w:rsidR="004231E4" w:rsidRPr="001D7F74" w:rsidRDefault="004231E4" w:rsidP="00926C49">
            <w:pPr>
              <w:jc w:val="center"/>
              <w:rPr>
                <w:b/>
                <w:sz w:val="20"/>
              </w:rPr>
            </w:pPr>
            <w:r>
              <w:rPr>
                <w:b/>
                <w:sz w:val="20"/>
              </w:rPr>
              <w:t>CE</w:t>
            </w:r>
          </w:p>
        </w:tc>
        <w:tc>
          <w:tcPr>
            <w:tcW w:w="440" w:type="dxa"/>
            <w:tcBorders>
              <w:top w:val="nil"/>
              <w:bottom w:val="double" w:sz="6" w:space="0" w:color="auto"/>
            </w:tcBorders>
            <w:shd w:val="clear" w:color="auto" w:fill="FBD4B4" w:themeFill="accent6" w:themeFillTint="66"/>
            <w:vAlign w:val="center"/>
          </w:tcPr>
          <w:p w:rsidR="004231E4" w:rsidRPr="001D7F74" w:rsidRDefault="004231E4" w:rsidP="00926C49">
            <w:pPr>
              <w:jc w:val="center"/>
              <w:rPr>
                <w:b/>
                <w:sz w:val="20"/>
              </w:rPr>
            </w:pPr>
            <w:r>
              <w:rPr>
                <w:b/>
                <w:sz w:val="20"/>
              </w:rPr>
              <w:t>GT</w:t>
            </w:r>
          </w:p>
        </w:tc>
        <w:tc>
          <w:tcPr>
            <w:tcW w:w="440" w:type="dxa"/>
            <w:tcBorders>
              <w:top w:val="nil"/>
              <w:bottom w:val="double" w:sz="6" w:space="0" w:color="auto"/>
              <w:right w:val="double" w:sz="6" w:space="0" w:color="auto"/>
            </w:tcBorders>
            <w:shd w:val="clear" w:color="auto" w:fill="FBD4B4" w:themeFill="accent6" w:themeFillTint="66"/>
            <w:noWrap/>
            <w:vAlign w:val="center"/>
          </w:tcPr>
          <w:p w:rsidR="004231E4" w:rsidRPr="001D7F74" w:rsidRDefault="004231E4" w:rsidP="00926C49">
            <w:pPr>
              <w:jc w:val="center"/>
              <w:rPr>
                <w:b/>
                <w:sz w:val="20"/>
              </w:rPr>
            </w:pPr>
            <w:r>
              <w:rPr>
                <w:b/>
                <w:sz w:val="20"/>
              </w:rPr>
              <w:t>CE</w:t>
            </w:r>
          </w:p>
        </w:tc>
        <w:tc>
          <w:tcPr>
            <w:tcW w:w="463" w:type="dxa"/>
            <w:tcBorders>
              <w:top w:val="nil"/>
              <w:left w:val="double" w:sz="6" w:space="0" w:color="auto"/>
              <w:bottom w:val="double" w:sz="6" w:space="0" w:color="auto"/>
            </w:tcBorders>
            <w:shd w:val="clear" w:color="auto" w:fill="FBD4B4" w:themeFill="accent6" w:themeFillTint="66"/>
            <w:noWrap/>
            <w:vAlign w:val="center"/>
          </w:tcPr>
          <w:p w:rsidR="004231E4" w:rsidRPr="001D7F74" w:rsidRDefault="00994106" w:rsidP="00926C49">
            <w:pPr>
              <w:jc w:val="center"/>
              <w:rPr>
                <w:b/>
                <w:sz w:val="20"/>
              </w:rPr>
            </w:pPr>
            <w:r>
              <w:rPr>
                <w:b/>
                <w:sz w:val="20"/>
              </w:rPr>
              <w:t>GT</w:t>
            </w:r>
          </w:p>
        </w:tc>
        <w:tc>
          <w:tcPr>
            <w:tcW w:w="418" w:type="dxa"/>
            <w:tcBorders>
              <w:top w:val="nil"/>
              <w:bottom w:val="double" w:sz="6" w:space="0" w:color="auto"/>
              <w:right w:val="double" w:sz="6" w:space="0" w:color="auto"/>
            </w:tcBorders>
            <w:shd w:val="clear" w:color="auto" w:fill="FBD4B4" w:themeFill="accent6" w:themeFillTint="66"/>
            <w:noWrap/>
            <w:vAlign w:val="center"/>
          </w:tcPr>
          <w:p w:rsidR="004231E4" w:rsidRPr="001D7F74" w:rsidRDefault="004231E4" w:rsidP="00926C49">
            <w:pPr>
              <w:jc w:val="center"/>
              <w:rPr>
                <w:b/>
                <w:sz w:val="20"/>
              </w:rPr>
            </w:pPr>
            <w:r>
              <w:rPr>
                <w:b/>
                <w:sz w:val="20"/>
              </w:rPr>
              <w:t>CE</w:t>
            </w:r>
          </w:p>
        </w:tc>
      </w:tr>
      <w:tr w:rsidR="004231E4" w:rsidRPr="001D7F74" w:rsidTr="00994106">
        <w:trPr>
          <w:trHeight w:val="270"/>
          <w:jc w:val="center"/>
        </w:trPr>
        <w:tc>
          <w:tcPr>
            <w:tcW w:w="916" w:type="dxa"/>
            <w:tcBorders>
              <w:top w:val="nil"/>
              <w:bottom w:val="nil"/>
              <w:right w:val="nil"/>
            </w:tcBorders>
            <w:shd w:val="clear" w:color="auto" w:fill="auto"/>
            <w:noWrap/>
            <w:vAlign w:val="bottom"/>
          </w:tcPr>
          <w:p w:rsidR="004231E4" w:rsidRPr="001D7F74" w:rsidRDefault="004231E4" w:rsidP="00926C49">
            <w:pPr>
              <w:pStyle w:val="Tabletext"/>
              <w:jc w:val="center"/>
            </w:pPr>
            <w:r>
              <w:t>CE</w:t>
            </w:r>
            <w:r w:rsidRPr="001D7F74">
              <w:t xml:space="preserve"> 7</w:t>
            </w:r>
          </w:p>
        </w:tc>
        <w:tc>
          <w:tcPr>
            <w:tcW w:w="851" w:type="dxa"/>
            <w:tcBorders>
              <w:top w:val="double" w:sz="6" w:space="0" w:color="auto"/>
              <w:left w:val="double" w:sz="6" w:space="0" w:color="auto"/>
              <w:bottom w:val="single" w:sz="4" w:space="0" w:color="auto"/>
              <w:right w:val="double" w:sz="6" w:space="0" w:color="auto"/>
            </w:tcBorders>
            <w:shd w:val="clear" w:color="auto" w:fill="00FF00"/>
            <w:noWrap/>
            <w:vAlign w:val="center"/>
          </w:tcPr>
          <w:p w:rsidR="004231E4" w:rsidRPr="001D7F74" w:rsidRDefault="004231E4" w:rsidP="00926C49">
            <w:pPr>
              <w:jc w:val="center"/>
            </w:pPr>
          </w:p>
        </w:tc>
        <w:tc>
          <w:tcPr>
            <w:tcW w:w="850" w:type="dxa"/>
            <w:tcBorders>
              <w:top w:val="double" w:sz="6" w:space="0" w:color="auto"/>
              <w:left w:val="nil"/>
              <w:bottom w:val="single" w:sz="4" w:space="0" w:color="auto"/>
              <w:right w:val="double" w:sz="6" w:space="0" w:color="auto"/>
            </w:tcBorders>
            <w:shd w:val="clear" w:color="auto" w:fill="FFFF99"/>
            <w:noWrap/>
            <w:vAlign w:val="center"/>
          </w:tcPr>
          <w:p w:rsidR="004231E4" w:rsidRPr="001D7F74" w:rsidRDefault="004231E4" w:rsidP="00926C49">
            <w:pPr>
              <w:jc w:val="center"/>
            </w:pPr>
          </w:p>
        </w:tc>
        <w:tc>
          <w:tcPr>
            <w:tcW w:w="851" w:type="dxa"/>
            <w:tcBorders>
              <w:top w:val="double" w:sz="6" w:space="0" w:color="auto"/>
              <w:left w:val="double" w:sz="6" w:space="0" w:color="auto"/>
              <w:bottom w:val="single" w:sz="4" w:space="0" w:color="auto"/>
              <w:right w:val="double" w:sz="6" w:space="0" w:color="auto"/>
            </w:tcBorders>
            <w:shd w:val="clear" w:color="auto" w:fill="FFFF99"/>
            <w:noWrap/>
            <w:vAlign w:val="center"/>
          </w:tcPr>
          <w:p w:rsidR="004231E4" w:rsidRPr="001D7F74" w:rsidRDefault="004231E4" w:rsidP="00926C49">
            <w:pPr>
              <w:jc w:val="center"/>
            </w:pPr>
          </w:p>
        </w:tc>
        <w:tc>
          <w:tcPr>
            <w:tcW w:w="440" w:type="dxa"/>
            <w:tcBorders>
              <w:top w:val="double" w:sz="6" w:space="0" w:color="auto"/>
              <w:left w:val="double" w:sz="6" w:space="0" w:color="auto"/>
              <w:bottom w:val="single" w:sz="4" w:space="0" w:color="auto"/>
              <w:right w:val="single" w:sz="4" w:space="0" w:color="auto"/>
            </w:tcBorders>
            <w:shd w:val="clear" w:color="auto" w:fill="00FF00"/>
            <w:noWrap/>
            <w:vAlign w:val="center"/>
          </w:tcPr>
          <w:p w:rsidR="004231E4" w:rsidRPr="001D7F74" w:rsidRDefault="004231E4" w:rsidP="00926C49">
            <w:pPr>
              <w:jc w:val="center"/>
            </w:pPr>
          </w:p>
        </w:tc>
        <w:tc>
          <w:tcPr>
            <w:tcW w:w="494" w:type="dxa"/>
            <w:tcBorders>
              <w:top w:val="double" w:sz="6" w:space="0" w:color="auto"/>
              <w:left w:val="single" w:sz="4" w:space="0" w:color="auto"/>
              <w:bottom w:val="single" w:sz="4" w:space="0" w:color="auto"/>
              <w:right w:val="single" w:sz="4" w:space="0" w:color="auto"/>
            </w:tcBorders>
            <w:shd w:val="clear" w:color="auto" w:fill="FFFF99"/>
            <w:vAlign w:val="center"/>
          </w:tcPr>
          <w:p w:rsidR="004231E4" w:rsidRPr="001D7F74" w:rsidRDefault="004231E4" w:rsidP="00926C49">
            <w:pPr>
              <w:jc w:val="center"/>
            </w:pPr>
          </w:p>
        </w:tc>
        <w:tc>
          <w:tcPr>
            <w:tcW w:w="418" w:type="dxa"/>
            <w:tcBorders>
              <w:top w:val="double" w:sz="6" w:space="0" w:color="auto"/>
              <w:left w:val="single" w:sz="4" w:space="0" w:color="auto"/>
              <w:bottom w:val="single" w:sz="4" w:space="0" w:color="auto"/>
              <w:right w:val="double" w:sz="6" w:space="0" w:color="auto"/>
            </w:tcBorders>
            <w:shd w:val="clear" w:color="auto" w:fill="00FF00"/>
            <w:noWrap/>
            <w:vAlign w:val="center"/>
          </w:tcPr>
          <w:p w:rsidR="004231E4" w:rsidRPr="001D7F74" w:rsidRDefault="004231E4" w:rsidP="00926C49">
            <w:pPr>
              <w:jc w:val="center"/>
            </w:pPr>
          </w:p>
        </w:tc>
        <w:tc>
          <w:tcPr>
            <w:tcW w:w="818" w:type="dxa"/>
            <w:tcBorders>
              <w:top w:val="double" w:sz="6" w:space="0" w:color="auto"/>
              <w:left w:val="double" w:sz="6" w:space="0" w:color="auto"/>
              <w:bottom w:val="single" w:sz="4" w:space="0" w:color="auto"/>
              <w:right w:val="double" w:sz="6" w:space="0" w:color="auto"/>
            </w:tcBorders>
            <w:shd w:val="clear" w:color="auto" w:fill="FFFF99"/>
            <w:vAlign w:val="center"/>
          </w:tcPr>
          <w:p w:rsidR="004231E4" w:rsidRPr="001D7F74" w:rsidRDefault="004231E4" w:rsidP="00926C49">
            <w:pPr>
              <w:jc w:val="center"/>
            </w:pPr>
          </w:p>
        </w:tc>
        <w:tc>
          <w:tcPr>
            <w:tcW w:w="440" w:type="dxa"/>
            <w:tcBorders>
              <w:top w:val="double" w:sz="6" w:space="0" w:color="auto"/>
              <w:left w:val="double" w:sz="6" w:space="0" w:color="auto"/>
              <w:bottom w:val="single" w:sz="4" w:space="0" w:color="auto"/>
              <w:right w:val="single" w:sz="4" w:space="0" w:color="auto"/>
            </w:tcBorders>
            <w:shd w:val="clear" w:color="auto" w:fill="00FF00"/>
            <w:noWrap/>
            <w:vAlign w:val="center"/>
          </w:tcPr>
          <w:p w:rsidR="004231E4" w:rsidRPr="001D7F74" w:rsidRDefault="004231E4" w:rsidP="00926C49">
            <w:pPr>
              <w:jc w:val="center"/>
            </w:pPr>
          </w:p>
        </w:tc>
        <w:tc>
          <w:tcPr>
            <w:tcW w:w="440" w:type="dxa"/>
            <w:tcBorders>
              <w:top w:val="double" w:sz="6" w:space="0" w:color="auto"/>
              <w:left w:val="single" w:sz="4" w:space="0" w:color="auto"/>
              <w:bottom w:val="single" w:sz="4" w:space="0" w:color="auto"/>
              <w:right w:val="single" w:sz="4" w:space="0" w:color="auto"/>
            </w:tcBorders>
            <w:shd w:val="clear" w:color="auto" w:fill="FFFF99"/>
            <w:vAlign w:val="center"/>
          </w:tcPr>
          <w:p w:rsidR="004231E4" w:rsidRPr="001D7F74" w:rsidRDefault="004231E4" w:rsidP="00926C49">
            <w:pPr>
              <w:jc w:val="center"/>
            </w:pPr>
          </w:p>
        </w:tc>
        <w:tc>
          <w:tcPr>
            <w:tcW w:w="440" w:type="dxa"/>
            <w:tcBorders>
              <w:top w:val="double" w:sz="6" w:space="0" w:color="auto"/>
              <w:left w:val="single" w:sz="4" w:space="0" w:color="auto"/>
              <w:bottom w:val="single" w:sz="4" w:space="0" w:color="auto"/>
              <w:right w:val="double" w:sz="6" w:space="0" w:color="auto"/>
            </w:tcBorders>
            <w:shd w:val="clear" w:color="auto" w:fill="00FF00"/>
            <w:noWrap/>
            <w:vAlign w:val="center"/>
          </w:tcPr>
          <w:p w:rsidR="004231E4" w:rsidRPr="001D7F74" w:rsidRDefault="004231E4" w:rsidP="00926C49">
            <w:pPr>
              <w:jc w:val="center"/>
            </w:pPr>
          </w:p>
        </w:tc>
        <w:tc>
          <w:tcPr>
            <w:tcW w:w="463" w:type="dxa"/>
            <w:tcBorders>
              <w:top w:val="double" w:sz="6" w:space="0" w:color="auto"/>
              <w:left w:val="double" w:sz="6" w:space="0" w:color="auto"/>
              <w:bottom w:val="single" w:sz="4" w:space="0" w:color="auto"/>
              <w:right w:val="single" w:sz="4" w:space="0" w:color="auto"/>
            </w:tcBorders>
            <w:shd w:val="clear" w:color="auto" w:fill="FFFF99"/>
            <w:noWrap/>
            <w:vAlign w:val="center"/>
          </w:tcPr>
          <w:p w:rsidR="004231E4" w:rsidRPr="001D7F74" w:rsidRDefault="004231E4" w:rsidP="00926C49">
            <w:pPr>
              <w:jc w:val="center"/>
            </w:pPr>
          </w:p>
        </w:tc>
        <w:tc>
          <w:tcPr>
            <w:tcW w:w="418" w:type="dxa"/>
            <w:tcBorders>
              <w:top w:val="double" w:sz="6" w:space="0" w:color="auto"/>
              <w:left w:val="nil"/>
              <w:bottom w:val="single" w:sz="4" w:space="0" w:color="auto"/>
              <w:right w:val="double" w:sz="6" w:space="0" w:color="auto"/>
            </w:tcBorders>
            <w:shd w:val="clear" w:color="auto" w:fill="00FF00"/>
            <w:noWrap/>
            <w:vAlign w:val="center"/>
          </w:tcPr>
          <w:p w:rsidR="004231E4" w:rsidRPr="001D7F74" w:rsidRDefault="004231E4" w:rsidP="00926C49">
            <w:pPr>
              <w:jc w:val="center"/>
            </w:pPr>
          </w:p>
        </w:tc>
      </w:tr>
      <w:tr w:rsidR="004231E4" w:rsidRPr="001D7F74" w:rsidTr="00994106">
        <w:trPr>
          <w:trHeight w:val="255"/>
          <w:jc w:val="center"/>
        </w:trPr>
        <w:tc>
          <w:tcPr>
            <w:tcW w:w="916" w:type="dxa"/>
            <w:tcBorders>
              <w:top w:val="nil"/>
              <w:bottom w:val="nil"/>
              <w:right w:val="nil"/>
            </w:tcBorders>
            <w:shd w:val="clear" w:color="auto" w:fill="auto"/>
            <w:noWrap/>
            <w:vAlign w:val="bottom"/>
          </w:tcPr>
          <w:p w:rsidR="004231E4" w:rsidRPr="001D7F74" w:rsidRDefault="004231E4" w:rsidP="00926C49">
            <w:pPr>
              <w:pStyle w:val="Tabletext"/>
              <w:jc w:val="center"/>
            </w:pPr>
            <w:r>
              <w:t>GT</w:t>
            </w:r>
            <w:r w:rsidRPr="001D7F74">
              <w:t xml:space="preserve"> 7A</w:t>
            </w:r>
          </w:p>
        </w:tc>
        <w:tc>
          <w:tcPr>
            <w:tcW w:w="851" w:type="dxa"/>
            <w:tcBorders>
              <w:top w:val="single" w:sz="4" w:space="0" w:color="auto"/>
              <w:left w:val="double" w:sz="6" w:space="0" w:color="auto"/>
              <w:bottom w:val="single" w:sz="4" w:space="0" w:color="auto"/>
              <w:right w:val="double" w:sz="6" w:space="0" w:color="auto"/>
            </w:tcBorders>
            <w:shd w:val="clear" w:color="auto" w:fill="FFFF99"/>
            <w:noWrap/>
            <w:vAlign w:val="center"/>
          </w:tcPr>
          <w:p w:rsidR="004231E4" w:rsidRPr="001D7F74" w:rsidRDefault="004231E4" w:rsidP="00926C49">
            <w:pPr>
              <w:jc w:val="center"/>
            </w:pPr>
          </w:p>
        </w:tc>
        <w:tc>
          <w:tcPr>
            <w:tcW w:w="850" w:type="dxa"/>
            <w:tcBorders>
              <w:top w:val="single" w:sz="4" w:space="0" w:color="auto"/>
              <w:left w:val="nil"/>
              <w:bottom w:val="single" w:sz="4" w:space="0" w:color="auto"/>
              <w:right w:val="double" w:sz="6" w:space="0" w:color="auto"/>
            </w:tcBorders>
            <w:shd w:val="clear" w:color="auto" w:fill="00FF00"/>
            <w:noWrap/>
            <w:vAlign w:val="center"/>
          </w:tcPr>
          <w:p w:rsidR="004231E4" w:rsidRPr="001D7F74" w:rsidRDefault="004231E4" w:rsidP="00926C49">
            <w:pPr>
              <w:jc w:val="center"/>
            </w:pPr>
          </w:p>
        </w:tc>
        <w:tc>
          <w:tcPr>
            <w:tcW w:w="851" w:type="dxa"/>
            <w:tcBorders>
              <w:top w:val="single" w:sz="4" w:space="0" w:color="auto"/>
              <w:left w:val="double" w:sz="6" w:space="0" w:color="auto"/>
              <w:bottom w:val="single" w:sz="4" w:space="0" w:color="auto"/>
              <w:right w:val="double" w:sz="6" w:space="0" w:color="auto"/>
            </w:tcBorders>
            <w:shd w:val="clear" w:color="auto" w:fill="00FF00"/>
            <w:vAlign w:val="center"/>
          </w:tcPr>
          <w:p w:rsidR="004231E4" w:rsidRPr="001D7F74" w:rsidRDefault="004231E4" w:rsidP="00926C49">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FFFF99"/>
            <w:noWrap/>
            <w:vAlign w:val="center"/>
          </w:tcPr>
          <w:p w:rsidR="004231E4" w:rsidRPr="001D7F74" w:rsidRDefault="004231E4" w:rsidP="00926C49">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00FF00"/>
            <w:vAlign w:val="center"/>
          </w:tcPr>
          <w:p w:rsidR="004231E4" w:rsidRPr="001D7F74" w:rsidRDefault="004231E4" w:rsidP="00926C49">
            <w:pPr>
              <w:jc w:val="center"/>
            </w:pPr>
          </w:p>
        </w:tc>
        <w:tc>
          <w:tcPr>
            <w:tcW w:w="418" w:type="dxa"/>
            <w:tcBorders>
              <w:top w:val="single" w:sz="4" w:space="0" w:color="auto"/>
              <w:left w:val="single" w:sz="4" w:space="0" w:color="auto"/>
              <w:bottom w:val="single" w:sz="4" w:space="0" w:color="auto"/>
              <w:right w:val="double" w:sz="6" w:space="0" w:color="auto"/>
            </w:tcBorders>
            <w:shd w:val="clear" w:color="auto" w:fill="FFFF99"/>
            <w:noWrap/>
            <w:vAlign w:val="center"/>
          </w:tcPr>
          <w:p w:rsidR="004231E4" w:rsidRPr="001D7F74" w:rsidRDefault="004231E4" w:rsidP="00926C49">
            <w:pPr>
              <w:jc w:val="center"/>
            </w:pPr>
          </w:p>
        </w:tc>
        <w:tc>
          <w:tcPr>
            <w:tcW w:w="818" w:type="dxa"/>
            <w:tcBorders>
              <w:top w:val="single" w:sz="4" w:space="0" w:color="auto"/>
              <w:left w:val="double" w:sz="6" w:space="0" w:color="auto"/>
              <w:bottom w:val="single" w:sz="4" w:space="0" w:color="auto"/>
              <w:right w:val="double" w:sz="6" w:space="0" w:color="auto"/>
            </w:tcBorders>
            <w:shd w:val="clear" w:color="auto" w:fill="00FF00"/>
            <w:noWrap/>
            <w:vAlign w:val="center"/>
          </w:tcPr>
          <w:p w:rsidR="004231E4" w:rsidRPr="001D7F74" w:rsidRDefault="004231E4" w:rsidP="00926C49">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FFFF99"/>
            <w:noWrap/>
            <w:vAlign w:val="center"/>
          </w:tcPr>
          <w:p w:rsidR="004231E4" w:rsidRPr="001D7F74" w:rsidRDefault="004231E4" w:rsidP="00926C49">
            <w:pPr>
              <w:jc w:val="center"/>
            </w:pPr>
          </w:p>
        </w:tc>
        <w:tc>
          <w:tcPr>
            <w:tcW w:w="440" w:type="dxa"/>
            <w:tcBorders>
              <w:top w:val="single" w:sz="4" w:space="0" w:color="auto"/>
              <w:left w:val="single" w:sz="4" w:space="0" w:color="auto"/>
              <w:bottom w:val="single" w:sz="4" w:space="0" w:color="auto"/>
              <w:right w:val="single" w:sz="4" w:space="0" w:color="auto"/>
            </w:tcBorders>
            <w:shd w:val="clear" w:color="auto" w:fill="00FF00"/>
            <w:noWrap/>
            <w:vAlign w:val="center"/>
          </w:tcPr>
          <w:p w:rsidR="004231E4" w:rsidRPr="001D7F74" w:rsidRDefault="004231E4" w:rsidP="00926C49">
            <w:pPr>
              <w:jc w:val="center"/>
            </w:pPr>
          </w:p>
        </w:tc>
        <w:tc>
          <w:tcPr>
            <w:tcW w:w="440" w:type="dxa"/>
            <w:tcBorders>
              <w:top w:val="single" w:sz="4" w:space="0" w:color="auto"/>
              <w:left w:val="single" w:sz="4" w:space="0" w:color="auto"/>
              <w:bottom w:val="single" w:sz="4" w:space="0" w:color="auto"/>
              <w:right w:val="double" w:sz="6" w:space="0" w:color="auto"/>
            </w:tcBorders>
            <w:shd w:val="clear" w:color="auto" w:fill="FFFF99"/>
            <w:noWrap/>
            <w:vAlign w:val="center"/>
          </w:tcPr>
          <w:p w:rsidR="004231E4" w:rsidRPr="001D7F74" w:rsidRDefault="004231E4" w:rsidP="00926C49">
            <w:pPr>
              <w:jc w:val="center"/>
            </w:pPr>
          </w:p>
        </w:tc>
        <w:tc>
          <w:tcPr>
            <w:tcW w:w="463" w:type="dxa"/>
            <w:tcBorders>
              <w:top w:val="single" w:sz="4" w:space="0" w:color="auto"/>
              <w:left w:val="double" w:sz="6" w:space="0" w:color="auto"/>
              <w:bottom w:val="single" w:sz="4" w:space="0" w:color="auto"/>
              <w:right w:val="single" w:sz="4" w:space="0" w:color="auto"/>
            </w:tcBorders>
            <w:shd w:val="clear" w:color="auto" w:fill="00FF00"/>
            <w:noWrap/>
            <w:vAlign w:val="center"/>
          </w:tcPr>
          <w:p w:rsidR="004231E4" w:rsidRPr="001D7F74" w:rsidRDefault="004231E4" w:rsidP="00926C49">
            <w:pPr>
              <w:jc w:val="center"/>
            </w:pPr>
          </w:p>
        </w:tc>
        <w:tc>
          <w:tcPr>
            <w:tcW w:w="418" w:type="dxa"/>
            <w:tcBorders>
              <w:top w:val="single" w:sz="4" w:space="0" w:color="auto"/>
              <w:left w:val="nil"/>
              <w:bottom w:val="single" w:sz="4" w:space="0" w:color="auto"/>
              <w:right w:val="double" w:sz="6" w:space="0" w:color="auto"/>
            </w:tcBorders>
            <w:shd w:val="clear" w:color="auto" w:fill="FFFF99"/>
            <w:noWrap/>
            <w:vAlign w:val="center"/>
          </w:tcPr>
          <w:p w:rsidR="004231E4" w:rsidRPr="001D7F74" w:rsidRDefault="004231E4" w:rsidP="00926C49">
            <w:pPr>
              <w:jc w:val="center"/>
            </w:pPr>
          </w:p>
        </w:tc>
      </w:tr>
      <w:tr w:rsidR="004231E4" w:rsidRPr="001D7F74" w:rsidTr="00994106">
        <w:trPr>
          <w:trHeight w:val="255"/>
          <w:jc w:val="center"/>
        </w:trPr>
        <w:tc>
          <w:tcPr>
            <w:tcW w:w="916" w:type="dxa"/>
            <w:tcBorders>
              <w:top w:val="nil"/>
              <w:bottom w:val="nil"/>
              <w:right w:val="nil"/>
            </w:tcBorders>
            <w:shd w:val="clear" w:color="auto" w:fill="auto"/>
            <w:noWrap/>
            <w:vAlign w:val="bottom"/>
          </w:tcPr>
          <w:p w:rsidR="004231E4" w:rsidRPr="001D7F74" w:rsidRDefault="004231E4" w:rsidP="00926C49">
            <w:pPr>
              <w:pStyle w:val="Tabletext"/>
              <w:jc w:val="center"/>
            </w:pPr>
            <w:r>
              <w:t>GT</w:t>
            </w:r>
            <w:r w:rsidRPr="001D7F74">
              <w:t xml:space="preserve"> 7B</w:t>
            </w:r>
          </w:p>
        </w:tc>
        <w:tc>
          <w:tcPr>
            <w:tcW w:w="851" w:type="dxa"/>
            <w:tcBorders>
              <w:top w:val="single" w:sz="4" w:space="0" w:color="auto"/>
              <w:left w:val="double" w:sz="6" w:space="0" w:color="auto"/>
              <w:bottom w:val="single" w:sz="4" w:space="0" w:color="auto"/>
              <w:right w:val="double" w:sz="6" w:space="0" w:color="auto"/>
            </w:tcBorders>
            <w:shd w:val="clear" w:color="auto" w:fill="FFFF99"/>
            <w:noWrap/>
            <w:vAlign w:val="center"/>
          </w:tcPr>
          <w:p w:rsidR="004231E4" w:rsidRPr="001D7F74" w:rsidRDefault="004231E4" w:rsidP="00926C49">
            <w:pPr>
              <w:jc w:val="center"/>
            </w:pPr>
          </w:p>
        </w:tc>
        <w:tc>
          <w:tcPr>
            <w:tcW w:w="850" w:type="dxa"/>
            <w:tcBorders>
              <w:top w:val="single" w:sz="4" w:space="0" w:color="auto"/>
              <w:left w:val="nil"/>
              <w:bottom w:val="single" w:sz="4" w:space="0" w:color="auto"/>
              <w:right w:val="double" w:sz="6" w:space="0" w:color="auto"/>
            </w:tcBorders>
            <w:shd w:val="clear" w:color="auto" w:fill="00FF00"/>
            <w:noWrap/>
            <w:vAlign w:val="center"/>
          </w:tcPr>
          <w:p w:rsidR="004231E4" w:rsidRPr="001D7F74" w:rsidRDefault="004231E4" w:rsidP="00926C49">
            <w:pPr>
              <w:jc w:val="center"/>
            </w:pPr>
          </w:p>
        </w:tc>
        <w:tc>
          <w:tcPr>
            <w:tcW w:w="851" w:type="dxa"/>
            <w:tcBorders>
              <w:top w:val="single" w:sz="4" w:space="0" w:color="auto"/>
              <w:left w:val="double" w:sz="6" w:space="0" w:color="auto"/>
              <w:bottom w:val="single" w:sz="4" w:space="0" w:color="auto"/>
              <w:right w:val="double" w:sz="6" w:space="0" w:color="auto"/>
            </w:tcBorders>
            <w:shd w:val="clear" w:color="auto" w:fill="00FF00"/>
            <w:vAlign w:val="center"/>
          </w:tcPr>
          <w:p w:rsidR="004231E4" w:rsidRPr="001D7F74" w:rsidRDefault="004231E4" w:rsidP="00926C49">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FFFF99"/>
            <w:noWrap/>
            <w:vAlign w:val="center"/>
          </w:tcPr>
          <w:p w:rsidR="004231E4" w:rsidRPr="001D7F74" w:rsidRDefault="004231E4" w:rsidP="00926C49">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00FF00"/>
            <w:vAlign w:val="center"/>
          </w:tcPr>
          <w:p w:rsidR="004231E4" w:rsidRPr="001D7F74" w:rsidRDefault="004231E4" w:rsidP="00926C49">
            <w:pPr>
              <w:jc w:val="center"/>
            </w:pPr>
          </w:p>
        </w:tc>
        <w:tc>
          <w:tcPr>
            <w:tcW w:w="418" w:type="dxa"/>
            <w:tcBorders>
              <w:top w:val="single" w:sz="4" w:space="0" w:color="auto"/>
              <w:left w:val="single" w:sz="4" w:space="0" w:color="auto"/>
              <w:bottom w:val="single" w:sz="4" w:space="0" w:color="auto"/>
              <w:right w:val="double" w:sz="6" w:space="0" w:color="auto"/>
            </w:tcBorders>
            <w:shd w:val="clear" w:color="auto" w:fill="FFFF99"/>
            <w:noWrap/>
            <w:vAlign w:val="center"/>
          </w:tcPr>
          <w:p w:rsidR="004231E4" w:rsidRPr="001D7F74" w:rsidRDefault="004231E4" w:rsidP="00926C49">
            <w:pPr>
              <w:jc w:val="center"/>
            </w:pPr>
          </w:p>
        </w:tc>
        <w:tc>
          <w:tcPr>
            <w:tcW w:w="818" w:type="dxa"/>
            <w:tcBorders>
              <w:top w:val="single" w:sz="4" w:space="0" w:color="auto"/>
              <w:left w:val="double" w:sz="6" w:space="0" w:color="auto"/>
              <w:bottom w:val="single" w:sz="4" w:space="0" w:color="auto"/>
              <w:right w:val="double" w:sz="6" w:space="0" w:color="auto"/>
            </w:tcBorders>
            <w:shd w:val="clear" w:color="auto" w:fill="00FF00"/>
            <w:vAlign w:val="center"/>
          </w:tcPr>
          <w:p w:rsidR="004231E4" w:rsidRPr="001D7F74" w:rsidRDefault="004231E4" w:rsidP="00926C49">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FFFF99"/>
            <w:noWrap/>
            <w:vAlign w:val="center"/>
          </w:tcPr>
          <w:p w:rsidR="004231E4" w:rsidRPr="001D7F74" w:rsidRDefault="004231E4" w:rsidP="00926C49">
            <w:pPr>
              <w:jc w:val="center"/>
            </w:pPr>
          </w:p>
        </w:tc>
        <w:tc>
          <w:tcPr>
            <w:tcW w:w="440" w:type="dxa"/>
            <w:tcBorders>
              <w:top w:val="single" w:sz="4" w:space="0" w:color="auto"/>
              <w:left w:val="single" w:sz="4" w:space="0" w:color="auto"/>
              <w:bottom w:val="single" w:sz="4" w:space="0" w:color="auto"/>
              <w:right w:val="single" w:sz="4" w:space="0" w:color="auto"/>
            </w:tcBorders>
            <w:shd w:val="clear" w:color="auto" w:fill="00FF00"/>
            <w:vAlign w:val="center"/>
          </w:tcPr>
          <w:p w:rsidR="004231E4" w:rsidRPr="001D7F74" w:rsidRDefault="004231E4" w:rsidP="00926C49">
            <w:pPr>
              <w:jc w:val="center"/>
            </w:pPr>
          </w:p>
        </w:tc>
        <w:tc>
          <w:tcPr>
            <w:tcW w:w="440" w:type="dxa"/>
            <w:tcBorders>
              <w:top w:val="single" w:sz="4" w:space="0" w:color="auto"/>
              <w:left w:val="single" w:sz="4" w:space="0" w:color="auto"/>
              <w:bottom w:val="single" w:sz="4" w:space="0" w:color="auto"/>
              <w:right w:val="double" w:sz="6" w:space="0" w:color="auto"/>
            </w:tcBorders>
            <w:shd w:val="clear" w:color="auto" w:fill="FFFF99"/>
            <w:noWrap/>
            <w:vAlign w:val="center"/>
          </w:tcPr>
          <w:p w:rsidR="004231E4" w:rsidRPr="001D7F74" w:rsidRDefault="004231E4" w:rsidP="00926C49">
            <w:pPr>
              <w:jc w:val="center"/>
            </w:pPr>
          </w:p>
        </w:tc>
        <w:tc>
          <w:tcPr>
            <w:tcW w:w="463" w:type="dxa"/>
            <w:tcBorders>
              <w:top w:val="single" w:sz="4" w:space="0" w:color="auto"/>
              <w:left w:val="double" w:sz="6" w:space="0" w:color="auto"/>
              <w:bottom w:val="single" w:sz="4" w:space="0" w:color="auto"/>
              <w:right w:val="single" w:sz="4" w:space="0" w:color="auto"/>
            </w:tcBorders>
            <w:shd w:val="clear" w:color="auto" w:fill="00FF00"/>
            <w:noWrap/>
            <w:vAlign w:val="center"/>
          </w:tcPr>
          <w:p w:rsidR="004231E4" w:rsidRPr="001D7F74" w:rsidRDefault="004231E4" w:rsidP="00926C49">
            <w:pPr>
              <w:jc w:val="center"/>
            </w:pPr>
          </w:p>
        </w:tc>
        <w:tc>
          <w:tcPr>
            <w:tcW w:w="418" w:type="dxa"/>
            <w:tcBorders>
              <w:top w:val="single" w:sz="4" w:space="0" w:color="auto"/>
              <w:left w:val="nil"/>
              <w:bottom w:val="single" w:sz="4" w:space="0" w:color="auto"/>
              <w:right w:val="double" w:sz="6" w:space="0" w:color="auto"/>
            </w:tcBorders>
            <w:shd w:val="clear" w:color="auto" w:fill="FFFF99"/>
            <w:noWrap/>
            <w:vAlign w:val="center"/>
          </w:tcPr>
          <w:p w:rsidR="004231E4" w:rsidRPr="001D7F74" w:rsidRDefault="004231E4" w:rsidP="00926C49">
            <w:pPr>
              <w:jc w:val="center"/>
            </w:pPr>
          </w:p>
        </w:tc>
      </w:tr>
      <w:tr w:rsidR="004231E4" w:rsidRPr="001D7F74" w:rsidTr="00994106">
        <w:trPr>
          <w:trHeight w:val="255"/>
          <w:jc w:val="center"/>
        </w:trPr>
        <w:tc>
          <w:tcPr>
            <w:tcW w:w="916" w:type="dxa"/>
            <w:tcBorders>
              <w:top w:val="nil"/>
              <w:bottom w:val="nil"/>
              <w:right w:val="nil"/>
            </w:tcBorders>
            <w:shd w:val="clear" w:color="auto" w:fill="auto"/>
            <w:noWrap/>
            <w:vAlign w:val="bottom"/>
          </w:tcPr>
          <w:p w:rsidR="004231E4" w:rsidRPr="001D7F74" w:rsidRDefault="004231E4" w:rsidP="00926C49">
            <w:pPr>
              <w:pStyle w:val="Tabletext"/>
              <w:jc w:val="center"/>
            </w:pPr>
            <w:r>
              <w:t>GT</w:t>
            </w:r>
            <w:r w:rsidRPr="001D7F74">
              <w:t xml:space="preserve"> 7C</w:t>
            </w:r>
          </w:p>
        </w:tc>
        <w:tc>
          <w:tcPr>
            <w:tcW w:w="851" w:type="dxa"/>
            <w:tcBorders>
              <w:top w:val="single" w:sz="4" w:space="0" w:color="auto"/>
              <w:left w:val="double" w:sz="6" w:space="0" w:color="auto"/>
              <w:bottom w:val="single" w:sz="4" w:space="0" w:color="auto"/>
              <w:right w:val="double" w:sz="6" w:space="0" w:color="auto"/>
            </w:tcBorders>
            <w:shd w:val="clear" w:color="auto" w:fill="FFFF99"/>
            <w:noWrap/>
            <w:vAlign w:val="center"/>
          </w:tcPr>
          <w:p w:rsidR="004231E4" w:rsidRPr="001D7F74" w:rsidRDefault="004231E4" w:rsidP="00926C49">
            <w:pPr>
              <w:jc w:val="center"/>
            </w:pPr>
          </w:p>
        </w:tc>
        <w:tc>
          <w:tcPr>
            <w:tcW w:w="850" w:type="dxa"/>
            <w:tcBorders>
              <w:top w:val="single" w:sz="4" w:space="0" w:color="auto"/>
              <w:left w:val="nil"/>
              <w:bottom w:val="single" w:sz="4" w:space="0" w:color="auto"/>
              <w:right w:val="double" w:sz="6" w:space="0" w:color="auto"/>
            </w:tcBorders>
            <w:shd w:val="clear" w:color="auto" w:fill="00FF00"/>
            <w:noWrap/>
            <w:vAlign w:val="center"/>
          </w:tcPr>
          <w:p w:rsidR="004231E4" w:rsidRPr="001D7F74" w:rsidRDefault="004231E4" w:rsidP="00926C49">
            <w:pPr>
              <w:jc w:val="center"/>
            </w:pPr>
          </w:p>
        </w:tc>
        <w:tc>
          <w:tcPr>
            <w:tcW w:w="851" w:type="dxa"/>
            <w:tcBorders>
              <w:top w:val="single" w:sz="4" w:space="0" w:color="auto"/>
              <w:left w:val="double" w:sz="6" w:space="0" w:color="auto"/>
              <w:bottom w:val="single" w:sz="4" w:space="0" w:color="auto"/>
              <w:right w:val="double" w:sz="6" w:space="0" w:color="auto"/>
            </w:tcBorders>
            <w:shd w:val="clear" w:color="auto" w:fill="00FF00"/>
            <w:vAlign w:val="center"/>
          </w:tcPr>
          <w:p w:rsidR="004231E4" w:rsidRPr="001D7F74" w:rsidRDefault="004231E4" w:rsidP="00926C49">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FFFF99"/>
            <w:noWrap/>
            <w:vAlign w:val="center"/>
          </w:tcPr>
          <w:p w:rsidR="004231E4" w:rsidRPr="001D7F74" w:rsidRDefault="004231E4" w:rsidP="00926C49">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00FF00"/>
            <w:vAlign w:val="center"/>
          </w:tcPr>
          <w:p w:rsidR="004231E4" w:rsidRPr="001D7F74" w:rsidRDefault="004231E4" w:rsidP="00926C49">
            <w:pPr>
              <w:jc w:val="center"/>
            </w:pPr>
          </w:p>
        </w:tc>
        <w:tc>
          <w:tcPr>
            <w:tcW w:w="418" w:type="dxa"/>
            <w:tcBorders>
              <w:top w:val="single" w:sz="4" w:space="0" w:color="auto"/>
              <w:left w:val="single" w:sz="4" w:space="0" w:color="auto"/>
              <w:bottom w:val="single" w:sz="4" w:space="0" w:color="auto"/>
              <w:right w:val="double" w:sz="6" w:space="0" w:color="auto"/>
            </w:tcBorders>
            <w:shd w:val="clear" w:color="auto" w:fill="FFFF99"/>
            <w:noWrap/>
            <w:vAlign w:val="center"/>
          </w:tcPr>
          <w:p w:rsidR="004231E4" w:rsidRPr="001D7F74" w:rsidRDefault="004231E4" w:rsidP="00926C49">
            <w:pPr>
              <w:jc w:val="center"/>
            </w:pPr>
          </w:p>
        </w:tc>
        <w:tc>
          <w:tcPr>
            <w:tcW w:w="818" w:type="dxa"/>
            <w:tcBorders>
              <w:top w:val="single" w:sz="4" w:space="0" w:color="auto"/>
              <w:left w:val="double" w:sz="6" w:space="0" w:color="auto"/>
              <w:bottom w:val="single" w:sz="4" w:space="0" w:color="auto"/>
              <w:right w:val="double" w:sz="6" w:space="0" w:color="auto"/>
            </w:tcBorders>
            <w:shd w:val="clear" w:color="auto" w:fill="00FF00"/>
            <w:vAlign w:val="center"/>
          </w:tcPr>
          <w:p w:rsidR="004231E4" w:rsidRPr="001D7F74" w:rsidRDefault="004231E4" w:rsidP="00926C49">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FFFF99"/>
            <w:noWrap/>
            <w:vAlign w:val="center"/>
          </w:tcPr>
          <w:p w:rsidR="004231E4" w:rsidRPr="001D7F74" w:rsidRDefault="004231E4" w:rsidP="00926C49">
            <w:pPr>
              <w:jc w:val="center"/>
            </w:pPr>
          </w:p>
        </w:tc>
        <w:tc>
          <w:tcPr>
            <w:tcW w:w="440" w:type="dxa"/>
            <w:tcBorders>
              <w:top w:val="single" w:sz="4" w:space="0" w:color="auto"/>
              <w:left w:val="single" w:sz="4" w:space="0" w:color="auto"/>
              <w:bottom w:val="single" w:sz="4" w:space="0" w:color="auto"/>
              <w:right w:val="single" w:sz="4" w:space="0" w:color="auto"/>
            </w:tcBorders>
            <w:shd w:val="clear" w:color="auto" w:fill="00FF00"/>
            <w:vAlign w:val="center"/>
          </w:tcPr>
          <w:p w:rsidR="004231E4" w:rsidRPr="001D7F74" w:rsidRDefault="004231E4" w:rsidP="00926C49">
            <w:pPr>
              <w:jc w:val="center"/>
            </w:pPr>
          </w:p>
        </w:tc>
        <w:tc>
          <w:tcPr>
            <w:tcW w:w="440" w:type="dxa"/>
            <w:tcBorders>
              <w:top w:val="single" w:sz="4" w:space="0" w:color="auto"/>
              <w:left w:val="single" w:sz="4" w:space="0" w:color="auto"/>
              <w:bottom w:val="single" w:sz="4" w:space="0" w:color="auto"/>
              <w:right w:val="double" w:sz="6" w:space="0" w:color="auto"/>
            </w:tcBorders>
            <w:shd w:val="clear" w:color="auto" w:fill="FFFF99"/>
            <w:noWrap/>
            <w:vAlign w:val="center"/>
          </w:tcPr>
          <w:p w:rsidR="004231E4" w:rsidRPr="001D7F74" w:rsidRDefault="004231E4" w:rsidP="00926C49">
            <w:pPr>
              <w:jc w:val="center"/>
            </w:pPr>
          </w:p>
        </w:tc>
        <w:tc>
          <w:tcPr>
            <w:tcW w:w="463" w:type="dxa"/>
            <w:tcBorders>
              <w:top w:val="single" w:sz="4" w:space="0" w:color="auto"/>
              <w:left w:val="double" w:sz="6" w:space="0" w:color="auto"/>
              <w:bottom w:val="single" w:sz="4" w:space="0" w:color="auto"/>
              <w:right w:val="single" w:sz="4" w:space="0" w:color="auto"/>
            </w:tcBorders>
            <w:shd w:val="clear" w:color="auto" w:fill="00FF00"/>
            <w:noWrap/>
            <w:vAlign w:val="center"/>
          </w:tcPr>
          <w:p w:rsidR="004231E4" w:rsidRPr="001D7F74" w:rsidRDefault="004231E4" w:rsidP="00926C49">
            <w:pPr>
              <w:jc w:val="center"/>
            </w:pPr>
          </w:p>
        </w:tc>
        <w:tc>
          <w:tcPr>
            <w:tcW w:w="418" w:type="dxa"/>
            <w:tcBorders>
              <w:top w:val="single" w:sz="4" w:space="0" w:color="auto"/>
              <w:left w:val="nil"/>
              <w:bottom w:val="single" w:sz="4" w:space="0" w:color="auto"/>
              <w:right w:val="double" w:sz="6" w:space="0" w:color="auto"/>
            </w:tcBorders>
            <w:shd w:val="clear" w:color="auto" w:fill="FFFF99"/>
            <w:noWrap/>
            <w:vAlign w:val="center"/>
          </w:tcPr>
          <w:p w:rsidR="004231E4" w:rsidRPr="001D7F74" w:rsidRDefault="004231E4" w:rsidP="00926C49">
            <w:pPr>
              <w:jc w:val="center"/>
            </w:pPr>
          </w:p>
        </w:tc>
      </w:tr>
      <w:tr w:rsidR="004231E4" w:rsidRPr="001D7F74" w:rsidTr="00994106">
        <w:trPr>
          <w:trHeight w:val="270"/>
          <w:jc w:val="center"/>
        </w:trPr>
        <w:tc>
          <w:tcPr>
            <w:tcW w:w="916" w:type="dxa"/>
            <w:tcBorders>
              <w:top w:val="nil"/>
              <w:right w:val="nil"/>
            </w:tcBorders>
            <w:shd w:val="clear" w:color="auto" w:fill="auto"/>
            <w:noWrap/>
            <w:vAlign w:val="bottom"/>
          </w:tcPr>
          <w:p w:rsidR="004231E4" w:rsidRPr="001D7F74" w:rsidRDefault="004231E4" w:rsidP="00926C49">
            <w:pPr>
              <w:pStyle w:val="Tabletext"/>
              <w:jc w:val="center"/>
            </w:pPr>
            <w:r>
              <w:t>GT</w:t>
            </w:r>
            <w:r w:rsidRPr="001D7F74">
              <w:t xml:space="preserve"> 7D</w:t>
            </w:r>
          </w:p>
        </w:tc>
        <w:tc>
          <w:tcPr>
            <w:tcW w:w="851" w:type="dxa"/>
            <w:tcBorders>
              <w:top w:val="single" w:sz="4" w:space="0" w:color="auto"/>
              <w:left w:val="double" w:sz="6" w:space="0" w:color="auto"/>
              <w:bottom w:val="double" w:sz="6" w:space="0" w:color="auto"/>
              <w:right w:val="double" w:sz="6" w:space="0" w:color="auto"/>
            </w:tcBorders>
            <w:shd w:val="clear" w:color="auto" w:fill="FFFF99"/>
            <w:noWrap/>
            <w:vAlign w:val="center"/>
          </w:tcPr>
          <w:p w:rsidR="004231E4" w:rsidRPr="001D7F74" w:rsidRDefault="004231E4" w:rsidP="00926C49">
            <w:pPr>
              <w:jc w:val="center"/>
            </w:pPr>
          </w:p>
        </w:tc>
        <w:tc>
          <w:tcPr>
            <w:tcW w:w="850" w:type="dxa"/>
            <w:tcBorders>
              <w:top w:val="single" w:sz="4" w:space="0" w:color="auto"/>
              <w:left w:val="nil"/>
              <w:bottom w:val="double" w:sz="6" w:space="0" w:color="auto"/>
              <w:right w:val="double" w:sz="6" w:space="0" w:color="auto"/>
            </w:tcBorders>
            <w:shd w:val="clear" w:color="auto" w:fill="00FF00"/>
            <w:noWrap/>
            <w:vAlign w:val="center"/>
          </w:tcPr>
          <w:p w:rsidR="004231E4" w:rsidRPr="001D7F74" w:rsidRDefault="004231E4" w:rsidP="00926C49">
            <w:pPr>
              <w:jc w:val="center"/>
            </w:pPr>
          </w:p>
        </w:tc>
        <w:tc>
          <w:tcPr>
            <w:tcW w:w="851" w:type="dxa"/>
            <w:tcBorders>
              <w:top w:val="single" w:sz="4" w:space="0" w:color="auto"/>
              <w:left w:val="double" w:sz="6" w:space="0" w:color="auto"/>
              <w:bottom w:val="double" w:sz="6" w:space="0" w:color="auto"/>
              <w:right w:val="double" w:sz="6" w:space="0" w:color="auto"/>
            </w:tcBorders>
            <w:shd w:val="clear" w:color="auto" w:fill="00FF00"/>
            <w:vAlign w:val="center"/>
          </w:tcPr>
          <w:p w:rsidR="004231E4" w:rsidRPr="001D7F74" w:rsidRDefault="004231E4" w:rsidP="00926C49">
            <w:pPr>
              <w:jc w:val="center"/>
            </w:pPr>
          </w:p>
        </w:tc>
        <w:tc>
          <w:tcPr>
            <w:tcW w:w="440" w:type="dxa"/>
            <w:tcBorders>
              <w:top w:val="single" w:sz="4" w:space="0" w:color="auto"/>
              <w:left w:val="double" w:sz="6" w:space="0" w:color="auto"/>
              <w:bottom w:val="double" w:sz="6" w:space="0" w:color="auto"/>
              <w:right w:val="single" w:sz="4" w:space="0" w:color="auto"/>
            </w:tcBorders>
            <w:shd w:val="clear" w:color="auto" w:fill="FFFF99"/>
            <w:noWrap/>
            <w:vAlign w:val="center"/>
          </w:tcPr>
          <w:p w:rsidR="004231E4" w:rsidRPr="001D7F74" w:rsidRDefault="004231E4" w:rsidP="00926C49">
            <w:pPr>
              <w:jc w:val="center"/>
            </w:pPr>
          </w:p>
        </w:tc>
        <w:tc>
          <w:tcPr>
            <w:tcW w:w="494" w:type="dxa"/>
            <w:tcBorders>
              <w:top w:val="single" w:sz="4" w:space="0" w:color="auto"/>
              <w:left w:val="single" w:sz="4" w:space="0" w:color="auto"/>
              <w:bottom w:val="double" w:sz="6" w:space="0" w:color="auto"/>
              <w:right w:val="single" w:sz="4" w:space="0" w:color="auto"/>
            </w:tcBorders>
            <w:shd w:val="clear" w:color="auto" w:fill="00FF00"/>
            <w:vAlign w:val="center"/>
          </w:tcPr>
          <w:p w:rsidR="004231E4" w:rsidRPr="001D7F74" w:rsidRDefault="004231E4" w:rsidP="00926C49">
            <w:r w:rsidRPr="001D7F74">
              <w:t> </w:t>
            </w:r>
          </w:p>
        </w:tc>
        <w:tc>
          <w:tcPr>
            <w:tcW w:w="418" w:type="dxa"/>
            <w:tcBorders>
              <w:top w:val="single" w:sz="4" w:space="0" w:color="auto"/>
              <w:left w:val="single" w:sz="4" w:space="0" w:color="auto"/>
              <w:bottom w:val="double" w:sz="6" w:space="0" w:color="auto"/>
              <w:right w:val="double" w:sz="6" w:space="0" w:color="auto"/>
            </w:tcBorders>
            <w:shd w:val="clear" w:color="auto" w:fill="FFFF99"/>
            <w:noWrap/>
            <w:vAlign w:val="center"/>
          </w:tcPr>
          <w:p w:rsidR="004231E4" w:rsidRPr="001D7F74" w:rsidRDefault="004231E4" w:rsidP="00926C49">
            <w:r w:rsidRPr="001D7F74">
              <w:t> </w:t>
            </w:r>
          </w:p>
        </w:tc>
        <w:tc>
          <w:tcPr>
            <w:tcW w:w="818" w:type="dxa"/>
            <w:tcBorders>
              <w:top w:val="single" w:sz="4" w:space="0" w:color="auto"/>
              <w:left w:val="double" w:sz="6" w:space="0" w:color="auto"/>
              <w:bottom w:val="double" w:sz="6" w:space="0" w:color="auto"/>
              <w:right w:val="double" w:sz="6" w:space="0" w:color="auto"/>
            </w:tcBorders>
            <w:shd w:val="clear" w:color="auto" w:fill="00FF00"/>
            <w:noWrap/>
            <w:vAlign w:val="center"/>
          </w:tcPr>
          <w:p w:rsidR="004231E4" w:rsidRPr="001D7F74" w:rsidRDefault="004231E4" w:rsidP="00926C49">
            <w:r w:rsidRPr="001D7F74">
              <w:t> </w:t>
            </w:r>
          </w:p>
        </w:tc>
        <w:tc>
          <w:tcPr>
            <w:tcW w:w="440" w:type="dxa"/>
            <w:tcBorders>
              <w:top w:val="single" w:sz="4" w:space="0" w:color="auto"/>
              <w:left w:val="double" w:sz="6" w:space="0" w:color="auto"/>
              <w:bottom w:val="double" w:sz="6" w:space="0" w:color="auto"/>
              <w:right w:val="single" w:sz="4" w:space="0" w:color="auto"/>
            </w:tcBorders>
            <w:shd w:val="clear" w:color="auto" w:fill="FFFF99"/>
            <w:noWrap/>
            <w:vAlign w:val="center"/>
          </w:tcPr>
          <w:p w:rsidR="004231E4" w:rsidRPr="001D7F74" w:rsidRDefault="004231E4" w:rsidP="00926C49">
            <w:r w:rsidRPr="001D7F74">
              <w:t> </w:t>
            </w:r>
          </w:p>
        </w:tc>
        <w:tc>
          <w:tcPr>
            <w:tcW w:w="440" w:type="dxa"/>
            <w:tcBorders>
              <w:top w:val="single" w:sz="4" w:space="0" w:color="auto"/>
              <w:left w:val="single" w:sz="4" w:space="0" w:color="auto"/>
              <w:bottom w:val="double" w:sz="6" w:space="0" w:color="auto"/>
              <w:right w:val="single" w:sz="4" w:space="0" w:color="auto"/>
            </w:tcBorders>
            <w:shd w:val="clear" w:color="auto" w:fill="00FF00"/>
            <w:noWrap/>
            <w:vAlign w:val="center"/>
          </w:tcPr>
          <w:p w:rsidR="004231E4" w:rsidRPr="001D7F74" w:rsidRDefault="004231E4" w:rsidP="00926C49">
            <w:pPr>
              <w:jc w:val="center"/>
            </w:pPr>
          </w:p>
        </w:tc>
        <w:tc>
          <w:tcPr>
            <w:tcW w:w="440" w:type="dxa"/>
            <w:tcBorders>
              <w:top w:val="single" w:sz="4" w:space="0" w:color="auto"/>
              <w:left w:val="single" w:sz="4" w:space="0" w:color="auto"/>
              <w:bottom w:val="double" w:sz="6" w:space="0" w:color="auto"/>
              <w:right w:val="double" w:sz="6" w:space="0" w:color="auto"/>
            </w:tcBorders>
            <w:shd w:val="clear" w:color="auto" w:fill="FFFF99"/>
            <w:noWrap/>
            <w:vAlign w:val="center"/>
          </w:tcPr>
          <w:p w:rsidR="004231E4" w:rsidRPr="001D7F74" w:rsidRDefault="004231E4" w:rsidP="00926C49">
            <w:pPr>
              <w:jc w:val="center"/>
            </w:pPr>
          </w:p>
        </w:tc>
        <w:tc>
          <w:tcPr>
            <w:tcW w:w="463" w:type="dxa"/>
            <w:tcBorders>
              <w:top w:val="single" w:sz="4" w:space="0" w:color="auto"/>
              <w:left w:val="double" w:sz="6" w:space="0" w:color="auto"/>
              <w:bottom w:val="double" w:sz="6" w:space="0" w:color="auto"/>
              <w:right w:val="single" w:sz="4" w:space="0" w:color="auto"/>
            </w:tcBorders>
            <w:shd w:val="clear" w:color="auto" w:fill="00FF00"/>
            <w:noWrap/>
            <w:vAlign w:val="center"/>
          </w:tcPr>
          <w:p w:rsidR="004231E4" w:rsidRPr="001D7F74" w:rsidRDefault="004231E4" w:rsidP="00926C49">
            <w:pPr>
              <w:jc w:val="center"/>
            </w:pPr>
          </w:p>
        </w:tc>
        <w:tc>
          <w:tcPr>
            <w:tcW w:w="418" w:type="dxa"/>
            <w:tcBorders>
              <w:top w:val="single" w:sz="4" w:space="0" w:color="auto"/>
              <w:left w:val="nil"/>
              <w:bottom w:val="double" w:sz="6" w:space="0" w:color="auto"/>
              <w:right w:val="double" w:sz="6" w:space="0" w:color="auto"/>
            </w:tcBorders>
            <w:shd w:val="clear" w:color="auto" w:fill="FFFF99"/>
            <w:noWrap/>
            <w:vAlign w:val="center"/>
          </w:tcPr>
          <w:p w:rsidR="004231E4" w:rsidRPr="001D7F74" w:rsidRDefault="004231E4" w:rsidP="00926C49">
            <w:pPr>
              <w:jc w:val="center"/>
            </w:pPr>
          </w:p>
        </w:tc>
      </w:tr>
    </w:tbl>
    <w:p w:rsidR="006042ED" w:rsidRDefault="006042ED" w:rsidP="00926C49">
      <w:pPr>
        <w:pStyle w:val="Heading1"/>
      </w:pPr>
      <w:r w:rsidRPr="001D7F74">
        <w:t>4</w:t>
      </w:r>
      <w:r w:rsidRPr="001D7F74">
        <w:tab/>
      </w:r>
      <w:bookmarkStart w:id="40" w:name="lt_pId085"/>
      <w:r w:rsidRPr="001F4B71">
        <w:t>Participation</w:t>
      </w:r>
      <w:bookmarkEnd w:id="40"/>
    </w:p>
    <w:p w:rsidR="006042ED" w:rsidRPr="00B01278" w:rsidRDefault="00994106" w:rsidP="0051010E">
      <w:pPr>
        <w:rPr>
          <w:lang w:val="fr-CH"/>
        </w:rPr>
      </w:pPr>
      <w:r>
        <w:rPr>
          <w:lang w:val="fr-CH"/>
        </w:rPr>
        <w:t>A</w:t>
      </w:r>
      <w:r w:rsidR="006042ED" w:rsidRPr="007239A8">
        <w:rPr>
          <w:lang w:val="fr-CH"/>
        </w:rPr>
        <w:t xml:space="preserve"> l</w:t>
      </w:r>
      <w:r w:rsidR="006042ED">
        <w:rPr>
          <w:lang w:val="fr-CH"/>
        </w:rPr>
        <w:t>'</w:t>
      </w:r>
      <w:r w:rsidR="006042ED" w:rsidRPr="007239A8">
        <w:rPr>
          <w:lang w:val="fr-CH"/>
        </w:rPr>
        <w:t xml:space="preserve">exception de la première réunion de mai 2012, </w:t>
      </w:r>
      <w:r w:rsidR="006042ED">
        <w:rPr>
          <w:lang w:val="fr-CH"/>
        </w:rPr>
        <w:t>o</w:t>
      </w:r>
      <w:r w:rsidR="006042ED" w:rsidRPr="008530CC">
        <w:rPr>
          <w:lang w:val="fr-CH"/>
        </w:rPr>
        <w:t xml:space="preserve">n a dénombré </w:t>
      </w:r>
      <w:r w:rsidR="006042ED">
        <w:rPr>
          <w:lang w:val="fr-CH"/>
        </w:rPr>
        <w:t>entre 50 et 70 </w:t>
      </w:r>
      <w:r w:rsidR="006042ED" w:rsidRPr="008530CC">
        <w:rPr>
          <w:lang w:val="fr-CH"/>
        </w:rPr>
        <w:t xml:space="preserve">participants inscrits </w:t>
      </w:r>
      <w:r w:rsidR="0051010E">
        <w:rPr>
          <w:lang w:val="fr-CH"/>
        </w:rPr>
        <w:t>aux</w:t>
      </w:r>
      <w:r w:rsidR="006042ED" w:rsidRPr="008530CC">
        <w:rPr>
          <w:lang w:val="fr-CH"/>
        </w:rPr>
        <w:t xml:space="preserve"> réunions de</w:t>
      </w:r>
      <w:r w:rsidR="006042ED" w:rsidRPr="007239A8">
        <w:rPr>
          <w:lang w:val="fr-CH"/>
        </w:rPr>
        <w:t xml:space="preserve"> la CE 7</w:t>
      </w:r>
      <w:r w:rsidR="006042ED">
        <w:rPr>
          <w:lang w:val="fr-CH"/>
        </w:rPr>
        <w:t>. La réunion de mai 2012, de courte durée, visait à mettre en place une nouvelle équipe et de nouveaux objectifs</w:t>
      </w:r>
      <w:r w:rsidR="006042ED" w:rsidRPr="007239A8">
        <w:rPr>
          <w:lang w:val="fr-CH"/>
        </w:rPr>
        <w:t xml:space="preserve"> pour les cycles d</w:t>
      </w:r>
      <w:r w:rsidR="006042ED">
        <w:rPr>
          <w:lang w:val="fr-CH"/>
        </w:rPr>
        <w:t>'</w:t>
      </w:r>
      <w:r w:rsidR="006042ED" w:rsidRPr="007239A8">
        <w:rPr>
          <w:lang w:val="fr-CH"/>
        </w:rPr>
        <w:t>études</w:t>
      </w:r>
      <w:r w:rsidR="006042ED">
        <w:rPr>
          <w:lang w:val="fr-CH"/>
        </w:rPr>
        <w:t>. Cette réunion était indépendante des autres réunions des GT, et e</w:t>
      </w:r>
      <w:r w:rsidR="006042ED" w:rsidRPr="00B01278">
        <w:rPr>
          <w:lang w:val="fr-CH"/>
        </w:rPr>
        <w:t>nviron 25 personnes y ont participé.</w:t>
      </w:r>
    </w:p>
    <w:p w:rsidR="006042ED" w:rsidRPr="0095726C" w:rsidRDefault="006042ED" w:rsidP="00926C49">
      <w:pPr>
        <w:rPr>
          <w:lang w:val="fr-CH"/>
        </w:rPr>
      </w:pPr>
      <w:r w:rsidRPr="0095726C">
        <w:rPr>
          <w:lang w:val="fr-CH"/>
        </w:rPr>
        <w:t xml:space="preserve">Entre 40 et 50 personnes </w:t>
      </w:r>
      <w:r>
        <w:rPr>
          <w:lang w:val="fr-CH"/>
        </w:rPr>
        <w:t xml:space="preserve">environ </w:t>
      </w:r>
      <w:r w:rsidRPr="0095726C">
        <w:rPr>
          <w:lang w:val="fr-CH"/>
        </w:rPr>
        <w:t xml:space="preserve">ont pris part aux réunions des </w:t>
      </w:r>
      <w:r>
        <w:rPr>
          <w:lang w:val="fr-CH"/>
        </w:rPr>
        <w:t xml:space="preserve">GT 7A et 7D; quant aux réunions des GT 7B et 7C, entre 60 et 70 personnes y ont participé. </w:t>
      </w:r>
    </w:p>
    <w:p w:rsidR="006042ED" w:rsidRPr="002F2726" w:rsidRDefault="006042ED" w:rsidP="00926C49">
      <w:pPr>
        <w:pStyle w:val="Heading1"/>
        <w:rPr>
          <w:lang w:val="fr-CH"/>
        </w:rPr>
      </w:pPr>
      <w:r w:rsidRPr="002F2726">
        <w:rPr>
          <w:lang w:val="fr-CH"/>
        </w:rPr>
        <w:t>5</w:t>
      </w:r>
      <w:r w:rsidRPr="002F2726">
        <w:rPr>
          <w:lang w:val="fr-CH"/>
        </w:rPr>
        <w:tab/>
      </w:r>
      <w:bookmarkStart w:id="41" w:name="lt_pId090"/>
      <w:r w:rsidRPr="001F4B71">
        <w:rPr>
          <w:lang w:val="fr-CH"/>
        </w:rPr>
        <w:t>Productivité</w:t>
      </w:r>
      <w:bookmarkEnd w:id="41"/>
    </w:p>
    <w:p w:rsidR="006042ED" w:rsidRDefault="006042ED" w:rsidP="0051010E">
      <w:pPr>
        <w:rPr>
          <w:lang w:val="fr-CH"/>
        </w:rPr>
      </w:pPr>
      <w:bookmarkStart w:id="42" w:name="lt_pId091"/>
      <w:r w:rsidRPr="002F2726">
        <w:rPr>
          <w:lang w:val="fr-CH"/>
        </w:rPr>
        <w:t>L</w:t>
      </w:r>
      <w:r>
        <w:rPr>
          <w:lang w:val="fr-CH"/>
        </w:rPr>
        <w:t>'</w:t>
      </w:r>
      <w:r w:rsidRPr="002F2726">
        <w:rPr>
          <w:lang w:val="fr-CH"/>
        </w:rPr>
        <w:t xml:space="preserve">Assemblée des radiocommunications de 2012 </w:t>
      </w:r>
      <w:r>
        <w:rPr>
          <w:lang w:val="fr-CH"/>
        </w:rPr>
        <w:t>avait attribué </w:t>
      </w:r>
      <w:r w:rsidRPr="002F2726">
        <w:rPr>
          <w:lang w:val="fr-CH"/>
        </w:rPr>
        <w:t xml:space="preserve">35 Questions à la </w:t>
      </w:r>
      <w:r>
        <w:rPr>
          <w:lang w:val="fr-CH"/>
        </w:rPr>
        <w:t>CE </w:t>
      </w:r>
      <w:r w:rsidRPr="002F2726">
        <w:rPr>
          <w:lang w:val="fr-CH"/>
        </w:rPr>
        <w:t xml:space="preserve">7. </w:t>
      </w:r>
      <w:r w:rsidRPr="007E66EA">
        <w:rPr>
          <w:lang w:val="fr-CH"/>
        </w:rPr>
        <w:t>Pendant le cycle d</w:t>
      </w:r>
      <w:r>
        <w:rPr>
          <w:lang w:val="fr-CH"/>
        </w:rPr>
        <w:t>'</w:t>
      </w:r>
      <w:r w:rsidRPr="007E66EA">
        <w:rPr>
          <w:lang w:val="fr-CH"/>
        </w:rPr>
        <w:t>études</w:t>
      </w:r>
      <w:r>
        <w:rPr>
          <w:lang w:val="fr-CH"/>
        </w:rPr>
        <w:t>, une Question a été révisée, deux Questions ont été supprimées et trois nouvelles Questions ont été formulées.</w:t>
      </w:r>
    </w:p>
    <w:p w:rsidR="006042ED" w:rsidRPr="002165AA" w:rsidRDefault="006042ED" w:rsidP="000D4BC7">
      <w:pPr>
        <w:rPr>
          <w:lang w:val="fr-CH"/>
        </w:rPr>
      </w:pPr>
      <w:r w:rsidRPr="00830CA9">
        <w:rPr>
          <w:lang w:val="fr-CH"/>
        </w:rPr>
        <w:t>De plus, la Commission d</w:t>
      </w:r>
      <w:r>
        <w:rPr>
          <w:lang w:val="fr-CH"/>
        </w:rPr>
        <w:t>'</w:t>
      </w:r>
      <w:r w:rsidRPr="00830CA9">
        <w:rPr>
          <w:lang w:val="fr-CH"/>
        </w:rPr>
        <w:t>étu</w:t>
      </w:r>
      <w:r>
        <w:rPr>
          <w:lang w:val="fr-CH"/>
        </w:rPr>
        <w:t>des est chargée de tenir à jour </w:t>
      </w:r>
      <w:r w:rsidR="000D4BC7">
        <w:rPr>
          <w:lang w:val="fr-CH"/>
        </w:rPr>
        <w:t>138</w:t>
      </w:r>
      <w:r>
        <w:rPr>
          <w:lang w:val="fr-CH"/>
        </w:rPr>
        <w:t xml:space="preserve"> recommandations UIT-R, qui sont publiées dans l'une des quatre séries de Recommandations suivantes:</w:t>
      </w:r>
      <w:bookmarkEnd w:id="42"/>
      <w:r w:rsidRPr="002165AA">
        <w:rPr>
          <w:lang w:val="fr-CH"/>
        </w:rPr>
        <w:t xml:space="preserve"> </w:t>
      </w:r>
    </w:p>
    <w:p w:rsidR="006042ED" w:rsidRPr="002B479F" w:rsidRDefault="006042ED" w:rsidP="0051010E">
      <w:pPr>
        <w:pStyle w:val="enumlev1"/>
        <w:rPr>
          <w:lang w:val="fr-CH"/>
        </w:rPr>
      </w:pPr>
      <w:r w:rsidRPr="009C6115">
        <w:rPr>
          <w:lang w:val="fr-CH"/>
        </w:rPr>
        <w:t>•</w:t>
      </w:r>
      <w:r w:rsidRPr="009C6115">
        <w:rPr>
          <w:lang w:val="fr-CH"/>
        </w:rPr>
        <w:tab/>
      </w:r>
      <w:bookmarkStart w:id="43" w:name="lt_pId096"/>
      <w:r w:rsidR="0051010E">
        <w:rPr>
          <w:lang w:val="fr-CH"/>
        </w:rPr>
        <w:t>s</w:t>
      </w:r>
      <w:r w:rsidRPr="002B479F">
        <w:rPr>
          <w:lang w:val="fr-CH"/>
        </w:rPr>
        <w:t>érie RA, concernant la radioastronomie et la radar</w:t>
      </w:r>
      <w:r>
        <w:rPr>
          <w:lang w:val="fr-CH"/>
        </w:rPr>
        <w:t>astronomie (14 </w:t>
      </w:r>
      <w:r w:rsidR="00926C49">
        <w:rPr>
          <w:lang w:val="fr-CH"/>
        </w:rPr>
        <w:t>Recommandations)</w:t>
      </w:r>
    </w:p>
    <w:bookmarkEnd w:id="43"/>
    <w:p w:rsidR="006042ED" w:rsidRPr="00B01278" w:rsidRDefault="006042ED" w:rsidP="0051010E">
      <w:pPr>
        <w:pStyle w:val="enumlev1"/>
        <w:rPr>
          <w:lang w:val="fr-CH"/>
        </w:rPr>
      </w:pPr>
      <w:r w:rsidRPr="002B479F">
        <w:rPr>
          <w:lang w:val="fr-CH"/>
        </w:rPr>
        <w:t>•</w:t>
      </w:r>
      <w:r w:rsidRPr="002B479F">
        <w:rPr>
          <w:lang w:val="fr-CH"/>
        </w:rPr>
        <w:tab/>
      </w:r>
      <w:r w:rsidR="0051010E">
        <w:rPr>
          <w:lang w:val="fr-CH"/>
        </w:rPr>
        <w:t>s</w:t>
      </w:r>
      <w:r>
        <w:rPr>
          <w:lang w:val="fr-CH"/>
        </w:rPr>
        <w:t>érie S</w:t>
      </w:r>
      <w:r w:rsidRPr="002B479F">
        <w:rPr>
          <w:lang w:val="fr-CH"/>
        </w:rPr>
        <w:t>A</w:t>
      </w:r>
      <w:bookmarkStart w:id="44" w:name="lt_pId098"/>
      <w:r w:rsidRPr="002B479F">
        <w:rPr>
          <w:lang w:val="fr-CH"/>
        </w:rPr>
        <w:t xml:space="preserve">, </w:t>
      </w:r>
      <w:r w:rsidRPr="009C6115">
        <w:rPr>
          <w:lang w:val="fr-CH"/>
        </w:rPr>
        <w:t>concernant</w:t>
      </w:r>
      <w:r>
        <w:rPr>
          <w:lang w:val="fr-CH"/>
        </w:rPr>
        <w:t xml:space="preserve"> les applications de radiocommunications spatiales (65 recommandations)</w:t>
      </w:r>
      <w:bookmarkEnd w:id="44"/>
    </w:p>
    <w:p w:rsidR="006042ED" w:rsidRPr="009C6115" w:rsidRDefault="006042ED" w:rsidP="0051010E">
      <w:pPr>
        <w:pStyle w:val="enumlev1"/>
        <w:rPr>
          <w:lang w:val="fr-CH"/>
        </w:rPr>
      </w:pPr>
      <w:r w:rsidRPr="009C6115">
        <w:rPr>
          <w:lang w:val="fr-CH"/>
        </w:rPr>
        <w:t>•</w:t>
      </w:r>
      <w:r w:rsidRPr="009C6115">
        <w:rPr>
          <w:lang w:val="fr-CH"/>
        </w:rPr>
        <w:tab/>
      </w:r>
      <w:bookmarkStart w:id="45" w:name="lt_pId100"/>
      <w:r w:rsidR="0051010E">
        <w:rPr>
          <w:lang w:val="fr-CH"/>
        </w:rPr>
        <w:t>s</w:t>
      </w:r>
      <w:r w:rsidRPr="009C6115">
        <w:rPr>
          <w:lang w:val="fr-CH"/>
        </w:rPr>
        <w:t>érie RS</w:t>
      </w:r>
      <w:r>
        <w:rPr>
          <w:lang w:val="fr-CH"/>
        </w:rPr>
        <w:t>,</w:t>
      </w:r>
      <w:r w:rsidRPr="009C6115">
        <w:rPr>
          <w:lang w:val="fr-CH"/>
        </w:rPr>
        <w:t xml:space="preserve"> concernant les </w:t>
      </w:r>
      <w:r w:rsidRPr="009C6115">
        <w:rPr>
          <w:color w:val="000000"/>
          <w:lang w:val="fr-CH"/>
        </w:rPr>
        <w:t>systèmes de télédétection</w:t>
      </w:r>
      <w:r>
        <w:rPr>
          <w:color w:val="000000"/>
          <w:lang w:val="fr-CH"/>
        </w:rPr>
        <w:t xml:space="preserve"> (36 recommandations)</w:t>
      </w:r>
      <w:bookmarkEnd w:id="45"/>
      <w:r w:rsidRPr="009C6115">
        <w:rPr>
          <w:lang w:val="fr-CH"/>
        </w:rPr>
        <w:t xml:space="preserve"> </w:t>
      </w:r>
    </w:p>
    <w:p w:rsidR="006042ED" w:rsidRPr="00FB2088" w:rsidRDefault="006042ED" w:rsidP="0051010E">
      <w:pPr>
        <w:pStyle w:val="enumlev1"/>
        <w:rPr>
          <w:lang w:val="fr-CH"/>
        </w:rPr>
      </w:pPr>
      <w:r w:rsidRPr="00FB2088">
        <w:rPr>
          <w:lang w:val="fr-CH"/>
        </w:rPr>
        <w:t>•</w:t>
      </w:r>
      <w:r w:rsidRPr="00FB2088">
        <w:rPr>
          <w:lang w:val="fr-CH"/>
        </w:rPr>
        <w:tab/>
      </w:r>
      <w:bookmarkStart w:id="46" w:name="lt_pId102"/>
      <w:r w:rsidR="0051010E">
        <w:rPr>
          <w:lang w:val="fr-CH"/>
        </w:rPr>
        <w:t>s</w:t>
      </w:r>
      <w:r>
        <w:rPr>
          <w:lang w:val="fr-CH"/>
        </w:rPr>
        <w:t>érie</w:t>
      </w:r>
      <w:r w:rsidRPr="00FB2088">
        <w:rPr>
          <w:lang w:val="fr-CH"/>
        </w:rPr>
        <w:t> TF</w:t>
      </w:r>
      <w:r>
        <w:rPr>
          <w:lang w:val="fr-CH"/>
        </w:rPr>
        <w:t>,</w:t>
      </w:r>
      <w:r w:rsidRPr="00FB2088">
        <w:rPr>
          <w:lang w:val="fr-CH"/>
        </w:rPr>
        <w:t xml:space="preserve"> concernant les </w:t>
      </w:r>
      <w:r>
        <w:rPr>
          <w:color w:val="000000"/>
          <w:lang w:val="fr-CH"/>
        </w:rPr>
        <w:t>é</w:t>
      </w:r>
      <w:r w:rsidRPr="00FB2088">
        <w:rPr>
          <w:color w:val="000000"/>
          <w:lang w:val="fr-CH"/>
        </w:rPr>
        <w:t>missions de fréquences étalon et de signaux horaires</w:t>
      </w:r>
      <w:r>
        <w:rPr>
          <w:color w:val="000000"/>
          <w:lang w:val="fr-CH"/>
        </w:rPr>
        <w:t xml:space="preserve"> (23 recommandations)</w:t>
      </w:r>
      <w:r w:rsidR="00926C49">
        <w:rPr>
          <w:color w:val="000000"/>
          <w:lang w:val="fr-CH"/>
        </w:rPr>
        <w:t>.</w:t>
      </w:r>
    </w:p>
    <w:bookmarkEnd w:id="46"/>
    <w:p w:rsidR="006042ED" w:rsidRPr="00FB2088" w:rsidRDefault="006042ED" w:rsidP="00926C49">
      <w:pPr>
        <w:rPr>
          <w:lang w:val="fr-CH"/>
        </w:rPr>
      </w:pPr>
      <w:r w:rsidRPr="00830CA9">
        <w:rPr>
          <w:lang w:val="fr-CH"/>
        </w:rPr>
        <w:t>Pendant la période considérée, la Commission d</w:t>
      </w:r>
      <w:r>
        <w:rPr>
          <w:lang w:val="fr-CH"/>
        </w:rPr>
        <w:t>'</w:t>
      </w:r>
      <w:r w:rsidRPr="00830CA9">
        <w:rPr>
          <w:lang w:val="fr-CH"/>
        </w:rPr>
        <w:t xml:space="preserve">études a adopté </w:t>
      </w:r>
      <w:r w:rsidR="00994106">
        <w:rPr>
          <w:lang w:val="fr-CH"/>
        </w:rPr>
        <w:t>12 recommandations révisées et </w:t>
      </w:r>
      <w:r w:rsidRPr="00FB2088">
        <w:rPr>
          <w:lang w:val="fr-CH"/>
        </w:rPr>
        <w:t>11</w:t>
      </w:r>
      <w:r>
        <w:rPr>
          <w:lang w:val="fr-CH"/>
        </w:rPr>
        <w:t xml:space="preserve"> nouvelles Recommandations </w:t>
      </w:r>
      <w:r w:rsidRPr="00FB2088">
        <w:rPr>
          <w:lang w:val="fr-CH"/>
        </w:rPr>
        <w:t xml:space="preserve">UIT-R, </w:t>
      </w:r>
      <w:r>
        <w:rPr>
          <w:lang w:val="fr-CH"/>
        </w:rPr>
        <w:t>que les E</w:t>
      </w:r>
      <w:r w:rsidRPr="00830CA9">
        <w:rPr>
          <w:lang w:val="fr-CH"/>
        </w:rPr>
        <w:t>tats Membres ont approuvées,</w:t>
      </w:r>
      <w:r w:rsidRPr="00FB2088">
        <w:rPr>
          <w:lang w:val="fr-CH"/>
        </w:rPr>
        <w:t xml:space="preserve"> </w:t>
      </w:r>
      <w:r>
        <w:rPr>
          <w:lang w:val="fr-CH"/>
        </w:rPr>
        <w:t>et deux </w:t>
      </w:r>
      <w:r w:rsidRPr="00FB2088">
        <w:rPr>
          <w:lang w:val="fr-CH"/>
        </w:rPr>
        <w:t>recommandations ont été supprimées.</w:t>
      </w:r>
    </w:p>
    <w:p w:rsidR="006042ED" w:rsidRDefault="006042ED" w:rsidP="00926C49">
      <w:pPr>
        <w:rPr>
          <w:lang w:val="fr-CH"/>
        </w:rPr>
      </w:pPr>
      <w:bookmarkStart w:id="47" w:name="lt_pId104"/>
      <w:r w:rsidRPr="00293E25">
        <w:rPr>
          <w:lang w:val="fr-CH"/>
        </w:rPr>
        <w:lastRenderedPageBreak/>
        <w:t xml:space="preserve">Elle a aussi </w:t>
      </w:r>
      <w:r>
        <w:rPr>
          <w:lang w:val="fr-CH"/>
        </w:rPr>
        <w:t xml:space="preserve">révisé quatre Rapports </w:t>
      </w:r>
      <w:r w:rsidRPr="009902EE">
        <w:rPr>
          <w:lang w:val="fr-CH"/>
        </w:rPr>
        <w:t>UIT-R</w:t>
      </w:r>
      <w:r>
        <w:rPr>
          <w:lang w:val="fr-CH"/>
        </w:rPr>
        <w:t>,</w:t>
      </w:r>
      <w:r w:rsidRPr="009902EE">
        <w:rPr>
          <w:lang w:val="fr-CH"/>
        </w:rPr>
        <w:t xml:space="preserve"> et</w:t>
      </w:r>
      <w:r>
        <w:rPr>
          <w:lang w:val="fr-CH"/>
        </w:rPr>
        <w:t xml:space="preserve"> </w:t>
      </w:r>
      <w:r w:rsidR="00994106">
        <w:rPr>
          <w:lang w:val="fr-CH"/>
        </w:rPr>
        <w:t xml:space="preserve">en </w:t>
      </w:r>
      <w:r>
        <w:rPr>
          <w:lang w:val="fr-CH"/>
        </w:rPr>
        <w:t>a élaboré et approuvé 25 nouveaux. Parmi ces rapports, quatre ont été élaborés par les Groupes d'action mixte</w:t>
      </w:r>
      <w:r w:rsidR="00994106">
        <w:rPr>
          <w:lang w:val="fr-CH"/>
        </w:rPr>
        <w:t>s</w:t>
      </w:r>
      <w:r>
        <w:rPr>
          <w:lang w:val="fr-CH"/>
        </w:rPr>
        <w:t> 4, 5, 6 et 7, et ont été approuvés par la Commission d'études 7.</w:t>
      </w:r>
    </w:p>
    <w:p w:rsidR="006042ED" w:rsidRPr="009902EE" w:rsidRDefault="006042ED" w:rsidP="00926C49">
      <w:pPr>
        <w:rPr>
          <w:lang w:val="fr-CH"/>
        </w:rPr>
      </w:pPr>
      <w:r w:rsidRPr="00E96550">
        <w:rPr>
          <w:lang w:val="fr-CH"/>
        </w:rPr>
        <w:t>Certains de ces nouveaux Rapports et de ces nouvelles Recommandations se rapportent à des points de l</w:t>
      </w:r>
      <w:r>
        <w:rPr>
          <w:lang w:val="fr-CH"/>
        </w:rPr>
        <w:t>'</w:t>
      </w:r>
      <w:r w:rsidRPr="00E96550">
        <w:rPr>
          <w:lang w:val="fr-CH"/>
        </w:rPr>
        <w:t>ordre du jour de la CMR-</w:t>
      </w:r>
      <w:r>
        <w:rPr>
          <w:lang w:val="fr-CH"/>
        </w:rPr>
        <w:t>15.</w:t>
      </w:r>
    </w:p>
    <w:bookmarkEnd w:id="47"/>
    <w:p w:rsidR="006042ED" w:rsidRPr="00B01278" w:rsidRDefault="006042ED" w:rsidP="00926C49">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09"/>
        <w:gridCol w:w="3212"/>
      </w:tblGrid>
      <w:tr w:rsidR="006042ED" w:rsidTr="00E4200E">
        <w:tc>
          <w:tcPr>
            <w:tcW w:w="3259" w:type="dxa"/>
            <w:shd w:val="clear" w:color="auto" w:fill="auto"/>
          </w:tcPr>
          <w:p w:rsidR="006042ED" w:rsidRPr="001D7F74" w:rsidRDefault="006042ED" w:rsidP="00926C49">
            <w:pPr>
              <w:pStyle w:val="Tablehead"/>
            </w:pPr>
            <w:bookmarkStart w:id="48" w:name="lt_pId107"/>
            <w:r w:rsidRPr="001F4B71">
              <w:t>Questions r</w:t>
            </w:r>
            <w:r w:rsidRPr="001F4B71">
              <w:rPr>
                <w:rFonts w:hint="eastAsia"/>
              </w:rPr>
              <w:t>é</w:t>
            </w:r>
            <w:r w:rsidRPr="001F4B71">
              <w:t>vis</w:t>
            </w:r>
            <w:r w:rsidRPr="001F4B71">
              <w:rPr>
                <w:rFonts w:hint="eastAsia"/>
              </w:rPr>
              <w:t>é</w:t>
            </w:r>
            <w:r w:rsidRPr="001F4B71">
              <w:t>es</w:t>
            </w:r>
            <w:bookmarkEnd w:id="48"/>
          </w:p>
        </w:tc>
        <w:tc>
          <w:tcPr>
            <w:tcW w:w="3260" w:type="dxa"/>
            <w:shd w:val="clear" w:color="auto" w:fill="auto"/>
          </w:tcPr>
          <w:p w:rsidR="006042ED" w:rsidRPr="001D7F74" w:rsidRDefault="006042ED" w:rsidP="00926C49">
            <w:pPr>
              <w:pStyle w:val="Tablehead"/>
            </w:pPr>
            <w:bookmarkStart w:id="49" w:name="lt_pId108"/>
            <w:r w:rsidRPr="001F4B71">
              <w:t xml:space="preserve">Nouvelles </w:t>
            </w:r>
            <w:r>
              <w:t>Q</w:t>
            </w:r>
            <w:r w:rsidRPr="001F4B71">
              <w:t>uestions</w:t>
            </w:r>
            <w:bookmarkEnd w:id="49"/>
          </w:p>
        </w:tc>
        <w:tc>
          <w:tcPr>
            <w:tcW w:w="3260" w:type="dxa"/>
            <w:shd w:val="clear" w:color="auto" w:fill="auto"/>
          </w:tcPr>
          <w:p w:rsidR="006042ED" w:rsidRPr="001D7F74" w:rsidRDefault="006042ED" w:rsidP="00926C49">
            <w:pPr>
              <w:pStyle w:val="Tablehead"/>
            </w:pPr>
            <w:bookmarkStart w:id="50" w:name="lt_pId109"/>
            <w:r>
              <w:t>Questions supprim</w:t>
            </w:r>
            <w:r>
              <w:rPr>
                <w:rFonts w:hint="eastAsia"/>
              </w:rPr>
              <w:t>é</w:t>
            </w:r>
            <w:r>
              <w:t>es</w:t>
            </w:r>
            <w:bookmarkEnd w:id="50"/>
          </w:p>
        </w:tc>
      </w:tr>
      <w:tr w:rsidR="006042ED" w:rsidTr="00E4200E">
        <w:tc>
          <w:tcPr>
            <w:tcW w:w="3259" w:type="dxa"/>
            <w:shd w:val="clear" w:color="auto" w:fill="auto"/>
            <w:vAlign w:val="center"/>
          </w:tcPr>
          <w:p w:rsidR="006042ED" w:rsidRPr="001D7F74" w:rsidRDefault="006042ED" w:rsidP="00926C49">
            <w:pPr>
              <w:pStyle w:val="Tabletext"/>
              <w:jc w:val="center"/>
            </w:pPr>
            <w:r w:rsidRPr="001D7F74">
              <w:t>236-1/7</w:t>
            </w:r>
          </w:p>
        </w:tc>
        <w:tc>
          <w:tcPr>
            <w:tcW w:w="3260" w:type="dxa"/>
            <w:shd w:val="clear" w:color="auto" w:fill="auto"/>
            <w:vAlign w:val="center"/>
          </w:tcPr>
          <w:p w:rsidR="006042ED" w:rsidRPr="001D7F74" w:rsidRDefault="006042ED" w:rsidP="00926C49">
            <w:pPr>
              <w:pStyle w:val="Tabletext"/>
              <w:jc w:val="center"/>
            </w:pPr>
            <w:r w:rsidRPr="001D7F74">
              <w:t>254/7, 255/7, 256/7</w:t>
            </w:r>
          </w:p>
        </w:tc>
        <w:tc>
          <w:tcPr>
            <w:tcW w:w="3260" w:type="dxa"/>
            <w:shd w:val="clear" w:color="auto" w:fill="auto"/>
            <w:vAlign w:val="center"/>
          </w:tcPr>
          <w:p w:rsidR="006042ED" w:rsidRPr="001D7F74" w:rsidRDefault="006042ED" w:rsidP="00926C49">
            <w:pPr>
              <w:pStyle w:val="Tabletext"/>
              <w:jc w:val="center"/>
            </w:pPr>
            <w:r w:rsidRPr="001D7F74">
              <w:t>149-1/7, 235-1/7</w:t>
            </w:r>
          </w:p>
        </w:tc>
      </w:tr>
    </w:tbl>
    <w:p w:rsidR="006042ED" w:rsidRPr="001D7F74" w:rsidRDefault="006042ED" w:rsidP="00926C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210"/>
        <w:gridCol w:w="3210"/>
      </w:tblGrid>
      <w:tr w:rsidR="006042ED" w:rsidTr="00E4200E">
        <w:tc>
          <w:tcPr>
            <w:tcW w:w="3259" w:type="dxa"/>
            <w:shd w:val="clear" w:color="auto" w:fill="auto"/>
            <w:vAlign w:val="center"/>
          </w:tcPr>
          <w:p w:rsidR="006042ED" w:rsidRPr="001D7F74" w:rsidRDefault="006042ED" w:rsidP="00926C49">
            <w:pPr>
              <w:pStyle w:val="Tablehead"/>
            </w:pPr>
            <w:bookmarkStart w:id="51" w:name="lt_pId113"/>
            <w:r w:rsidRPr="001F4B71">
              <w:t>Recommandations r</w:t>
            </w:r>
            <w:r w:rsidRPr="001F4B71">
              <w:rPr>
                <w:rFonts w:hint="eastAsia"/>
              </w:rPr>
              <w:t>é</w:t>
            </w:r>
            <w:r w:rsidRPr="001F4B71">
              <w:t>vis</w:t>
            </w:r>
            <w:r w:rsidRPr="001F4B71">
              <w:rPr>
                <w:rFonts w:hint="eastAsia"/>
              </w:rPr>
              <w:t>é</w:t>
            </w:r>
            <w:r w:rsidRPr="001F4B71">
              <w:t>es</w:t>
            </w:r>
            <w:bookmarkEnd w:id="51"/>
          </w:p>
        </w:tc>
        <w:tc>
          <w:tcPr>
            <w:tcW w:w="3260" w:type="dxa"/>
            <w:shd w:val="clear" w:color="auto" w:fill="auto"/>
            <w:vAlign w:val="center"/>
          </w:tcPr>
          <w:p w:rsidR="006042ED" w:rsidRPr="001D7F74" w:rsidRDefault="006042ED" w:rsidP="00926C49">
            <w:pPr>
              <w:pStyle w:val="Tablehead"/>
            </w:pPr>
            <w:bookmarkStart w:id="52" w:name="lt_pId114"/>
            <w:r>
              <w:t>Nouvelles R</w:t>
            </w:r>
            <w:r w:rsidRPr="001F4B71">
              <w:t>ecommandations</w:t>
            </w:r>
            <w:bookmarkEnd w:id="52"/>
          </w:p>
        </w:tc>
        <w:tc>
          <w:tcPr>
            <w:tcW w:w="3260" w:type="dxa"/>
            <w:shd w:val="clear" w:color="auto" w:fill="auto"/>
            <w:vAlign w:val="center"/>
          </w:tcPr>
          <w:p w:rsidR="006042ED" w:rsidRPr="001D7F74" w:rsidRDefault="006042ED" w:rsidP="00926C49">
            <w:pPr>
              <w:pStyle w:val="Tablehead"/>
            </w:pPr>
            <w:bookmarkStart w:id="53" w:name="lt_pId115"/>
            <w:r w:rsidRPr="001F4B71">
              <w:t>Recommandations supprim</w:t>
            </w:r>
            <w:r w:rsidRPr="001F4B71">
              <w:rPr>
                <w:rFonts w:hint="eastAsia"/>
              </w:rPr>
              <w:t>é</w:t>
            </w:r>
            <w:r w:rsidRPr="001F4B71">
              <w:t>es</w:t>
            </w:r>
            <w:bookmarkEnd w:id="53"/>
          </w:p>
        </w:tc>
      </w:tr>
      <w:tr w:rsidR="006042ED" w:rsidTr="00E4200E">
        <w:tc>
          <w:tcPr>
            <w:tcW w:w="3259" w:type="dxa"/>
            <w:shd w:val="clear" w:color="auto" w:fill="auto"/>
            <w:vAlign w:val="center"/>
          </w:tcPr>
          <w:p w:rsidR="006042ED" w:rsidRPr="001D7F74" w:rsidRDefault="006042ED" w:rsidP="00926C49">
            <w:pPr>
              <w:pStyle w:val="Tabletext"/>
              <w:jc w:val="center"/>
            </w:pPr>
            <w:bookmarkStart w:id="54" w:name="lt_pId116"/>
            <w:r w:rsidRPr="001D7F74">
              <w:t>RA.1417-1, RA.1513-2</w:t>
            </w:r>
            <w:bookmarkEnd w:id="54"/>
          </w:p>
        </w:tc>
        <w:tc>
          <w:tcPr>
            <w:tcW w:w="3260" w:type="dxa"/>
            <w:shd w:val="clear" w:color="auto" w:fill="auto"/>
            <w:vAlign w:val="center"/>
          </w:tcPr>
          <w:p w:rsidR="006042ED" w:rsidRPr="001D7F74" w:rsidRDefault="006042ED" w:rsidP="00926C49">
            <w:pPr>
              <w:pStyle w:val="Tabletext"/>
              <w:jc w:val="center"/>
            </w:pPr>
          </w:p>
        </w:tc>
        <w:tc>
          <w:tcPr>
            <w:tcW w:w="3260" w:type="dxa"/>
            <w:shd w:val="clear" w:color="auto" w:fill="auto"/>
            <w:vAlign w:val="center"/>
          </w:tcPr>
          <w:p w:rsidR="006042ED" w:rsidRPr="001D7F74" w:rsidRDefault="006042ED" w:rsidP="00926C49">
            <w:pPr>
              <w:pStyle w:val="Tabletext"/>
              <w:jc w:val="center"/>
            </w:pPr>
          </w:p>
        </w:tc>
      </w:tr>
      <w:tr w:rsidR="006042ED" w:rsidTr="00E4200E">
        <w:tc>
          <w:tcPr>
            <w:tcW w:w="3259" w:type="dxa"/>
            <w:shd w:val="clear" w:color="auto" w:fill="auto"/>
            <w:vAlign w:val="center"/>
          </w:tcPr>
          <w:p w:rsidR="006042ED" w:rsidRPr="001D7F74" w:rsidRDefault="006042ED" w:rsidP="00926C49">
            <w:pPr>
              <w:pStyle w:val="Tabletext"/>
              <w:jc w:val="center"/>
              <w:rPr>
                <w:lang w:val="fr-CH"/>
              </w:rPr>
            </w:pPr>
            <w:bookmarkStart w:id="55" w:name="lt_pId117"/>
            <w:r w:rsidRPr="001D7F74">
              <w:rPr>
                <w:lang w:val="fr-CH"/>
              </w:rPr>
              <w:t>SA.509-3, SA.1155-1, SA.1275-4, SA.1276-4, SA.1414-1, SA.1626-1</w:t>
            </w:r>
            <w:bookmarkEnd w:id="55"/>
          </w:p>
        </w:tc>
        <w:tc>
          <w:tcPr>
            <w:tcW w:w="3260" w:type="dxa"/>
            <w:shd w:val="clear" w:color="auto" w:fill="auto"/>
            <w:vAlign w:val="center"/>
          </w:tcPr>
          <w:p w:rsidR="006042ED" w:rsidRPr="001D7F74" w:rsidRDefault="006042ED" w:rsidP="00926C49">
            <w:pPr>
              <w:pStyle w:val="Tabletext"/>
              <w:jc w:val="center"/>
            </w:pPr>
            <w:bookmarkStart w:id="56" w:name="lt_pId118"/>
            <w:r w:rsidRPr="001D7F74">
              <w:t>SA.2044-0, SA.2045-0,</w:t>
            </w:r>
            <w:bookmarkEnd w:id="56"/>
            <w:r w:rsidRPr="001D7F74">
              <w:t xml:space="preserve"> </w:t>
            </w:r>
            <w:r w:rsidRPr="001D7F74">
              <w:br/>
            </w:r>
            <w:bookmarkStart w:id="57" w:name="lt_pId119"/>
            <w:r w:rsidRPr="001D7F74">
              <w:t>SA.2078-0, SA.2079-0</w:t>
            </w:r>
            <w:bookmarkEnd w:id="57"/>
          </w:p>
        </w:tc>
        <w:tc>
          <w:tcPr>
            <w:tcW w:w="3260" w:type="dxa"/>
            <w:shd w:val="clear" w:color="auto" w:fill="auto"/>
            <w:vAlign w:val="center"/>
          </w:tcPr>
          <w:p w:rsidR="006042ED" w:rsidRPr="001D7F74" w:rsidRDefault="006042ED" w:rsidP="00926C49">
            <w:pPr>
              <w:pStyle w:val="Tabletext"/>
              <w:jc w:val="center"/>
              <w:rPr>
                <w:lang w:val="fr-CH"/>
              </w:rPr>
            </w:pPr>
          </w:p>
        </w:tc>
      </w:tr>
      <w:tr w:rsidR="006042ED" w:rsidTr="00E4200E">
        <w:tc>
          <w:tcPr>
            <w:tcW w:w="3259" w:type="dxa"/>
            <w:shd w:val="clear" w:color="auto" w:fill="auto"/>
            <w:vAlign w:val="center"/>
          </w:tcPr>
          <w:p w:rsidR="006042ED" w:rsidRPr="001D7F74" w:rsidRDefault="006042ED" w:rsidP="00926C49">
            <w:pPr>
              <w:pStyle w:val="Tabletext"/>
              <w:jc w:val="center"/>
            </w:pPr>
            <w:bookmarkStart w:id="58" w:name="lt_pId120"/>
            <w:r w:rsidRPr="001F4B71">
              <w:t>RS.515-5</w:t>
            </w:r>
            <w:bookmarkEnd w:id="58"/>
          </w:p>
        </w:tc>
        <w:tc>
          <w:tcPr>
            <w:tcW w:w="3260" w:type="dxa"/>
            <w:shd w:val="clear" w:color="auto" w:fill="auto"/>
            <w:vAlign w:val="center"/>
          </w:tcPr>
          <w:p w:rsidR="006042ED" w:rsidRPr="001D7F74" w:rsidRDefault="006042ED" w:rsidP="00926C49">
            <w:pPr>
              <w:pStyle w:val="Tabletext"/>
              <w:jc w:val="center"/>
              <w:rPr>
                <w:lang w:val="fr-CH"/>
              </w:rPr>
            </w:pPr>
            <w:bookmarkStart w:id="59" w:name="lt_pId121"/>
            <w:r w:rsidRPr="001D7F74">
              <w:rPr>
                <w:lang w:val="fr-CH"/>
              </w:rPr>
              <w:t>RS.2017-0, RS.2042-0, RS.2043-0, RS.2064-0, RS.2065-0, RS.2066-0</w:t>
            </w:r>
            <w:bookmarkEnd w:id="59"/>
          </w:p>
        </w:tc>
        <w:tc>
          <w:tcPr>
            <w:tcW w:w="3260" w:type="dxa"/>
            <w:shd w:val="clear" w:color="auto" w:fill="auto"/>
            <w:vAlign w:val="center"/>
          </w:tcPr>
          <w:p w:rsidR="006042ED" w:rsidRPr="001D7F74" w:rsidRDefault="006042ED" w:rsidP="00926C49">
            <w:pPr>
              <w:pStyle w:val="Tabletext"/>
              <w:jc w:val="center"/>
            </w:pPr>
            <w:bookmarkStart w:id="60" w:name="lt_pId122"/>
            <w:r w:rsidRPr="001D7F74">
              <w:t>RS.1028-3, RS.1029-3</w:t>
            </w:r>
            <w:bookmarkEnd w:id="60"/>
          </w:p>
        </w:tc>
      </w:tr>
      <w:tr w:rsidR="006042ED" w:rsidTr="00E4200E">
        <w:tc>
          <w:tcPr>
            <w:tcW w:w="3259" w:type="dxa"/>
            <w:shd w:val="clear" w:color="auto" w:fill="auto"/>
            <w:vAlign w:val="center"/>
          </w:tcPr>
          <w:p w:rsidR="006042ED" w:rsidRPr="001D7F74" w:rsidRDefault="006042ED" w:rsidP="00926C49">
            <w:pPr>
              <w:pStyle w:val="Tabletext"/>
              <w:jc w:val="center"/>
            </w:pPr>
            <w:bookmarkStart w:id="61" w:name="lt_pId123"/>
            <w:r w:rsidRPr="001D7F74">
              <w:t>TF.374-6, TF.686-3, TF.1153-4</w:t>
            </w:r>
            <w:bookmarkEnd w:id="61"/>
          </w:p>
        </w:tc>
        <w:tc>
          <w:tcPr>
            <w:tcW w:w="3260" w:type="dxa"/>
            <w:shd w:val="clear" w:color="auto" w:fill="auto"/>
            <w:vAlign w:val="center"/>
          </w:tcPr>
          <w:p w:rsidR="006042ED" w:rsidRPr="001D7F74" w:rsidRDefault="006042ED" w:rsidP="00926C49">
            <w:pPr>
              <w:pStyle w:val="Tabletext"/>
              <w:jc w:val="center"/>
            </w:pPr>
            <w:bookmarkStart w:id="62" w:name="lt_pId124"/>
            <w:r w:rsidRPr="001D7F74">
              <w:t>TF.2018-0</w:t>
            </w:r>
            <w:bookmarkEnd w:id="62"/>
          </w:p>
        </w:tc>
        <w:tc>
          <w:tcPr>
            <w:tcW w:w="3260" w:type="dxa"/>
            <w:shd w:val="clear" w:color="auto" w:fill="auto"/>
            <w:vAlign w:val="center"/>
          </w:tcPr>
          <w:p w:rsidR="006042ED" w:rsidRPr="001D7F74" w:rsidRDefault="006042ED" w:rsidP="00926C49">
            <w:pPr>
              <w:pStyle w:val="Tabletext"/>
              <w:jc w:val="center"/>
            </w:pPr>
          </w:p>
        </w:tc>
      </w:tr>
    </w:tbl>
    <w:p w:rsidR="006042ED" w:rsidRPr="001D7F74" w:rsidRDefault="006042ED" w:rsidP="00926C49"/>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tblGrid>
      <w:tr w:rsidR="006042ED" w:rsidTr="00E4200E">
        <w:tc>
          <w:tcPr>
            <w:tcW w:w="3261" w:type="dxa"/>
            <w:shd w:val="clear" w:color="auto" w:fill="auto"/>
            <w:vAlign w:val="center"/>
          </w:tcPr>
          <w:p w:rsidR="006042ED" w:rsidRPr="001D7F74" w:rsidRDefault="006042ED" w:rsidP="00926C49">
            <w:pPr>
              <w:pStyle w:val="Tablehead"/>
            </w:pPr>
            <w:bookmarkStart w:id="63" w:name="lt_pId125"/>
            <w:r w:rsidRPr="001F4B71">
              <w:t>Rapports r</w:t>
            </w:r>
            <w:r w:rsidRPr="001F4B71">
              <w:rPr>
                <w:rFonts w:hint="eastAsia"/>
              </w:rPr>
              <w:t>é</w:t>
            </w:r>
            <w:r w:rsidRPr="001F4B71">
              <w:t>vis</w:t>
            </w:r>
            <w:r w:rsidRPr="001F4B71">
              <w:rPr>
                <w:rFonts w:hint="eastAsia"/>
              </w:rPr>
              <w:t>é</w:t>
            </w:r>
            <w:r w:rsidRPr="001F4B71">
              <w:t>s</w:t>
            </w:r>
            <w:bookmarkEnd w:id="63"/>
          </w:p>
        </w:tc>
        <w:tc>
          <w:tcPr>
            <w:tcW w:w="3260" w:type="dxa"/>
            <w:shd w:val="clear" w:color="auto" w:fill="auto"/>
            <w:vAlign w:val="center"/>
          </w:tcPr>
          <w:p w:rsidR="006042ED" w:rsidRPr="001D7F74" w:rsidRDefault="006042ED" w:rsidP="00926C49">
            <w:pPr>
              <w:pStyle w:val="Tablehead"/>
            </w:pPr>
            <w:bookmarkStart w:id="64" w:name="lt_pId126"/>
            <w:r>
              <w:t>Nouveaux R</w:t>
            </w:r>
            <w:r w:rsidRPr="001F4B71">
              <w:t>apports</w:t>
            </w:r>
            <w:bookmarkEnd w:id="64"/>
          </w:p>
        </w:tc>
      </w:tr>
      <w:tr w:rsidR="006042ED" w:rsidTr="00E4200E">
        <w:tc>
          <w:tcPr>
            <w:tcW w:w="3261" w:type="dxa"/>
            <w:shd w:val="clear" w:color="auto" w:fill="auto"/>
            <w:vAlign w:val="center"/>
          </w:tcPr>
          <w:p w:rsidR="006042ED" w:rsidRPr="001D7F74" w:rsidRDefault="006042ED" w:rsidP="00926C49">
            <w:pPr>
              <w:pStyle w:val="Tabletext"/>
              <w:jc w:val="center"/>
            </w:pPr>
            <w:bookmarkStart w:id="65" w:name="lt_pId127"/>
            <w:r w:rsidRPr="001D7F74">
              <w:t>RA.2099-1, RA.2126-1</w:t>
            </w:r>
            <w:bookmarkEnd w:id="65"/>
          </w:p>
        </w:tc>
        <w:tc>
          <w:tcPr>
            <w:tcW w:w="3260" w:type="dxa"/>
            <w:shd w:val="clear" w:color="auto" w:fill="auto"/>
            <w:vAlign w:val="center"/>
          </w:tcPr>
          <w:p w:rsidR="006042ED" w:rsidRPr="001D7F74" w:rsidRDefault="006042ED" w:rsidP="00926C49">
            <w:pPr>
              <w:pStyle w:val="Tabletext"/>
              <w:jc w:val="center"/>
            </w:pPr>
            <w:bookmarkStart w:id="66" w:name="lt_pId128"/>
            <w:r w:rsidRPr="001D7F74">
              <w:t>RA.2259-0, RA.2332-0</w:t>
            </w:r>
            <w:bookmarkEnd w:id="66"/>
          </w:p>
        </w:tc>
      </w:tr>
      <w:tr w:rsidR="006042ED" w:rsidRPr="00F1775E" w:rsidTr="00E4200E">
        <w:tc>
          <w:tcPr>
            <w:tcW w:w="3261" w:type="dxa"/>
            <w:shd w:val="clear" w:color="auto" w:fill="auto"/>
            <w:vAlign w:val="center"/>
          </w:tcPr>
          <w:p w:rsidR="006042ED" w:rsidRPr="001D7F74" w:rsidRDefault="006042ED" w:rsidP="00926C49">
            <w:pPr>
              <w:pStyle w:val="Tabletext"/>
              <w:jc w:val="center"/>
              <w:rPr>
                <w:lang w:val="fr-CH"/>
              </w:rPr>
            </w:pPr>
            <w:bookmarkStart w:id="67" w:name="lt_pId129"/>
            <w:r w:rsidRPr="001D7F74">
              <w:rPr>
                <w:lang w:val="fr-CH"/>
              </w:rPr>
              <w:t>SA.2164-1</w:t>
            </w:r>
            <w:bookmarkEnd w:id="67"/>
          </w:p>
        </w:tc>
        <w:tc>
          <w:tcPr>
            <w:tcW w:w="3260" w:type="dxa"/>
            <w:shd w:val="clear" w:color="auto" w:fill="auto"/>
            <w:vAlign w:val="center"/>
          </w:tcPr>
          <w:p w:rsidR="006042ED" w:rsidRPr="001D7F74" w:rsidRDefault="006042ED" w:rsidP="00926C49">
            <w:pPr>
              <w:pStyle w:val="Tabletext"/>
              <w:jc w:val="center"/>
            </w:pPr>
            <w:bookmarkStart w:id="68" w:name="lt_pId130"/>
            <w:r w:rsidRPr="001D7F74">
              <w:t>SA.2271-0, SA.2272-0, SA.2275-0, SA.2276-1, SA.2277-0, SA.2307-0, SA.2309-0, SA.2312-0, SA.2325-0, SA.2329-0, SA.2348-0, SA.2349-0</w:t>
            </w:r>
            <w:bookmarkEnd w:id="68"/>
          </w:p>
        </w:tc>
      </w:tr>
      <w:tr w:rsidR="006042ED" w:rsidRPr="00F1775E" w:rsidTr="00E4200E">
        <w:tc>
          <w:tcPr>
            <w:tcW w:w="3261" w:type="dxa"/>
            <w:shd w:val="clear" w:color="auto" w:fill="auto"/>
            <w:vAlign w:val="center"/>
          </w:tcPr>
          <w:p w:rsidR="006042ED" w:rsidRPr="001D7F74" w:rsidRDefault="006042ED" w:rsidP="00926C49">
            <w:pPr>
              <w:pStyle w:val="Tabletext"/>
              <w:jc w:val="center"/>
            </w:pPr>
            <w:bookmarkStart w:id="69" w:name="lt_pId131"/>
            <w:r w:rsidRPr="001D7F74">
              <w:t>RS.2068-1</w:t>
            </w:r>
            <w:bookmarkEnd w:id="69"/>
          </w:p>
        </w:tc>
        <w:tc>
          <w:tcPr>
            <w:tcW w:w="3260" w:type="dxa"/>
            <w:shd w:val="clear" w:color="auto" w:fill="auto"/>
            <w:vAlign w:val="center"/>
          </w:tcPr>
          <w:p w:rsidR="006042ED" w:rsidRPr="001D7F74" w:rsidRDefault="006042ED" w:rsidP="00926C49">
            <w:pPr>
              <w:pStyle w:val="Tabletext"/>
              <w:jc w:val="center"/>
            </w:pPr>
            <w:bookmarkStart w:id="70" w:name="lt_pId132"/>
            <w:r w:rsidRPr="001D7F74">
              <w:t>RS.2260-0, RS.2273-0, RS.2274-0, RS.2308-0, RS.2310-1, RS.2311-0, RS.2313-0, RS.2314-0, RS.2315-0, RS.2336-0, RS.2350-0,</w:t>
            </w:r>
            <w:bookmarkEnd w:id="70"/>
            <w:r w:rsidRPr="001D7F74">
              <w:t xml:space="preserve"> </w:t>
            </w:r>
          </w:p>
        </w:tc>
      </w:tr>
    </w:tbl>
    <w:p w:rsidR="006042ED" w:rsidRPr="002656EC" w:rsidRDefault="006042ED" w:rsidP="00926C49">
      <w:pPr>
        <w:spacing w:before="360"/>
        <w:rPr>
          <w:lang w:val="fr-CH"/>
        </w:rPr>
      </w:pPr>
      <w:bookmarkStart w:id="71" w:name="lt_pId133"/>
      <w:r w:rsidRPr="00BE346A">
        <w:rPr>
          <w:lang w:val="fr-CH"/>
        </w:rPr>
        <w:t xml:space="preserve">La CE 7 </w:t>
      </w:r>
      <w:r w:rsidR="00994106">
        <w:rPr>
          <w:lang w:val="fr-CH"/>
        </w:rPr>
        <w:t>a publié</w:t>
      </w:r>
      <w:r w:rsidRPr="00BE346A">
        <w:rPr>
          <w:lang w:val="fr-CH"/>
        </w:rPr>
        <w:t xml:space="preserve"> six Manuels, </w:t>
      </w:r>
      <w:r>
        <w:rPr>
          <w:lang w:val="fr-CH"/>
        </w:rPr>
        <w:t>dont</w:t>
      </w:r>
      <w:r w:rsidRPr="002656EC">
        <w:rPr>
          <w:lang w:val="fr-CH"/>
        </w:rPr>
        <w:t xml:space="preserve"> deux ont été édités au cours du cycle d</w:t>
      </w:r>
      <w:r>
        <w:rPr>
          <w:lang w:val="fr-CH"/>
        </w:rPr>
        <w:t>'</w:t>
      </w:r>
      <w:r w:rsidRPr="002656EC">
        <w:rPr>
          <w:lang w:val="fr-CH"/>
        </w:rPr>
        <w:t>études considéré</w:t>
      </w:r>
      <w:r>
        <w:rPr>
          <w:lang w:val="fr-CH"/>
        </w:rPr>
        <w:t>:</w:t>
      </w:r>
      <w:bookmarkEnd w:id="71"/>
    </w:p>
    <w:p w:rsidR="006042ED" w:rsidRPr="00563134" w:rsidRDefault="006042ED" w:rsidP="00926C49">
      <w:pPr>
        <w:rPr>
          <w:lang w:val="fr-CH"/>
        </w:rPr>
      </w:pPr>
      <w:bookmarkStart w:id="72" w:name="lt_pId134"/>
      <w:r w:rsidRPr="001F4B71">
        <w:rPr>
          <w:b/>
          <w:bCs/>
          <w:lang w:val="fr-CH"/>
        </w:rPr>
        <w:t>Utilisation du spectre radioélectrique pour la surveillance et les prévisions concernant le climat, le temps et l</w:t>
      </w:r>
      <w:r>
        <w:rPr>
          <w:b/>
          <w:bCs/>
          <w:lang w:val="fr-CH"/>
        </w:rPr>
        <w:t>'</w:t>
      </w:r>
      <w:r w:rsidRPr="001F4B71">
        <w:rPr>
          <w:b/>
          <w:bCs/>
          <w:lang w:val="fr-CH"/>
        </w:rPr>
        <w:t xml:space="preserve">eau </w:t>
      </w:r>
      <w:bookmarkStart w:id="73" w:name="lt_pId135"/>
      <w:bookmarkEnd w:id="72"/>
      <w:r w:rsidR="00926C49">
        <w:rPr>
          <w:lang w:val="fr-CH"/>
        </w:rPr>
        <w:t>– D</w:t>
      </w:r>
      <w:r w:rsidRPr="00563134">
        <w:rPr>
          <w:lang w:val="fr-CH"/>
        </w:rPr>
        <w:t xml:space="preserve">euxième édition du Manuel élaboré conjointement </w:t>
      </w:r>
      <w:r>
        <w:rPr>
          <w:lang w:val="fr-CH"/>
        </w:rPr>
        <w:t>par l'UIT et l'OMM et publié en </w:t>
      </w:r>
      <w:r w:rsidRPr="00563134">
        <w:rPr>
          <w:lang w:val="fr-CH"/>
        </w:rPr>
        <w:t xml:space="preserve">2008. Ce Manuel a été signé conjointement par les Secrétaires généraux de deux organisations du système des Nations Unies, </w:t>
      </w:r>
      <w:r w:rsidR="00994106">
        <w:rPr>
          <w:lang w:val="fr-CH"/>
        </w:rPr>
        <w:t xml:space="preserve">à savoir </w:t>
      </w:r>
      <w:r>
        <w:rPr>
          <w:lang w:val="fr-CH"/>
        </w:rPr>
        <w:t>l'</w:t>
      </w:r>
      <w:r w:rsidRPr="00563134">
        <w:rPr>
          <w:lang w:val="fr-CH"/>
        </w:rPr>
        <w:t>UIT et l</w:t>
      </w:r>
      <w:r>
        <w:rPr>
          <w:lang w:val="fr-CH"/>
        </w:rPr>
        <w:t>'</w:t>
      </w:r>
      <w:r w:rsidRPr="00563134">
        <w:rPr>
          <w:lang w:val="fr-CH"/>
        </w:rPr>
        <w:t>OMM.</w:t>
      </w:r>
    </w:p>
    <w:p w:rsidR="006042ED" w:rsidRPr="00B01278" w:rsidRDefault="006042ED" w:rsidP="00926C49">
      <w:pPr>
        <w:rPr>
          <w:lang w:val="fr-CH"/>
        </w:rPr>
      </w:pPr>
      <w:bookmarkStart w:id="74" w:name="lt_pId136"/>
      <w:bookmarkEnd w:id="73"/>
      <w:r w:rsidRPr="00E013BD">
        <w:rPr>
          <w:b/>
          <w:bCs/>
          <w:lang w:val="fr-CH"/>
        </w:rPr>
        <w:t>Manuel de radioastronomie</w:t>
      </w:r>
      <w:r w:rsidRPr="00E013BD">
        <w:rPr>
          <w:lang w:val="fr-CH"/>
        </w:rPr>
        <w:t xml:space="preserve"> </w:t>
      </w:r>
      <w:r w:rsidRPr="002A15D4">
        <w:rPr>
          <w:lang w:val="fr-CH"/>
        </w:rPr>
        <w:t>–</w:t>
      </w:r>
      <w:r>
        <w:rPr>
          <w:lang w:val="fr-CH"/>
        </w:rPr>
        <w:t xml:space="preserve"> </w:t>
      </w:r>
      <w:r w:rsidR="00926C49">
        <w:rPr>
          <w:lang w:val="fr-CH"/>
        </w:rPr>
        <w:t>T</w:t>
      </w:r>
      <w:r w:rsidRPr="002A15D4">
        <w:rPr>
          <w:lang w:val="fr-CH"/>
        </w:rPr>
        <w:t xml:space="preserve">roisième édition du Manuel </w:t>
      </w:r>
      <w:r>
        <w:rPr>
          <w:lang w:val="fr-CH"/>
        </w:rPr>
        <w:t>de radioastronomie, révisé de manière approfondie en 2013.</w:t>
      </w:r>
      <w:bookmarkEnd w:id="74"/>
    </w:p>
    <w:p w:rsidR="006042ED" w:rsidRPr="000627B2" w:rsidRDefault="006042ED" w:rsidP="00926C49">
      <w:pPr>
        <w:rPr>
          <w:lang w:val="fr-CH"/>
        </w:rPr>
      </w:pPr>
      <w:bookmarkStart w:id="75" w:name="lt_pId137"/>
      <w:r w:rsidRPr="0006625A">
        <w:rPr>
          <w:b/>
          <w:bCs/>
          <w:lang w:val="fr-CH"/>
        </w:rPr>
        <w:t>Sélection et utilisation des systèmes de fréquence et de temps de précision</w:t>
      </w:r>
      <w:r w:rsidR="00926C49">
        <w:rPr>
          <w:lang w:val="fr-CH"/>
        </w:rPr>
        <w:t xml:space="preserve"> – P</w:t>
      </w:r>
      <w:r w:rsidRPr="0006625A">
        <w:rPr>
          <w:lang w:val="fr-CH"/>
        </w:rPr>
        <w:t>remière édition du Manuel sur la sélection et l</w:t>
      </w:r>
      <w:r>
        <w:rPr>
          <w:lang w:val="fr-CH"/>
        </w:rPr>
        <w:t>'</w:t>
      </w:r>
      <w:r w:rsidRPr="0006625A">
        <w:rPr>
          <w:lang w:val="fr-CH"/>
        </w:rPr>
        <w:t>utilisation des systèmes de fréquence et de temps de précision élaboré par le Gr</w:t>
      </w:r>
      <w:r>
        <w:rPr>
          <w:lang w:val="fr-CH"/>
        </w:rPr>
        <w:t>oupe de travail 7A et publié en </w:t>
      </w:r>
      <w:r w:rsidRPr="0006625A">
        <w:rPr>
          <w:lang w:val="fr-CH"/>
        </w:rPr>
        <w:t>1997</w:t>
      </w:r>
      <w:r w:rsidRPr="001F4B71">
        <w:rPr>
          <w:lang w:val="fr-CH"/>
        </w:rPr>
        <w:t>.</w:t>
      </w:r>
      <w:bookmarkEnd w:id="75"/>
    </w:p>
    <w:p w:rsidR="006042ED" w:rsidRPr="004C217F" w:rsidRDefault="006042ED" w:rsidP="00926C49">
      <w:pPr>
        <w:rPr>
          <w:lang w:val="fr-CH"/>
        </w:rPr>
      </w:pPr>
      <w:bookmarkStart w:id="76" w:name="lt_pId138"/>
      <w:r w:rsidRPr="001F4B71">
        <w:rPr>
          <w:b/>
          <w:bCs/>
          <w:lang w:val="fr-CH"/>
        </w:rPr>
        <w:t xml:space="preserve">Communications dans le service de recherche spatiale </w:t>
      </w:r>
      <w:r w:rsidRPr="002A15D4">
        <w:rPr>
          <w:lang w:val="fr-CH"/>
        </w:rPr>
        <w:t>–</w:t>
      </w:r>
      <w:r w:rsidRPr="001F4B71">
        <w:rPr>
          <w:b/>
          <w:bCs/>
          <w:lang w:val="fr-CH"/>
        </w:rPr>
        <w:t xml:space="preserve"> </w:t>
      </w:r>
      <w:r w:rsidR="00926C49">
        <w:rPr>
          <w:lang w:val="fr-CH"/>
        </w:rPr>
        <w:t>D</w:t>
      </w:r>
      <w:r w:rsidRPr="001F4B71">
        <w:rPr>
          <w:lang w:val="fr-CH"/>
        </w:rPr>
        <w:t xml:space="preserve">euxième édition du </w:t>
      </w:r>
      <w:r>
        <w:rPr>
          <w:lang w:val="fr-CH"/>
        </w:rPr>
        <w:t>Manuel sur les communications dans le service de recherche spatiale</w:t>
      </w:r>
      <w:r w:rsidRPr="001F4B71">
        <w:rPr>
          <w:lang w:val="fr-CH"/>
        </w:rPr>
        <w:t xml:space="preserve"> publié en 2014.</w:t>
      </w:r>
      <w:bookmarkEnd w:id="76"/>
      <w:r w:rsidRPr="000627B2">
        <w:rPr>
          <w:lang w:val="fr-CH"/>
        </w:rPr>
        <w:t xml:space="preserve"> </w:t>
      </w:r>
    </w:p>
    <w:p w:rsidR="006042ED" w:rsidRPr="0091552E" w:rsidRDefault="006042ED" w:rsidP="00926C49">
      <w:pPr>
        <w:rPr>
          <w:lang w:val="fr-CH"/>
        </w:rPr>
      </w:pPr>
      <w:bookmarkStart w:id="77" w:name="lt_pId139"/>
      <w:r w:rsidRPr="00D130DB">
        <w:rPr>
          <w:b/>
          <w:bCs/>
          <w:lang w:val="fr-CH"/>
        </w:rPr>
        <w:t>Transfert et diffusion par satellite de signaux horaires et de fréquence</w:t>
      </w:r>
      <w:r>
        <w:rPr>
          <w:lang w:val="fr-CH"/>
        </w:rPr>
        <w:t xml:space="preserve"> – </w:t>
      </w:r>
      <w:r w:rsidR="00926C49">
        <w:rPr>
          <w:lang w:val="fr-CH"/>
        </w:rPr>
        <w:t>P</w:t>
      </w:r>
      <w:r>
        <w:rPr>
          <w:lang w:val="fr-CH"/>
        </w:rPr>
        <w:t>remière édition de ce Manuel</w:t>
      </w:r>
      <w:r w:rsidRPr="000627B2">
        <w:rPr>
          <w:lang w:val="fr-CH"/>
        </w:rPr>
        <w:t>, élaboré par le Gr</w:t>
      </w:r>
      <w:r>
        <w:rPr>
          <w:lang w:val="fr-CH"/>
        </w:rPr>
        <w:t>oupe de travail 7A et publié en </w:t>
      </w:r>
      <w:r w:rsidRPr="000627B2">
        <w:rPr>
          <w:lang w:val="fr-CH"/>
        </w:rPr>
        <w:t>2010.</w:t>
      </w:r>
      <w:bookmarkEnd w:id="77"/>
    </w:p>
    <w:p w:rsidR="006042ED" w:rsidRPr="00107FBB" w:rsidRDefault="006042ED" w:rsidP="00926C49">
      <w:pPr>
        <w:rPr>
          <w:lang w:val="fr-CH"/>
        </w:rPr>
      </w:pPr>
      <w:bookmarkStart w:id="78" w:name="lt_pId140"/>
      <w:r w:rsidRPr="000F3663">
        <w:rPr>
          <w:b/>
          <w:bCs/>
          <w:lang w:val="fr-CH"/>
        </w:rPr>
        <w:t>Manuel sur le service d</w:t>
      </w:r>
      <w:r>
        <w:rPr>
          <w:b/>
          <w:bCs/>
          <w:lang w:val="fr-CH"/>
        </w:rPr>
        <w:t>'</w:t>
      </w:r>
      <w:r w:rsidRPr="000F3663">
        <w:rPr>
          <w:b/>
          <w:bCs/>
          <w:lang w:val="fr-CH"/>
        </w:rPr>
        <w:t>exploration de la Terre par satellite</w:t>
      </w:r>
      <w:r>
        <w:rPr>
          <w:lang w:val="fr-CH"/>
        </w:rPr>
        <w:t xml:space="preserve"> – </w:t>
      </w:r>
      <w:r w:rsidR="00926C49">
        <w:rPr>
          <w:lang w:val="fr-CH"/>
        </w:rPr>
        <w:t>N</w:t>
      </w:r>
      <w:r>
        <w:rPr>
          <w:lang w:val="fr-CH"/>
        </w:rPr>
        <w:t>ouveau Manuel publié en </w:t>
      </w:r>
      <w:r w:rsidRPr="00EF3A89">
        <w:rPr>
          <w:lang w:val="fr-CH"/>
        </w:rPr>
        <w:t>2011.</w:t>
      </w:r>
      <w:bookmarkEnd w:id="78"/>
      <w:r w:rsidRPr="00107FBB">
        <w:rPr>
          <w:lang w:val="fr-CH"/>
        </w:rPr>
        <w:t xml:space="preserve"> </w:t>
      </w:r>
      <w:bookmarkStart w:id="79" w:name="lt_pId141"/>
      <w:r w:rsidRPr="001F4B71">
        <w:rPr>
          <w:lang w:val="fr-CH"/>
        </w:rPr>
        <w:t>Ce Manuel est égale</w:t>
      </w:r>
      <w:r>
        <w:rPr>
          <w:lang w:val="fr-CH"/>
        </w:rPr>
        <w:t>ment reconnu dans la Résolution </w:t>
      </w:r>
      <w:r w:rsidRPr="009C40B8">
        <w:rPr>
          <w:b/>
          <w:bCs/>
          <w:lang w:val="fr-CH"/>
        </w:rPr>
        <w:t>673 (Rév.CMR-12)</w:t>
      </w:r>
      <w:r w:rsidRPr="001F4B71">
        <w:rPr>
          <w:lang w:val="fr-CH"/>
        </w:rPr>
        <w:t>.</w:t>
      </w:r>
      <w:bookmarkEnd w:id="79"/>
      <w:r w:rsidRPr="00107FBB">
        <w:rPr>
          <w:lang w:val="fr-CH"/>
        </w:rPr>
        <w:t xml:space="preserve"> </w:t>
      </w:r>
    </w:p>
    <w:p w:rsidR="006042ED" w:rsidRPr="008A5D03" w:rsidRDefault="006042ED" w:rsidP="00926C49">
      <w:pPr>
        <w:pStyle w:val="Heading1"/>
        <w:rPr>
          <w:lang w:val="fr-CH"/>
        </w:rPr>
      </w:pPr>
      <w:r w:rsidRPr="008A5D03">
        <w:rPr>
          <w:lang w:val="fr-CH"/>
        </w:rPr>
        <w:lastRenderedPageBreak/>
        <w:t>6</w:t>
      </w:r>
      <w:r w:rsidRPr="008A5D03">
        <w:rPr>
          <w:lang w:val="fr-CH"/>
        </w:rPr>
        <w:tab/>
      </w:r>
      <w:r w:rsidRPr="00E445D1">
        <w:rPr>
          <w:lang w:val="fr-CH"/>
        </w:rPr>
        <w:t>Préparation des Conférences des radiocommunications</w:t>
      </w:r>
    </w:p>
    <w:p w:rsidR="006042ED" w:rsidRPr="001850BD" w:rsidRDefault="006042ED" w:rsidP="00926C49">
      <w:pPr>
        <w:rPr>
          <w:lang w:val="fr-CH"/>
        </w:rPr>
      </w:pPr>
      <w:bookmarkStart w:id="80" w:name="lt_pId144"/>
      <w:r>
        <w:rPr>
          <w:lang w:val="fr-CH"/>
        </w:rPr>
        <w:t>L'ordre du jour de la Conférence mondiale des radiocommunications de 2015 a donné lieu à de nombreuses activités de la CE 7 et de ses Groupes de travail depuis 2012.</w:t>
      </w:r>
    </w:p>
    <w:p w:rsidR="006042ED" w:rsidRPr="001850BD" w:rsidRDefault="006042ED" w:rsidP="00926C49">
      <w:pPr>
        <w:rPr>
          <w:lang w:val="fr-CH"/>
        </w:rPr>
      </w:pPr>
      <w:bookmarkStart w:id="81" w:name="lt_pId145"/>
      <w:bookmarkEnd w:id="80"/>
      <w:r w:rsidRPr="001850BD">
        <w:rPr>
          <w:lang w:val="fr-CH"/>
        </w:rPr>
        <w:t>Les Groupes de travail de la CE 7</w:t>
      </w:r>
      <w:r>
        <w:rPr>
          <w:lang w:val="fr-CH"/>
        </w:rPr>
        <w:t xml:space="preserve"> ont contribué à l'étude des points </w:t>
      </w:r>
      <w:r w:rsidRPr="001850BD">
        <w:rPr>
          <w:lang w:val="fr-CH"/>
        </w:rPr>
        <w:t xml:space="preserve">1.1, 1.6, 1.9, 1.0, 1.17, 1.18 </w:t>
      </w:r>
      <w:r>
        <w:rPr>
          <w:lang w:val="fr-CH"/>
        </w:rPr>
        <w:t>et </w:t>
      </w:r>
      <w:r w:rsidRPr="001850BD">
        <w:rPr>
          <w:lang w:val="fr-CH"/>
        </w:rPr>
        <w:t>9.1.1</w:t>
      </w:r>
      <w:r w:rsidRPr="004E39E5">
        <w:rPr>
          <w:lang w:val="fr-CH"/>
        </w:rPr>
        <w:t xml:space="preserve"> </w:t>
      </w:r>
      <w:r>
        <w:rPr>
          <w:lang w:val="fr-CH"/>
        </w:rPr>
        <w:t>de l'ordre du jour</w:t>
      </w:r>
      <w:r w:rsidRPr="001850BD">
        <w:rPr>
          <w:lang w:val="fr-CH"/>
        </w:rPr>
        <w:t>.</w:t>
      </w:r>
    </w:p>
    <w:p w:rsidR="006042ED" w:rsidRPr="00EA19DC" w:rsidRDefault="006042ED" w:rsidP="00926C49">
      <w:pPr>
        <w:rPr>
          <w:lang w:val="fr-CH"/>
        </w:rPr>
      </w:pPr>
      <w:bookmarkStart w:id="82" w:name="lt_pId146"/>
      <w:bookmarkEnd w:id="81"/>
      <w:r>
        <w:rPr>
          <w:lang w:val="fr-CH"/>
        </w:rPr>
        <w:t>Le GT </w:t>
      </w:r>
      <w:r w:rsidRPr="00EA19DC">
        <w:rPr>
          <w:lang w:val="fr-CH"/>
        </w:rPr>
        <w:t xml:space="preserve">7A </w:t>
      </w:r>
      <w:r>
        <w:rPr>
          <w:lang w:val="fr-CH"/>
        </w:rPr>
        <w:t>a été chargé de l'étude du point </w:t>
      </w:r>
      <w:r w:rsidRPr="00EA19DC">
        <w:rPr>
          <w:lang w:val="fr-CH"/>
        </w:rPr>
        <w:t>1.14 de l</w:t>
      </w:r>
      <w:r>
        <w:rPr>
          <w:lang w:val="fr-CH"/>
        </w:rPr>
        <w:t>'</w:t>
      </w:r>
      <w:r w:rsidRPr="00EA19DC">
        <w:rPr>
          <w:lang w:val="fr-CH"/>
        </w:rPr>
        <w:t xml:space="preserve">ordre du jour </w:t>
      </w:r>
      <w:r>
        <w:rPr>
          <w:lang w:val="fr-CH"/>
        </w:rPr>
        <w:t xml:space="preserve">relatif à </w:t>
      </w:r>
      <w:r w:rsidRPr="00BB08D1">
        <w:rPr>
          <w:lang w:val="fr-CH"/>
        </w:rPr>
        <w:t>la possibilit</w:t>
      </w:r>
      <w:r w:rsidRPr="00BB08D1">
        <w:rPr>
          <w:rFonts w:hint="eastAsia"/>
          <w:lang w:val="fr-CH"/>
        </w:rPr>
        <w:t>é</w:t>
      </w:r>
      <w:r w:rsidRPr="00BB08D1">
        <w:rPr>
          <w:lang w:val="fr-CH"/>
        </w:rPr>
        <w:t xml:space="preserve"> d</w:t>
      </w:r>
      <w:r>
        <w:rPr>
          <w:lang w:val="fr-CH"/>
        </w:rPr>
        <w:t>'</w:t>
      </w:r>
      <w:r w:rsidRPr="00BB08D1">
        <w:rPr>
          <w:lang w:val="fr-CH"/>
        </w:rPr>
        <w:t xml:space="preserve">obtenir une </w:t>
      </w:r>
      <w:r w:rsidRPr="00BB08D1">
        <w:rPr>
          <w:rFonts w:hint="eastAsia"/>
          <w:lang w:val="fr-CH"/>
        </w:rPr>
        <w:t>é</w:t>
      </w:r>
      <w:r w:rsidRPr="00BB08D1">
        <w:rPr>
          <w:lang w:val="fr-CH"/>
        </w:rPr>
        <w:t>chelle de temps de r</w:t>
      </w:r>
      <w:r w:rsidRPr="00BB08D1">
        <w:rPr>
          <w:rFonts w:hint="eastAsia"/>
          <w:lang w:val="fr-CH"/>
        </w:rPr>
        <w:t>é</w:t>
      </w:r>
      <w:r w:rsidRPr="00BB08D1">
        <w:rPr>
          <w:lang w:val="fr-CH"/>
        </w:rPr>
        <w:t>f</w:t>
      </w:r>
      <w:r w:rsidRPr="00BB08D1">
        <w:rPr>
          <w:rFonts w:hint="eastAsia"/>
          <w:lang w:val="fr-CH"/>
        </w:rPr>
        <w:t>é</w:t>
      </w:r>
      <w:r w:rsidRPr="00BB08D1">
        <w:rPr>
          <w:lang w:val="fr-CH"/>
        </w:rPr>
        <w:t>rence continue.</w:t>
      </w:r>
      <w:r>
        <w:rPr>
          <w:color w:val="000000"/>
          <w:lang w:val="fr-CH"/>
        </w:rPr>
        <w:t xml:space="preserve"> Ce point a été intégré à l'ordre du jour suite à la discussion engagée pendant l'AR­12 à propos de l'approbation des propositions de modifications de la Recommandation UIT­R TF.460-6. Ces modifications concernent la suppression de la </w:t>
      </w:r>
      <w:r w:rsidRPr="00323BB8">
        <w:rPr>
          <w:color w:val="000000"/>
          <w:lang w:val="fr-CH"/>
        </w:rPr>
        <w:t xml:space="preserve">seconde intercalaire dans la </w:t>
      </w:r>
      <w:r>
        <w:rPr>
          <w:color w:val="000000"/>
          <w:lang w:val="fr-CH"/>
        </w:rPr>
        <w:t>dé</w:t>
      </w:r>
      <w:r w:rsidRPr="00323BB8">
        <w:rPr>
          <w:color w:val="000000"/>
          <w:lang w:val="fr-CH"/>
        </w:rPr>
        <w:t xml:space="preserve">finition </w:t>
      </w:r>
      <w:r w:rsidR="00994106">
        <w:rPr>
          <w:color w:val="000000"/>
          <w:lang w:val="fr-CH"/>
        </w:rPr>
        <w:t xml:space="preserve">du temps </w:t>
      </w:r>
      <w:r>
        <w:rPr>
          <w:color w:val="000000"/>
          <w:lang w:val="fr-CH"/>
        </w:rPr>
        <w:t xml:space="preserve">UTC. Puisqu'aucun consensus n'a pu être dégagé, ne permettant ainsi pas l'adoption de la Recommandation par la CE, le Président de la CE 7 a décidé de soumettre ce point à l'AR. Toutefois, du fait de connaissances insuffisantes et de l'absence de prise de position de nombreuses administrations, il a été décidé de </w:t>
      </w:r>
      <w:r w:rsidR="00994106">
        <w:rPr>
          <w:color w:val="000000"/>
          <w:lang w:val="fr-CH"/>
        </w:rPr>
        <w:t>diffuser plus largement cette</w:t>
      </w:r>
      <w:r>
        <w:rPr>
          <w:color w:val="000000"/>
          <w:lang w:val="fr-CH"/>
        </w:rPr>
        <w:t xml:space="preserve"> Recommandation, en l'inscrivant à l'ordre du jour de la CMR-15.</w:t>
      </w:r>
    </w:p>
    <w:p w:rsidR="006042ED" w:rsidRPr="001F4B71" w:rsidRDefault="006042ED" w:rsidP="00926C49">
      <w:pPr>
        <w:rPr>
          <w:lang w:val="fr-CH"/>
        </w:rPr>
      </w:pPr>
      <w:bookmarkStart w:id="83" w:name="lt_pId150"/>
      <w:bookmarkEnd w:id="82"/>
      <w:r w:rsidRPr="001F4B71">
        <w:rPr>
          <w:lang w:val="fr-CH"/>
        </w:rPr>
        <w:t>Le Groupe de travail 7B était charg</w:t>
      </w:r>
      <w:r>
        <w:rPr>
          <w:lang w:val="fr-CH"/>
        </w:rPr>
        <w:t>é des points de l'ordre du jour </w:t>
      </w:r>
      <w:r w:rsidRPr="001F4B71">
        <w:rPr>
          <w:lang w:val="fr-CH"/>
        </w:rPr>
        <w:t>1.11, 1.13 et 9.1</w:t>
      </w:r>
      <w:r>
        <w:rPr>
          <w:lang w:val="fr-CH"/>
        </w:rPr>
        <w:t>.</w:t>
      </w:r>
      <w:r w:rsidRPr="001F4B71">
        <w:rPr>
          <w:lang w:val="fr-CH"/>
        </w:rPr>
        <w:t>8.</w:t>
      </w:r>
    </w:p>
    <w:p w:rsidR="006042ED" w:rsidRPr="00F0081E" w:rsidRDefault="00926C49" w:rsidP="00926C49">
      <w:pPr>
        <w:pStyle w:val="enumlev1"/>
        <w:rPr>
          <w:lang w:val="fr-CH"/>
        </w:rPr>
      </w:pPr>
      <w:bookmarkStart w:id="84" w:name="lt_pId151"/>
      <w:bookmarkEnd w:id="83"/>
      <w:r w:rsidRPr="00926C49">
        <w:rPr>
          <w:lang w:val="fr-CH"/>
        </w:rPr>
        <w:t>•</w:t>
      </w:r>
      <w:r>
        <w:rPr>
          <w:lang w:val="fr-CH"/>
        </w:rPr>
        <w:tab/>
      </w:r>
      <w:r w:rsidR="006042ED" w:rsidRPr="00F0081E">
        <w:rPr>
          <w:lang w:val="fr-CH"/>
        </w:rPr>
        <w:t>Le point de l</w:t>
      </w:r>
      <w:r w:rsidR="006042ED">
        <w:rPr>
          <w:lang w:val="fr-CH"/>
        </w:rPr>
        <w:t>'ordre du jour </w:t>
      </w:r>
      <w:r w:rsidR="006042ED" w:rsidRPr="00F0081E">
        <w:rPr>
          <w:lang w:val="fr-CH"/>
        </w:rPr>
        <w:t>1.11 porte sur la possibilité d</w:t>
      </w:r>
      <w:r w:rsidR="006042ED">
        <w:rPr>
          <w:lang w:val="fr-CH"/>
        </w:rPr>
        <w:t>'</w:t>
      </w:r>
      <w:r w:rsidR="006042ED" w:rsidRPr="00F0081E">
        <w:rPr>
          <w:lang w:val="fr-CH"/>
        </w:rPr>
        <w:t>une nouvelle attribution au</w:t>
      </w:r>
      <w:r>
        <w:rPr>
          <w:lang w:val="fr-CH"/>
        </w:rPr>
        <w:t> </w:t>
      </w:r>
      <w:r w:rsidR="006042ED" w:rsidRPr="00F0081E">
        <w:rPr>
          <w:lang w:val="fr-CH"/>
        </w:rPr>
        <w:t>service d</w:t>
      </w:r>
      <w:r w:rsidR="006042ED">
        <w:rPr>
          <w:lang w:val="fr-CH"/>
        </w:rPr>
        <w:t>'</w:t>
      </w:r>
      <w:r w:rsidR="006042ED" w:rsidRPr="00F0081E">
        <w:rPr>
          <w:lang w:val="fr-CH"/>
        </w:rPr>
        <w:t>exploration de la Terre par satellite (Terre vers espace) dans la gamme 7</w:t>
      </w:r>
      <w:r>
        <w:rPr>
          <w:lang w:val="fr-CH"/>
        </w:rPr>
        <w:noBreakHyphen/>
      </w:r>
      <w:r w:rsidR="006042ED" w:rsidRPr="00F0081E">
        <w:rPr>
          <w:lang w:val="fr-CH"/>
        </w:rPr>
        <w:t>8 GHz. Le GT 7B a élaboré cinq nouveaux rapports à ce sujet.</w:t>
      </w:r>
      <w:bookmarkStart w:id="85" w:name="lt_pId152"/>
      <w:bookmarkEnd w:id="84"/>
    </w:p>
    <w:p w:rsidR="006042ED" w:rsidRPr="00F0081E" w:rsidRDefault="00926C49" w:rsidP="00926C49">
      <w:pPr>
        <w:pStyle w:val="enumlev1"/>
        <w:rPr>
          <w:lang w:val="fr-CH"/>
        </w:rPr>
      </w:pPr>
      <w:r w:rsidRPr="00926C49">
        <w:rPr>
          <w:lang w:val="fr-CH"/>
        </w:rPr>
        <w:t>•</w:t>
      </w:r>
      <w:r>
        <w:rPr>
          <w:lang w:val="fr-CH"/>
        </w:rPr>
        <w:tab/>
      </w:r>
      <w:r w:rsidR="006042ED" w:rsidRPr="00F0081E">
        <w:rPr>
          <w:lang w:val="fr-CH"/>
        </w:rPr>
        <w:t>Le point de l</w:t>
      </w:r>
      <w:r w:rsidR="006042ED">
        <w:rPr>
          <w:lang w:val="fr-CH"/>
        </w:rPr>
        <w:t>'</w:t>
      </w:r>
      <w:r w:rsidR="006042ED" w:rsidRPr="00F0081E">
        <w:rPr>
          <w:lang w:val="fr-CH"/>
        </w:rPr>
        <w:t>ordre du jou</w:t>
      </w:r>
      <w:r w:rsidR="006042ED">
        <w:rPr>
          <w:lang w:val="fr-CH"/>
        </w:rPr>
        <w:t>r </w:t>
      </w:r>
      <w:r w:rsidR="006042ED" w:rsidRPr="00F0081E">
        <w:rPr>
          <w:lang w:val="fr-CH"/>
        </w:rPr>
        <w:t>1.13 porte sur la possibilit</w:t>
      </w:r>
      <w:r w:rsidR="006042ED" w:rsidRPr="00F0081E">
        <w:rPr>
          <w:rFonts w:hint="eastAsia"/>
          <w:lang w:val="fr-CH"/>
        </w:rPr>
        <w:t>é</w:t>
      </w:r>
      <w:r w:rsidR="006042ED" w:rsidRPr="00F0081E">
        <w:rPr>
          <w:lang w:val="fr-CH"/>
        </w:rPr>
        <w:t xml:space="preserve"> d</w:t>
      </w:r>
      <w:r w:rsidR="006042ED">
        <w:rPr>
          <w:lang w:val="fr-CH"/>
        </w:rPr>
        <w:t>'</w:t>
      </w:r>
      <w:r w:rsidR="006042ED" w:rsidRPr="00F0081E">
        <w:rPr>
          <w:lang w:val="fr-CH"/>
        </w:rPr>
        <w:t xml:space="preserve">augmenter la limite de </w:t>
      </w:r>
      <w:r w:rsidR="006042ED">
        <w:rPr>
          <w:lang w:val="fr-CH"/>
        </w:rPr>
        <w:t>distance de </w:t>
      </w:r>
      <w:r w:rsidR="006042ED" w:rsidRPr="00F0081E">
        <w:rPr>
          <w:lang w:val="fr-CH"/>
        </w:rPr>
        <w:t>5 km pour le service de recherche spatiale (espace-espace), permettant l</w:t>
      </w:r>
      <w:r w:rsidR="006042ED">
        <w:rPr>
          <w:lang w:val="fr-CH"/>
        </w:rPr>
        <w:t>'</w:t>
      </w:r>
      <w:r w:rsidR="006042ED" w:rsidRPr="00F0081E">
        <w:rPr>
          <w:lang w:val="fr-CH"/>
        </w:rPr>
        <w:t>utilisation de la bande 401-420 MHz pour les op</w:t>
      </w:r>
      <w:r w:rsidR="006042ED" w:rsidRPr="00F0081E">
        <w:rPr>
          <w:rFonts w:hint="eastAsia"/>
          <w:lang w:val="fr-CH"/>
        </w:rPr>
        <w:t>é</w:t>
      </w:r>
      <w:r w:rsidR="006042ED" w:rsidRPr="00F0081E">
        <w:rPr>
          <w:lang w:val="fr-CH"/>
        </w:rPr>
        <w:t>rations de proximit</w:t>
      </w:r>
      <w:r w:rsidR="006042ED" w:rsidRPr="00F0081E">
        <w:rPr>
          <w:rFonts w:hint="eastAsia"/>
          <w:lang w:val="fr-CH"/>
        </w:rPr>
        <w:t>é</w:t>
      </w:r>
      <w:r w:rsidR="006042ED" w:rsidRPr="00F0081E">
        <w:rPr>
          <w:lang w:val="fr-CH"/>
        </w:rPr>
        <w:t xml:space="preserve"> effectu</w:t>
      </w:r>
      <w:r w:rsidR="006042ED" w:rsidRPr="00F0081E">
        <w:rPr>
          <w:rFonts w:hint="eastAsia"/>
          <w:lang w:val="fr-CH"/>
        </w:rPr>
        <w:t>é</w:t>
      </w:r>
      <w:r w:rsidR="006042ED" w:rsidRPr="00F0081E">
        <w:rPr>
          <w:lang w:val="fr-CH"/>
        </w:rPr>
        <w:t>es par des engins spatiaux</w:t>
      </w:r>
      <w:r w:rsidR="006042ED">
        <w:rPr>
          <w:lang w:val="fr-CH"/>
        </w:rPr>
        <w:t xml:space="preserve"> </w:t>
      </w:r>
      <w:r w:rsidR="006042ED" w:rsidRPr="00F0081E">
        <w:rPr>
          <w:lang w:val="fr-CH"/>
        </w:rPr>
        <w:t>communiquant avec des engins spatiaux habit</w:t>
      </w:r>
      <w:r w:rsidR="006042ED" w:rsidRPr="00F0081E">
        <w:rPr>
          <w:rFonts w:hint="eastAsia"/>
          <w:lang w:val="fr-CH"/>
        </w:rPr>
        <w:t>é</w:t>
      </w:r>
      <w:r w:rsidR="006042ED" w:rsidRPr="00F0081E">
        <w:rPr>
          <w:lang w:val="fr-CH"/>
        </w:rPr>
        <w:t>s. Ce point de l</w:t>
      </w:r>
      <w:r w:rsidR="006042ED">
        <w:rPr>
          <w:lang w:val="fr-CH"/>
        </w:rPr>
        <w:t>'</w:t>
      </w:r>
      <w:r w:rsidR="006042ED" w:rsidRPr="00F0081E">
        <w:rPr>
          <w:lang w:val="fr-CH"/>
        </w:rPr>
        <w:t>ordre du jour a donné lieu à l</w:t>
      </w:r>
      <w:r w:rsidR="006042ED">
        <w:rPr>
          <w:lang w:val="fr-CH"/>
        </w:rPr>
        <w:t>'</w:t>
      </w:r>
      <w:r w:rsidR="006042ED" w:rsidRPr="00F0081E">
        <w:rPr>
          <w:lang w:val="fr-CH"/>
        </w:rPr>
        <w:t>élaboration d</w:t>
      </w:r>
      <w:r w:rsidR="006042ED">
        <w:rPr>
          <w:lang w:val="fr-CH"/>
        </w:rPr>
        <w:t>'</w:t>
      </w:r>
      <w:r w:rsidR="006042ED" w:rsidRPr="00F0081E">
        <w:rPr>
          <w:lang w:val="fr-CH"/>
        </w:rPr>
        <w:t>un nouveau rapport.</w:t>
      </w:r>
    </w:p>
    <w:p w:rsidR="006042ED" w:rsidRPr="00E419EC" w:rsidRDefault="00926C49" w:rsidP="00926C49">
      <w:pPr>
        <w:pStyle w:val="enumlev1"/>
        <w:rPr>
          <w:lang w:val="fr-CH"/>
        </w:rPr>
      </w:pPr>
      <w:bookmarkStart w:id="86" w:name="lt_pId153"/>
      <w:bookmarkEnd w:id="85"/>
      <w:r w:rsidRPr="00926C49">
        <w:rPr>
          <w:lang w:val="fr-CH"/>
        </w:rPr>
        <w:t>•</w:t>
      </w:r>
      <w:r>
        <w:rPr>
          <w:lang w:val="fr-CH"/>
        </w:rPr>
        <w:tab/>
      </w:r>
      <w:r w:rsidR="006042ED" w:rsidRPr="00E419EC">
        <w:rPr>
          <w:lang w:val="fr-CH"/>
        </w:rPr>
        <w:t>Le point de l</w:t>
      </w:r>
      <w:r w:rsidR="006042ED">
        <w:rPr>
          <w:lang w:val="fr-CH"/>
        </w:rPr>
        <w:t>'</w:t>
      </w:r>
      <w:r w:rsidR="006042ED" w:rsidRPr="00E419EC">
        <w:rPr>
          <w:lang w:val="fr-CH"/>
        </w:rPr>
        <w:t>ordre du jour</w:t>
      </w:r>
      <w:r w:rsidR="006042ED">
        <w:rPr>
          <w:lang w:val="fr-CH"/>
        </w:rPr>
        <w:t xml:space="preserve"> 9.1.8 porte sur les aspects réglementaires relatifs aux nanosatellites et aux picosatellites, à propos desquels le GT 7B </w:t>
      </w:r>
      <w:r w:rsidR="00994106">
        <w:rPr>
          <w:lang w:val="fr-CH"/>
        </w:rPr>
        <w:t>élabore</w:t>
      </w:r>
      <w:r w:rsidR="006042ED">
        <w:rPr>
          <w:lang w:val="fr-CH"/>
        </w:rPr>
        <w:t xml:space="preserve"> un rapport.</w:t>
      </w:r>
    </w:p>
    <w:p w:rsidR="006042ED" w:rsidRDefault="006042ED" w:rsidP="00926C49">
      <w:pPr>
        <w:rPr>
          <w:lang w:val="fr-CH"/>
        </w:rPr>
      </w:pPr>
      <w:bookmarkStart w:id="87" w:name="lt_pId154"/>
      <w:bookmarkEnd w:id="86"/>
      <w:r w:rsidRPr="00482146">
        <w:rPr>
          <w:lang w:val="fr-CH"/>
        </w:rPr>
        <w:t xml:space="preserve">Le </w:t>
      </w:r>
      <w:r>
        <w:rPr>
          <w:lang w:val="fr-CH"/>
        </w:rPr>
        <w:t>Groupe de travail </w:t>
      </w:r>
      <w:r w:rsidRPr="001F4B71">
        <w:rPr>
          <w:lang w:val="fr-CH"/>
        </w:rPr>
        <w:t>7C était cha</w:t>
      </w:r>
      <w:r>
        <w:rPr>
          <w:lang w:val="fr-CH"/>
        </w:rPr>
        <w:t>rgé du point de l'ordre du jour 1.12 relatif à l'</w:t>
      </w:r>
      <w:r w:rsidRPr="0071481D">
        <w:rPr>
          <w:lang w:val="fr-CH"/>
        </w:rPr>
        <w:t>extension de l</w:t>
      </w:r>
      <w:r>
        <w:rPr>
          <w:lang w:val="fr-CH"/>
        </w:rPr>
        <w:t>'</w:t>
      </w:r>
      <w:r w:rsidRPr="0071481D">
        <w:rPr>
          <w:lang w:val="fr-CH"/>
        </w:rPr>
        <w:t xml:space="preserve">attribution </w:t>
      </w:r>
      <w:r w:rsidRPr="0071481D">
        <w:rPr>
          <w:rFonts w:hint="eastAsia"/>
          <w:lang w:val="fr-CH"/>
        </w:rPr>
        <w:t>à</w:t>
      </w:r>
      <w:r w:rsidRPr="0071481D">
        <w:rPr>
          <w:lang w:val="fr-CH"/>
        </w:rPr>
        <w:t xml:space="preserve"> l</w:t>
      </w:r>
      <w:r>
        <w:rPr>
          <w:lang w:val="fr-CH"/>
        </w:rPr>
        <w:t>'</w:t>
      </w:r>
      <w:r w:rsidRPr="0071481D">
        <w:rPr>
          <w:rFonts w:hint="eastAsia"/>
          <w:lang w:val="fr-CH"/>
        </w:rPr>
        <w:t>é</w:t>
      </w:r>
      <w:r w:rsidRPr="0071481D">
        <w:rPr>
          <w:lang w:val="fr-CH"/>
        </w:rPr>
        <w:t>chelle mondiale dont b</w:t>
      </w:r>
      <w:r w:rsidRPr="0071481D">
        <w:rPr>
          <w:rFonts w:hint="eastAsia"/>
          <w:lang w:val="fr-CH"/>
        </w:rPr>
        <w:t>é</w:t>
      </w:r>
      <w:r w:rsidRPr="0071481D">
        <w:rPr>
          <w:lang w:val="fr-CH"/>
        </w:rPr>
        <w:t>n</w:t>
      </w:r>
      <w:r w:rsidRPr="0071481D">
        <w:rPr>
          <w:rFonts w:hint="eastAsia"/>
          <w:lang w:val="fr-CH"/>
        </w:rPr>
        <w:t>é</w:t>
      </w:r>
      <w:r w:rsidRPr="0071481D">
        <w:rPr>
          <w:lang w:val="fr-CH"/>
        </w:rPr>
        <w:t>ficie actuellement le service d</w:t>
      </w:r>
      <w:r>
        <w:rPr>
          <w:lang w:val="fr-CH"/>
        </w:rPr>
        <w:t>'</w:t>
      </w:r>
      <w:r w:rsidRPr="0071481D">
        <w:rPr>
          <w:lang w:val="fr-CH"/>
        </w:rPr>
        <w:t>exploration de la Terre par satellite (active) dans la bande de fr</w:t>
      </w:r>
      <w:r w:rsidRPr="0071481D">
        <w:rPr>
          <w:rFonts w:hint="eastAsia"/>
          <w:lang w:val="fr-CH"/>
        </w:rPr>
        <w:t>é</w:t>
      </w:r>
      <w:r>
        <w:rPr>
          <w:lang w:val="fr-CH"/>
        </w:rPr>
        <w:t>quences 9 300-9 900 MHz, de 600 </w:t>
      </w:r>
      <w:r w:rsidRPr="0071481D">
        <w:rPr>
          <w:lang w:val="fr-CH"/>
        </w:rPr>
        <w:t xml:space="preserve">MHz au plus. </w:t>
      </w:r>
      <w:r>
        <w:rPr>
          <w:color w:val="000000"/>
          <w:lang w:val="fr-CH"/>
        </w:rPr>
        <w:t>Le GT 7C a élaboré trois recommandations et quatre rapports à ce sujet.</w:t>
      </w:r>
    </w:p>
    <w:bookmarkEnd w:id="87"/>
    <w:p w:rsidR="006042ED" w:rsidRPr="00AB5654" w:rsidRDefault="006042ED" w:rsidP="00926C49">
      <w:pPr>
        <w:pStyle w:val="Heading1"/>
        <w:rPr>
          <w:lang w:val="fr-CH"/>
        </w:rPr>
      </w:pPr>
      <w:r w:rsidRPr="00AB5654">
        <w:rPr>
          <w:lang w:val="fr-CH"/>
        </w:rPr>
        <w:t>7</w:t>
      </w:r>
      <w:r w:rsidRPr="00AB5654">
        <w:rPr>
          <w:lang w:val="fr-CH"/>
        </w:rPr>
        <w:tab/>
      </w:r>
      <w:bookmarkStart w:id="88" w:name="lt_pId157"/>
      <w:r w:rsidRPr="00AB5654">
        <w:rPr>
          <w:lang w:val="fr-CH"/>
        </w:rPr>
        <w:t>Personnel</w:t>
      </w:r>
      <w:bookmarkEnd w:id="88"/>
    </w:p>
    <w:p w:rsidR="006042ED" w:rsidRDefault="006042ED" w:rsidP="00926C49">
      <w:pPr>
        <w:rPr>
          <w:lang w:val="fr-CH"/>
        </w:rPr>
      </w:pPr>
      <w:bookmarkStart w:id="89" w:name="lt_pId158"/>
      <w:r w:rsidRPr="003B16EB">
        <w:rPr>
          <w:lang w:val="fr-CH"/>
        </w:rPr>
        <w:t>L</w:t>
      </w:r>
      <w:r>
        <w:rPr>
          <w:lang w:val="fr-CH"/>
        </w:rPr>
        <w:t>'</w:t>
      </w:r>
      <w:r w:rsidRPr="003B16EB">
        <w:rPr>
          <w:lang w:val="fr-CH"/>
        </w:rPr>
        <w:t>équipe mise en place au début du cycle d</w:t>
      </w:r>
      <w:r>
        <w:rPr>
          <w:lang w:val="fr-CH"/>
        </w:rPr>
        <w:t>'</w:t>
      </w:r>
      <w:r w:rsidRPr="003B16EB">
        <w:rPr>
          <w:lang w:val="fr-CH"/>
        </w:rPr>
        <w:t xml:space="preserve">études est restée inchangée tout au long de ce cycle. </w:t>
      </w:r>
      <w:r w:rsidRPr="00241B9E">
        <w:rPr>
          <w:lang w:val="fr-CH"/>
        </w:rPr>
        <w:t xml:space="preserve">Les travaux de la </w:t>
      </w:r>
      <w:r>
        <w:rPr>
          <w:lang w:val="fr-CH"/>
        </w:rPr>
        <w:t>CE</w:t>
      </w:r>
      <w:r w:rsidRPr="00241B9E">
        <w:rPr>
          <w:lang w:val="fr-CH"/>
        </w:rPr>
        <w:t xml:space="preserve"> et des </w:t>
      </w:r>
      <w:r>
        <w:rPr>
          <w:lang w:val="fr-CH"/>
        </w:rPr>
        <w:t xml:space="preserve">GT </w:t>
      </w:r>
      <w:r w:rsidRPr="00241B9E">
        <w:rPr>
          <w:lang w:val="fr-CH"/>
        </w:rPr>
        <w:t xml:space="preserve">ont été </w:t>
      </w:r>
      <w:r>
        <w:rPr>
          <w:lang w:val="fr-CH"/>
        </w:rPr>
        <w:t xml:space="preserve">dirigés de manière remarquable par les personnes mentionnées dans la partie 1 du présent rapport, mais aussi avec l'aide de l'ensemble des délégués ayant pris part aux travaux de la CE 7 et de ses GT, dans un </w:t>
      </w:r>
      <w:r w:rsidR="00994106">
        <w:rPr>
          <w:lang w:val="fr-CH"/>
        </w:rPr>
        <w:t xml:space="preserve">excellent </w:t>
      </w:r>
      <w:r>
        <w:rPr>
          <w:lang w:val="fr-CH"/>
        </w:rPr>
        <w:t>esprit de coopération.</w:t>
      </w:r>
    </w:p>
    <w:p w:rsidR="006042ED" w:rsidRDefault="006042ED" w:rsidP="00926C49">
      <w:pPr>
        <w:rPr>
          <w:lang w:val="fr-CH"/>
        </w:rPr>
      </w:pPr>
      <w:r>
        <w:rPr>
          <w:lang w:val="fr-CH"/>
        </w:rPr>
        <w:t>En tant que Président de la CE 7, je tiens à exprimer ma reconnaissance à l'ensemble des participants pour l'important travail accompli au cours de ces quatre années</w:t>
      </w:r>
      <w:bookmarkEnd w:id="89"/>
      <w:r>
        <w:rPr>
          <w:lang w:val="fr-CH"/>
        </w:rPr>
        <w:t>.</w:t>
      </w:r>
    </w:p>
    <w:p w:rsidR="006042ED" w:rsidRPr="00E27B4F" w:rsidRDefault="006042ED" w:rsidP="00926C49">
      <w:pPr>
        <w:rPr>
          <w:lang w:val="fr-CH"/>
        </w:rPr>
      </w:pPr>
      <w:r>
        <w:rPr>
          <w:lang w:val="fr-CH"/>
        </w:rPr>
        <w:t>Le Président du GT 7C, M. MARELLI, a évoqué son départ prochain à la retraite</w:t>
      </w:r>
      <w:r w:rsidRPr="00B238DF">
        <w:rPr>
          <w:lang w:val="fr-CH"/>
        </w:rPr>
        <w:t>. Il reviendra à la nouvelle équipe de définir l</w:t>
      </w:r>
      <w:r>
        <w:rPr>
          <w:lang w:val="fr-CH"/>
        </w:rPr>
        <w:t>'</w:t>
      </w:r>
      <w:r w:rsidRPr="00B238DF">
        <w:rPr>
          <w:lang w:val="fr-CH"/>
        </w:rPr>
        <w:t>organisation du travail, puisqu</w:t>
      </w:r>
      <w:r>
        <w:rPr>
          <w:lang w:val="fr-CH"/>
        </w:rPr>
        <w:t>'</w:t>
      </w:r>
      <w:r w:rsidRPr="00B238DF">
        <w:rPr>
          <w:lang w:val="fr-CH"/>
        </w:rPr>
        <w:t xml:space="preserve">au moins un Président de groupe de travail sera remplacé. </w:t>
      </w:r>
      <w:r w:rsidRPr="00691F36">
        <w:rPr>
          <w:color w:val="000000"/>
          <w:lang w:val="fr-CH"/>
        </w:rPr>
        <w:t xml:space="preserve">Je tiens à exprimer mes sincères remerciements à </w:t>
      </w:r>
      <w:r w:rsidRPr="00691F36">
        <w:rPr>
          <w:lang w:val="fr-CH"/>
        </w:rPr>
        <w:t>M. MARELLI pour son travail en tant que Président du GT 7C.</w:t>
      </w:r>
    </w:p>
    <w:p w:rsidR="006042ED" w:rsidRPr="00AB5654" w:rsidRDefault="006042ED" w:rsidP="00926C49">
      <w:pPr>
        <w:pStyle w:val="Heading1"/>
        <w:rPr>
          <w:lang w:val="fr-CH"/>
        </w:rPr>
      </w:pPr>
      <w:r w:rsidRPr="00AB5654">
        <w:rPr>
          <w:lang w:val="fr-CH"/>
        </w:rPr>
        <w:lastRenderedPageBreak/>
        <w:t>8</w:t>
      </w:r>
      <w:r w:rsidRPr="00AB5654">
        <w:rPr>
          <w:lang w:val="fr-CH"/>
        </w:rPr>
        <w:tab/>
      </w:r>
      <w:bookmarkStart w:id="90" w:name="lt_pId164"/>
      <w:r w:rsidRPr="00AB5654">
        <w:rPr>
          <w:lang w:val="fr-CH"/>
        </w:rPr>
        <w:t>Méthode de travail</w:t>
      </w:r>
      <w:bookmarkEnd w:id="90"/>
    </w:p>
    <w:p w:rsidR="006042ED" w:rsidRPr="00AB5654" w:rsidRDefault="006042ED" w:rsidP="00926C49">
      <w:pPr>
        <w:pStyle w:val="Heading2"/>
        <w:rPr>
          <w:lang w:val="fr-CH"/>
        </w:rPr>
      </w:pPr>
      <w:r w:rsidRPr="00AB5654">
        <w:rPr>
          <w:lang w:val="fr-CH"/>
        </w:rPr>
        <w:t>8.1</w:t>
      </w:r>
      <w:r w:rsidRPr="00AB5654">
        <w:rPr>
          <w:lang w:val="fr-CH"/>
        </w:rPr>
        <w:tab/>
      </w:r>
      <w:bookmarkStart w:id="91" w:name="lt_pId166"/>
      <w:r w:rsidRPr="00AB5654">
        <w:rPr>
          <w:lang w:val="fr-CH"/>
        </w:rPr>
        <w:t>Réunions</w:t>
      </w:r>
      <w:bookmarkEnd w:id="91"/>
      <w:r w:rsidRPr="00AB5654">
        <w:rPr>
          <w:lang w:val="fr-CH"/>
        </w:rPr>
        <w:t xml:space="preserve"> </w:t>
      </w:r>
    </w:p>
    <w:p w:rsidR="006042ED" w:rsidRDefault="006042ED" w:rsidP="00926C49">
      <w:pPr>
        <w:rPr>
          <w:lang w:val="fr-CH"/>
        </w:rPr>
      </w:pPr>
      <w:r>
        <w:rPr>
          <w:lang w:val="fr-CH"/>
        </w:rPr>
        <w:t>Le nombre et la durée des réunions de la Commission d'études correspondaient étroitement au nombre de documents produits par les GT. Il est utile de pouvoir programmer les dates de la réunion annuelle de la Commission d'études environ un an à l'avance, afin de pouvoir annuler la réunion jusqu'à six mois avant la ou les dates prévues, si les GT indiquent qu'ils ne disposent pas d'un nombre suffisant de documents pour examen. Compte tenu des résultats des réunions du Groupe de direction, il a donc été décidé que la Commission d'études ne tiendrait pas de réunions chaque année.</w:t>
      </w:r>
    </w:p>
    <w:p w:rsidR="006042ED" w:rsidRPr="007E117C" w:rsidRDefault="00994106" w:rsidP="00926C49">
      <w:pPr>
        <w:rPr>
          <w:lang w:val="fr-CH"/>
        </w:rPr>
      </w:pPr>
      <w:r>
        <w:rPr>
          <w:lang w:val="fr-CH"/>
        </w:rPr>
        <w:t>A</w:t>
      </w:r>
      <w:r w:rsidR="006042ED">
        <w:rPr>
          <w:lang w:val="fr-CH"/>
        </w:rPr>
        <w:t xml:space="preserve"> deux reprises, les réunions de la Commission d'études ont eu lieu pendant deux jours ouvrables non consécutifs, entre lesquels les Groupes de travail se sont réunis. Ces modalités ont permis, au cas où l'adoption et l'approbation d'une Recommandation, d'un Rapport ou d'une Question soulevait des difficultés, de le conserver au sein de la CE afin de l'examiner à titre informel, ce qui a permis de remédier aux difficultés le deuxième jour de la réunion. Cette méthode de travail s'est souvent révélée très utile pour surmonter les difficultés rencontrées.</w:t>
      </w:r>
    </w:p>
    <w:p w:rsidR="006042ED" w:rsidRPr="008038DC" w:rsidRDefault="006042ED" w:rsidP="00926C49">
      <w:pPr>
        <w:rPr>
          <w:lang w:val="fr-CH"/>
        </w:rPr>
      </w:pPr>
      <w:bookmarkStart w:id="92" w:name="lt_pId173"/>
      <w:r>
        <w:rPr>
          <w:lang w:val="fr-CH"/>
        </w:rPr>
        <w:t xml:space="preserve">Bien que les quatre </w:t>
      </w:r>
      <w:r>
        <w:rPr>
          <w:lang w:val="fr-CH" w:bidi="ar-EG"/>
        </w:rPr>
        <w:t>Groupes de travail aient tenu leurs réunions en parallèle, on s'est efforcé de faciliter la participation pleine et entière des petites délégations aux discussions et aux décisions qui les concernaient, en échelonnant l'ouverture et la clôture des réunions des GT chaque fois que cela était possible, de façon à permettre un meilleur accès et de répondre, si nécessaire, aux besoins exprimés par le Conseiller du BR.</w:t>
      </w:r>
    </w:p>
    <w:bookmarkEnd w:id="92"/>
    <w:p w:rsidR="006042ED" w:rsidRPr="006A7E28" w:rsidRDefault="006042ED" w:rsidP="00926C49">
      <w:pPr>
        <w:pStyle w:val="Heading2"/>
        <w:rPr>
          <w:lang w:val="fr-CH"/>
        </w:rPr>
      </w:pPr>
      <w:r w:rsidRPr="006A7E28">
        <w:rPr>
          <w:lang w:val="fr-CH"/>
        </w:rPr>
        <w:t>8.2</w:t>
      </w:r>
      <w:r w:rsidRPr="006A7E28">
        <w:rPr>
          <w:lang w:val="fr-CH"/>
        </w:rPr>
        <w:tab/>
      </w:r>
      <w:r w:rsidRPr="00410B70">
        <w:rPr>
          <w:lang w:val="fr-CH" w:bidi="ar-EG"/>
        </w:rPr>
        <w:t>Ordre du jour pour consentement</w:t>
      </w:r>
    </w:p>
    <w:p w:rsidR="006042ED" w:rsidRDefault="006042ED" w:rsidP="00926C49">
      <w:pPr>
        <w:rPr>
          <w:lang w:val="fr-CH"/>
        </w:rPr>
      </w:pPr>
      <w:bookmarkStart w:id="93" w:name="lt_pId176"/>
      <w:r>
        <w:rPr>
          <w:lang w:val="fr-CH" w:bidi="ar-EG"/>
        </w:rPr>
        <w:t xml:space="preserve">Il est prévu que la réunion de la Commission d'études se tienne pendant deux jours non consécutifs, avec un intervalle de quatre jours pendant lesquels se réunissent les GT. Le premier jour de la réunion de la Commission d'études, les documents inscrits à l'ordre du jour publié sont examinés un par un. Si aucune objection n'est soulevée concernant un document donné, ce document fait l'objet d'un «accord» (mais n'est pas </w:t>
      </w:r>
      <w:r w:rsidRPr="00313E6B">
        <w:rPr>
          <w:i/>
          <w:iCs/>
          <w:lang w:val="fr-CH" w:bidi="ar-EG"/>
        </w:rPr>
        <w:t>adopté</w:t>
      </w:r>
      <w:r>
        <w:rPr>
          <w:lang w:val="fr-CH" w:bidi="ar-EG"/>
        </w:rPr>
        <w:t xml:space="preserve">), et on détermine la méthode appropriée de soumission pour approbation par les Etats Membres. Tous les documents </w:t>
      </w:r>
      <w:r w:rsidRPr="001F5C57">
        <w:rPr>
          <w:lang w:val="fr-CH" w:bidi="ar-EG"/>
        </w:rPr>
        <w:t>faisant l</w:t>
      </w:r>
      <w:r>
        <w:rPr>
          <w:lang w:val="fr-CH" w:bidi="ar-EG"/>
        </w:rPr>
        <w:t>'</w:t>
      </w:r>
      <w:r w:rsidRPr="001F5C57">
        <w:rPr>
          <w:lang w:val="fr-CH" w:bidi="ar-EG"/>
        </w:rPr>
        <w:t>objet d</w:t>
      </w:r>
      <w:r>
        <w:rPr>
          <w:lang w:val="fr-CH" w:bidi="ar-EG"/>
        </w:rPr>
        <w:t>'</w:t>
      </w:r>
      <w:r w:rsidRPr="001F5C57">
        <w:rPr>
          <w:lang w:val="fr-CH" w:bidi="ar-EG"/>
        </w:rPr>
        <w:t>un accord sont joints à un ordre du jour pour consentement en vue de faire l</w:t>
      </w:r>
      <w:r>
        <w:rPr>
          <w:lang w:val="fr-CH" w:bidi="ar-EG"/>
        </w:rPr>
        <w:t>'</w:t>
      </w:r>
      <w:r w:rsidRPr="001F5C57">
        <w:rPr>
          <w:lang w:val="fr-CH" w:bidi="ar-EG"/>
        </w:rPr>
        <w:t>objet d</w:t>
      </w:r>
      <w:r>
        <w:rPr>
          <w:lang w:val="fr-CH" w:bidi="ar-EG"/>
        </w:rPr>
        <w:t>'</w:t>
      </w:r>
      <w:r w:rsidRPr="001F5C57">
        <w:rPr>
          <w:lang w:val="fr-CH" w:bidi="ar-EG"/>
        </w:rPr>
        <w:t>un examen préalable en bloc à l</w:t>
      </w:r>
      <w:r>
        <w:rPr>
          <w:lang w:val="fr-CH" w:bidi="ar-EG"/>
        </w:rPr>
        <w:t>'</w:t>
      </w:r>
      <w:r w:rsidRPr="001F5C57">
        <w:rPr>
          <w:lang w:val="fr-CH" w:bidi="ar-EG"/>
        </w:rPr>
        <w:t>ouverture de la deuxième journée de réunion de la Commission d</w:t>
      </w:r>
      <w:r>
        <w:rPr>
          <w:lang w:val="fr-CH" w:bidi="ar-EG"/>
        </w:rPr>
        <w:t>'</w:t>
      </w:r>
      <w:r w:rsidRPr="001F5C57">
        <w:rPr>
          <w:lang w:val="fr-CH" w:bidi="ar-EG"/>
        </w:rPr>
        <w:t>études. L</w:t>
      </w:r>
      <w:r>
        <w:rPr>
          <w:lang w:val="fr-CH" w:bidi="ar-EG"/>
        </w:rPr>
        <w:t>'</w:t>
      </w:r>
      <w:r w:rsidRPr="001F5C57">
        <w:rPr>
          <w:lang w:val="fr-CH" w:bidi="ar-EG"/>
        </w:rPr>
        <w:t>ordre du jour pour c</w:t>
      </w:r>
      <w:r>
        <w:rPr>
          <w:lang w:val="fr-CH" w:bidi="ar-EG"/>
        </w:rPr>
        <w:t>onsentement est publié dans les 24 </w:t>
      </w:r>
      <w:r w:rsidRPr="001F5C57">
        <w:rPr>
          <w:lang w:val="fr-CH" w:bidi="ar-EG"/>
        </w:rPr>
        <w:t>heures sur le site web de l</w:t>
      </w:r>
      <w:r>
        <w:rPr>
          <w:lang w:val="fr-CH" w:bidi="ar-EG"/>
        </w:rPr>
        <w:t>'</w:t>
      </w:r>
      <w:r w:rsidRPr="001F5C57">
        <w:rPr>
          <w:lang w:val="fr-CH" w:bidi="ar-EG"/>
        </w:rPr>
        <w:t>UIT, afin de permettre aux membres ou aux délégations dont les dirigeants ne peuvent s</w:t>
      </w:r>
      <w:r>
        <w:rPr>
          <w:lang w:val="fr-CH" w:bidi="ar-EG"/>
        </w:rPr>
        <w:t>'</w:t>
      </w:r>
      <w:r w:rsidRPr="001F5C57">
        <w:rPr>
          <w:lang w:val="fr-CH" w:bidi="ar-EG"/>
        </w:rPr>
        <w:t>absenter pendant six jours ou plus de participer uniquement à la deuxième journée de réunion de la Commission d</w:t>
      </w:r>
      <w:r>
        <w:rPr>
          <w:lang w:val="fr-CH" w:bidi="ar-EG"/>
        </w:rPr>
        <w:t>'</w:t>
      </w:r>
      <w:r w:rsidRPr="001F5C57">
        <w:rPr>
          <w:lang w:val="fr-CH" w:bidi="ar-EG"/>
        </w:rPr>
        <w:t>études</w:t>
      </w:r>
      <w:r>
        <w:rPr>
          <w:lang w:val="fr-CH"/>
        </w:rPr>
        <w:t>.</w:t>
      </w:r>
    </w:p>
    <w:p w:rsidR="006042ED" w:rsidRDefault="006042ED" w:rsidP="00926C49">
      <w:pPr>
        <w:rPr>
          <w:lang w:val="fr-CH" w:bidi="ar-EG"/>
        </w:rPr>
      </w:pPr>
      <w:r w:rsidRPr="00E12C9A">
        <w:rPr>
          <w:lang w:val="fr-CH" w:bidi="ar-EG"/>
        </w:rPr>
        <w:t>En cas d</w:t>
      </w:r>
      <w:r>
        <w:rPr>
          <w:lang w:val="fr-CH" w:bidi="ar-EG"/>
        </w:rPr>
        <w:t>'</w:t>
      </w:r>
      <w:r w:rsidRPr="00E12C9A">
        <w:rPr>
          <w:lang w:val="fr-CH" w:bidi="ar-EG"/>
        </w:rPr>
        <w:t>objection ou de désaccord au cours du premier jour de réunion de la CE, les discussions sont interrompues et le document</w:t>
      </w:r>
      <w:r>
        <w:rPr>
          <w:lang w:val="fr-CH" w:bidi="ar-EG"/>
        </w:rPr>
        <w:t xml:space="preserve"> est </w:t>
      </w:r>
      <w:r w:rsidRPr="00E12C9A">
        <w:rPr>
          <w:lang w:val="fr-CH" w:bidi="ar-EG"/>
        </w:rPr>
        <w:t>renvoyé au GT compétent pour qu</w:t>
      </w:r>
      <w:r>
        <w:rPr>
          <w:lang w:val="fr-CH" w:bidi="ar-EG"/>
        </w:rPr>
        <w:t>'</w:t>
      </w:r>
      <w:r w:rsidRPr="00E12C9A">
        <w:rPr>
          <w:lang w:val="fr-CH" w:bidi="ar-EG"/>
        </w:rPr>
        <w:t>il l</w:t>
      </w:r>
      <w:r>
        <w:rPr>
          <w:lang w:val="fr-CH" w:bidi="ar-EG"/>
        </w:rPr>
        <w:t>'</w:t>
      </w:r>
      <w:r w:rsidRPr="00E12C9A">
        <w:rPr>
          <w:lang w:val="fr-CH" w:bidi="ar-EG"/>
        </w:rPr>
        <w:t>examine de façon approfondie et le modifie</w:t>
      </w:r>
      <w:r>
        <w:rPr>
          <w:lang w:val="fr-CH" w:bidi="ar-EG"/>
        </w:rPr>
        <w:t xml:space="preserve"> ou est conservé par la CE, en cas de légères difficultés, pour faire l'objet d'un examen informel en vue de venir à bout des difficultés avant la deuxième journée de réunion de la CE. </w:t>
      </w:r>
      <w:r w:rsidRPr="00AA20A8">
        <w:rPr>
          <w:lang w:val="fr-CH" w:bidi="ar-EG"/>
        </w:rPr>
        <w:t>Le GT peut profiter de la présence de la personne ayant formulé des objections pour résoudre les problèmes</w:t>
      </w:r>
      <w:r w:rsidRPr="00441846">
        <w:rPr>
          <w:lang w:val="fr-CH" w:bidi="ar-EG"/>
        </w:rPr>
        <w:t xml:space="preserve"> </w:t>
      </w:r>
      <w:r w:rsidRPr="00AA20A8">
        <w:rPr>
          <w:lang w:val="fr-CH" w:bidi="ar-EG"/>
        </w:rPr>
        <w:t>éventuels.</w:t>
      </w:r>
    </w:p>
    <w:p w:rsidR="006042ED" w:rsidRPr="006A7E28" w:rsidRDefault="006042ED" w:rsidP="00926C49">
      <w:pPr>
        <w:rPr>
          <w:lang w:val="fr-CH"/>
        </w:rPr>
      </w:pPr>
      <w:r w:rsidRPr="004D0119">
        <w:rPr>
          <w:lang w:val="fr-CH" w:bidi="ar-EG"/>
        </w:rPr>
        <w:t>L</w:t>
      </w:r>
      <w:r>
        <w:rPr>
          <w:lang w:val="fr-CH" w:bidi="ar-EG"/>
        </w:rPr>
        <w:t>'</w:t>
      </w:r>
      <w:r w:rsidRPr="004D0119">
        <w:rPr>
          <w:lang w:val="fr-CH" w:bidi="ar-EG"/>
        </w:rPr>
        <w:t>ordre du jour pour consentement est l</w:t>
      </w:r>
      <w:r>
        <w:rPr>
          <w:lang w:val="fr-CH" w:bidi="ar-EG"/>
        </w:rPr>
        <w:t>'</w:t>
      </w:r>
      <w:r w:rsidRPr="004D0119">
        <w:rPr>
          <w:lang w:val="fr-CH" w:bidi="ar-EG"/>
        </w:rPr>
        <w:t>un des premiers poin</w:t>
      </w:r>
      <w:r>
        <w:rPr>
          <w:lang w:val="fr-CH" w:bidi="ar-EG"/>
        </w:rPr>
        <w:t>ts inscrits à l'ordre du jour de la</w:t>
      </w:r>
      <w:r w:rsidRPr="004D0119">
        <w:rPr>
          <w:lang w:val="fr-CH" w:bidi="ar-EG"/>
        </w:rPr>
        <w:t xml:space="preserve"> deuxième jour</w:t>
      </w:r>
      <w:r>
        <w:rPr>
          <w:lang w:val="fr-CH" w:bidi="ar-EG"/>
        </w:rPr>
        <w:t>née</w:t>
      </w:r>
      <w:r w:rsidRPr="004D0119">
        <w:rPr>
          <w:lang w:val="fr-CH" w:bidi="ar-EG"/>
        </w:rPr>
        <w:t xml:space="preserve"> de réunion de la Commission d</w:t>
      </w:r>
      <w:r>
        <w:rPr>
          <w:lang w:val="fr-CH" w:bidi="ar-EG"/>
        </w:rPr>
        <w:t>'</w:t>
      </w:r>
      <w:r w:rsidRPr="004D0119">
        <w:rPr>
          <w:lang w:val="fr-CH" w:bidi="ar-EG"/>
        </w:rPr>
        <w:t>études. Il est donné lecture de la liste des documents (ordre du jour pour consentement), qui constitue un point</w:t>
      </w:r>
      <w:r>
        <w:rPr>
          <w:lang w:val="fr-CH" w:bidi="ar-EG"/>
        </w:rPr>
        <w:t>,</w:t>
      </w:r>
      <w:r w:rsidRPr="004D0119">
        <w:rPr>
          <w:lang w:val="fr-CH" w:bidi="ar-EG"/>
        </w:rPr>
        <w:t xml:space="preserve"> et tous les documents de la liste</w:t>
      </w:r>
      <w:r>
        <w:rPr>
          <w:lang w:val="fr-CH" w:bidi="ar-EG"/>
        </w:rPr>
        <w:t>, s'ils</w:t>
      </w:r>
      <w:r w:rsidRPr="004D0119">
        <w:rPr>
          <w:lang w:val="fr-CH" w:bidi="ar-EG"/>
        </w:rPr>
        <w:t xml:space="preserve"> font de nouveau l</w:t>
      </w:r>
      <w:r>
        <w:rPr>
          <w:lang w:val="fr-CH" w:bidi="ar-EG"/>
        </w:rPr>
        <w:t>'</w:t>
      </w:r>
      <w:r w:rsidRPr="004D0119">
        <w:rPr>
          <w:lang w:val="fr-CH" w:bidi="ar-EG"/>
        </w:rPr>
        <w:t>objet d</w:t>
      </w:r>
      <w:r>
        <w:rPr>
          <w:lang w:val="fr-CH" w:bidi="ar-EG"/>
        </w:rPr>
        <w:t>'</w:t>
      </w:r>
      <w:r w:rsidRPr="004D0119">
        <w:rPr>
          <w:lang w:val="fr-CH" w:bidi="ar-EG"/>
        </w:rPr>
        <w:t xml:space="preserve">un accord, sont considérés comme </w:t>
      </w:r>
      <w:r>
        <w:rPr>
          <w:lang w:val="fr-CH" w:bidi="ar-EG"/>
        </w:rPr>
        <w:t>a</w:t>
      </w:r>
      <w:r w:rsidRPr="004D0119">
        <w:rPr>
          <w:lang w:val="fr-CH" w:bidi="ar-EG"/>
        </w:rPr>
        <w:t>doptés. Si une objection est formulée concernant un point de l</w:t>
      </w:r>
      <w:r>
        <w:rPr>
          <w:lang w:val="fr-CH" w:bidi="ar-EG"/>
        </w:rPr>
        <w:t>'</w:t>
      </w:r>
      <w:r w:rsidRPr="004D0119">
        <w:rPr>
          <w:lang w:val="fr-CH" w:bidi="ar-EG"/>
        </w:rPr>
        <w:t xml:space="preserve">ordre du jour pour consentement, </w:t>
      </w:r>
      <w:r>
        <w:rPr>
          <w:lang w:val="fr-CH" w:bidi="ar-EG"/>
        </w:rPr>
        <w:t>c</w:t>
      </w:r>
      <w:r w:rsidRPr="004D0119">
        <w:rPr>
          <w:lang w:val="fr-CH" w:bidi="ar-EG"/>
        </w:rPr>
        <w:t>e point est simplement retiré de l</w:t>
      </w:r>
      <w:r>
        <w:rPr>
          <w:lang w:val="fr-CH" w:bidi="ar-EG"/>
        </w:rPr>
        <w:t>'</w:t>
      </w:r>
      <w:r w:rsidRPr="004D0119">
        <w:rPr>
          <w:lang w:val="fr-CH" w:bidi="ar-EG"/>
        </w:rPr>
        <w:t>ordre du jour pour consentement en vue d</w:t>
      </w:r>
      <w:r>
        <w:rPr>
          <w:lang w:val="fr-CH" w:bidi="ar-EG"/>
        </w:rPr>
        <w:t>'</w:t>
      </w:r>
      <w:r w:rsidRPr="004D0119">
        <w:rPr>
          <w:lang w:val="fr-CH" w:bidi="ar-EG"/>
        </w:rPr>
        <w:t>être examiné plus avant au cours de la même journée</w:t>
      </w:r>
      <w:r>
        <w:rPr>
          <w:lang w:val="fr-CH"/>
        </w:rPr>
        <w:t>.</w:t>
      </w:r>
    </w:p>
    <w:p w:rsidR="00926C49" w:rsidRDefault="00926C49" w:rsidP="00926C49">
      <w:pPr>
        <w:rPr>
          <w:lang w:val="fr-CH" w:bidi="ar-EG"/>
        </w:rPr>
      </w:pPr>
      <w:bookmarkStart w:id="94" w:name="lt_pId187"/>
      <w:bookmarkEnd w:id="93"/>
      <w:r>
        <w:rPr>
          <w:lang w:val="fr-CH" w:bidi="ar-EG"/>
        </w:rPr>
        <w:br w:type="page"/>
      </w:r>
    </w:p>
    <w:p w:rsidR="006042ED" w:rsidRDefault="006042ED" w:rsidP="00926C49">
      <w:pPr>
        <w:rPr>
          <w:lang w:val="fr-CH" w:bidi="ar-EG"/>
        </w:rPr>
      </w:pPr>
      <w:r w:rsidRPr="004D0119">
        <w:rPr>
          <w:lang w:val="fr-CH" w:bidi="ar-EG"/>
        </w:rPr>
        <w:lastRenderedPageBreak/>
        <w:t>Le reste de la deuxième journée de réunion de la Commission d</w:t>
      </w:r>
      <w:r>
        <w:rPr>
          <w:lang w:val="fr-CH" w:bidi="ar-EG"/>
        </w:rPr>
        <w:t>'</w:t>
      </w:r>
      <w:r w:rsidRPr="004D0119">
        <w:rPr>
          <w:lang w:val="fr-CH" w:bidi="ar-EG"/>
        </w:rPr>
        <w:t>études est consacré à l</w:t>
      </w:r>
      <w:r>
        <w:rPr>
          <w:lang w:val="fr-CH" w:bidi="ar-EG"/>
        </w:rPr>
        <w:t>'</w:t>
      </w:r>
      <w:r w:rsidRPr="004D0119">
        <w:rPr>
          <w:lang w:val="fr-CH" w:bidi="ar-EG"/>
        </w:rPr>
        <w:t xml:space="preserve">examen des documents </w:t>
      </w:r>
      <w:r>
        <w:rPr>
          <w:lang w:val="fr-CH" w:bidi="ar-EG"/>
        </w:rPr>
        <w:t xml:space="preserve">n'ayant </w:t>
      </w:r>
      <w:r w:rsidRPr="004D0119">
        <w:rPr>
          <w:lang w:val="fr-CH" w:bidi="ar-EG"/>
        </w:rPr>
        <w:t>fait l</w:t>
      </w:r>
      <w:r>
        <w:rPr>
          <w:lang w:val="fr-CH" w:bidi="ar-EG"/>
        </w:rPr>
        <w:t>'</w:t>
      </w:r>
      <w:r w:rsidRPr="004D0119">
        <w:rPr>
          <w:lang w:val="fr-CH" w:bidi="ar-EG"/>
        </w:rPr>
        <w:t>objet d</w:t>
      </w:r>
      <w:r>
        <w:rPr>
          <w:lang w:val="fr-CH" w:bidi="ar-EG"/>
        </w:rPr>
        <w:t>'auc</w:t>
      </w:r>
      <w:r w:rsidRPr="004D0119">
        <w:rPr>
          <w:lang w:val="fr-CH" w:bidi="ar-EG"/>
        </w:rPr>
        <w:t>un accord le premier jour (si les problèmes ont été résolus à l</w:t>
      </w:r>
      <w:r>
        <w:rPr>
          <w:lang w:val="fr-CH" w:bidi="ar-EG"/>
        </w:rPr>
        <w:t>'</w:t>
      </w:r>
      <w:r w:rsidRPr="004D0119">
        <w:rPr>
          <w:lang w:val="fr-CH" w:bidi="ar-EG"/>
        </w:rPr>
        <w:t xml:space="preserve">amiable) et des nouveaux </w:t>
      </w:r>
      <w:r>
        <w:rPr>
          <w:lang w:val="fr-CH" w:bidi="ar-EG"/>
        </w:rPr>
        <w:t>points</w:t>
      </w:r>
      <w:r w:rsidRPr="004D0119">
        <w:rPr>
          <w:lang w:val="fr-CH" w:bidi="ar-EG"/>
        </w:rPr>
        <w:t xml:space="preserve"> émanant de la réunion des GT qui sont</w:t>
      </w:r>
      <w:r>
        <w:rPr>
          <w:lang w:val="fr-CH" w:bidi="ar-EG"/>
        </w:rPr>
        <w:t>:</w:t>
      </w:r>
      <w:r w:rsidRPr="004D0119">
        <w:rPr>
          <w:lang w:val="fr-CH" w:bidi="ar-EG"/>
        </w:rPr>
        <w:t xml:space="preserve"> a) </w:t>
      </w:r>
      <w:r>
        <w:rPr>
          <w:lang w:val="fr-CH" w:bidi="ar-EG"/>
        </w:rPr>
        <w:t xml:space="preserve">soit </w:t>
      </w:r>
      <w:r w:rsidRPr="004D0119">
        <w:rPr>
          <w:lang w:val="fr-CH" w:bidi="ar-EG"/>
        </w:rPr>
        <w:t xml:space="preserve">arrivés à un </w:t>
      </w:r>
      <w:r>
        <w:rPr>
          <w:lang w:val="fr-CH" w:bidi="ar-EG"/>
        </w:rPr>
        <w:t xml:space="preserve">stade d'élaboration </w:t>
      </w:r>
      <w:r w:rsidRPr="004D0119">
        <w:rPr>
          <w:lang w:val="fr-CH" w:bidi="ar-EG"/>
        </w:rPr>
        <w:t>suffisa</w:t>
      </w:r>
      <w:r>
        <w:rPr>
          <w:lang w:val="fr-CH" w:bidi="ar-EG"/>
        </w:rPr>
        <w:t>mmen</w:t>
      </w:r>
      <w:r w:rsidRPr="004D0119">
        <w:rPr>
          <w:lang w:val="fr-CH" w:bidi="ar-EG"/>
        </w:rPr>
        <w:t xml:space="preserve">t </w:t>
      </w:r>
      <w:r>
        <w:rPr>
          <w:lang w:val="fr-CH" w:bidi="ar-EG"/>
        </w:rPr>
        <w:t xml:space="preserve">avancé </w:t>
      </w:r>
      <w:r w:rsidRPr="004D0119">
        <w:rPr>
          <w:lang w:val="fr-CH" w:bidi="ar-EG"/>
        </w:rPr>
        <w:t xml:space="preserve">comme </w:t>
      </w:r>
      <w:r>
        <w:rPr>
          <w:lang w:val="fr-CH" w:bidi="ar-EG"/>
        </w:rPr>
        <w:t>indiqué</w:t>
      </w:r>
      <w:r w:rsidRPr="004D0119">
        <w:rPr>
          <w:lang w:val="fr-CH" w:bidi="ar-EG"/>
        </w:rPr>
        <w:t xml:space="preserve"> ci-dessus</w:t>
      </w:r>
      <w:r>
        <w:rPr>
          <w:lang w:val="fr-CH" w:bidi="ar-EG"/>
        </w:rPr>
        <w:t>;</w:t>
      </w:r>
      <w:r w:rsidRPr="004D0119">
        <w:rPr>
          <w:lang w:val="fr-CH" w:bidi="ar-EG"/>
        </w:rPr>
        <w:t xml:space="preserve"> ou b) </w:t>
      </w:r>
      <w:r>
        <w:rPr>
          <w:lang w:val="fr-CH" w:bidi="ar-EG"/>
        </w:rPr>
        <w:t xml:space="preserve">soit </w:t>
      </w:r>
      <w:r w:rsidRPr="004D0119">
        <w:rPr>
          <w:lang w:val="fr-CH" w:bidi="ar-EG"/>
        </w:rPr>
        <w:t>demandés d</w:t>
      </w:r>
      <w:r>
        <w:rPr>
          <w:lang w:val="fr-CH" w:bidi="ar-EG"/>
        </w:rPr>
        <w:t>'</w:t>
      </w:r>
      <w:r w:rsidRPr="004D0119">
        <w:rPr>
          <w:lang w:val="fr-CH" w:bidi="ar-EG"/>
        </w:rPr>
        <w:t xml:space="preserve">urgence (par exemple pour une CMR). Ces nouveaux </w:t>
      </w:r>
      <w:r>
        <w:rPr>
          <w:lang w:val="fr-CH" w:bidi="ar-EG"/>
        </w:rPr>
        <w:t>points</w:t>
      </w:r>
      <w:r w:rsidRPr="004D0119">
        <w:rPr>
          <w:lang w:val="fr-CH" w:bidi="ar-EG"/>
        </w:rPr>
        <w:t xml:space="preserve"> ne seront pas adoptés</w:t>
      </w:r>
      <w:r>
        <w:rPr>
          <w:lang w:val="fr-CH" w:bidi="ar-EG"/>
        </w:rPr>
        <w:t>,</w:t>
      </w:r>
      <w:r w:rsidRPr="004D0119">
        <w:rPr>
          <w:lang w:val="fr-CH" w:bidi="ar-EG"/>
        </w:rPr>
        <w:t xml:space="preserve"> mais </w:t>
      </w:r>
      <w:r>
        <w:rPr>
          <w:lang w:val="fr-CH" w:bidi="ar-EG"/>
        </w:rPr>
        <w:t>seront transmis</w:t>
      </w:r>
      <w:r w:rsidRPr="004D0119">
        <w:rPr>
          <w:lang w:val="fr-CH" w:bidi="ar-EG"/>
        </w:rPr>
        <w:t xml:space="preserve"> pour adoption et approbation simultanées</w:t>
      </w:r>
      <w:r>
        <w:rPr>
          <w:lang w:val="fr-CH" w:bidi="ar-EG"/>
        </w:rPr>
        <w:t xml:space="preserve"> (PAAS)</w:t>
      </w:r>
      <w:r w:rsidRPr="004D0119">
        <w:rPr>
          <w:lang w:val="fr-CH" w:bidi="ar-EG"/>
        </w:rPr>
        <w:t>.</w:t>
      </w:r>
    </w:p>
    <w:p w:rsidR="006042ED" w:rsidRPr="00073A19" w:rsidRDefault="006042ED" w:rsidP="00926C49">
      <w:pPr>
        <w:rPr>
          <w:lang w:val="fr-CH"/>
        </w:rPr>
      </w:pPr>
      <w:r>
        <w:rPr>
          <w:lang w:val="fr-CH" w:bidi="ar-EG"/>
        </w:rPr>
        <w:t>Si les Recommandations qu'il est prévu d'examiner pendant la de</w:t>
      </w:r>
      <w:r w:rsidR="00771B9E">
        <w:rPr>
          <w:lang w:val="fr-CH" w:bidi="ar-EG"/>
        </w:rPr>
        <w:t>uxième journée de réunion de la </w:t>
      </w:r>
      <w:r>
        <w:rPr>
          <w:lang w:val="fr-CH" w:bidi="ar-EG"/>
        </w:rPr>
        <w:t>CE sont acceptées par la CE, elles sont transmises pour adoption par correspondance puis pour approbation par correspondance</w:t>
      </w:r>
      <w:r>
        <w:rPr>
          <w:color w:val="000000"/>
          <w:lang w:val="fr-CH"/>
        </w:rPr>
        <w:t>.</w:t>
      </w:r>
    </w:p>
    <w:p w:rsidR="006042ED" w:rsidRPr="006A2BCA" w:rsidRDefault="006042ED" w:rsidP="00926C49">
      <w:pPr>
        <w:rPr>
          <w:lang w:val="fr-CH"/>
        </w:rPr>
      </w:pPr>
      <w:bookmarkStart w:id="95" w:name="lt_pId190"/>
      <w:bookmarkEnd w:id="94"/>
      <w:r>
        <w:rPr>
          <w:lang w:val="fr-CH" w:bidi="ar-EG"/>
        </w:rPr>
        <w:t>Cette méthode, qui a été appliquée tout au long de la période considérée, a permis d'améliorer l'efficacité des travaux de la Commission d'études</w:t>
      </w:r>
      <w:r>
        <w:rPr>
          <w:lang w:val="fr-CH"/>
        </w:rPr>
        <w:t>.</w:t>
      </w:r>
    </w:p>
    <w:bookmarkEnd w:id="95"/>
    <w:p w:rsidR="006042ED" w:rsidRDefault="006042ED" w:rsidP="00926C49">
      <w:pPr>
        <w:pStyle w:val="Heading1"/>
        <w:rPr>
          <w:lang w:val="fr-CH"/>
        </w:rPr>
      </w:pPr>
      <w:r w:rsidRPr="00083EF1">
        <w:rPr>
          <w:lang w:val="fr-CH"/>
        </w:rPr>
        <w:t>9</w:t>
      </w:r>
      <w:r w:rsidRPr="00083EF1">
        <w:rPr>
          <w:lang w:val="fr-CH"/>
        </w:rPr>
        <w:tab/>
      </w:r>
      <w:bookmarkStart w:id="96" w:name="lt_pId192"/>
      <w:r w:rsidRPr="001F4B71">
        <w:rPr>
          <w:lang w:val="fr-CH"/>
        </w:rPr>
        <w:t>Proposition d</w:t>
      </w:r>
      <w:r>
        <w:rPr>
          <w:lang w:val="fr-CH"/>
        </w:rPr>
        <w:t>e modification pour l'</w:t>
      </w:r>
      <w:r w:rsidR="00771B9E">
        <w:rPr>
          <w:lang w:val="fr-CH"/>
        </w:rPr>
        <w:t>A</w:t>
      </w:r>
      <w:r>
        <w:rPr>
          <w:lang w:val="fr-CH"/>
        </w:rPr>
        <w:t>ppendice </w:t>
      </w:r>
      <w:r w:rsidRPr="001F4B71">
        <w:rPr>
          <w:lang w:val="fr-CH"/>
        </w:rPr>
        <w:t>7</w:t>
      </w:r>
      <w:bookmarkEnd w:id="96"/>
    </w:p>
    <w:p w:rsidR="006042ED" w:rsidRDefault="006042ED" w:rsidP="00926C49">
      <w:pPr>
        <w:rPr>
          <w:color w:val="000000"/>
          <w:lang w:val="fr-CH"/>
        </w:rPr>
      </w:pPr>
      <w:r w:rsidRPr="00926C49">
        <w:rPr>
          <w:lang w:val="fr-CH"/>
        </w:rPr>
        <w:t>Au cours de la présente période d'études, le Groupe de travail 7B a élaboré un rapport sur la protection des stations terriennes du service de recherche spatiale vis-à-vis des stations d'aéronef dans la bande 2 200-2 290 MHz (</w:t>
      </w:r>
      <w:r w:rsidRPr="00404EC4">
        <w:rPr>
          <w:lang w:val="fr-CH"/>
        </w:rPr>
        <w:t>Rapport UIT-R </w:t>
      </w:r>
      <w:hyperlink r:id="rId10" w:history="1">
        <w:r w:rsidR="00926C49" w:rsidRPr="00404EC4">
          <w:rPr>
            <w:rStyle w:val="Hyperlink"/>
            <w:color w:val="auto"/>
          </w:rPr>
          <w:t>SA.2276</w:t>
        </w:r>
      </w:hyperlink>
      <w:r w:rsidRPr="00404EC4">
        <w:rPr>
          <w:rStyle w:val="Hyperlink"/>
          <w:color w:val="auto"/>
          <w:lang w:val="fr-CH"/>
        </w:rPr>
        <w:t xml:space="preserve">), qui </w:t>
      </w:r>
      <w:r w:rsidRPr="00926C49">
        <w:rPr>
          <w:rStyle w:val="Hyperlink"/>
          <w:color w:val="auto"/>
          <w:lang w:val="fr-CH"/>
        </w:rPr>
        <w:t xml:space="preserve">a ensuite été adopté par la Commission d'études 7. Ce rapport indique les distances de séparation à respecter entre les stations d'aéronef et plusieurs </w:t>
      </w:r>
      <w:r w:rsidRPr="00926C49">
        <w:rPr>
          <w:lang w:val="fr-CH"/>
        </w:rPr>
        <w:t xml:space="preserve">stations terriennes du service de recherche spatiale, en fonction de l'altitude des aéronefs, afin de protéger les </w:t>
      </w:r>
      <w:r w:rsidRPr="00926C49">
        <w:rPr>
          <w:szCs w:val="24"/>
          <w:lang w:val="fr-CH" w:eastAsia="zh-CN"/>
        </w:rPr>
        <w:t>stations terriennes du service de recherche spatiale</w:t>
      </w:r>
      <w:r w:rsidRPr="00926C49">
        <w:rPr>
          <w:lang w:val="fr-CH"/>
        </w:rPr>
        <w:t>. Il ressort que la distance de coordination prédéterminée actuelle de 500 km indiquée dans le Tableau 10 de l'Annexe 7 de l'Appendice </w:t>
      </w:r>
      <w:r w:rsidRPr="00404EC4">
        <w:rPr>
          <w:b/>
          <w:bCs/>
          <w:lang w:val="fr-CH"/>
        </w:rPr>
        <w:t>7</w:t>
      </w:r>
      <w:r w:rsidRPr="00926C49">
        <w:rPr>
          <w:lang w:val="fr-CH"/>
        </w:rPr>
        <w:t xml:space="preserve"> du Règlement des Radiocommunications (RR) est insuffisante pour la protection des stations terriennes du service de recherche spatiale, et qu'une distance de 880 km serait nécessaire à cette protection. En s'appuyant sur ce Rapport, la CE 7 a approuvé la </w:t>
      </w:r>
      <w:r>
        <w:rPr>
          <w:color w:val="000000"/>
          <w:lang w:val="fr-CH"/>
        </w:rPr>
        <w:t>Recommandation UIT-R SA.2078-0, qui recommande d'établir à 880 km la distance de coordination entre les</w:t>
      </w:r>
      <w:r w:rsidRPr="007B6A94">
        <w:rPr>
          <w:color w:val="000000"/>
          <w:lang w:val="fr-CH"/>
        </w:rPr>
        <w:t xml:space="preserve"> </w:t>
      </w:r>
      <w:r w:rsidRPr="003B16EB">
        <w:rPr>
          <w:color w:val="000000"/>
          <w:lang w:val="fr-CH"/>
        </w:rPr>
        <w:t>stations terriennes du service de recherche spatiale</w:t>
      </w:r>
      <w:r>
        <w:rPr>
          <w:color w:val="000000"/>
          <w:lang w:val="fr-CH"/>
        </w:rPr>
        <w:t xml:space="preserve"> et les stations d'aéronefs.</w:t>
      </w:r>
    </w:p>
    <w:p w:rsidR="006042ED" w:rsidRDefault="006042ED" w:rsidP="00926C49">
      <w:pPr>
        <w:rPr>
          <w:color w:val="000000"/>
          <w:lang w:val="fr-CH"/>
        </w:rPr>
      </w:pPr>
      <w:bookmarkStart w:id="97" w:name="lt_pId197"/>
      <w:r w:rsidRPr="00BC498D">
        <w:rPr>
          <w:lang w:val="fr-CH"/>
        </w:rPr>
        <w:t xml:space="preserve">La dernière ligne </w:t>
      </w:r>
      <w:r>
        <w:rPr>
          <w:lang w:val="fr-CH"/>
        </w:rPr>
        <w:t>d</w:t>
      </w:r>
      <w:r w:rsidRPr="00BC498D">
        <w:rPr>
          <w:lang w:val="fr-CH"/>
        </w:rPr>
        <w:t xml:space="preserve">u </w:t>
      </w:r>
      <w:r>
        <w:rPr>
          <w:color w:val="000000"/>
          <w:lang w:val="fr-CH"/>
        </w:rPr>
        <w:t>Tableau 10 de l'Annexe 7 de l'Appendice </w:t>
      </w:r>
      <w:r w:rsidRPr="00404EC4">
        <w:rPr>
          <w:b/>
          <w:bCs/>
          <w:color w:val="000000"/>
          <w:lang w:val="fr-CH"/>
        </w:rPr>
        <w:t>7</w:t>
      </w:r>
      <w:r>
        <w:rPr>
          <w:color w:val="000000"/>
          <w:lang w:val="fr-CH"/>
        </w:rPr>
        <w:t xml:space="preserve"> </w:t>
      </w:r>
      <w:r w:rsidRPr="00BC498D">
        <w:rPr>
          <w:lang w:val="fr-CH"/>
        </w:rPr>
        <w:t xml:space="preserve">du RR </w:t>
      </w:r>
      <w:r w:rsidR="00771B9E">
        <w:rPr>
          <w:lang w:val="fr-CH"/>
        </w:rPr>
        <w:t>en vigueur</w:t>
      </w:r>
      <w:r>
        <w:rPr>
          <w:lang w:val="fr-CH"/>
        </w:rPr>
        <w:t xml:space="preserve"> indique une distance de coordination prédéterminée de 500 km entre les stations mobiles (aéronef) et les stations au sol </w:t>
      </w:r>
      <w:r w:rsidRPr="00551ACD">
        <w:rPr>
          <w:color w:val="000000"/>
          <w:lang w:val="fr-CH"/>
        </w:rPr>
        <w:t>dans les bandes pour lesquelles la situation de partage des fréquences n</w:t>
      </w:r>
      <w:r>
        <w:rPr>
          <w:color w:val="000000"/>
          <w:lang w:val="fr-CH"/>
        </w:rPr>
        <w:t>'</w:t>
      </w:r>
      <w:r w:rsidRPr="00551ACD">
        <w:rPr>
          <w:color w:val="000000"/>
          <w:lang w:val="fr-CH"/>
        </w:rPr>
        <w:t xml:space="preserve">est pas couverte dans les </w:t>
      </w:r>
      <w:r>
        <w:rPr>
          <w:color w:val="000000"/>
          <w:lang w:val="fr-CH"/>
        </w:rPr>
        <w:t xml:space="preserve">autres </w:t>
      </w:r>
      <w:r w:rsidRPr="00551ACD">
        <w:rPr>
          <w:color w:val="000000"/>
          <w:lang w:val="fr-CH"/>
        </w:rPr>
        <w:t>lignes</w:t>
      </w:r>
      <w:r>
        <w:rPr>
          <w:color w:val="000000"/>
          <w:lang w:val="fr-CH"/>
        </w:rPr>
        <w:t xml:space="preserve"> du tableau. Du fait que le Tableau 10</w:t>
      </w:r>
      <w:r w:rsidR="00771B9E">
        <w:rPr>
          <w:color w:val="000000"/>
          <w:lang w:val="fr-CH"/>
        </w:rPr>
        <w:t>, dans sa version</w:t>
      </w:r>
      <w:r>
        <w:rPr>
          <w:color w:val="000000"/>
          <w:lang w:val="fr-CH"/>
        </w:rPr>
        <w:t xml:space="preserve"> actuel</w:t>
      </w:r>
      <w:r w:rsidR="00771B9E">
        <w:rPr>
          <w:color w:val="000000"/>
          <w:lang w:val="fr-CH"/>
        </w:rPr>
        <w:t>le,</w:t>
      </w:r>
      <w:r>
        <w:rPr>
          <w:color w:val="000000"/>
          <w:lang w:val="fr-CH"/>
        </w:rPr>
        <w:t xml:space="preserve"> ne comporte pas de ligne précisant la distance de coordination nécessaire entre </w:t>
      </w:r>
      <w:r w:rsidR="00771B9E">
        <w:rPr>
          <w:color w:val="000000"/>
          <w:lang w:val="fr-CH"/>
        </w:rPr>
        <w:t xml:space="preserve">les </w:t>
      </w:r>
      <w:r w:rsidRPr="0037798A">
        <w:rPr>
          <w:color w:val="000000"/>
          <w:szCs w:val="24"/>
          <w:lang w:val="fr-CH" w:eastAsia="zh-CN"/>
        </w:rPr>
        <w:t xml:space="preserve">stations terriennes du service de recherche spatiale </w:t>
      </w:r>
      <w:r>
        <w:rPr>
          <w:color w:val="000000"/>
          <w:szCs w:val="24"/>
          <w:lang w:val="fr-CH" w:eastAsia="zh-CN"/>
        </w:rPr>
        <w:t xml:space="preserve">et </w:t>
      </w:r>
      <w:r w:rsidR="00771B9E">
        <w:rPr>
          <w:color w:val="000000"/>
          <w:szCs w:val="24"/>
          <w:lang w:val="fr-CH" w:eastAsia="zh-CN"/>
        </w:rPr>
        <w:t xml:space="preserve">les </w:t>
      </w:r>
      <w:r>
        <w:rPr>
          <w:color w:val="000000"/>
          <w:szCs w:val="24"/>
          <w:lang w:val="fr-CH" w:eastAsia="zh-CN"/>
        </w:rPr>
        <w:t xml:space="preserve">stations mobiles (aéronef) </w:t>
      </w:r>
      <w:r>
        <w:rPr>
          <w:color w:val="000000"/>
          <w:lang w:val="fr-CH"/>
        </w:rPr>
        <w:t>dans la bande 2 200-2 290 </w:t>
      </w:r>
      <w:r w:rsidRPr="003B16EB">
        <w:rPr>
          <w:color w:val="000000"/>
          <w:lang w:val="fr-CH"/>
        </w:rPr>
        <w:t>MHz</w:t>
      </w:r>
      <w:r>
        <w:rPr>
          <w:color w:val="000000"/>
          <w:lang w:val="fr-CH"/>
        </w:rPr>
        <w:t>, les administrations choisiront probablement une distance de coordination de 500 km entre ces stations.</w:t>
      </w:r>
    </w:p>
    <w:p w:rsidR="006042ED" w:rsidRPr="0037798A" w:rsidRDefault="006042ED" w:rsidP="00926C49">
      <w:pPr>
        <w:rPr>
          <w:color w:val="000000"/>
          <w:szCs w:val="24"/>
          <w:lang w:val="fr-CH" w:eastAsia="zh-CN"/>
        </w:rPr>
      </w:pPr>
      <w:r>
        <w:rPr>
          <w:color w:val="000000"/>
          <w:szCs w:val="24"/>
          <w:lang w:val="fr-CH" w:eastAsia="zh-CN"/>
        </w:rPr>
        <w:t xml:space="preserve">C'est pourquoi le </w:t>
      </w:r>
      <w:hyperlink r:id="rId11" w:history="1">
        <w:r w:rsidRPr="00926C49">
          <w:rPr>
            <w:rStyle w:val="Hyperlink"/>
            <w:szCs w:val="24"/>
            <w:u w:val="single"/>
            <w:lang w:val="fr-CH" w:eastAsia="zh-CN"/>
          </w:rPr>
          <w:t>Document 7/1005</w:t>
        </w:r>
      </w:hyperlink>
      <w:r>
        <w:rPr>
          <w:color w:val="000000"/>
          <w:szCs w:val="24"/>
          <w:lang w:val="fr-CH" w:eastAsia="zh-CN"/>
        </w:rPr>
        <w:t xml:space="preserve"> propose l'ajout d'une nouvelle ligne au Tableau 10 de l'Annexe 7 de l'Appendice </w:t>
      </w:r>
      <w:r w:rsidRPr="00404EC4">
        <w:rPr>
          <w:b/>
          <w:bCs/>
          <w:color w:val="000000"/>
          <w:szCs w:val="24"/>
          <w:lang w:val="fr-CH" w:eastAsia="zh-CN"/>
        </w:rPr>
        <w:t>7</w:t>
      </w:r>
      <w:r>
        <w:rPr>
          <w:color w:val="000000"/>
          <w:szCs w:val="24"/>
          <w:lang w:val="fr-CH" w:eastAsia="zh-CN"/>
        </w:rPr>
        <w:t xml:space="preserve"> du RR précisant la distance de coordination nécessaire entre les </w:t>
      </w:r>
      <w:r w:rsidRPr="0037798A">
        <w:rPr>
          <w:color w:val="000000"/>
          <w:szCs w:val="24"/>
          <w:lang w:val="fr-CH" w:eastAsia="zh-CN"/>
        </w:rPr>
        <w:t xml:space="preserve">stations terriennes du service de recherche spatiale </w:t>
      </w:r>
      <w:r>
        <w:rPr>
          <w:color w:val="000000"/>
          <w:szCs w:val="24"/>
          <w:lang w:val="fr-CH" w:eastAsia="zh-CN"/>
        </w:rPr>
        <w:t xml:space="preserve">et les stations mobiles (aéronef) </w:t>
      </w:r>
      <w:r w:rsidR="00771B9E">
        <w:rPr>
          <w:color w:val="000000"/>
          <w:lang w:val="fr-CH"/>
        </w:rPr>
        <w:t>dans la bande </w:t>
      </w:r>
      <w:r>
        <w:rPr>
          <w:color w:val="000000"/>
          <w:lang w:val="fr-CH"/>
        </w:rPr>
        <w:t>2 </w:t>
      </w:r>
      <w:r w:rsidRPr="003B16EB">
        <w:rPr>
          <w:color w:val="000000"/>
          <w:lang w:val="fr-CH"/>
        </w:rPr>
        <w:t>200-2</w:t>
      </w:r>
      <w:r>
        <w:rPr>
          <w:color w:val="000000"/>
          <w:lang w:val="fr-CH"/>
        </w:rPr>
        <w:t> 290 </w:t>
      </w:r>
      <w:r w:rsidRPr="003B16EB">
        <w:rPr>
          <w:color w:val="000000"/>
          <w:lang w:val="fr-CH"/>
        </w:rPr>
        <w:t>MHz</w:t>
      </w:r>
      <w:r>
        <w:rPr>
          <w:color w:val="000000"/>
          <w:lang w:val="fr-CH"/>
        </w:rPr>
        <w:t>.</w:t>
      </w:r>
    </w:p>
    <w:bookmarkEnd w:id="97"/>
    <w:p w:rsidR="006042ED" w:rsidRPr="00CF0A9F" w:rsidRDefault="006042ED" w:rsidP="00926C49">
      <w:pPr>
        <w:rPr>
          <w:lang w:val="fr-CH"/>
        </w:rPr>
      </w:pPr>
      <w:r>
        <w:rPr>
          <w:lang w:val="fr-CH"/>
        </w:rPr>
        <w:t>Au titre de la Résolution </w:t>
      </w:r>
      <w:r>
        <w:rPr>
          <w:b/>
          <w:bCs/>
          <w:lang w:val="fr-CH"/>
        </w:rPr>
        <w:t>74 </w:t>
      </w:r>
      <w:r w:rsidR="00926C49">
        <w:rPr>
          <w:b/>
          <w:bCs/>
          <w:lang w:val="fr-CH"/>
        </w:rPr>
        <w:t>(Rév.</w:t>
      </w:r>
      <w:r w:rsidRPr="00DB1F8D">
        <w:rPr>
          <w:b/>
          <w:bCs/>
          <w:lang w:val="fr-CH"/>
        </w:rPr>
        <w:t>CMR-03)</w:t>
      </w:r>
      <w:r>
        <w:rPr>
          <w:lang w:val="fr-CH"/>
        </w:rPr>
        <w:t xml:space="preserve">, qui </w:t>
      </w:r>
      <w:r w:rsidRPr="00CF0A9F">
        <w:rPr>
          <w:color w:val="000000"/>
          <w:lang w:val="fr-CH"/>
        </w:rPr>
        <w:t xml:space="preserve">définit la procédure de mise à jour des </w:t>
      </w:r>
      <w:r>
        <w:rPr>
          <w:color w:val="000000"/>
          <w:lang w:val="fr-CH"/>
        </w:rPr>
        <w:t>bases techniques de l'Appendice </w:t>
      </w:r>
      <w:r w:rsidRPr="00404EC4">
        <w:rPr>
          <w:b/>
          <w:bCs/>
          <w:color w:val="000000"/>
          <w:lang w:val="fr-CH"/>
        </w:rPr>
        <w:t>7</w:t>
      </w:r>
      <w:r>
        <w:rPr>
          <w:color w:val="000000"/>
          <w:lang w:val="fr-CH"/>
        </w:rPr>
        <w:t>, la Commission d'études 7 demande la confirmation de l'Assemblée des radiocommunications pour la modification des paramètres de coordination figurant dans l'Appendice </w:t>
      </w:r>
      <w:r w:rsidRPr="00404EC4">
        <w:rPr>
          <w:b/>
          <w:bCs/>
          <w:color w:val="000000"/>
          <w:lang w:val="fr-CH"/>
        </w:rPr>
        <w:t>7</w:t>
      </w:r>
      <w:r>
        <w:rPr>
          <w:color w:val="000000"/>
          <w:lang w:val="fr-CH"/>
        </w:rPr>
        <w:t>. Si l'AR donne sa confirmation, le Directeur du Bureau des radiocommunications en fera ét</w:t>
      </w:r>
      <w:r w:rsidR="00404EC4">
        <w:rPr>
          <w:color w:val="000000"/>
          <w:lang w:val="fr-CH"/>
        </w:rPr>
        <w:t>at dans son rapport à la CMR-</w:t>
      </w:r>
      <w:r>
        <w:rPr>
          <w:color w:val="000000"/>
          <w:lang w:val="fr-CH"/>
        </w:rPr>
        <w:t xml:space="preserve">15, comme le prévoit le point 2 du </w:t>
      </w:r>
      <w:r w:rsidRPr="00AC1103">
        <w:rPr>
          <w:i/>
          <w:iCs/>
          <w:color w:val="000000"/>
          <w:lang w:val="fr-CH"/>
        </w:rPr>
        <w:t>décide</w:t>
      </w:r>
      <w:r>
        <w:rPr>
          <w:color w:val="000000"/>
          <w:lang w:val="fr-CH"/>
        </w:rPr>
        <w:t xml:space="preserve"> de la Résolution </w:t>
      </w:r>
      <w:r>
        <w:rPr>
          <w:b/>
          <w:bCs/>
          <w:color w:val="000000"/>
          <w:lang w:val="fr-CH"/>
        </w:rPr>
        <w:t>74 </w:t>
      </w:r>
      <w:r w:rsidR="00926C49">
        <w:rPr>
          <w:b/>
          <w:bCs/>
          <w:color w:val="000000"/>
          <w:lang w:val="fr-CH"/>
        </w:rPr>
        <w:t>(Rév.</w:t>
      </w:r>
      <w:r w:rsidRPr="00DB1F8D">
        <w:rPr>
          <w:b/>
          <w:bCs/>
          <w:color w:val="000000"/>
          <w:lang w:val="fr-CH"/>
        </w:rPr>
        <w:t>CMR­03)</w:t>
      </w:r>
      <w:r>
        <w:rPr>
          <w:color w:val="000000"/>
          <w:lang w:val="fr-CH"/>
        </w:rPr>
        <w:t>.</w:t>
      </w:r>
    </w:p>
    <w:p w:rsidR="00926C49" w:rsidRDefault="00926C49" w:rsidP="00926C49">
      <w:pPr>
        <w:pStyle w:val="Heading1"/>
        <w:rPr>
          <w:lang w:val="fr-CH"/>
        </w:rPr>
      </w:pPr>
      <w:r>
        <w:rPr>
          <w:lang w:val="fr-CH"/>
        </w:rPr>
        <w:br w:type="page"/>
      </w:r>
    </w:p>
    <w:p w:rsidR="006042ED" w:rsidRPr="00AB5654" w:rsidRDefault="006042ED" w:rsidP="00926C49">
      <w:pPr>
        <w:pStyle w:val="Heading1"/>
        <w:rPr>
          <w:lang w:val="fr-CH"/>
        </w:rPr>
      </w:pPr>
      <w:r w:rsidRPr="00AB5654">
        <w:rPr>
          <w:lang w:val="fr-CH"/>
        </w:rPr>
        <w:lastRenderedPageBreak/>
        <w:t>10</w:t>
      </w:r>
      <w:r w:rsidRPr="00AB5654">
        <w:rPr>
          <w:lang w:val="fr-CH"/>
        </w:rPr>
        <w:tab/>
      </w:r>
      <w:bookmarkStart w:id="98" w:name="lt_pId203"/>
      <w:r w:rsidRPr="00AB5654">
        <w:rPr>
          <w:lang w:val="fr-CH"/>
        </w:rPr>
        <w:t>Conclusions</w:t>
      </w:r>
      <w:bookmarkEnd w:id="98"/>
    </w:p>
    <w:p w:rsidR="006042ED" w:rsidRPr="00F40216" w:rsidRDefault="006042ED" w:rsidP="00926C49">
      <w:pPr>
        <w:rPr>
          <w:lang w:val="fr-CH"/>
        </w:rPr>
      </w:pPr>
      <w:r w:rsidRPr="00F40216">
        <w:rPr>
          <w:color w:val="000000"/>
          <w:lang w:val="fr-CH"/>
        </w:rPr>
        <w:t>Les travaux de la Commission d</w:t>
      </w:r>
      <w:r>
        <w:rPr>
          <w:color w:val="000000"/>
          <w:lang w:val="fr-CH"/>
        </w:rPr>
        <w:t>'</w:t>
      </w:r>
      <w:r w:rsidRPr="00F40216">
        <w:rPr>
          <w:color w:val="000000"/>
          <w:lang w:val="fr-CH"/>
        </w:rPr>
        <w:t>études ont bien avancé pendant la période considérée</w:t>
      </w:r>
      <w:r>
        <w:rPr>
          <w:color w:val="000000"/>
          <w:lang w:val="fr-CH"/>
        </w:rPr>
        <w:t xml:space="preserve">. La CE 7 a pu mener à bien </w:t>
      </w:r>
      <w:r>
        <w:rPr>
          <w:lang w:val="fr-CH" w:bidi="ar-EG"/>
        </w:rPr>
        <w:t xml:space="preserve">tous les travaux préparatoires en vue de la </w:t>
      </w:r>
      <w:r>
        <w:rPr>
          <w:color w:val="000000"/>
          <w:lang w:val="fr-CH"/>
        </w:rPr>
        <w:t xml:space="preserve">CMR-15, a adopté et approuvé l'ensemble des Rapports et des Recommandations </w:t>
      </w:r>
      <w:r>
        <w:rPr>
          <w:lang w:val="fr-CH" w:bidi="ar-EG"/>
        </w:rPr>
        <w:t>qui revêtaient une importance essentielle pour les méthodes proposées dans le Rapport de la RPC</w:t>
      </w:r>
      <w:r>
        <w:rPr>
          <w:color w:val="000000"/>
          <w:lang w:val="fr-CH"/>
        </w:rPr>
        <w:t xml:space="preserve">. </w:t>
      </w:r>
      <w:r>
        <w:rPr>
          <w:lang w:val="fr-CH" w:bidi="ar-EG"/>
        </w:rPr>
        <w:t>Toutes les administrations et tous les Membres de Secteur ont noué une coopération exemplaire</w:t>
      </w:r>
      <w:r>
        <w:rPr>
          <w:color w:val="000000"/>
          <w:lang w:val="fr-CH"/>
        </w:rPr>
        <w:t>.</w:t>
      </w:r>
    </w:p>
    <w:p w:rsidR="006042ED" w:rsidRPr="00452E94" w:rsidRDefault="00994106" w:rsidP="00926C49">
      <w:pPr>
        <w:rPr>
          <w:lang w:val="fr-CH"/>
        </w:rPr>
      </w:pPr>
      <w:bookmarkStart w:id="99" w:name="lt_pId207"/>
      <w:r>
        <w:rPr>
          <w:lang w:val="fr-CH" w:bidi="ar-EG"/>
        </w:rPr>
        <w:t>A</w:t>
      </w:r>
      <w:r w:rsidR="006042ED">
        <w:rPr>
          <w:lang w:val="fr-CH" w:bidi="ar-EG"/>
        </w:rPr>
        <w:t xml:space="preserve"> la suite de l'examen de Recommandations et de Questions, mené sous l'égide des Vice-Présidents et du Président du GT, plusieurs Recommandations ont été supprimées et remplacées par des Rapports plus adaptés. Il en est résulté dans l'ensemble une meilleure répartition des Recommandations comparativement aux Rapports, les études contenant des informations utiles ont continué d'être menées dans le cadre des travaux de la CE</w:t>
      </w:r>
      <w:r w:rsidR="006042ED">
        <w:rPr>
          <w:lang w:val="fr-CH"/>
        </w:rPr>
        <w:t>.</w:t>
      </w:r>
    </w:p>
    <w:bookmarkEnd w:id="99"/>
    <w:p w:rsidR="006042ED" w:rsidRPr="00221ADD" w:rsidRDefault="006042ED" w:rsidP="00926C49">
      <w:pPr>
        <w:pStyle w:val="Heading1"/>
        <w:rPr>
          <w:lang w:val="fr-CH"/>
        </w:rPr>
      </w:pPr>
      <w:r w:rsidRPr="00221ADD">
        <w:rPr>
          <w:lang w:val="fr-CH"/>
        </w:rPr>
        <w:t>11</w:t>
      </w:r>
      <w:r w:rsidRPr="00221ADD">
        <w:rPr>
          <w:lang w:val="fr-CH"/>
        </w:rPr>
        <w:tab/>
      </w:r>
      <w:bookmarkStart w:id="100" w:name="lt_pId209"/>
      <w:r w:rsidRPr="001F4B71">
        <w:rPr>
          <w:lang w:val="fr-CH"/>
        </w:rPr>
        <w:t>Clôture</w:t>
      </w:r>
      <w:bookmarkEnd w:id="100"/>
    </w:p>
    <w:p w:rsidR="006042ED" w:rsidRDefault="006042ED" w:rsidP="00926C49">
      <w:pPr>
        <w:rPr>
          <w:lang w:val="fr-CH"/>
        </w:rPr>
      </w:pPr>
      <w:bookmarkStart w:id="101" w:name="lt_pId210"/>
      <w:r w:rsidRPr="003D17BB">
        <w:rPr>
          <w:color w:val="000000"/>
          <w:lang w:val="fr-CH"/>
        </w:rPr>
        <w:t>En tant que Prés</w:t>
      </w:r>
      <w:r>
        <w:rPr>
          <w:color w:val="000000"/>
          <w:lang w:val="fr-CH"/>
        </w:rPr>
        <w:t>ident de la Commission d'études </w:t>
      </w:r>
      <w:r w:rsidRPr="003D17BB">
        <w:rPr>
          <w:color w:val="000000"/>
          <w:lang w:val="fr-CH"/>
        </w:rPr>
        <w:t>7, je tiens à remercier sincèrement les Présidents des Groupes de travail qui ont dirigé les travaux ces quatre dernières années. Ils ont accompli une tâche exemplaire et leur conduite avisée des travaux a été reconnue par l</w:t>
      </w:r>
      <w:r>
        <w:rPr>
          <w:color w:val="000000"/>
          <w:lang w:val="fr-CH"/>
        </w:rPr>
        <w:t>'</w:t>
      </w:r>
      <w:r w:rsidRPr="003D17BB">
        <w:rPr>
          <w:color w:val="000000"/>
          <w:lang w:val="fr-CH"/>
        </w:rPr>
        <w:t>ensemble de la Commission d</w:t>
      </w:r>
      <w:r>
        <w:rPr>
          <w:color w:val="000000"/>
          <w:lang w:val="fr-CH"/>
        </w:rPr>
        <w:t>'</w:t>
      </w:r>
      <w:r w:rsidRPr="003D17BB">
        <w:rPr>
          <w:color w:val="000000"/>
          <w:lang w:val="fr-CH"/>
        </w:rPr>
        <w:t>études. J</w:t>
      </w:r>
      <w:r>
        <w:rPr>
          <w:color w:val="000000"/>
          <w:lang w:val="fr-CH"/>
        </w:rPr>
        <w:t>'</w:t>
      </w:r>
      <w:r w:rsidRPr="003D17BB">
        <w:rPr>
          <w:color w:val="000000"/>
          <w:lang w:val="fr-CH"/>
        </w:rPr>
        <w:t>exprime également toute ma gratitude aux Vice-Présidents de la Commission d</w:t>
      </w:r>
      <w:r>
        <w:rPr>
          <w:color w:val="000000"/>
          <w:lang w:val="fr-CH"/>
        </w:rPr>
        <w:t>'</w:t>
      </w:r>
      <w:r w:rsidRPr="003D17BB">
        <w:rPr>
          <w:color w:val="000000"/>
          <w:lang w:val="fr-CH"/>
        </w:rPr>
        <w:t>études pour leur collaboration et la diligence avec laquelle ils ont accompli les tâches qui leur ont été confiées. Leur avis au sein du Groupe de direction a été à maintes reprises d</w:t>
      </w:r>
      <w:r>
        <w:rPr>
          <w:color w:val="000000"/>
          <w:lang w:val="fr-CH"/>
        </w:rPr>
        <w:t>'</w:t>
      </w:r>
      <w:r w:rsidRPr="003D17BB">
        <w:rPr>
          <w:color w:val="000000"/>
          <w:lang w:val="fr-CH"/>
        </w:rPr>
        <w:t>une aide inestimable et a permis à la Commission d</w:t>
      </w:r>
      <w:r>
        <w:rPr>
          <w:color w:val="000000"/>
          <w:lang w:val="fr-CH"/>
        </w:rPr>
        <w:t>'</w:t>
      </w:r>
      <w:r w:rsidRPr="003D17BB">
        <w:rPr>
          <w:color w:val="000000"/>
          <w:lang w:val="fr-CH"/>
        </w:rPr>
        <w:t>études d</w:t>
      </w:r>
      <w:r>
        <w:rPr>
          <w:color w:val="000000"/>
          <w:lang w:val="fr-CH"/>
        </w:rPr>
        <w:t>'</w:t>
      </w:r>
      <w:r w:rsidRPr="003D17BB">
        <w:rPr>
          <w:color w:val="000000"/>
          <w:lang w:val="fr-CH"/>
        </w:rPr>
        <w:t>atteindre ses objectifs.</w:t>
      </w:r>
      <w:r w:rsidRPr="00221ADD">
        <w:rPr>
          <w:lang w:val="fr-CH"/>
        </w:rPr>
        <w:t xml:space="preserve"> </w:t>
      </w:r>
    </w:p>
    <w:p w:rsidR="006042ED" w:rsidRPr="004C679C" w:rsidRDefault="006042ED" w:rsidP="00926C49">
      <w:pPr>
        <w:rPr>
          <w:lang w:val="fr-CH"/>
        </w:rPr>
      </w:pPr>
      <w:bookmarkStart w:id="102" w:name="lt_pId214"/>
      <w:bookmarkEnd w:id="101"/>
      <w:r w:rsidRPr="004C679C">
        <w:rPr>
          <w:color w:val="000000"/>
          <w:lang w:val="fr-CH"/>
        </w:rPr>
        <w:t>Les mots me manquent pour exprimer le respect et l</w:t>
      </w:r>
      <w:r>
        <w:rPr>
          <w:color w:val="000000"/>
          <w:lang w:val="fr-CH"/>
        </w:rPr>
        <w:t>'</w:t>
      </w:r>
      <w:r w:rsidRPr="004C679C">
        <w:rPr>
          <w:color w:val="000000"/>
          <w:lang w:val="fr-CH"/>
        </w:rPr>
        <w:t>admiration que m</w:t>
      </w:r>
      <w:r>
        <w:rPr>
          <w:color w:val="000000"/>
          <w:lang w:val="fr-CH"/>
        </w:rPr>
        <w:t>'</w:t>
      </w:r>
      <w:r w:rsidRPr="004C679C">
        <w:rPr>
          <w:color w:val="000000"/>
          <w:lang w:val="fr-CH"/>
        </w:rPr>
        <w:t>inspire le personnel du Bureau des radiocommunications dans son ensemble, à tous les niveaux de la hiérarchie jusqu</w:t>
      </w:r>
      <w:r>
        <w:rPr>
          <w:color w:val="000000"/>
          <w:lang w:val="fr-CH"/>
        </w:rPr>
        <w:t>'</w:t>
      </w:r>
      <w:r w:rsidRPr="004C679C">
        <w:rPr>
          <w:color w:val="000000"/>
          <w:lang w:val="fr-CH"/>
        </w:rPr>
        <w:t>à la direction. J</w:t>
      </w:r>
      <w:r>
        <w:rPr>
          <w:color w:val="000000"/>
          <w:lang w:val="fr-CH"/>
        </w:rPr>
        <w:t>'</w:t>
      </w:r>
      <w:r w:rsidRPr="004C679C">
        <w:rPr>
          <w:color w:val="000000"/>
          <w:lang w:val="fr-CH"/>
        </w:rPr>
        <w:t xml:space="preserve">ai eu le privilège de travailler avec </w:t>
      </w:r>
      <w:r>
        <w:rPr>
          <w:color w:val="000000"/>
          <w:lang w:val="fr-CH"/>
        </w:rPr>
        <w:t>M. </w:t>
      </w:r>
      <w:r w:rsidRPr="004C679C">
        <w:rPr>
          <w:color w:val="000000"/>
          <w:lang w:val="fr-CH"/>
        </w:rPr>
        <w:t>Vadim NOZDRIN</w:t>
      </w:r>
      <w:r>
        <w:rPr>
          <w:color w:val="000000"/>
          <w:lang w:val="fr-CH"/>
        </w:rPr>
        <w:t>,</w:t>
      </w:r>
      <w:r w:rsidRPr="002336B6">
        <w:rPr>
          <w:color w:val="000000"/>
          <w:lang w:val="fr-CH"/>
        </w:rPr>
        <w:t xml:space="preserve"> </w:t>
      </w:r>
      <w:r w:rsidR="0051010E">
        <w:rPr>
          <w:color w:val="000000"/>
          <w:lang w:val="fr-CH"/>
        </w:rPr>
        <w:t>C</w:t>
      </w:r>
      <w:r>
        <w:rPr>
          <w:color w:val="000000"/>
          <w:lang w:val="fr-CH"/>
        </w:rPr>
        <w:t>onseiller pour la CE 7</w:t>
      </w:r>
      <w:r w:rsidRPr="004C679C">
        <w:rPr>
          <w:color w:val="000000"/>
          <w:lang w:val="fr-CH"/>
        </w:rPr>
        <w:t xml:space="preserve">. Cela a été pour moi un grand plaisir de collaborer avec </w:t>
      </w:r>
      <w:r>
        <w:rPr>
          <w:color w:val="000000"/>
          <w:lang w:val="fr-CH"/>
        </w:rPr>
        <w:t>lui.</w:t>
      </w:r>
    </w:p>
    <w:bookmarkEnd w:id="102"/>
    <w:p w:rsidR="000C1C83" w:rsidRDefault="006042ED" w:rsidP="0051010E">
      <w:pPr>
        <w:rPr>
          <w:color w:val="000000"/>
          <w:lang w:val="fr-CH"/>
        </w:rPr>
      </w:pPr>
      <w:r w:rsidRPr="004C679C">
        <w:rPr>
          <w:color w:val="000000"/>
          <w:lang w:val="fr-CH"/>
        </w:rPr>
        <w:t xml:space="preserve">Je remercie sincèrement tous les </w:t>
      </w:r>
      <w:r w:rsidR="0051010E">
        <w:rPr>
          <w:color w:val="000000"/>
          <w:lang w:val="fr-CH"/>
        </w:rPr>
        <w:t>membre</w:t>
      </w:r>
      <w:r w:rsidRPr="004C679C">
        <w:rPr>
          <w:color w:val="000000"/>
          <w:lang w:val="fr-CH"/>
        </w:rPr>
        <w:t>s de la Commission d</w:t>
      </w:r>
      <w:r>
        <w:rPr>
          <w:color w:val="000000"/>
          <w:lang w:val="fr-CH"/>
        </w:rPr>
        <w:t>'</w:t>
      </w:r>
      <w:r w:rsidR="0051010E">
        <w:rPr>
          <w:color w:val="000000"/>
          <w:lang w:val="fr-CH"/>
        </w:rPr>
        <w:t>études</w:t>
      </w:r>
      <w:r w:rsidRPr="004C679C">
        <w:rPr>
          <w:color w:val="000000"/>
          <w:lang w:val="fr-CH"/>
        </w:rPr>
        <w:t xml:space="preserve"> avec lesquels j</w:t>
      </w:r>
      <w:r>
        <w:rPr>
          <w:color w:val="000000"/>
          <w:lang w:val="fr-CH"/>
        </w:rPr>
        <w:t>'</w:t>
      </w:r>
      <w:r w:rsidRPr="004C679C">
        <w:rPr>
          <w:color w:val="000000"/>
          <w:lang w:val="fr-CH"/>
        </w:rPr>
        <w:t>ai eu l</w:t>
      </w:r>
      <w:r>
        <w:rPr>
          <w:color w:val="000000"/>
          <w:lang w:val="fr-CH"/>
        </w:rPr>
        <w:t>'</w:t>
      </w:r>
      <w:r w:rsidRPr="004C679C">
        <w:rPr>
          <w:color w:val="000000"/>
          <w:lang w:val="fr-CH"/>
        </w:rPr>
        <w:t>honneur et le privilège de travaille</w:t>
      </w:r>
      <w:bookmarkStart w:id="103" w:name="_GoBack"/>
      <w:bookmarkEnd w:id="103"/>
      <w:r w:rsidRPr="004C679C">
        <w:rPr>
          <w:color w:val="000000"/>
          <w:lang w:val="fr-CH"/>
        </w:rPr>
        <w:t>r au cours des quatre dernières années.</w:t>
      </w:r>
    </w:p>
    <w:p w:rsidR="006042ED" w:rsidRDefault="006042ED" w:rsidP="006042ED"/>
    <w:p w:rsidR="00FB2643" w:rsidRDefault="00FB2643">
      <w:pPr>
        <w:jc w:val="center"/>
      </w:pPr>
      <w:r>
        <w:t>______________</w:t>
      </w:r>
    </w:p>
    <w:p w:rsidR="004442E2" w:rsidRPr="00840A51" w:rsidRDefault="004442E2" w:rsidP="0006566D">
      <w:pPr>
        <w:rPr>
          <w:lang w:val="fr-CH"/>
        </w:rPr>
      </w:pPr>
    </w:p>
    <w:sectPr w:rsidR="004442E2" w:rsidRPr="00840A51">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A7B" w:rsidRDefault="00B90A7B">
      <w:r>
        <w:separator/>
      </w:r>
    </w:p>
  </w:endnote>
  <w:endnote w:type="continuationSeparator" w:id="0">
    <w:p w:rsidR="00B90A7B" w:rsidRDefault="00B9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A7B" w:rsidRPr="0006566D" w:rsidRDefault="00B90A7B">
    <w:pPr>
      <w:rPr>
        <w:lang w:val="es-ES_tradnl"/>
      </w:rPr>
    </w:pPr>
    <w:r>
      <w:fldChar w:fldCharType="begin"/>
    </w:r>
    <w:r w:rsidRPr="0006566D">
      <w:rPr>
        <w:lang w:val="es-ES_tradnl"/>
      </w:rPr>
      <w:instrText xml:space="preserve"> FILENAME \p  \* MERGEFORMAT </w:instrText>
    </w:r>
    <w:r>
      <w:fldChar w:fldCharType="separate"/>
    </w:r>
    <w:r w:rsidR="000F3B29">
      <w:rPr>
        <w:noProof/>
        <w:lang w:val="es-ES_tradnl"/>
      </w:rPr>
      <w:t>P:\FRA\ITU-R\SG-R\SG07\1000\1001F.docx</w:t>
    </w:r>
    <w:r>
      <w:fldChar w:fldCharType="end"/>
    </w:r>
    <w:r w:rsidRPr="0006566D">
      <w:rPr>
        <w:lang w:val="es-ES_tradnl"/>
      </w:rPr>
      <w:tab/>
    </w:r>
    <w:r>
      <w:fldChar w:fldCharType="begin"/>
    </w:r>
    <w:r>
      <w:instrText xml:space="preserve"> SAVEDATE \@ DD.MM.YY </w:instrText>
    </w:r>
    <w:r>
      <w:fldChar w:fldCharType="separate"/>
    </w:r>
    <w:r w:rsidR="000F3B29">
      <w:rPr>
        <w:noProof/>
      </w:rPr>
      <w:t>18.09.15</w:t>
    </w:r>
    <w:r>
      <w:fldChar w:fldCharType="end"/>
    </w:r>
    <w:r w:rsidRPr="0006566D">
      <w:rPr>
        <w:lang w:val="es-ES_tradnl"/>
      </w:rPr>
      <w:tab/>
    </w:r>
    <w:r>
      <w:fldChar w:fldCharType="begin"/>
    </w:r>
    <w:r>
      <w:instrText xml:space="preserve"> PRINTDATE \@ DD.MM.YY </w:instrText>
    </w:r>
    <w:r>
      <w:fldChar w:fldCharType="separate"/>
    </w:r>
    <w:r w:rsidR="000F3B29">
      <w:rPr>
        <w:noProof/>
      </w:rPr>
      <w:t>18.09.15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A7B" w:rsidRPr="0006566D" w:rsidRDefault="00B90A7B" w:rsidP="00626A1B">
    <w:pPr>
      <w:pStyle w:val="Footer"/>
      <w:rPr>
        <w:lang w:val="es-ES_tradnl"/>
      </w:rPr>
    </w:pPr>
    <w:r>
      <w:fldChar w:fldCharType="begin"/>
    </w:r>
    <w:r w:rsidRPr="0006566D">
      <w:rPr>
        <w:lang w:val="es-ES_tradnl"/>
      </w:rPr>
      <w:instrText xml:space="preserve"> FILENAME \p  \* MERGEFORMAT </w:instrText>
    </w:r>
    <w:r>
      <w:fldChar w:fldCharType="separate"/>
    </w:r>
    <w:r w:rsidR="000F3B29">
      <w:rPr>
        <w:lang w:val="es-ES_tradnl"/>
      </w:rPr>
      <w:t>P:\FRA\ITU-R\SG-R\SG07\1000\1001F.docx</w:t>
    </w:r>
    <w:r>
      <w:fldChar w:fldCharType="end"/>
    </w:r>
    <w:r w:rsidR="006042ED">
      <w:rPr>
        <w:lang w:val="es-ES_tradnl"/>
      </w:rPr>
      <w:t xml:space="preserve"> (383155</w:t>
    </w:r>
    <w:r w:rsidRPr="0006566D">
      <w:rPr>
        <w:lang w:val="es-ES_tradnl"/>
      </w:rPr>
      <w:t>)</w:t>
    </w:r>
    <w:r w:rsidRPr="0006566D">
      <w:rPr>
        <w:lang w:val="es-ES_tradnl"/>
      </w:rPr>
      <w:tab/>
    </w:r>
    <w:r>
      <w:fldChar w:fldCharType="begin"/>
    </w:r>
    <w:r>
      <w:instrText xml:space="preserve"> SAVEDATE \@ DD.MM.YY </w:instrText>
    </w:r>
    <w:r>
      <w:fldChar w:fldCharType="separate"/>
    </w:r>
    <w:r w:rsidR="000F3B29">
      <w:t>18.09.15</w:t>
    </w:r>
    <w:r>
      <w:fldChar w:fldCharType="end"/>
    </w:r>
    <w:r w:rsidRPr="0006566D">
      <w:rPr>
        <w:lang w:val="es-ES_tradnl"/>
      </w:rPr>
      <w:tab/>
    </w:r>
    <w:r>
      <w:fldChar w:fldCharType="begin"/>
    </w:r>
    <w:r>
      <w:instrText xml:space="preserve"> PRINTDATE \@ DD.MM.YY </w:instrText>
    </w:r>
    <w:r>
      <w:fldChar w:fldCharType="separate"/>
    </w:r>
    <w:r w:rsidR="000F3B29">
      <w:t>18.09.15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A7B" w:rsidRPr="0006566D" w:rsidRDefault="00B90A7B" w:rsidP="00626A1B">
    <w:pPr>
      <w:pStyle w:val="Footer"/>
      <w:rPr>
        <w:lang w:val="es-ES_tradnl"/>
      </w:rPr>
    </w:pPr>
    <w:r>
      <w:fldChar w:fldCharType="begin"/>
    </w:r>
    <w:r w:rsidRPr="0006566D">
      <w:rPr>
        <w:lang w:val="es-ES_tradnl"/>
      </w:rPr>
      <w:instrText xml:space="preserve"> FILENAME \p  \* MERGEFORMAT </w:instrText>
    </w:r>
    <w:r>
      <w:fldChar w:fldCharType="separate"/>
    </w:r>
    <w:r w:rsidR="000F3B29">
      <w:rPr>
        <w:lang w:val="es-ES_tradnl"/>
      </w:rPr>
      <w:t>P:\FRA\ITU-R\SG-R\SG07\1000\1001F.docx</w:t>
    </w:r>
    <w:r>
      <w:fldChar w:fldCharType="end"/>
    </w:r>
    <w:r w:rsidR="006E6F42">
      <w:rPr>
        <w:lang w:val="es-ES_tradnl"/>
      </w:rPr>
      <w:t xml:space="preserve"> (383155</w:t>
    </w:r>
    <w:r w:rsidRPr="0006566D">
      <w:rPr>
        <w:lang w:val="es-ES_tradnl"/>
      </w:rPr>
      <w:t>)</w:t>
    </w:r>
    <w:r w:rsidRPr="0006566D">
      <w:rPr>
        <w:lang w:val="es-ES_tradnl"/>
      </w:rPr>
      <w:tab/>
    </w:r>
    <w:r>
      <w:fldChar w:fldCharType="begin"/>
    </w:r>
    <w:r>
      <w:instrText xml:space="preserve"> SAVEDATE \@ DD.MM.YY </w:instrText>
    </w:r>
    <w:r>
      <w:fldChar w:fldCharType="separate"/>
    </w:r>
    <w:r w:rsidR="000F3B29">
      <w:t>18.09.15</w:t>
    </w:r>
    <w:r>
      <w:fldChar w:fldCharType="end"/>
    </w:r>
    <w:r w:rsidRPr="0006566D">
      <w:rPr>
        <w:lang w:val="es-ES_tradnl"/>
      </w:rPr>
      <w:tab/>
    </w:r>
    <w:r>
      <w:fldChar w:fldCharType="begin"/>
    </w:r>
    <w:r>
      <w:instrText xml:space="preserve"> PRINTDATE \@ DD.MM.YY </w:instrText>
    </w:r>
    <w:r>
      <w:fldChar w:fldCharType="separate"/>
    </w:r>
    <w:r w:rsidR="000F3B29">
      <w:t>18.09.15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A7B" w:rsidRDefault="00B90A7B">
      <w:r>
        <w:rPr>
          <w:b/>
        </w:rPr>
        <w:t>_______________</w:t>
      </w:r>
    </w:p>
  </w:footnote>
  <w:footnote w:type="continuationSeparator" w:id="0">
    <w:p w:rsidR="00B90A7B" w:rsidRDefault="00B90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A7B" w:rsidRDefault="00B90A7B">
    <w:pPr>
      <w:pStyle w:val="Header"/>
    </w:pPr>
    <w:r>
      <w:fldChar w:fldCharType="begin"/>
    </w:r>
    <w:r>
      <w:instrText xml:space="preserve"> PAGE  \* MERGEFORMAT </w:instrText>
    </w:r>
    <w:r>
      <w:fldChar w:fldCharType="separate"/>
    </w:r>
    <w:r w:rsidR="000F3B29">
      <w:rPr>
        <w:noProof/>
      </w:rPr>
      <w:t>2</w:t>
    </w:r>
    <w:r>
      <w:fldChar w:fldCharType="end"/>
    </w:r>
  </w:p>
  <w:p w:rsidR="00B90A7B" w:rsidRDefault="006042ED">
    <w:pPr>
      <w:pStyle w:val="Header"/>
    </w:pPr>
    <w:r>
      <w:t>7/1001</w:t>
    </w:r>
    <w:r w:rsidR="00B90A7B">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78F6351"/>
    <w:multiLevelType w:val="hybridMultilevel"/>
    <w:tmpl w:val="D436CB74"/>
    <w:lvl w:ilvl="0" w:tplc="43BABD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F6E11"/>
    <w:multiLevelType w:val="hybridMultilevel"/>
    <w:tmpl w:val="B7B2A248"/>
    <w:lvl w:ilvl="0" w:tplc="43BABD5E">
      <w:start w:val="1"/>
      <w:numFmt w:val="bullet"/>
      <w:lvlText w:val=""/>
      <w:lvlJc w:val="left"/>
      <w:pPr>
        <w:ind w:left="720" w:hanging="360"/>
      </w:pPr>
      <w:rPr>
        <w:rFonts w:ascii="Symbol" w:hAnsi="Symbol" w:hint="default"/>
      </w:rPr>
    </w:lvl>
    <w:lvl w:ilvl="1" w:tplc="7430B7C6" w:tentative="1">
      <w:start w:val="1"/>
      <w:numFmt w:val="bullet"/>
      <w:lvlText w:val="o"/>
      <w:lvlJc w:val="left"/>
      <w:pPr>
        <w:ind w:left="1440" w:hanging="360"/>
      </w:pPr>
      <w:rPr>
        <w:rFonts w:ascii="Courier New" w:hAnsi="Courier New" w:cs="Courier New" w:hint="default"/>
      </w:rPr>
    </w:lvl>
    <w:lvl w:ilvl="2" w:tplc="C81C5C7E" w:tentative="1">
      <w:start w:val="1"/>
      <w:numFmt w:val="bullet"/>
      <w:lvlText w:val=""/>
      <w:lvlJc w:val="left"/>
      <w:pPr>
        <w:ind w:left="2160" w:hanging="360"/>
      </w:pPr>
      <w:rPr>
        <w:rFonts w:ascii="Wingdings" w:hAnsi="Wingdings" w:hint="default"/>
      </w:rPr>
    </w:lvl>
    <w:lvl w:ilvl="3" w:tplc="C9683978" w:tentative="1">
      <w:start w:val="1"/>
      <w:numFmt w:val="bullet"/>
      <w:lvlText w:val=""/>
      <w:lvlJc w:val="left"/>
      <w:pPr>
        <w:ind w:left="2880" w:hanging="360"/>
      </w:pPr>
      <w:rPr>
        <w:rFonts w:ascii="Symbol" w:hAnsi="Symbol" w:hint="default"/>
      </w:rPr>
    </w:lvl>
    <w:lvl w:ilvl="4" w:tplc="3F0E6048" w:tentative="1">
      <w:start w:val="1"/>
      <w:numFmt w:val="bullet"/>
      <w:lvlText w:val="o"/>
      <w:lvlJc w:val="left"/>
      <w:pPr>
        <w:ind w:left="3600" w:hanging="360"/>
      </w:pPr>
      <w:rPr>
        <w:rFonts w:ascii="Courier New" w:hAnsi="Courier New" w:cs="Courier New" w:hint="default"/>
      </w:rPr>
    </w:lvl>
    <w:lvl w:ilvl="5" w:tplc="0BE6F072" w:tentative="1">
      <w:start w:val="1"/>
      <w:numFmt w:val="bullet"/>
      <w:lvlText w:val=""/>
      <w:lvlJc w:val="left"/>
      <w:pPr>
        <w:ind w:left="4320" w:hanging="360"/>
      </w:pPr>
      <w:rPr>
        <w:rFonts w:ascii="Wingdings" w:hAnsi="Wingdings" w:hint="default"/>
      </w:rPr>
    </w:lvl>
    <w:lvl w:ilvl="6" w:tplc="E9109264" w:tentative="1">
      <w:start w:val="1"/>
      <w:numFmt w:val="bullet"/>
      <w:lvlText w:val=""/>
      <w:lvlJc w:val="left"/>
      <w:pPr>
        <w:ind w:left="5040" w:hanging="360"/>
      </w:pPr>
      <w:rPr>
        <w:rFonts w:ascii="Symbol" w:hAnsi="Symbol" w:hint="default"/>
      </w:rPr>
    </w:lvl>
    <w:lvl w:ilvl="7" w:tplc="A5D42C54" w:tentative="1">
      <w:start w:val="1"/>
      <w:numFmt w:val="bullet"/>
      <w:lvlText w:val="o"/>
      <w:lvlJc w:val="left"/>
      <w:pPr>
        <w:ind w:left="5760" w:hanging="360"/>
      </w:pPr>
      <w:rPr>
        <w:rFonts w:ascii="Courier New" w:hAnsi="Courier New" w:cs="Courier New" w:hint="default"/>
      </w:rPr>
    </w:lvl>
    <w:lvl w:ilvl="8" w:tplc="DCFC4B3A"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4B"/>
    <w:rsid w:val="00006711"/>
    <w:rsid w:val="00021300"/>
    <w:rsid w:val="0006566D"/>
    <w:rsid w:val="000B1F11"/>
    <w:rsid w:val="000B5E4B"/>
    <w:rsid w:val="000C1C83"/>
    <w:rsid w:val="000D4BC7"/>
    <w:rsid w:val="000F3B29"/>
    <w:rsid w:val="0013523C"/>
    <w:rsid w:val="00160694"/>
    <w:rsid w:val="00223DF9"/>
    <w:rsid w:val="002F49D1"/>
    <w:rsid w:val="00312771"/>
    <w:rsid w:val="003644F8"/>
    <w:rsid w:val="00365BEB"/>
    <w:rsid w:val="00404EC4"/>
    <w:rsid w:val="004231E4"/>
    <w:rsid w:val="004442E2"/>
    <w:rsid w:val="0051010E"/>
    <w:rsid w:val="00530E6D"/>
    <w:rsid w:val="005A46FB"/>
    <w:rsid w:val="006042ED"/>
    <w:rsid w:val="00626A1B"/>
    <w:rsid w:val="006B7103"/>
    <w:rsid w:val="006E6F42"/>
    <w:rsid w:val="006F73A7"/>
    <w:rsid w:val="00746AB8"/>
    <w:rsid w:val="00771B9E"/>
    <w:rsid w:val="007D6829"/>
    <w:rsid w:val="00840A51"/>
    <w:rsid w:val="00852305"/>
    <w:rsid w:val="008962EE"/>
    <w:rsid w:val="008C5FD1"/>
    <w:rsid w:val="00926C49"/>
    <w:rsid w:val="00994106"/>
    <w:rsid w:val="00A769F2"/>
    <w:rsid w:val="00AD26C8"/>
    <w:rsid w:val="00B10F3E"/>
    <w:rsid w:val="00B82926"/>
    <w:rsid w:val="00B90A7B"/>
    <w:rsid w:val="00C01A05"/>
    <w:rsid w:val="00CE229D"/>
    <w:rsid w:val="00D278A9"/>
    <w:rsid w:val="00D32DD4"/>
    <w:rsid w:val="00D54910"/>
    <w:rsid w:val="00DC4CBD"/>
    <w:rsid w:val="00EC0EB4"/>
    <w:rsid w:val="00FB2643"/>
    <w:rsid w:val="00FB596A"/>
    <w:rsid w:val="00FF67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F4C8388-8AC6-48EF-8A37-43F8C4C8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CharCharCharCharCharChar">
    <w:name w:val="Char Char Char Char Char Char"/>
    <w:basedOn w:val="Normal"/>
    <w:rsid w:val="000C1C83"/>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character" w:styleId="Strong">
    <w:name w:val="Strong"/>
    <w:basedOn w:val="DefaultParagraphFont"/>
    <w:qFormat/>
    <w:rsid w:val="000C1C83"/>
    <w:rPr>
      <w:b/>
      <w:bCs/>
    </w:rPr>
  </w:style>
  <w:style w:type="paragraph" w:customStyle="1" w:styleId="Tabletext0">
    <w:name w:val="Table text"/>
    <w:basedOn w:val="Normal"/>
    <w:rsid w:val="000C1C8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style>
  <w:style w:type="character" w:customStyle="1" w:styleId="RectitleCharCharCharChar">
    <w:name w:val="Rec_title Char Char Char Char"/>
    <w:basedOn w:val="DefaultParagraphFont"/>
    <w:rsid w:val="000C1C83"/>
    <w:rPr>
      <w:b/>
      <w:sz w:val="28"/>
      <w:lang w:val="en-GB" w:eastAsia="ar-SA" w:bidi="ar-SA"/>
    </w:rPr>
  </w:style>
  <w:style w:type="paragraph" w:styleId="BalloonText">
    <w:name w:val="Balloon Text"/>
    <w:basedOn w:val="Normal"/>
    <w:link w:val="BalloonTextChar"/>
    <w:rsid w:val="000C1C83"/>
    <w:pPr>
      <w:spacing w:before="0"/>
    </w:pPr>
    <w:rPr>
      <w:rFonts w:ascii="Tahoma" w:hAnsi="Tahoma" w:cs="Tahoma"/>
      <w:sz w:val="16"/>
      <w:szCs w:val="16"/>
    </w:rPr>
  </w:style>
  <w:style w:type="character" w:customStyle="1" w:styleId="BalloonTextChar">
    <w:name w:val="Balloon Text Char"/>
    <w:basedOn w:val="DefaultParagraphFont"/>
    <w:link w:val="BalloonText"/>
    <w:rsid w:val="000C1C83"/>
    <w:rPr>
      <w:rFonts w:ascii="Tahoma" w:hAnsi="Tahoma" w:cs="Tahoma"/>
      <w:sz w:val="16"/>
      <w:szCs w:val="16"/>
      <w:lang w:val="fr-FR" w:eastAsia="en-US"/>
    </w:rPr>
  </w:style>
  <w:style w:type="character" w:styleId="Hyperlink">
    <w:name w:val="Hyperlink"/>
    <w:rsid w:val="006042ED"/>
    <w:rPr>
      <w:color w:val="0000FF"/>
      <w:u w:val="none"/>
    </w:rPr>
  </w:style>
  <w:style w:type="paragraph" w:styleId="ListParagraph">
    <w:name w:val="List Paragraph"/>
    <w:basedOn w:val="Normal"/>
    <w:uiPriority w:val="34"/>
    <w:qFormat/>
    <w:rsid w:val="006042ED"/>
    <w:pPr>
      <w:ind w:left="720"/>
      <w:contextualSpacing/>
    </w:pPr>
    <w:rPr>
      <w:lang w:val="en-GB"/>
    </w:rPr>
  </w:style>
  <w:style w:type="character" w:styleId="FollowedHyperlink">
    <w:name w:val="FollowedHyperlink"/>
    <w:basedOn w:val="DefaultParagraphFont"/>
    <w:semiHidden/>
    <w:unhideWhenUsed/>
    <w:rsid w:val="00926C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7-RP-1005/e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tu.int/pub/R-REP-SA.2276-2013" TargetMode="External"/><Relationship Id="rId4" Type="http://schemas.openxmlformats.org/officeDocument/2006/relationships/settings" Target="settings.xml"/><Relationship Id="rId9" Type="http://schemas.openxmlformats.org/officeDocument/2006/relationships/hyperlink" Target="http://www.itu.int/md/R12-SG07-C/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4DAB8-228C-4F12-A1A2-7129414D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PF_RA15.dotx</Template>
  <TotalTime>154</TotalTime>
  <Pages>7</Pages>
  <Words>3096</Words>
  <Characters>16397</Characters>
  <Application>Microsoft Office Word</Application>
  <DocSecurity>0</DocSecurity>
  <Lines>380</Lines>
  <Paragraphs>124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19419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Alidra, Patricia</dc:creator>
  <cp:keywords/>
  <dc:description>PF_RA07.dot  Pour: _x000d_Date du document: _x000d_Enregistré par MM-43480 à 16:09:12 le 16.10.07</dc:description>
  <cp:lastModifiedBy>Royer, Veronique</cp:lastModifiedBy>
  <cp:revision>8</cp:revision>
  <cp:lastPrinted>2015-09-18T06:33:00Z</cp:lastPrinted>
  <dcterms:created xsi:type="dcterms:W3CDTF">2015-09-17T09:21:00Z</dcterms:created>
  <dcterms:modified xsi:type="dcterms:W3CDTF">2015-09-18T06:33:00Z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