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902933">
        <w:trPr>
          <w:cantSplit/>
        </w:trPr>
        <w:tc>
          <w:tcPr>
            <w:tcW w:w="6629" w:type="dxa"/>
          </w:tcPr>
          <w:p w:rsidR="00902933" w:rsidRPr="00016648" w:rsidRDefault="00902933"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902933" w:rsidRDefault="00902933" w:rsidP="00223DF9">
            <w:pPr>
              <w:spacing w:line="240" w:lineRule="atLeast"/>
              <w:jc w:val="right"/>
            </w:pPr>
            <w:bookmarkStart w:id="0" w:name="ditulogo"/>
            <w:bookmarkEnd w:id="0"/>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2933" w:rsidRPr="00617BE4">
        <w:trPr>
          <w:cantSplit/>
        </w:trPr>
        <w:tc>
          <w:tcPr>
            <w:tcW w:w="6629" w:type="dxa"/>
            <w:tcBorders>
              <w:bottom w:val="single" w:sz="12" w:space="0" w:color="auto"/>
            </w:tcBorders>
          </w:tcPr>
          <w:p w:rsidR="00902933" w:rsidRPr="00617BE4" w:rsidRDefault="00902933" w:rsidP="00902933">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902933" w:rsidRPr="00617BE4" w:rsidRDefault="00902933" w:rsidP="00902933">
            <w:pPr>
              <w:spacing w:before="0" w:line="240" w:lineRule="atLeast"/>
              <w:rPr>
                <w:rFonts w:ascii="Verdana" w:hAnsi="Verdana"/>
                <w:szCs w:val="24"/>
              </w:rPr>
            </w:pPr>
          </w:p>
        </w:tc>
      </w:tr>
      <w:tr w:rsidR="00902933" w:rsidRPr="00C324A8">
        <w:trPr>
          <w:cantSplit/>
        </w:trPr>
        <w:tc>
          <w:tcPr>
            <w:tcW w:w="6629" w:type="dxa"/>
            <w:tcBorders>
              <w:top w:val="single" w:sz="12" w:space="0" w:color="auto"/>
            </w:tcBorders>
          </w:tcPr>
          <w:p w:rsidR="00902933" w:rsidRPr="00C324A8" w:rsidRDefault="00902933" w:rsidP="00902933">
            <w:pPr>
              <w:spacing w:before="0" w:after="48" w:line="240" w:lineRule="atLeast"/>
              <w:rPr>
                <w:rFonts w:ascii="Verdana" w:hAnsi="Verdana"/>
                <w:b/>
                <w:smallCaps/>
                <w:sz w:val="20"/>
              </w:rPr>
            </w:pPr>
          </w:p>
        </w:tc>
        <w:tc>
          <w:tcPr>
            <w:tcW w:w="3402" w:type="dxa"/>
            <w:tcBorders>
              <w:top w:val="single" w:sz="12" w:space="0" w:color="auto"/>
            </w:tcBorders>
          </w:tcPr>
          <w:p w:rsidR="00902933" w:rsidRPr="00C324A8" w:rsidRDefault="00902933" w:rsidP="00902933">
            <w:pPr>
              <w:spacing w:before="0" w:line="240" w:lineRule="atLeast"/>
              <w:rPr>
                <w:rFonts w:ascii="Verdana" w:hAnsi="Verdana"/>
                <w:sz w:val="20"/>
              </w:rPr>
            </w:pPr>
          </w:p>
        </w:tc>
      </w:tr>
      <w:tr w:rsidR="00902933" w:rsidRPr="00C324A8">
        <w:trPr>
          <w:cantSplit/>
          <w:trHeight w:val="23"/>
        </w:trPr>
        <w:tc>
          <w:tcPr>
            <w:tcW w:w="6629" w:type="dxa"/>
            <w:vMerge w:val="restart"/>
          </w:tcPr>
          <w:p w:rsidR="00902933" w:rsidRPr="00902933" w:rsidRDefault="00902933" w:rsidP="00902933">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902933" w:rsidRPr="00902933" w:rsidRDefault="00902933" w:rsidP="00902933">
            <w:pPr>
              <w:tabs>
                <w:tab w:val="left" w:pos="851"/>
              </w:tabs>
              <w:spacing w:before="0" w:line="240" w:lineRule="atLeast"/>
              <w:rPr>
                <w:rFonts w:ascii="Verdana" w:hAnsi="Verdana"/>
                <w:sz w:val="20"/>
              </w:rPr>
            </w:pPr>
            <w:r>
              <w:rPr>
                <w:rFonts w:ascii="Verdana" w:hAnsi="Verdana"/>
                <w:b/>
                <w:sz w:val="20"/>
              </w:rPr>
              <w:t>Document 1/1001-F</w:t>
            </w:r>
          </w:p>
        </w:tc>
      </w:tr>
      <w:tr w:rsidR="00902933" w:rsidRPr="00C324A8">
        <w:trPr>
          <w:cantSplit/>
          <w:trHeight w:val="23"/>
        </w:trPr>
        <w:tc>
          <w:tcPr>
            <w:tcW w:w="6629" w:type="dxa"/>
            <w:vMerge/>
          </w:tcPr>
          <w:p w:rsidR="00902933" w:rsidRPr="00C324A8" w:rsidRDefault="00902933">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902933" w:rsidRPr="00902933" w:rsidRDefault="00902933" w:rsidP="00902933">
            <w:pPr>
              <w:tabs>
                <w:tab w:val="left" w:pos="993"/>
              </w:tabs>
              <w:spacing w:before="0"/>
              <w:rPr>
                <w:rFonts w:ascii="Verdana" w:hAnsi="Verdana"/>
                <w:sz w:val="20"/>
              </w:rPr>
            </w:pPr>
            <w:r>
              <w:rPr>
                <w:rFonts w:ascii="Verdana" w:hAnsi="Verdana"/>
                <w:b/>
                <w:sz w:val="20"/>
              </w:rPr>
              <w:t>28 septembre 2015</w:t>
            </w:r>
          </w:p>
        </w:tc>
      </w:tr>
      <w:tr w:rsidR="00902933" w:rsidRPr="00C324A8">
        <w:trPr>
          <w:cantSplit/>
          <w:trHeight w:val="23"/>
        </w:trPr>
        <w:tc>
          <w:tcPr>
            <w:tcW w:w="6629" w:type="dxa"/>
            <w:vMerge/>
          </w:tcPr>
          <w:p w:rsidR="00902933" w:rsidRPr="00C324A8" w:rsidRDefault="00902933">
            <w:pPr>
              <w:tabs>
                <w:tab w:val="left" w:pos="851"/>
              </w:tabs>
              <w:spacing w:line="240" w:lineRule="atLeast"/>
              <w:rPr>
                <w:rFonts w:ascii="Verdana" w:hAnsi="Verdana"/>
                <w:b/>
                <w:sz w:val="20"/>
              </w:rPr>
            </w:pPr>
            <w:bookmarkStart w:id="6" w:name="dorlang" w:colFirst="1" w:colLast="1"/>
            <w:bookmarkEnd w:id="5"/>
          </w:p>
        </w:tc>
        <w:tc>
          <w:tcPr>
            <w:tcW w:w="3402" w:type="dxa"/>
          </w:tcPr>
          <w:p w:rsidR="00902933" w:rsidRPr="00902933" w:rsidRDefault="00902933" w:rsidP="00902933">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902933">
        <w:trPr>
          <w:cantSplit/>
        </w:trPr>
        <w:tc>
          <w:tcPr>
            <w:tcW w:w="10031" w:type="dxa"/>
          </w:tcPr>
          <w:p w:rsidR="00902933" w:rsidRDefault="00902933">
            <w:pPr>
              <w:pStyle w:val="Source"/>
              <w:rPr>
                <w:lang w:val="fr-CH"/>
              </w:rPr>
            </w:pPr>
            <w:bookmarkStart w:id="7" w:name="dsource" w:colFirst="0" w:colLast="0"/>
            <w:bookmarkEnd w:id="4"/>
            <w:bookmarkEnd w:id="6"/>
            <w:r>
              <w:rPr>
                <w:lang w:val="fr-CH"/>
              </w:rPr>
              <w:t xml:space="preserve">Président de la Commission </w:t>
            </w:r>
            <w:bookmarkStart w:id="8" w:name="_GoBack"/>
            <w:bookmarkEnd w:id="8"/>
            <w:r>
              <w:rPr>
                <w:lang w:val="fr-CH"/>
              </w:rPr>
              <w:t>d’études 1 des radiocommunications</w:t>
            </w:r>
          </w:p>
        </w:tc>
      </w:tr>
      <w:tr w:rsidR="00902933">
        <w:trPr>
          <w:cantSplit/>
        </w:trPr>
        <w:tc>
          <w:tcPr>
            <w:tcW w:w="10031" w:type="dxa"/>
          </w:tcPr>
          <w:p w:rsidR="00902933" w:rsidRDefault="00902933">
            <w:pPr>
              <w:pStyle w:val="Title1"/>
              <w:rPr>
                <w:lang w:val="fr-CH"/>
              </w:rPr>
            </w:pPr>
            <w:bookmarkStart w:id="9" w:name="dtitle1" w:colFirst="0" w:colLast="0"/>
            <w:bookmarkEnd w:id="7"/>
            <w:r>
              <w:rPr>
                <w:lang w:val="fr-CH"/>
              </w:rPr>
              <w:t>Rapport DU PRéSIDENT</w:t>
            </w:r>
          </w:p>
        </w:tc>
      </w:tr>
      <w:tr w:rsidR="00902933">
        <w:trPr>
          <w:cantSplit/>
        </w:trPr>
        <w:tc>
          <w:tcPr>
            <w:tcW w:w="10031" w:type="dxa"/>
          </w:tcPr>
          <w:p w:rsidR="00902933" w:rsidRDefault="00902933">
            <w:pPr>
              <w:pStyle w:val="Title2"/>
              <w:rPr>
                <w:lang w:val="fr-CH"/>
              </w:rPr>
            </w:pPr>
            <w:bookmarkStart w:id="10" w:name="dtitle2" w:colFirst="0" w:colLast="0"/>
            <w:bookmarkEnd w:id="9"/>
            <w:r>
              <w:rPr>
                <w:lang w:val="fr-CH"/>
              </w:rPr>
              <w:t>Gestion DU SPECTRE</w:t>
            </w:r>
          </w:p>
        </w:tc>
      </w:tr>
    </w:tbl>
    <w:bookmarkEnd w:id="10"/>
    <w:p w:rsidR="00902933" w:rsidRDefault="00902933" w:rsidP="00902933">
      <w:pPr>
        <w:pStyle w:val="Heading1"/>
      </w:pPr>
      <w:r>
        <w:t>1</w:t>
      </w:r>
      <w:r>
        <w:tab/>
        <w:t>Résumé</w:t>
      </w:r>
    </w:p>
    <w:p w:rsidR="00902933" w:rsidRDefault="00902933" w:rsidP="00A237DA">
      <w:pPr>
        <w:rPr>
          <w:lang w:val="fr-CH"/>
        </w:rPr>
      </w:pPr>
      <w:r>
        <w:rPr>
          <w:lang w:val="fr-CH"/>
        </w:rPr>
        <w:t xml:space="preserve">La </w:t>
      </w:r>
      <w:r w:rsidRPr="00C973D6">
        <w:rPr>
          <w:lang w:val="fr-CH"/>
        </w:rPr>
        <w:t>Commission d</w:t>
      </w:r>
      <w:r>
        <w:rPr>
          <w:lang w:val="fr-CH"/>
        </w:rPr>
        <w:t>'</w:t>
      </w:r>
      <w:r w:rsidRPr="00C973D6">
        <w:rPr>
          <w:lang w:val="fr-CH"/>
        </w:rPr>
        <w:t>études</w:t>
      </w:r>
      <w:r w:rsidR="00C04221">
        <w:rPr>
          <w:lang w:val="fr-CH"/>
        </w:rPr>
        <w:t xml:space="preserve"> (CE) </w:t>
      </w:r>
      <w:r>
        <w:rPr>
          <w:lang w:val="fr-CH"/>
        </w:rPr>
        <w:t xml:space="preserve">1 maintient trois Groupes de travail conformément au § 2 de la Résolution UIT-R 1-6. La </w:t>
      </w:r>
      <w:r w:rsidRPr="00C973D6">
        <w:rPr>
          <w:lang w:val="fr-CH"/>
        </w:rPr>
        <w:t>Commission d</w:t>
      </w:r>
      <w:r>
        <w:rPr>
          <w:lang w:val="fr-CH"/>
        </w:rPr>
        <w:t>'</w:t>
      </w:r>
      <w:r w:rsidRPr="00C973D6">
        <w:rPr>
          <w:lang w:val="fr-CH"/>
        </w:rPr>
        <w:t>études</w:t>
      </w:r>
      <w:r>
        <w:rPr>
          <w:lang w:val="fr-CH"/>
        </w:rPr>
        <w:t xml:space="preserve"> et le</w:t>
      </w:r>
      <w:r w:rsidR="00A237DA">
        <w:rPr>
          <w:lang w:val="fr-CH"/>
        </w:rPr>
        <w:t>s</w:t>
      </w:r>
      <w:r>
        <w:rPr>
          <w:lang w:val="fr-CH"/>
        </w:rPr>
        <w:t xml:space="preserve"> </w:t>
      </w:r>
      <w:r w:rsidR="00A237DA">
        <w:rPr>
          <w:lang w:val="fr-CH"/>
        </w:rPr>
        <w:t>Groupes de travail</w:t>
      </w:r>
      <w:r w:rsidR="00B219C9">
        <w:rPr>
          <w:lang w:val="fr-CH"/>
        </w:rPr>
        <w:t xml:space="preserve"> 1A et </w:t>
      </w:r>
      <w:r>
        <w:rPr>
          <w:lang w:val="fr-CH"/>
        </w:rPr>
        <w:t>1C se sont réunis à quatre reprises au cours de la présente période d'études et le</w:t>
      </w:r>
      <w:r w:rsidR="00A237DA">
        <w:rPr>
          <w:lang w:val="fr-CH"/>
        </w:rPr>
        <w:t xml:space="preserve"> Groupe </w:t>
      </w:r>
      <w:r>
        <w:rPr>
          <w:lang w:val="fr-CH"/>
        </w:rPr>
        <w:t>de travail (GT)</w:t>
      </w:r>
      <w:r w:rsidR="00A237DA">
        <w:rPr>
          <w:lang w:val="fr-CH"/>
        </w:rPr>
        <w:t xml:space="preserve"> </w:t>
      </w:r>
      <w:r w:rsidRPr="005D6746">
        <w:t>1B</w:t>
      </w:r>
      <w:r w:rsidR="00A237DA">
        <w:t xml:space="preserve"> a tenu</w:t>
      </w:r>
      <w:r>
        <w:t xml:space="preserve"> cinq </w:t>
      </w:r>
      <w:r w:rsidR="00A237DA">
        <w:t>réunions</w:t>
      </w:r>
      <w:r>
        <w:t>.</w:t>
      </w:r>
    </w:p>
    <w:p w:rsidR="00902933" w:rsidRDefault="00902933" w:rsidP="00A237DA">
      <w:pPr>
        <w:rPr>
          <w:lang w:val="fr-CH"/>
        </w:rPr>
      </w:pPr>
      <w:r>
        <w:rPr>
          <w:lang w:val="fr-CH"/>
        </w:rPr>
        <w:t>Pendant la période d'études</w:t>
      </w:r>
      <w:r w:rsidR="00A237DA">
        <w:rPr>
          <w:lang w:val="fr-CH"/>
        </w:rPr>
        <w:t xml:space="preserve"> considérée</w:t>
      </w:r>
      <w:r>
        <w:rPr>
          <w:lang w:val="fr-CH"/>
        </w:rPr>
        <w:t>, la Co</w:t>
      </w:r>
      <w:r w:rsidR="00B219C9">
        <w:rPr>
          <w:lang w:val="fr-CH"/>
        </w:rPr>
        <w:t xml:space="preserve">mmission d’études1 a adopté un projet </w:t>
      </w:r>
      <w:r>
        <w:rPr>
          <w:lang w:val="fr-CH"/>
        </w:rPr>
        <w:t>de nouvelle Question et quatre projets de Question révisée, e</w:t>
      </w:r>
      <w:r w:rsidR="00B219C9">
        <w:rPr>
          <w:lang w:val="fr-CH"/>
        </w:rPr>
        <w:t xml:space="preserve">t a proposé la suppression de </w:t>
      </w:r>
      <w:r>
        <w:rPr>
          <w:lang w:val="fr-CH"/>
        </w:rPr>
        <w:t xml:space="preserve">deux Questions. Les </w:t>
      </w:r>
      <w:r w:rsidRPr="00681ED3">
        <w:rPr>
          <w:lang w:val="fr-CH"/>
        </w:rPr>
        <w:t>Etats Membres</w:t>
      </w:r>
      <w:r>
        <w:rPr>
          <w:lang w:val="fr-CH"/>
        </w:rPr>
        <w:t xml:space="preserve"> ont approuvé ces mesures. Toujours pendant </w:t>
      </w:r>
      <w:r w:rsidR="00A237DA">
        <w:rPr>
          <w:lang w:val="fr-CH"/>
        </w:rPr>
        <w:t>cette</w:t>
      </w:r>
      <w:r>
        <w:rPr>
          <w:lang w:val="fr-CH"/>
        </w:rPr>
        <w:t xml:space="preserve"> période, la Commission d’études1 a adopté cinq projets de nouvelle Recommandation et vingt projets de Recommandation révisée, et a proposé la suppression de trois Recommandations. Les </w:t>
      </w:r>
      <w:r w:rsidRPr="00513D90">
        <w:rPr>
          <w:lang w:val="fr-CH"/>
        </w:rPr>
        <w:t>Etats Membres</w:t>
      </w:r>
      <w:r>
        <w:rPr>
          <w:lang w:val="fr-CH"/>
        </w:rPr>
        <w:t xml:space="preserve"> ont également approuvé ces mesures. La Commission d’études</w:t>
      </w:r>
      <w:r w:rsidR="00A237DA">
        <w:rPr>
          <w:lang w:val="fr-CH"/>
        </w:rPr>
        <w:t xml:space="preserve"> </w:t>
      </w:r>
      <w:r>
        <w:rPr>
          <w:lang w:val="fr-CH"/>
        </w:rPr>
        <w:t xml:space="preserve">1 ne soumet pas de projets de Question </w:t>
      </w:r>
      <w:r w:rsidR="00A237DA">
        <w:rPr>
          <w:lang w:val="fr-CH"/>
        </w:rPr>
        <w:t>ou</w:t>
      </w:r>
      <w:r>
        <w:rPr>
          <w:lang w:val="fr-CH"/>
        </w:rPr>
        <w:t xml:space="preserve"> de projets de Recommandation à l'Assemblée des radiocommunications, pour approbation.</w:t>
      </w:r>
    </w:p>
    <w:p w:rsidR="00902933" w:rsidRDefault="00902933" w:rsidP="00A237DA">
      <w:pPr>
        <w:rPr>
          <w:lang w:val="fr-CH"/>
        </w:rPr>
      </w:pPr>
      <w:r>
        <w:rPr>
          <w:lang w:val="fr-CH"/>
        </w:rPr>
        <w:t>Pendant la</w:t>
      </w:r>
      <w:r w:rsidR="00A237DA">
        <w:rPr>
          <w:lang w:val="fr-CH"/>
        </w:rPr>
        <w:t xml:space="preserve"> </w:t>
      </w:r>
      <w:r>
        <w:rPr>
          <w:lang w:val="fr-CH"/>
        </w:rPr>
        <w:t>période d'études</w:t>
      </w:r>
      <w:r w:rsidR="00A237DA">
        <w:rPr>
          <w:lang w:val="fr-CH"/>
        </w:rPr>
        <w:t xml:space="preserve"> considérée</w:t>
      </w:r>
      <w:r>
        <w:rPr>
          <w:lang w:val="fr-CH"/>
        </w:rPr>
        <w:t>, la Commission d'études a approuvé quatorze nouveaux Rapports et treize Rapports révisés.</w:t>
      </w:r>
    </w:p>
    <w:p w:rsidR="00902933" w:rsidRDefault="00902933" w:rsidP="00A237DA">
      <w:pPr>
        <w:rPr>
          <w:lang w:val="fr-CH"/>
        </w:rPr>
      </w:pPr>
      <w:r>
        <w:rPr>
          <w:lang w:val="fr-CH"/>
        </w:rPr>
        <w:t xml:space="preserve">Dans le cadre de la préparation de la </w:t>
      </w:r>
      <w:r w:rsidRPr="00513D90">
        <w:rPr>
          <w:lang w:val="fr-CH"/>
        </w:rPr>
        <w:t>Conférence mondiale des radiocommunications</w:t>
      </w:r>
      <w:r w:rsidR="00B219C9">
        <w:rPr>
          <w:lang w:val="fr-CH"/>
        </w:rPr>
        <w:t xml:space="preserve"> de 2015 </w:t>
      </w:r>
      <w:r w:rsidR="00CF6C20">
        <w:rPr>
          <w:lang w:val="fr-CH"/>
        </w:rPr>
        <w:t>(CMR</w:t>
      </w:r>
      <w:r w:rsidR="00CF6C20">
        <w:rPr>
          <w:lang w:val="fr-CH"/>
        </w:rPr>
        <w:noBreakHyphen/>
        <w:t>15</w:t>
      </w:r>
      <w:r>
        <w:rPr>
          <w:lang w:val="fr-CH"/>
        </w:rPr>
        <w:t xml:space="preserve">) </w:t>
      </w:r>
      <w:r w:rsidR="00A237DA">
        <w:rPr>
          <w:lang w:val="fr-CH"/>
        </w:rPr>
        <w:t>et de la seconde session de la R</w:t>
      </w:r>
      <w:r>
        <w:rPr>
          <w:lang w:val="fr-CH"/>
        </w:rPr>
        <w:t>éunion de préparation à l</w:t>
      </w:r>
      <w:r w:rsidR="00B219C9">
        <w:rPr>
          <w:lang w:val="fr-CH"/>
        </w:rPr>
        <w:t>a CMR-15 (RPC15</w:t>
      </w:r>
      <w:r w:rsidR="00B219C9">
        <w:rPr>
          <w:lang w:val="fr-CH"/>
        </w:rPr>
        <w:noBreakHyphen/>
        <w:t xml:space="preserve">2), le GT </w:t>
      </w:r>
      <w:r>
        <w:rPr>
          <w:lang w:val="fr-CH"/>
        </w:rPr>
        <w:t>1B a mené à bie</w:t>
      </w:r>
      <w:r w:rsidR="00A237DA">
        <w:rPr>
          <w:lang w:val="fr-CH"/>
        </w:rPr>
        <w:t xml:space="preserve">n des études </w:t>
      </w:r>
      <w:r>
        <w:rPr>
          <w:color w:val="000000"/>
        </w:rPr>
        <w:t>et élaboré des projets de texte pour la RPC concernant les</w:t>
      </w:r>
      <w:r w:rsidRPr="00E224EA">
        <w:t xml:space="preserve"> </w:t>
      </w:r>
      <w:r>
        <w:rPr>
          <w:color w:val="000000"/>
        </w:rPr>
        <w:t xml:space="preserve">Questions </w:t>
      </w:r>
      <w:r w:rsidR="00A237DA">
        <w:rPr>
          <w:color w:val="000000"/>
        </w:rPr>
        <w:t>9.1.4 (Ré</w:t>
      </w:r>
      <w:r w:rsidRPr="00E224EA">
        <w:rPr>
          <w:color w:val="000000"/>
        </w:rPr>
        <w:t xml:space="preserve">s. </w:t>
      </w:r>
      <w:r w:rsidR="00553090">
        <w:rPr>
          <w:b/>
          <w:bCs/>
          <w:color w:val="000000"/>
        </w:rPr>
        <w:t>67 (CMR</w:t>
      </w:r>
      <w:r w:rsidR="00A237DA" w:rsidRPr="00F6597F">
        <w:rPr>
          <w:b/>
          <w:bCs/>
          <w:color w:val="000000"/>
        </w:rPr>
        <w:t>-12)</w:t>
      </w:r>
      <w:r w:rsidR="00A237DA">
        <w:rPr>
          <w:color w:val="000000"/>
        </w:rPr>
        <w:t>), 9.1.6 (Ré</w:t>
      </w:r>
      <w:r w:rsidRPr="00E224EA">
        <w:rPr>
          <w:color w:val="000000"/>
        </w:rPr>
        <w:t xml:space="preserve">s. </w:t>
      </w:r>
      <w:r w:rsidR="00553090">
        <w:rPr>
          <w:b/>
          <w:bCs/>
          <w:color w:val="000000"/>
        </w:rPr>
        <w:t>957 (CMR</w:t>
      </w:r>
      <w:r w:rsidRPr="00F6597F">
        <w:rPr>
          <w:b/>
          <w:bCs/>
          <w:color w:val="000000"/>
        </w:rPr>
        <w:t>-12)</w:t>
      </w:r>
      <w:r w:rsidRPr="00E224EA">
        <w:rPr>
          <w:color w:val="000000"/>
        </w:rPr>
        <w:t xml:space="preserve">) </w:t>
      </w:r>
      <w:r>
        <w:rPr>
          <w:color w:val="000000"/>
        </w:rPr>
        <w:t xml:space="preserve">et </w:t>
      </w:r>
      <w:r w:rsidR="00A237DA">
        <w:rPr>
          <w:color w:val="000000"/>
        </w:rPr>
        <w:t xml:space="preserve">9.1.7 (Rés. </w:t>
      </w:r>
      <w:r w:rsidR="00553090">
        <w:rPr>
          <w:b/>
          <w:bCs/>
          <w:color w:val="000000"/>
        </w:rPr>
        <w:t>647</w:t>
      </w:r>
      <w:r w:rsidR="00A237DA" w:rsidRPr="00F6597F">
        <w:rPr>
          <w:b/>
          <w:bCs/>
          <w:color w:val="000000"/>
        </w:rPr>
        <w:t>(Ré</w:t>
      </w:r>
      <w:r w:rsidR="00C4409C">
        <w:rPr>
          <w:b/>
          <w:bCs/>
          <w:color w:val="000000"/>
        </w:rPr>
        <w:t>v.CMR</w:t>
      </w:r>
      <w:r w:rsidRPr="00F6597F">
        <w:rPr>
          <w:b/>
          <w:bCs/>
          <w:color w:val="000000"/>
        </w:rPr>
        <w:t>-12)</w:t>
      </w:r>
      <w:r w:rsidRPr="00E224EA">
        <w:rPr>
          <w:color w:val="000000"/>
        </w:rPr>
        <w:t>)</w:t>
      </w:r>
      <w:r>
        <w:rPr>
          <w:color w:val="000000"/>
        </w:rPr>
        <w:t xml:space="preserve"> identifiées par la</w:t>
      </w:r>
      <w:r w:rsidRPr="00E224EA">
        <w:rPr>
          <w:color w:val="000000"/>
        </w:rPr>
        <w:t xml:space="preserve"> </w:t>
      </w:r>
      <w:r>
        <w:rPr>
          <w:lang w:val="fr-CH"/>
        </w:rPr>
        <w:t>RPC15</w:t>
      </w:r>
      <w:r>
        <w:rPr>
          <w:lang w:val="fr-CH"/>
        </w:rPr>
        <w:noBreakHyphen/>
        <w:t>1 au titre</w:t>
      </w:r>
      <w:r w:rsidRPr="00E224EA">
        <w:rPr>
          <w:lang w:val="fr-CH"/>
        </w:rPr>
        <w:t xml:space="preserve"> </w:t>
      </w:r>
      <w:r w:rsidR="00B219C9">
        <w:rPr>
          <w:lang w:val="fr-CH"/>
        </w:rPr>
        <w:t xml:space="preserve">du point  9.1 </w:t>
      </w:r>
      <w:r>
        <w:rPr>
          <w:lang w:val="fr-CH"/>
        </w:rPr>
        <w:t>de l'ordre du jour de la CMR-15</w:t>
      </w:r>
      <w:r w:rsidR="00A237DA">
        <w:rPr>
          <w:lang w:val="fr-CH"/>
        </w:rPr>
        <w:t>.</w:t>
      </w:r>
    </w:p>
    <w:p w:rsidR="00902933" w:rsidRDefault="00902933" w:rsidP="00A237DA">
      <w:pPr>
        <w:rPr>
          <w:lang w:val="fr-CH"/>
        </w:rPr>
      </w:pPr>
      <w:r>
        <w:rPr>
          <w:lang w:val="fr-CH"/>
        </w:rPr>
        <w:t>Outre ses activités ponctuelles de liaison avec d'autres groupes ou commissions de l'UIT-R, la Commission d’études</w:t>
      </w:r>
      <w:r w:rsidR="00A237DA">
        <w:rPr>
          <w:lang w:val="fr-CH"/>
        </w:rPr>
        <w:t xml:space="preserve"> </w:t>
      </w:r>
      <w:r>
        <w:rPr>
          <w:lang w:val="fr-CH"/>
        </w:rPr>
        <w:t xml:space="preserve">1 continue </w:t>
      </w:r>
      <w:r w:rsidR="00A237DA">
        <w:rPr>
          <w:lang w:val="fr-CH"/>
        </w:rPr>
        <w:t>de collaborer</w:t>
      </w:r>
      <w:r>
        <w:rPr>
          <w:lang w:val="fr-CH"/>
        </w:rPr>
        <w:t xml:space="preserve"> avec d'autres groupes, notamment avec le Secteur du développement de l'</w:t>
      </w:r>
      <w:r w:rsidR="00A237DA">
        <w:rPr>
          <w:lang w:val="fr-CH"/>
        </w:rPr>
        <w:t>UIT, avec lequel elle poursuit l</w:t>
      </w:r>
      <w:r>
        <w:rPr>
          <w:lang w:val="fr-CH"/>
        </w:rPr>
        <w:t xml:space="preserve">es études sur la gestion du spectre, l'élaboration de logiciels et les activités de contrôle des émissions, dans le cadre </w:t>
      </w:r>
      <w:r>
        <w:rPr>
          <w:color w:val="000000"/>
        </w:rPr>
        <w:t xml:space="preserve">du Groupe mixte UIT-D/UIT-R sur la Résolution 9 </w:t>
      </w:r>
      <w:r w:rsidR="00A237DA">
        <w:rPr>
          <w:lang w:val="fr-CH"/>
        </w:rPr>
        <w:t>(Ré</w:t>
      </w:r>
      <w:r w:rsidRPr="00B3721A">
        <w:rPr>
          <w:lang w:val="fr-CH"/>
        </w:rPr>
        <w:t>v.</w:t>
      </w:r>
      <w:r>
        <w:rPr>
          <w:lang w:val="fr-CH"/>
        </w:rPr>
        <w:t>CMDT</w:t>
      </w:r>
      <w:r w:rsidR="00A237DA">
        <w:rPr>
          <w:lang w:val="fr-CH"/>
        </w:rPr>
        <w:t>-06)</w:t>
      </w:r>
      <w:r>
        <w:rPr>
          <w:lang w:val="fr-CH"/>
        </w:rPr>
        <w:t>, le Secteur de la normalisatio</w:t>
      </w:r>
      <w:r w:rsidR="00A237DA">
        <w:rPr>
          <w:lang w:val="fr-CH"/>
        </w:rPr>
        <w:t>n de l'UIT, en particulier sur l</w:t>
      </w:r>
      <w:r>
        <w:rPr>
          <w:lang w:val="fr-CH"/>
        </w:rPr>
        <w:t xml:space="preserve">es questions liées à la compatibilité entre les services de radiocommunication et les systèmes </w:t>
      </w:r>
      <w:r>
        <w:rPr>
          <w:lang w:val="fr-RE"/>
        </w:rPr>
        <w:t>de télécommunication à courants porteurs en ligne (CPL)</w:t>
      </w:r>
      <w:r w:rsidR="00A237DA">
        <w:rPr>
          <w:lang w:val="fr-CH"/>
        </w:rPr>
        <w:t>, et</w:t>
      </w:r>
      <w:r>
        <w:rPr>
          <w:lang w:val="fr-CH"/>
        </w:rPr>
        <w:t xml:space="preserve"> le Comité international spécial des perturbations radioélectriques (CISPR), avec lequel elle travaille à la limitation du niveau des rayonnements des appareils industriels, scientifiques et médicaux (ISM) pour protéger les services de radiocommunication.</w:t>
      </w:r>
    </w:p>
    <w:p w:rsidR="00902933" w:rsidRDefault="00902933" w:rsidP="00A237DA">
      <w:r>
        <w:rPr>
          <w:lang w:val="fr-CH"/>
        </w:rPr>
        <w:lastRenderedPageBreak/>
        <w:t>Pendant la période d'études</w:t>
      </w:r>
      <w:r w:rsidR="00A237DA">
        <w:rPr>
          <w:lang w:val="fr-CH"/>
        </w:rPr>
        <w:t xml:space="preserve"> considérée</w:t>
      </w:r>
      <w:r>
        <w:rPr>
          <w:lang w:val="fr-CH"/>
        </w:rPr>
        <w:t>, le GT</w:t>
      </w:r>
      <w:r w:rsidRPr="00B3721A">
        <w:t xml:space="preserve"> </w:t>
      </w:r>
      <w:r w:rsidRPr="00B3721A">
        <w:rPr>
          <w:lang w:val="fr-CH"/>
        </w:rPr>
        <w:t xml:space="preserve">1A </w:t>
      </w:r>
      <w:r>
        <w:rPr>
          <w:lang w:val="fr-CH"/>
        </w:rPr>
        <w:t xml:space="preserve">a élaboré l’édition de 2015 du </w:t>
      </w:r>
      <w:r>
        <w:rPr>
          <w:color w:val="000000"/>
        </w:rPr>
        <w:t xml:space="preserve">Manuel de l’UIT – </w:t>
      </w:r>
      <w:r w:rsidRPr="00F6597F">
        <w:rPr>
          <w:i/>
          <w:iCs/>
          <w:color w:val="000000"/>
        </w:rPr>
        <w:t>Application des techniques informatiques à la gestion du spectre radioélectrique (CAT)</w:t>
      </w:r>
      <w:r w:rsidRPr="00B3721A">
        <w:rPr>
          <w:lang w:val="fr-CH"/>
        </w:rPr>
        <w:t xml:space="preserve"> </w:t>
      </w:r>
      <w:r>
        <w:rPr>
          <w:lang w:val="fr-CH"/>
        </w:rPr>
        <w:t>et le GT</w:t>
      </w:r>
      <w:r w:rsidRPr="00B3721A">
        <w:rPr>
          <w:lang w:val="fr-CH"/>
        </w:rPr>
        <w:t xml:space="preserve"> 1B </w:t>
      </w:r>
      <w:r>
        <w:rPr>
          <w:lang w:val="fr-CH"/>
        </w:rPr>
        <w:t xml:space="preserve">a élaboré l'édition de </w:t>
      </w:r>
      <w:r w:rsidRPr="00B3721A">
        <w:rPr>
          <w:lang w:val="fr-CH"/>
        </w:rPr>
        <w:t>2015</w:t>
      </w:r>
      <w:r>
        <w:rPr>
          <w:lang w:val="fr-CH"/>
        </w:rPr>
        <w:t xml:space="preserve"> du </w:t>
      </w:r>
      <w:r w:rsidRPr="00F6597F">
        <w:rPr>
          <w:i/>
          <w:iCs/>
          <w:color w:val="000000"/>
        </w:rPr>
        <w:t>Manuel de l’UIT sur la gestion nationale du spectre</w:t>
      </w:r>
      <w:r>
        <w:rPr>
          <w:color w:val="000000"/>
        </w:rPr>
        <w:t>, qui a été approuvée par la CE 1</w:t>
      </w:r>
      <w:r w:rsidRPr="005D6746">
        <w:t>.</w:t>
      </w:r>
    </w:p>
    <w:p w:rsidR="00902933" w:rsidRDefault="00902933" w:rsidP="00902933">
      <w:pPr>
        <w:rPr>
          <w:lang w:val="fr-CH"/>
        </w:rPr>
      </w:pPr>
      <w:r>
        <w:rPr>
          <w:lang w:val="fr-CH"/>
        </w:rPr>
        <w:t xml:space="preserve">Outre le présent Rapport du Président, </w:t>
      </w:r>
      <w:r>
        <w:rPr>
          <w:color w:val="000000"/>
        </w:rPr>
        <w:t xml:space="preserve">la </w:t>
      </w:r>
      <w:r w:rsidRPr="00BC2E38">
        <w:rPr>
          <w:rStyle w:val="Emphasis"/>
          <w:i w:val="0"/>
          <w:iCs w:val="0"/>
        </w:rPr>
        <w:t>CE</w:t>
      </w:r>
      <w:r w:rsidRPr="001A769B">
        <w:rPr>
          <w:rStyle w:val="Emphasis"/>
        </w:rPr>
        <w:t xml:space="preserve"> </w:t>
      </w:r>
      <w:r>
        <w:rPr>
          <w:color w:val="000000"/>
        </w:rPr>
        <w:t>1</w:t>
      </w:r>
      <w:r>
        <w:rPr>
          <w:lang w:val="fr-CH"/>
        </w:rPr>
        <w:t xml:space="preserve"> présente trois autres contributions à l'As</w:t>
      </w:r>
      <w:r w:rsidR="00A237DA">
        <w:rPr>
          <w:lang w:val="fr-CH"/>
        </w:rPr>
        <w:t>semblée des radiocommunications, à savoir:</w:t>
      </w:r>
    </w:p>
    <w:p w:rsidR="00902933" w:rsidRDefault="00902933" w:rsidP="00902933">
      <w:pPr>
        <w:pStyle w:val="enumlev1"/>
        <w:rPr>
          <w:lang w:val="fr-CH"/>
        </w:rPr>
      </w:pPr>
      <w:r w:rsidRPr="00A86941">
        <w:rPr>
          <w:lang w:val="fr-CH"/>
        </w:rPr>
        <w:t>–</w:t>
      </w:r>
      <w:r w:rsidR="00A237DA">
        <w:rPr>
          <w:lang w:val="fr-CH"/>
        </w:rPr>
        <w:tab/>
      </w:r>
      <w:r>
        <w:rPr>
          <w:lang w:val="fr-CH"/>
        </w:rPr>
        <w:t>liste des Recommandations UIT-R de la série SM (Document 1/1002);</w:t>
      </w:r>
    </w:p>
    <w:p w:rsidR="00902933" w:rsidRDefault="00902933" w:rsidP="00A237DA">
      <w:pPr>
        <w:pStyle w:val="enumlev1"/>
        <w:rPr>
          <w:lang w:val="fr-CH"/>
        </w:rPr>
      </w:pPr>
      <w:r w:rsidRPr="00A86941">
        <w:rPr>
          <w:lang w:val="fr-CH"/>
        </w:rPr>
        <w:t>–</w:t>
      </w:r>
      <w:r w:rsidR="00A237DA">
        <w:rPr>
          <w:lang w:val="fr-CH"/>
        </w:rPr>
        <w:tab/>
      </w:r>
      <w:r>
        <w:rPr>
          <w:lang w:val="fr-CH"/>
        </w:rPr>
        <w:t xml:space="preserve">liste des Questions UIT-R </w:t>
      </w:r>
      <w:r w:rsidR="00A237DA">
        <w:rPr>
          <w:lang w:val="fr-CH"/>
        </w:rPr>
        <w:t>confiées</w:t>
      </w:r>
      <w:r>
        <w:rPr>
          <w:lang w:val="fr-CH"/>
        </w:rPr>
        <w:t xml:space="preserve"> à la CE 1 (Document 1/1003);</w:t>
      </w:r>
    </w:p>
    <w:p w:rsidR="00902933" w:rsidRDefault="00902933" w:rsidP="00A237DA">
      <w:pPr>
        <w:pStyle w:val="enumlev1"/>
        <w:rPr>
          <w:lang w:val="fr-CH"/>
        </w:rPr>
      </w:pPr>
      <w:r w:rsidRPr="00A86941">
        <w:rPr>
          <w:lang w:val="fr-CH"/>
        </w:rPr>
        <w:t>–</w:t>
      </w:r>
      <w:r>
        <w:rPr>
          <w:lang w:val="fr-CH"/>
        </w:rPr>
        <w:tab/>
        <w:t xml:space="preserve">proposition </w:t>
      </w:r>
      <w:r w:rsidR="00A237DA">
        <w:rPr>
          <w:lang w:val="fr-CH"/>
        </w:rPr>
        <w:t>sur la suite à donner à</w:t>
      </w:r>
      <w:r w:rsidR="00BD6917">
        <w:rPr>
          <w:lang w:val="fr-CH"/>
        </w:rPr>
        <w:t xml:space="preserve"> onze </w:t>
      </w:r>
      <w:r>
        <w:rPr>
          <w:lang w:val="fr-CH"/>
        </w:rPr>
        <w:t>Résolutions de l'UIT</w:t>
      </w:r>
      <w:r>
        <w:rPr>
          <w:lang w:val="fr-CH"/>
        </w:rPr>
        <w:noBreakHyphen/>
        <w:t xml:space="preserve">R présentant un intérêt particulier pour la Commission d'études 1, </w:t>
      </w:r>
      <w:r w:rsidR="00A237DA">
        <w:rPr>
          <w:lang w:val="fr-CH"/>
        </w:rPr>
        <w:t>et</w:t>
      </w:r>
      <w:r>
        <w:rPr>
          <w:lang w:val="fr-CH"/>
        </w:rPr>
        <w:t xml:space="preserve"> projet de révision de cinq de ces R</w:t>
      </w:r>
      <w:r w:rsidR="00A237DA">
        <w:rPr>
          <w:lang w:val="fr-CH"/>
        </w:rPr>
        <w:t xml:space="preserve">ésolutions (Document 1/1004 et </w:t>
      </w:r>
      <w:r>
        <w:rPr>
          <w:lang w:val="fr-CH"/>
        </w:rPr>
        <w:t>Annexes 1 à 5).</w:t>
      </w:r>
    </w:p>
    <w:p w:rsidR="00902933" w:rsidRDefault="00902933" w:rsidP="00A237DA">
      <w:pPr>
        <w:pStyle w:val="Heading1"/>
        <w:rPr>
          <w:lang w:val="fr-CH"/>
        </w:rPr>
      </w:pPr>
      <w:r>
        <w:rPr>
          <w:lang w:val="fr-CH"/>
        </w:rPr>
        <w:t>2</w:t>
      </w:r>
      <w:r>
        <w:rPr>
          <w:lang w:val="fr-CH"/>
        </w:rPr>
        <w:tab/>
        <w:t>Programme de travail</w:t>
      </w:r>
    </w:p>
    <w:p w:rsidR="00902933" w:rsidRDefault="00902933" w:rsidP="00BC2E38">
      <w:pPr>
        <w:rPr>
          <w:lang w:val="fr-CH"/>
        </w:rPr>
      </w:pPr>
      <w:r>
        <w:rPr>
          <w:lang w:val="fr-CH"/>
        </w:rPr>
        <w:t xml:space="preserve">Depuis l'Assemblée des radiocommunications de 2012, douze Questions ont été </w:t>
      </w:r>
      <w:r w:rsidR="00BC2E38">
        <w:rPr>
          <w:lang w:val="fr-CH"/>
        </w:rPr>
        <w:t>attribuées</w:t>
      </w:r>
      <w:r>
        <w:rPr>
          <w:lang w:val="fr-CH"/>
        </w:rPr>
        <w:t xml:space="preserve"> à la </w:t>
      </w:r>
      <w:r w:rsidR="00C4409C">
        <w:rPr>
          <w:lang w:val="fr-CH"/>
        </w:rPr>
        <w:t>Commission</w:t>
      </w:r>
      <w:r w:rsidR="00BC2E38">
        <w:rPr>
          <w:lang w:val="fr-CH"/>
        </w:rPr>
        <w:t xml:space="preserve"> d'études</w:t>
      </w:r>
      <w:r>
        <w:rPr>
          <w:lang w:val="fr-CH"/>
        </w:rPr>
        <w:t xml:space="preserve"> 1 (voir l'Annexe 1 de la Résolution UIT-R 5-5). Pendant la période d'études</w:t>
      </w:r>
      <w:r w:rsidR="00BC2E38">
        <w:rPr>
          <w:lang w:val="fr-CH"/>
        </w:rPr>
        <w:t xml:space="preserve"> considérée</w:t>
      </w:r>
      <w:r>
        <w:rPr>
          <w:lang w:val="fr-CH"/>
        </w:rPr>
        <w:t>, la C</w:t>
      </w:r>
      <w:r w:rsidR="00BC2E38">
        <w:rPr>
          <w:lang w:val="fr-CH"/>
        </w:rPr>
        <w:t>ommission d'études</w:t>
      </w:r>
      <w:r w:rsidR="00BD6917">
        <w:rPr>
          <w:lang w:val="fr-CH"/>
        </w:rPr>
        <w:t xml:space="preserve"> 1 a adopté un projet </w:t>
      </w:r>
      <w:r>
        <w:rPr>
          <w:lang w:val="fr-CH"/>
        </w:rPr>
        <w:t>de nouvelle Question,</w:t>
      </w:r>
      <w:r w:rsidR="00BC2E38">
        <w:rPr>
          <w:lang w:val="fr-CH"/>
        </w:rPr>
        <w:t xml:space="preserve"> et</w:t>
      </w:r>
      <w:r>
        <w:rPr>
          <w:lang w:val="fr-CH"/>
        </w:rPr>
        <w:t xml:space="preserve"> quatre autres</w:t>
      </w:r>
      <w:r w:rsidR="00BC2E38">
        <w:rPr>
          <w:lang w:val="fr-CH"/>
        </w:rPr>
        <w:t xml:space="preserve"> projets de Question révisée</w:t>
      </w:r>
      <w:r>
        <w:rPr>
          <w:lang w:val="fr-CH"/>
        </w:rPr>
        <w:t xml:space="preserve"> et a proposé la suppression de deux Questions (voir le § 5). Par la suite, les Etats Membres ont approuvé ces mesures.</w:t>
      </w:r>
    </w:p>
    <w:p w:rsidR="00902933" w:rsidRDefault="00902933" w:rsidP="00BC2E38">
      <w:pPr>
        <w:rPr>
          <w:lang w:val="fr-CH"/>
        </w:rPr>
      </w:pPr>
      <w:r>
        <w:t xml:space="preserve">Les activités de la </w:t>
      </w:r>
      <w:r w:rsidR="00BC2E38">
        <w:t>Commission d'études</w:t>
      </w:r>
      <w:r>
        <w:t xml:space="preserve"> 1 </w:t>
      </w:r>
      <w:r w:rsidR="00BC2E38">
        <w:t>en vue</w:t>
      </w:r>
      <w:r>
        <w:t xml:space="preserve"> de la Conférence mondiale d</w:t>
      </w:r>
      <w:r w:rsidR="00BD6917">
        <w:t xml:space="preserve">es radiocommunications de 2015 </w:t>
      </w:r>
      <w:r>
        <w:t>sont décrites au § 6</w:t>
      </w:r>
      <w:r>
        <w:rPr>
          <w:lang w:val="fr-CH"/>
        </w:rPr>
        <w:t>.</w:t>
      </w:r>
    </w:p>
    <w:p w:rsidR="00902933" w:rsidRPr="008746CF" w:rsidRDefault="00902933" w:rsidP="00902933">
      <w:pPr>
        <w:pStyle w:val="Heading1"/>
      </w:pPr>
      <w:r>
        <w:t>3</w:t>
      </w:r>
      <w:r w:rsidRPr="008746CF">
        <w:tab/>
        <w:t>Structure et responsables</w:t>
      </w:r>
    </w:p>
    <w:p w:rsidR="00902933" w:rsidRDefault="00902933" w:rsidP="00902933">
      <w:pPr>
        <w:pStyle w:val="Heading2"/>
      </w:pPr>
      <w:r>
        <w:t>3.1</w:t>
      </w:r>
      <w:r>
        <w:tab/>
        <w:t>Commission d'études 1</w:t>
      </w:r>
    </w:p>
    <w:p w:rsidR="00902933" w:rsidRPr="007E7541" w:rsidRDefault="00902933" w:rsidP="00BC2E38">
      <w:r>
        <w:t xml:space="preserve">L'Assemblée des radiocommunications de 2012 a nommé un Président et neuf Vice-Présidents </w:t>
      </w:r>
      <w:r w:rsidR="00BC2E38">
        <w:t>de</w:t>
      </w:r>
      <w:r>
        <w:t xml:space="preserve"> la Commission d'études 1:</w:t>
      </w:r>
    </w:p>
    <w:p w:rsidR="00902933" w:rsidRPr="006971DD" w:rsidRDefault="00902933" w:rsidP="00902933">
      <w:pPr>
        <w:tabs>
          <w:tab w:val="clear" w:pos="1134"/>
          <w:tab w:val="clear" w:pos="1871"/>
          <w:tab w:val="left" w:pos="5670"/>
        </w:tabs>
        <w:rPr>
          <w:lang w:val="fr-CH"/>
        </w:rPr>
      </w:pPr>
      <w:r w:rsidRPr="009C68A7">
        <w:rPr>
          <w:iCs/>
          <w:lang w:val="fr-CH"/>
        </w:rPr>
        <w:t>Président: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18"/>
      </w:tblGrid>
      <w:tr w:rsidR="00902933" w:rsidRPr="00A22671" w:rsidTr="007D5428">
        <w:trPr>
          <w:cantSplit/>
          <w:jc w:val="center"/>
        </w:trPr>
        <w:tc>
          <w:tcPr>
            <w:tcW w:w="3828" w:type="dxa"/>
            <w:vAlign w:val="center"/>
          </w:tcPr>
          <w:p w:rsidR="00902933" w:rsidRPr="00A22671" w:rsidRDefault="00902933" w:rsidP="007D5428">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spacing w:before="20"/>
              <w:rPr>
                <w:rFonts w:asciiTheme="majorBidi" w:hAnsiTheme="majorBidi" w:cstheme="majorBidi"/>
                <w:sz w:val="24"/>
                <w:szCs w:val="24"/>
              </w:rPr>
            </w:pPr>
            <w:r w:rsidRPr="00A22671">
              <w:rPr>
                <w:rFonts w:asciiTheme="majorBidi" w:hAnsiTheme="majorBidi" w:cstheme="majorBidi"/>
                <w:sz w:val="24"/>
                <w:szCs w:val="24"/>
              </w:rPr>
              <w:t>Dr S.Y. PASTUKH</w:t>
            </w:r>
          </w:p>
        </w:tc>
        <w:tc>
          <w:tcPr>
            <w:tcW w:w="4218" w:type="dxa"/>
            <w:vAlign w:val="center"/>
          </w:tcPr>
          <w:p w:rsidR="00902933" w:rsidRPr="00A22671" w:rsidRDefault="00902933" w:rsidP="007D5428">
            <w:pPr>
              <w:pStyle w:val="Tabletext"/>
              <w:spacing w:before="20"/>
              <w:ind w:left="108"/>
              <w:rPr>
                <w:rFonts w:asciiTheme="majorBidi" w:hAnsiTheme="majorBidi" w:cstheme="majorBidi"/>
                <w:sz w:val="24"/>
                <w:szCs w:val="24"/>
              </w:rPr>
            </w:pPr>
            <w:r>
              <w:rPr>
                <w:rFonts w:asciiTheme="majorBidi" w:hAnsiTheme="majorBidi" w:cstheme="majorBidi"/>
                <w:sz w:val="24"/>
                <w:szCs w:val="24"/>
              </w:rPr>
              <w:t>(</w:t>
            </w:r>
            <w:r w:rsidRPr="0069562B">
              <w:rPr>
                <w:rFonts w:asciiTheme="majorBidi" w:hAnsiTheme="majorBidi" w:cstheme="majorBidi"/>
                <w:sz w:val="24"/>
                <w:szCs w:val="24"/>
              </w:rPr>
              <w:t>Fédération de Russie</w:t>
            </w:r>
            <w:r>
              <w:rPr>
                <w:rFonts w:asciiTheme="majorBidi" w:hAnsiTheme="majorBidi" w:cstheme="majorBidi"/>
                <w:sz w:val="24"/>
                <w:szCs w:val="24"/>
              </w:rPr>
              <w:t>)</w:t>
            </w:r>
          </w:p>
        </w:tc>
      </w:tr>
    </w:tbl>
    <w:p w:rsidR="00902933" w:rsidRDefault="00902933" w:rsidP="00902933">
      <w:pPr>
        <w:tabs>
          <w:tab w:val="clear" w:pos="1134"/>
          <w:tab w:val="clear" w:pos="1871"/>
          <w:tab w:val="left" w:pos="5670"/>
        </w:tabs>
        <w:rPr>
          <w:lang w:val="fr-CH"/>
        </w:rPr>
      </w:pPr>
      <w:r w:rsidRPr="009C68A7">
        <w:rPr>
          <w:iCs/>
          <w:lang w:val="fr-CH"/>
        </w:rPr>
        <w:t>Vice-Présidents: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18"/>
      </w:tblGrid>
      <w:tr w:rsidR="00902933" w:rsidRPr="00A22671" w:rsidTr="007D5428">
        <w:trPr>
          <w:cantSplit/>
          <w:jc w:val="center"/>
        </w:trPr>
        <w:tc>
          <w:tcPr>
            <w:tcW w:w="3828" w:type="dxa"/>
            <w:vAlign w:val="center"/>
          </w:tcPr>
          <w:p w:rsidR="00902933" w:rsidRPr="00A22671" w:rsidRDefault="00902933" w:rsidP="007D5428">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spacing w:before="20"/>
              <w:rPr>
                <w:rFonts w:asciiTheme="majorBidi" w:hAnsiTheme="majorBidi" w:cstheme="majorBidi"/>
                <w:sz w:val="24"/>
                <w:szCs w:val="24"/>
              </w:rPr>
            </w:pPr>
          </w:p>
        </w:tc>
        <w:tc>
          <w:tcPr>
            <w:tcW w:w="4218" w:type="dxa"/>
            <w:vAlign w:val="center"/>
          </w:tcPr>
          <w:p w:rsidR="00902933" w:rsidRPr="00A22671" w:rsidRDefault="00902933" w:rsidP="007D5428">
            <w:pPr>
              <w:pStyle w:val="Tabletext"/>
              <w:spacing w:before="20"/>
              <w:ind w:left="108"/>
              <w:rPr>
                <w:rFonts w:asciiTheme="majorBidi" w:hAnsiTheme="majorBidi" w:cstheme="majorBidi"/>
                <w:sz w:val="24"/>
                <w:szCs w:val="24"/>
              </w:rPr>
            </w:pPr>
          </w:p>
        </w:tc>
      </w:tr>
      <w:tr w:rsidR="00902933" w:rsidRPr="00A22671" w:rsidTr="007D5428">
        <w:trPr>
          <w:cantSplit/>
          <w:jc w:val="center"/>
        </w:trPr>
        <w:tc>
          <w:tcPr>
            <w:tcW w:w="3828" w:type="dxa"/>
            <w:vAlign w:val="center"/>
          </w:tcPr>
          <w:p w:rsidR="00902933" w:rsidRPr="00A22671" w:rsidRDefault="00902933" w:rsidP="007D5428">
            <w:pPr>
              <w:pStyle w:val="Tabletext"/>
              <w:tabs>
                <w:tab w:val="clear" w:pos="284"/>
              </w:tabs>
              <w:spacing w:before="20" w:after="0"/>
              <w:rPr>
                <w:rFonts w:asciiTheme="majorBidi" w:hAnsiTheme="majorBidi" w:cstheme="majorBidi"/>
                <w:sz w:val="24"/>
                <w:szCs w:val="24"/>
              </w:rPr>
            </w:pPr>
            <w:r>
              <w:rPr>
                <w:rFonts w:asciiTheme="majorBidi" w:hAnsiTheme="majorBidi" w:cstheme="majorBidi"/>
                <w:sz w:val="24"/>
                <w:szCs w:val="24"/>
              </w:rPr>
              <w:t xml:space="preserve">M. </w:t>
            </w:r>
            <w:r w:rsidRPr="00A22671">
              <w:rPr>
                <w:rFonts w:asciiTheme="majorBidi" w:hAnsiTheme="majorBidi" w:cstheme="majorBidi"/>
                <w:sz w:val="24"/>
                <w:szCs w:val="24"/>
              </w:rPr>
              <w:t>N. AL-RASHEDI</w:t>
            </w:r>
          </w:p>
        </w:tc>
        <w:tc>
          <w:tcPr>
            <w:tcW w:w="4218" w:type="dxa"/>
            <w:vAlign w:val="center"/>
          </w:tcPr>
          <w:p w:rsidR="00902933" w:rsidRPr="00A22671" w:rsidRDefault="00902933" w:rsidP="00C4409C">
            <w:pPr>
              <w:pStyle w:val="Tabletext"/>
              <w:spacing w:before="20" w:after="0"/>
              <w:ind w:left="108"/>
              <w:rPr>
                <w:rFonts w:asciiTheme="majorBidi" w:hAnsiTheme="majorBidi" w:cstheme="majorBidi"/>
                <w:sz w:val="24"/>
                <w:szCs w:val="24"/>
              </w:rPr>
            </w:pPr>
            <w:r>
              <w:rPr>
                <w:rFonts w:asciiTheme="majorBidi" w:hAnsiTheme="majorBidi" w:cstheme="majorBidi"/>
                <w:sz w:val="24"/>
                <w:szCs w:val="24"/>
              </w:rPr>
              <w:t>(</w:t>
            </w:r>
            <w:r w:rsidR="00C4409C">
              <w:rPr>
                <w:rFonts w:asciiTheme="majorBidi" w:hAnsiTheme="majorBidi" w:cstheme="majorBidi"/>
                <w:sz w:val="24"/>
                <w:szCs w:val="24"/>
              </w:rPr>
              <w:t>E</w:t>
            </w:r>
            <w:r>
              <w:rPr>
                <w:rFonts w:asciiTheme="majorBidi" w:hAnsiTheme="majorBidi" w:cstheme="majorBidi"/>
                <w:sz w:val="24"/>
                <w:szCs w:val="24"/>
              </w:rPr>
              <w:t>mirats arabes unis)</w:t>
            </w:r>
          </w:p>
        </w:tc>
      </w:tr>
      <w:tr w:rsidR="00902933" w:rsidRPr="00A22671" w:rsidTr="007D5428">
        <w:trPr>
          <w:cantSplit/>
          <w:jc w:val="center"/>
        </w:trPr>
        <w:tc>
          <w:tcPr>
            <w:tcW w:w="3828" w:type="dxa"/>
            <w:vAlign w:val="center"/>
          </w:tcPr>
          <w:p w:rsidR="00902933" w:rsidRPr="00A22671" w:rsidRDefault="00902933" w:rsidP="007D5428">
            <w:pPr>
              <w:pStyle w:val="Tabletext"/>
              <w:tabs>
                <w:tab w:val="clear" w:pos="284"/>
              </w:tabs>
              <w:spacing w:before="20" w:after="0"/>
              <w:rPr>
                <w:rFonts w:asciiTheme="majorBidi" w:hAnsiTheme="majorBidi" w:cstheme="majorBidi"/>
                <w:iCs/>
                <w:sz w:val="24"/>
                <w:szCs w:val="24"/>
              </w:rPr>
            </w:pPr>
            <w:r w:rsidRPr="00A22671">
              <w:rPr>
                <w:rFonts w:asciiTheme="majorBidi" w:hAnsiTheme="majorBidi" w:cstheme="majorBidi"/>
                <w:iCs/>
                <w:sz w:val="24"/>
                <w:szCs w:val="24"/>
              </w:rPr>
              <w:t>Dr E. AZZOUZ</w:t>
            </w:r>
          </w:p>
        </w:tc>
        <w:tc>
          <w:tcPr>
            <w:tcW w:w="4218" w:type="dxa"/>
            <w:vAlign w:val="center"/>
          </w:tcPr>
          <w:p w:rsidR="00902933" w:rsidRPr="00A22671" w:rsidRDefault="00902933" w:rsidP="00CF6C20">
            <w:pPr>
              <w:pStyle w:val="Tabletext"/>
              <w:spacing w:before="20" w:after="0"/>
              <w:ind w:left="108"/>
              <w:rPr>
                <w:rFonts w:asciiTheme="majorBidi" w:hAnsiTheme="majorBidi" w:cstheme="majorBidi"/>
                <w:iCs/>
                <w:sz w:val="24"/>
                <w:szCs w:val="24"/>
              </w:rPr>
            </w:pPr>
            <w:r>
              <w:rPr>
                <w:rFonts w:asciiTheme="majorBidi" w:hAnsiTheme="majorBidi" w:cstheme="majorBidi"/>
                <w:sz w:val="24"/>
                <w:szCs w:val="24"/>
              </w:rPr>
              <w:t>(</w:t>
            </w:r>
            <w:r w:rsidRPr="0069562B">
              <w:rPr>
                <w:rFonts w:asciiTheme="majorBidi" w:hAnsiTheme="majorBidi" w:cstheme="majorBidi"/>
                <w:iCs/>
                <w:sz w:val="24"/>
                <w:szCs w:val="24"/>
              </w:rPr>
              <w:t>Egypte (République arabe d')</w:t>
            </w:r>
            <w:r>
              <w:rPr>
                <w:rFonts w:asciiTheme="majorBidi" w:hAnsiTheme="majorBidi" w:cstheme="majorBidi"/>
                <w:iCs/>
                <w:sz w:val="24"/>
                <w:szCs w:val="24"/>
              </w:rPr>
              <w:t>)</w:t>
            </w:r>
          </w:p>
        </w:tc>
      </w:tr>
      <w:tr w:rsidR="00902933" w:rsidRPr="00A22671" w:rsidTr="007D5428">
        <w:trPr>
          <w:cantSplit/>
          <w:jc w:val="center"/>
        </w:trPr>
        <w:tc>
          <w:tcPr>
            <w:tcW w:w="3828" w:type="dxa"/>
            <w:vAlign w:val="center"/>
          </w:tcPr>
          <w:p w:rsidR="00902933" w:rsidRPr="00A22671" w:rsidRDefault="00902933" w:rsidP="007D5428">
            <w:pPr>
              <w:pStyle w:val="Tabletext"/>
              <w:tabs>
                <w:tab w:val="clear" w:pos="284"/>
              </w:tabs>
              <w:spacing w:before="20" w:after="0"/>
              <w:rPr>
                <w:rFonts w:asciiTheme="majorBidi" w:hAnsiTheme="majorBidi" w:cstheme="majorBidi"/>
                <w:iCs/>
                <w:sz w:val="24"/>
                <w:szCs w:val="24"/>
              </w:rPr>
            </w:pPr>
            <w:r>
              <w:rPr>
                <w:rFonts w:asciiTheme="majorBidi" w:hAnsiTheme="majorBidi" w:cstheme="majorBidi"/>
                <w:iCs/>
                <w:sz w:val="24"/>
                <w:szCs w:val="24"/>
              </w:rPr>
              <w:t xml:space="preserve">M. </w:t>
            </w:r>
            <w:r w:rsidRPr="00A22671">
              <w:rPr>
                <w:rFonts w:asciiTheme="majorBidi" w:hAnsiTheme="majorBidi" w:cstheme="majorBidi"/>
                <w:iCs/>
                <w:sz w:val="24"/>
                <w:szCs w:val="24"/>
              </w:rPr>
              <w:t>R. CHANG</w:t>
            </w:r>
          </w:p>
        </w:tc>
        <w:tc>
          <w:tcPr>
            <w:tcW w:w="4218" w:type="dxa"/>
            <w:vAlign w:val="center"/>
          </w:tcPr>
          <w:p w:rsidR="00902933" w:rsidRPr="00A22671" w:rsidRDefault="00902933" w:rsidP="00CF6C20">
            <w:pPr>
              <w:pStyle w:val="Tabletext"/>
              <w:spacing w:before="20" w:after="0"/>
              <w:ind w:left="108"/>
              <w:rPr>
                <w:rFonts w:asciiTheme="majorBidi" w:hAnsiTheme="majorBidi" w:cstheme="majorBidi"/>
                <w:iCs/>
                <w:sz w:val="24"/>
                <w:szCs w:val="24"/>
              </w:rPr>
            </w:pPr>
            <w:r>
              <w:rPr>
                <w:rFonts w:asciiTheme="majorBidi" w:hAnsiTheme="majorBidi" w:cstheme="majorBidi"/>
                <w:sz w:val="24"/>
                <w:szCs w:val="24"/>
              </w:rPr>
              <w:t>(</w:t>
            </w:r>
            <w:r w:rsidRPr="0069562B">
              <w:rPr>
                <w:rFonts w:asciiTheme="majorBidi" w:hAnsiTheme="majorBidi" w:cstheme="majorBidi"/>
                <w:sz w:val="24"/>
                <w:szCs w:val="24"/>
              </w:rPr>
              <w:t>Chine (République populaire de)</w:t>
            </w:r>
            <w:r w:rsidRPr="00D94675">
              <w:rPr>
                <w:rFonts w:asciiTheme="majorBidi" w:hAnsiTheme="majorBidi" w:cstheme="majorBidi"/>
                <w:sz w:val="24"/>
                <w:szCs w:val="24"/>
              </w:rPr>
              <w:t>)</w:t>
            </w:r>
          </w:p>
        </w:tc>
      </w:tr>
      <w:tr w:rsidR="00902933" w:rsidRPr="00A22671" w:rsidTr="007D5428">
        <w:trPr>
          <w:cantSplit/>
          <w:jc w:val="center"/>
        </w:trPr>
        <w:tc>
          <w:tcPr>
            <w:tcW w:w="3828" w:type="dxa"/>
            <w:vAlign w:val="center"/>
          </w:tcPr>
          <w:p w:rsidR="00902933" w:rsidRPr="00A22671" w:rsidRDefault="00902933" w:rsidP="007D5428">
            <w:pPr>
              <w:pStyle w:val="Tabletext"/>
              <w:tabs>
                <w:tab w:val="clear" w:pos="284"/>
              </w:tabs>
              <w:spacing w:before="20" w:after="0"/>
              <w:rPr>
                <w:rFonts w:asciiTheme="majorBidi" w:hAnsiTheme="majorBidi" w:cstheme="majorBidi"/>
                <w:sz w:val="24"/>
                <w:szCs w:val="24"/>
              </w:rPr>
            </w:pPr>
            <w:r>
              <w:rPr>
                <w:rFonts w:asciiTheme="majorBidi" w:hAnsiTheme="majorBidi" w:cstheme="majorBidi"/>
                <w:sz w:val="24"/>
                <w:szCs w:val="24"/>
              </w:rPr>
              <w:t xml:space="preserve">M. </w:t>
            </w:r>
            <w:r w:rsidRPr="00A22671">
              <w:rPr>
                <w:rFonts w:asciiTheme="majorBidi" w:hAnsiTheme="majorBidi" w:cstheme="majorBidi"/>
                <w:sz w:val="24"/>
                <w:szCs w:val="24"/>
              </w:rPr>
              <w:t>C. ELANGMANE</w:t>
            </w:r>
          </w:p>
        </w:tc>
        <w:tc>
          <w:tcPr>
            <w:tcW w:w="4218" w:type="dxa"/>
            <w:vAlign w:val="center"/>
          </w:tcPr>
          <w:p w:rsidR="00902933" w:rsidRPr="00A22671" w:rsidRDefault="00902933" w:rsidP="007D5428">
            <w:pPr>
              <w:pStyle w:val="Tabletext"/>
              <w:spacing w:before="20" w:after="0"/>
              <w:ind w:left="108"/>
              <w:rPr>
                <w:rFonts w:asciiTheme="majorBidi" w:hAnsiTheme="majorBidi" w:cstheme="majorBidi"/>
                <w:sz w:val="24"/>
                <w:szCs w:val="24"/>
              </w:rPr>
            </w:pPr>
            <w:r>
              <w:rPr>
                <w:rFonts w:asciiTheme="majorBidi" w:hAnsiTheme="majorBidi" w:cstheme="majorBidi"/>
                <w:sz w:val="24"/>
                <w:szCs w:val="24"/>
              </w:rPr>
              <w:t>(</w:t>
            </w:r>
            <w:r w:rsidRPr="0069562B">
              <w:rPr>
                <w:rFonts w:asciiTheme="majorBidi" w:hAnsiTheme="majorBidi" w:cstheme="majorBidi"/>
                <w:sz w:val="24"/>
                <w:szCs w:val="24"/>
              </w:rPr>
              <w:t>Gabonaise (République)</w:t>
            </w:r>
            <w:r>
              <w:rPr>
                <w:rFonts w:asciiTheme="majorBidi" w:hAnsiTheme="majorBidi" w:cstheme="majorBidi"/>
                <w:sz w:val="24"/>
                <w:szCs w:val="24"/>
              </w:rPr>
              <w:t>)</w:t>
            </w:r>
          </w:p>
        </w:tc>
      </w:tr>
      <w:tr w:rsidR="00902933" w:rsidRPr="00A22671" w:rsidTr="007D5428">
        <w:trPr>
          <w:cantSplit/>
          <w:jc w:val="center"/>
        </w:trPr>
        <w:tc>
          <w:tcPr>
            <w:tcW w:w="3828" w:type="dxa"/>
            <w:vAlign w:val="center"/>
          </w:tcPr>
          <w:p w:rsidR="00902933" w:rsidRPr="00A22671" w:rsidRDefault="00902933" w:rsidP="007D5428">
            <w:pPr>
              <w:pStyle w:val="Tabletext"/>
              <w:tabs>
                <w:tab w:val="clear" w:pos="284"/>
              </w:tabs>
              <w:spacing w:before="20" w:after="0"/>
              <w:rPr>
                <w:rFonts w:asciiTheme="majorBidi" w:hAnsiTheme="majorBidi" w:cstheme="majorBidi"/>
                <w:sz w:val="24"/>
                <w:szCs w:val="24"/>
                <w:lang w:val="es-ES_tradnl"/>
              </w:rPr>
            </w:pPr>
            <w:r>
              <w:rPr>
                <w:rFonts w:asciiTheme="majorBidi" w:hAnsiTheme="majorBidi" w:cstheme="majorBidi"/>
                <w:sz w:val="24"/>
                <w:szCs w:val="24"/>
                <w:lang w:val="es-ES_tradnl"/>
              </w:rPr>
              <w:t xml:space="preserve">M. </w:t>
            </w:r>
            <w:r w:rsidRPr="00A22671">
              <w:rPr>
                <w:rFonts w:asciiTheme="majorBidi" w:hAnsiTheme="majorBidi" w:cstheme="majorBidi"/>
                <w:sz w:val="24"/>
                <w:szCs w:val="24"/>
                <w:lang w:val="es-ES_tradnl"/>
              </w:rPr>
              <w:t>R. GARCIA DE SOUZA</w:t>
            </w:r>
          </w:p>
        </w:tc>
        <w:tc>
          <w:tcPr>
            <w:tcW w:w="4218" w:type="dxa"/>
            <w:vAlign w:val="center"/>
          </w:tcPr>
          <w:p w:rsidR="00902933" w:rsidRPr="00A22671" w:rsidRDefault="00902933" w:rsidP="007D5428">
            <w:pPr>
              <w:pStyle w:val="Tabletext"/>
              <w:spacing w:before="20" w:after="0"/>
              <w:ind w:left="108"/>
              <w:rPr>
                <w:rFonts w:asciiTheme="majorBidi" w:hAnsiTheme="majorBidi" w:cstheme="majorBidi"/>
                <w:sz w:val="24"/>
                <w:szCs w:val="24"/>
              </w:rPr>
            </w:pPr>
            <w:r>
              <w:rPr>
                <w:rFonts w:asciiTheme="majorBidi" w:hAnsiTheme="majorBidi" w:cstheme="majorBidi"/>
                <w:sz w:val="24"/>
                <w:szCs w:val="24"/>
              </w:rPr>
              <w:t>(</w:t>
            </w:r>
            <w:r w:rsidRPr="0069562B">
              <w:rPr>
                <w:rFonts w:asciiTheme="majorBidi" w:hAnsiTheme="majorBidi" w:cstheme="majorBidi"/>
                <w:sz w:val="24"/>
                <w:szCs w:val="24"/>
              </w:rPr>
              <w:t>Brésil (République fédérative du</w:t>
            </w:r>
            <w:r w:rsidR="00F6597F">
              <w:rPr>
                <w:rFonts w:asciiTheme="majorBidi" w:hAnsiTheme="majorBidi" w:cstheme="majorBidi"/>
                <w:sz w:val="24"/>
                <w:szCs w:val="24"/>
              </w:rPr>
              <w:t>)</w:t>
            </w:r>
          </w:p>
        </w:tc>
      </w:tr>
      <w:tr w:rsidR="00902933" w:rsidRPr="00A22671" w:rsidTr="007D5428">
        <w:trPr>
          <w:cantSplit/>
          <w:jc w:val="center"/>
        </w:trPr>
        <w:tc>
          <w:tcPr>
            <w:tcW w:w="3828" w:type="dxa"/>
            <w:vAlign w:val="center"/>
          </w:tcPr>
          <w:p w:rsidR="00902933" w:rsidRPr="00A22671" w:rsidRDefault="00F6597F" w:rsidP="007D5428">
            <w:pPr>
              <w:pStyle w:val="Tabletext"/>
              <w:tabs>
                <w:tab w:val="clear" w:pos="284"/>
              </w:tabs>
              <w:spacing w:before="20" w:after="0"/>
              <w:rPr>
                <w:rFonts w:asciiTheme="majorBidi" w:hAnsiTheme="majorBidi" w:cstheme="majorBidi"/>
                <w:sz w:val="24"/>
                <w:szCs w:val="24"/>
              </w:rPr>
            </w:pPr>
            <w:r>
              <w:rPr>
                <w:rFonts w:asciiTheme="majorBidi" w:hAnsiTheme="majorBidi" w:cstheme="majorBidi"/>
                <w:sz w:val="24"/>
                <w:szCs w:val="24"/>
              </w:rPr>
              <w:t xml:space="preserve">Mme </w:t>
            </w:r>
            <w:r w:rsidR="00902933" w:rsidRPr="00A22671">
              <w:rPr>
                <w:rFonts w:asciiTheme="majorBidi" w:hAnsiTheme="majorBidi" w:cstheme="majorBidi"/>
                <w:sz w:val="24"/>
                <w:szCs w:val="24"/>
              </w:rPr>
              <w:t>L. JEANTY</w:t>
            </w:r>
          </w:p>
        </w:tc>
        <w:tc>
          <w:tcPr>
            <w:tcW w:w="4218" w:type="dxa"/>
            <w:vAlign w:val="center"/>
          </w:tcPr>
          <w:p w:rsidR="00902933" w:rsidRPr="00A22671" w:rsidRDefault="00902933" w:rsidP="007D5428">
            <w:pPr>
              <w:pStyle w:val="Tabletext"/>
              <w:spacing w:before="20" w:after="0"/>
              <w:ind w:left="108"/>
              <w:rPr>
                <w:rFonts w:asciiTheme="majorBidi" w:hAnsiTheme="majorBidi" w:cstheme="majorBidi"/>
                <w:sz w:val="24"/>
                <w:szCs w:val="24"/>
              </w:rPr>
            </w:pPr>
            <w:r>
              <w:rPr>
                <w:rFonts w:asciiTheme="majorBidi" w:hAnsiTheme="majorBidi" w:cstheme="majorBidi"/>
                <w:sz w:val="24"/>
                <w:szCs w:val="24"/>
              </w:rPr>
              <w:t>(</w:t>
            </w:r>
            <w:r w:rsidRPr="0069562B">
              <w:rPr>
                <w:rFonts w:asciiTheme="majorBidi" w:hAnsiTheme="majorBidi" w:cstheme="majorBidi"/>
                <w:sz w:val="24"/>
                <w:szCs w:val="24"/>
              </w:rPr>
              <w:t>Pays-Bas (Royaume des</w:t>
            </w:r>
            <w:r w:rsidRPr="00D94675">
              <w:rPr>
                <w:rFonts w:asciiTheme="majorBidi" w:hAnsiTheme="majorBidi" w:cstheme="majorBidi"/>
                <w:sz w:val="24"/>
                <w:szCs w:val="24"/>
              </w:rPr>
              <w:t>)</w:t>
            </w:r>
            <w:r>
              <w:rPr>
                <w:rFonts w:asciiTheme="majorBidi" w:hAnsiTheme="majorBidi" w:cstheme="majorBidi"/>
                <w:sz w:val="24"/>
                <w:szCs w:val="24"/>
              </w:rPr>
              <w:t>)</w:t>
            </w:r>
          </w:p>
        </w:tc>
      </w:tr>
      <w:tr w:rsidR="00902933" w:rsidRPr="00A22671" w:rsidTr="007D5428">
        <w:trPr>
          <w:cantSplit/>
          <w:jc w:val="center"/>
        </w:trPr>
        <w:tc>
          <w:tcPr>
            <w:tcW w:w="3828" w:type="dxa"/>
            <w:vAlign w:val="center"/>
          </w:tcPr>
          <w:p w:rsidR="00902933" w:rsidRPr="00A22671" w:rsidRDefault="00902933" w:rsidP="007D5428">
            <w:pPr>
              <w:pStyle w:val="Tabletext"/>
              <w:tabs>
                <w:tab w:val="clear" w:pos="284"/>
              </w:tabs>
              <w:spacing w:before="20" w:after="0"/>
              <w:rPr>
                <w:rFonts w:asciiTheme="majorBidi" w:hAnsiTheme="majorBidi" w:cstheme="majorBidi"/>
                <w:sz w:val="24"/>
                <w:szCs w:val="24"/>
              </w:rPr>
            </w:pPr>
            <w:r>
              <w:rPr>
                <w:rFonts w:asciiTheme="majorBidi" w:hAnsiTheme="majorBidi" w:cstheme="majorBidi"/>
                <w:sz w:val="24"/>
                <w:szCs w:val="24"/>
              </w:rPr>
              <w:t xml:space="preserve">M. </w:t>
            </w:r>
            <w:r w:rsidRPr="00A22671">
              <w:rPr>
                <w:rFonts w:asciiTheme="majorBidi" w:hAnsiTheme="majorBidi" w:cstheme="majorBidi"/>
                <w:sz w:val="24"/>
                <w:szCs w:val="24"/>
              </w:rPr>
              <w:t>L. KIBET BORUETT</w:t>
            </w:r>
          </w:p>
        </w:tc>
        <w:tc>
          <w:tcPr>
            <w:tcW w:w="4218" w:type="dxa"/>
            <w:vAlign w:val="center"/>
          </w:tcPr>
          <w:p w:rsidR="00902933" w:rsidRPr="00A22671" w:rsidRDefault="00902933" w:rsidP="007D5428">
            <w:pPr>
              <w:pStyle w:val="Tabletext"/>
              <w:spacing w:before="20" w:after="0"/>
              <w:ind w:left="108"/>
              <w:rPr>
                <w:rFonts w:asciiTheme="majorBidi" w:hAnsiTheme="majorBidi" w:cstheme="majorBidi"/>
                <w:sz w:val="24"/>
                <w:szCs w:val="24"/>
              </w:rPr>
            </w:pPr>
            <w:r>
              <w:rPr>
                <w:rFonts w:asciiTheme="majorBidi" w:hAnsiTheme="majorBidi" w:cstheme="majorBidi"/>
                <w:sz w:val="24"/>
                <w:szCs w:val="24"/>
              </w:rPr>
              <w:t>(</w:t>
            </w:r>
            <w:r w:rsidRPr="0069562B">
              <w:rPr>
                <w:rFonts w:asciiTheme="majorBidi" w:hAnsiTheme="majorBidi" w:cstheme="majorBidi"/>
                <w:sz w:val="24"/>
                <w:szCs w:val="24"/>
              </w:rPr>
              <w:t>Kenya (République du</w:t>
            </w:r>
            <w:r>
              <w:rPr>
                <w:rFonts w:asciiTheme="majorBidi" w:hAnsiTheme="majorBidi" w:cstheme="majorBidi"/>
                <w:sz w:val="24"/>
                <w:szCs w:val="24"/>
              </w:rPr>
              <w:t>))</w:t>
            </w:r>
          </w:p>
        </w:tc>
      </w:tr>
      <w:tr w:rsidR="00902933" w:rsidRPr="00A22671" w:rsidTr="007D5428">
        <w:trPr>
          <w:cantSplit/>
          <w:jc w:val="center"/>
        </w:trPr>
        <w:tc>
          <w:tcPr>
            <w:tcW w:w="3828" w:type="dxa"/>
            <w:vAlign w:val="center"/>
          </w:tcPr>
          <w:p w:rsidR="00902933" w:rsidRPr="00A22671" w:rsidRDefault="00902933" w:rsidP="007D5428">
            <w:pPr>
              <w:pStyle w:val="Tabletext"/>
              <w:tabs>
                <w:tab w:val="clear" w:pos="284"/>
              </w:tabs>
              <w:spacing w:before="20" w:after="0"/>
              <w:rPr>
                <w:rFonts w:asciiTheme="majorBidi" w:hAnsiTheme="majorBidi" w:cstheme="majorBidi"/>
                <w:sz w:val="24"/>
                <w:szCs w:val="24"/>
              </w:rPr>
            </w:pPr>
            <w:r w:rsidRPr="00A22671">
              <w:rPr>
                <w:rFonts w:asciiTheme="majorBidi" w:hAnsiTheme="majorBidi" w:cstheme="majorBidi"/>
                <w:sz w:val="24"/>
                <w:szCs w:val="24"/>
              </w:rPr>
              <w:t>Dr H. MAZAR</w:t>
            </w:r>
          </w:p>
        </w:tc>
        <w:tc>
          <w:tcPr>
            <w:tcW w:w="4218" w:type="dxa"/>
            <w:vAlign w:val="center"/>
          </w:tcPr>
          <w:p w:rsidR="00902933" w:rsidRPr="00A22671" w:rsidRDefault="00902933" w:rsidP="007D5428">
            <w:pPr>
              <w:pStyle w:val="Tabletext"/>
              <w:spacing w:before="20" w:after="0"/>
              <w:ind w:left="108"/>
              <w:rPr>
                <w:rFonts w:asciiTheme="majorBidi" w:hAnsiTheme="majorBidi" w:cstheme="majorBidi"/>
                <w:sz w:val="24"/>
                <w:szCs w:val="24"/>
              </w:rPr>
            </w:pPr>
            <w:r>
              <w:rPr>
                <w:rFonts w:asciiTheme="majorBidi" w:hAnsiTheme="majorBidi" w:cstheme="majorBidi"/>
                <w:sz w:val="24"/>
                <w:szCs w:val="24"/>
              </w:rPr>
              <w:t>(</w:t>
            </w:r>
            <w:r w:rsidRPr="0069562B">
              <w:rPr>
                <w:rFonts w:asciiTheme="majorBidi" w:hAnsiTheme="majorBidi" w:cstheme="majorBidi"/>
                <w:sz w:val="24"/>
                <w:szCs w:val="24"/>
              </w:rPr>
              <w:t>Israël (Etat d'</w:t>
            </w:r>
            <w:r w:rsidRPr="00D94675">
              <w:rPr>
                <w:rFonts w:asciiTheme="majorBidi" w:hAnsiTheme="majorBidi" w:cstheme="majorBidi"/>
                <w:sz w:val="24"/>
                <w:szCs w:val="24"/>
              </w:rPr>
              <w:t>)</w:t>
            </w:r>
            <w:r>
              <w:rPr>
                <w:rFonts w:asciiTheme="majorBidi" w:hAnsiTheme="majorBidi" w:cstheme="majorBidi"/>
                <w:sz w:val="24"/>
                <w:szCs w:val="24"/>
              </w:rPr>
              <w:t>)</w:t>
            </w:r>
          </w:p>
        </w:tc>
      </w:tr>
      <w:tr w:rsidR="00902933" w:rsidRPr="00A22671" w:rsidTr="007D5428">
        <w:trPr>
          <w:cantSplit/>
          <w:jc w:val="center"/>
        </w:trPr>
        <w:tc>
          <w:tcPr>
            <w:tcW w:w="3828" w:type="dxa"/>
            <w:vAlign w:val="center"/>
          </w:tcPr>
          <w:p w:rsidR="00902933" w:rsidRPr="00A22671" w:rsidRDefault="00902933" w:rsidP="007D5428">
            <w:pPr>
              <w:pStyle w:val="Tabletext"/>
              <w:tabs>
                <w:tab w:val="clear" w:pos="284"/>
              </w:tabs>
              <w:spacing w:before="20" w:after="0"/>
              <w:rPr>
                <w:rFonts w:asciiTheme="majorBidi" w:hAnsiTheme="majorBidi" w:cstheme="majorBidi"/>
                <w:sz w:val="24"/>
                <w:szCs w:val="24"/>
              </w:rPr>
            </w:pPr>
            <w:r>
              <w:rPr>
                <w:rFonts w:asciiTheme="majorBidi" w:hAnsiTheme="majorBidi" w:cstheme="majorBidi"/>
                <w:sz w:val="24"/>
                <w:szCs w:val="24"/>
              </w:rPr>
              <w:t xml:space="preserve">M. </w:t>
            </w:r>
            <w:r w:rsidRPr="00A22671">
              <w:rPr>
                <w:rFonts w:asciiTheme="majorBidi" w:hAnsiTheme="majorBidi" w:cstheme="majorBidi"/>
                <w:sz w:val="24"/>
                <w:szCs w:val="24"/>
              </w:rPr>
              <w:t>V.V. SINGH</w:t>
            </w:r>
          </w:p>
        </w:tc>
        <w:tc>
          <w:tcPr>
            <w:tcW w:w="4218" w:type="dxa"/>
            <w:vAlign w:val="center"/>
          </w:tcPr>
          <w:p w:rsidR="00902933" w:rsidRPr="00A22671" w:rsidRDefault="00902933" w:rsidP="00CF6C20">
            <w:pPr>
              <w:pStyle w:val="Tabletext"/>
              <w:spacing w:before="20" w:after="0"/>
              <w:ind w:left="108"/>
              <w:rPr>
                <w:rFonts w:asciiTheme="majorBidi" w:hAnsiTheme="majorBidi" w:cstheme="majorBidi"/>
                <w:sz w:val="24"/>
                <w:szCs w:val="24"/>
              </w:rPr>
            </w:pPr>
            <w:r>
              <w:rPr>
                <w:rFonts w:asciiTheme="majorBidi" w:hAnsiTheme="majorBidi" w:cstheme="majorBidi"/>
                <w:sz w:val="24"/>
                <w:szCs w:val="24"/>
              </w:rPr>
              <w:t>(</w:t>
            </w:r>
            <w:r w:rsidRPr="0069562B">
              <w:rPr>
                <w:rFonts w:asciiTheme="majorBidi" w:hAnsiTheme="majorBidi" w:cstheme="majorBidi"/>
                <w:sz w:val="24"/>
                <w:szCs w:val="24"/>
              </w:rPr>
              <w:t>Inde (République de l')</w:t>
            </w:r>
            <w:r w:rsidRPr="00D94675">
              <w:rPr>
                <w:rFonts w:asciiTheme="majorBidi" w:hAnsiTheme="majorBidi" w:cstheme="majorBidi"/>
                <w:sz w:val="24"/>
                <w:szCs w:val="24"/>
              </w:rPr>
              <w:t>)</w:t>
            </w:r>
          </w:p>
        </w:tc>
      </w:tr>
      <w:tr w:rsidR="00902933" w:rsidRPr="00A22671" w:rsidTr="007D5428">
        <w:trPr>
          <w:cantSplit/>
          <w:jc w:val="center"/>
        </w:trPr>
        <w:tc>
          <w:tcPr>
            <w:tcW w:w="3828" w:type="dxa"/>
            <w:vAlign w:val="center"/>
          </w:tcPr>
          <w:p w:rsidR="00902933" w:rsidRPr="00A22671" w:rsidRDefault="00902933" w:rsidP="007D5428">
            <w:pPr>
              <w:pStyle w:val="Tabletext"/>
              <w:tabs>
                <w:tab w:val="clear" w:pos="284"/>
              </w:tabs>
              <w:spacing w:before="20" w:after="0"/>
              <w:rPr>
                <w:rFonts w:asciiTheme="majorBidi" w:hAnsiTheme="majorBidi" w:cstheme="majorBidi"/>
                <w:iCs/>
                <w:sz w:val="24"/>
                <w:szCs w:val="24"/>
              </w:rPr>
            </w:pPr>
            <w:r>
              <w:rPr>
                <w:rFonts w:asciiTheme="majorBidi" w:hAnsiTheme="majorBidi" w:cstheme="majorBidi"/>
                <w:iCs/>
                <w:sz w:val="24"/>
                <w:szCs w:val="24"/>
              </w:rPr>
              <w:t xml:space="preserve">M. </w:t>
            </w:r>
            <w:r w:rsidRPr="00A22671">
              <w:rPr>
                <w:rFonts w:asciiTheme="majorBidi" w:hAnsiTheme="majorBidi" w:cstheme="majorBidi"/>
                <w:iCs/>
                <w:sz w:val="24"/>
                <w:szCs w:val="24"/>
              </w:rPr>
              <w:t>D. SWARD</w:t>
            </w:r>
          </w:p>
        </w:tc>
        <w:tc>
          <w:tcPr>
            <w:tcW w:w="4218" w:type="dxa"/>
            <w:vAlign w:val="center"/>
          </w:tcPr>
          <w:p w:rsidR="00902933" w:rsidRPr="00A22671" w:rsidRDefault="00902933" w:rsidP="007D5428">
            <w:pPr>
              <w:pStyle w:val="Tabletext"/>
              <w:spacing w:before="20" w:after="0"/>
              <w:ind w:left="108"/>
              <w:rPr>
                <w:rFonts w:asciiTheme="majorBidi" w:hAnsiTheme="majorBidi" w:cstheme="majorBidi"/>
                <w:iCs/>
                <w:sz w:val="24"/>
                <w:szCs w:val="24"/>
              </w:rPr>
            </w:pPr>
            <w:r>
              <w:rPr>
                <w:rFonts w:asciiTheme="majorBidi" w:hAnsiTheme="majorBidi" w:cstheme="majorBidi"/>
                <w:sz w:val="24"/>
                <w:szCs w:val="24"/>
              </w:rPr>
              <w:t>(</w:t>
            </w:r>
            <w:r w:rsidRPr="00A22671">
              <w:rPr>
                <w:rFonts w:asciiTheme="majorBidi" w:hAnsiTheme="majorBidi" w:cstheme="majorBidi"/>
                <w:iCs/>
                <w:sz w:val="24"/>
                <w:szCs w:val="24"/>
              </w:rPr>
              <w:t>Canada</w:t>
            </w:r>
            <w:r>
              <w:rPr>
                <w:rFonts w:asciiTheme="majorBidi" w:hAnsiTheme="majorBidi" w:cstheme="majorBidi"/>
                <w:sz w:val="24"/>
                <w:szCs w:val="24"/>
              </w:rPr>
              <w:t>)</w:t>
            </w:r>
          </w:p>
        </w:tc>
      </w:tr>
      <w:tr w:rsidR="00902933" w:rsidRPr="00A22671" w:rsidTr="007D5428">
        <w:trPr>
          <w:cantSplit/>
          <w:jc w:val="center"/>
        </w:trPr>
        <w:tc>
          <w:tcPr>
            <w:tcW w:w="3828" w:type="dxa"/>
            <w:vAlign w:val="center"/>
          </w:tcPr>
          <w:p w:rsidR="00902933" w:rsidRPr="00A22671" w:rsidRDefault="00902933" w:rsidP="007D5428">
            <w:pPr>
              <w:pStyle w:val="Tabletext"/>
              <w:tabs>
                <w:tab w:val="clear" w:pos="284"/>
              </w:tabs>
              <w:spacing w:before="20" w:after="0"/>
              <w:rPr>
                <w:rFonts w:asciiTheme="majorBidi" w:hAnsiTheme="majorBidi" w:cstheme="majorBidi"/>
                <w:iCs/>
                <w:sz w:val="24"/>
                <w:szCs w:val="24"/>
              </w:rPr>
            </w:pPr>
            <w:r>
              <w:rPr>
                <w:rFonts w:asciiTheme="majorBidi" w:hAnsiTheme="majorBidi" w:cstheme="majorBidi"/>
                <w:iCs/>
                <w:sz w:val="24"/>
                <w:szCs w:val="24"/>
              </w:rPr>
              <w:t xml:space="preserve">M. </w:t>
            </w:r>
            <w:r w:rsidRPr="00A22671">
              <w:rPr>
                <w:rFonts w:asciiTheme="majorBidi" w:hAnsiTheme="majorBidi" w:cstheme="majorBidi"/>
                <w:iCs/>
                <w:sz w:val="24"/>
                <w:szCs w:val="24"/>
              </w:rPr>
              <w:t>R. TRAUTMANN</w:t>
            </w:r>
          </w:p>
        </w:tc>
        <w:tc>
          <w:tcPr>
            <w:tcW w:w="4218" w:type="dxa"/>
            <w:vAlign w:val="center"/>
          </w:tcPr>
          <w:p w:rsidR="00902933" w:rsidRPr="00A22671" w:rsidRDefault="00902933" w:rsidP="007D5428">
            <w:pPr>
              <w:pStyle w:val="Tabletext"/>
              <w:spacing w:before="20" w:after="0"/>
              <w:ind w:left="108"/>
              <w:rPr>
                <w:rFonts w:asciiTheme="majorBidi" w:hAnsiTheme="majorBidi" w:cstheme="majorBidi"/>
                <w:iCs/>
                <w:sz w:val="24"/>
                <w:szCs w:val="24"/>
              </w:rPr>
            </w:pPr>
            <w:r>
              <w:rPr>
                <w:rFonts w:asciiTheme="majorBidi" w:hAnsiTheme="majorBidi" w:cstheme="majorBidi"/>
                <w:sz w:val="24"/>
                <w:szCs w:val="24"/>
              </w:rPr>
              <w:t>(</w:t>
            </w:r>
            <w:r w:rsidRPr="0069562B">
              <w:rPr>
                <w:rFonts w:asciiTheme="majorBidi" w:hAnsiTheme="majorBidi" w:cstheme="majorBidi"/>
                <w:iCs/>
                <w:sz w:val="24"/>
                <w:szCs w:val="24"/>
              </w:rPr>
              <w:t>Allemagne (République fédérale d'</w:t>
            </w:r>
            <w:r>
              <w:rPr>
                <w:rFonts w:asciiTheme="majorBidi" w:hAnsiTheme="majorBidi" w:cstheme="majorBidi"/>
                <w:iCs/>
                <w:sz w:val="24"/>
                <w:szCs w:val="24"/>
              </w:rPr>
              <w:t>)</w:t>
            </w:r>
            <w:r>
              <w:rPr>
                <w:rFonts w:asciiTheme="majorBidi" w:hAnsiTheme="majorBidi" w:cstheme="majorBidi"/>
                <w:sz w:val="24"/>
                <w:szCs w:val="24"/>
              </w:rPr>
              <w:t>)</w:t>
            </w:r>
          </w:p>
        </w:tc>
      </w:tr>
    </w:tbl>
    <w:p w:rsidR="00902933" w:rsidRDefault="00902933" w:rsidP="00BC2E38">
      <w:pPr>
        <w:pStyle w:val="Heading2"/>
        <w:rPr>
          <w:lang w:val="fr-CH"/>
        </w:rPr>
      </w:pPr>
      <w:r>
        <w:rPr>
          <w:lang w:val="fr-CH"/>
        </w:rPr>
        <w:t>3.2</w:t>
      </w:r>
      <w:r>
        <w:rPr>
          <w:lang w:val="fr-CH"/>
        </w:rPr>
        <w:tab/>
        <w:t>Groupes de travail</w:t>
      </w:r>
    </w:p>
    <w:p w:rsidR="00902933" w:rsidRDefault="00902933" w:rsidP="00BC2E38">
      <w:pPr>
        <w:rPr>
          <w:rFonts w:eastAsia="SimSun"/>
          <w:lang w:val="fr-CH"/>
        </w:rPr>
      </w:pPr>
      <w:r>
        <w:rPr>
          <w:rFonts w:eastAsia="SimSun"/>
          <w:lang w:val="fr-CH"/>
        </w:rPr>
        <w:t>La CE</w:t>
      </w:r>
      <w:r w:rsidR="00BC2E38">
        <w:rPr>
          <w:rFonts w:eastAsia="SimSun"/>
          <w:lang w:val="fr-CH"/>
        </w:rPr>
        <w:t xml:space="preserve"> </w:t>
      </w:r>
      <w:r>
        <w:rPr>
          <w:rFonts w:eastAsia="SimSun"/>
          <w:lang w:val="fr-CH"/>
        </w:rPr>
        <w:t>1 a maintenu ses trois Groupes de</w:t>
      </w:r>
      <w:r w:rsidR="00BC2E38">
        <w:rPr>
          <w:rFonts w:eastAsia="SimSun"/>
          <w:lang w:val="fr-CH"/>
        </w:rPr>
        <w:t xml:space="preserve"> travail pendant la </w:t>
      </w:r>
      <w:r>
        <w:rPr>
          <w:rFonts w:eastAsia="SimSun"/>
          <w:lang w:val="fr-CH"/>
        </w:rPr>
        <w:t>période d'études</w:t>
      </w:r>
      <w:r w:rsidR="00BC2E38">
        <w:rPr>
          <w:rFonts w:eastAsia="SimSun"/>
          <w:lang w:val="fr-CH"/>
        </w:rPr>
        <w:t xml:space="preserve"> considérée</w:t>
      </w:r>
      <w:r>
        <w:rPr>
          <w:rFonts w:eastAsia="SimSun"/>
          <w:lang w:val="fr-CH"/>
        </w:rPr>
        <w:t>:</w:t>
      </w:r>
    </w:p>
    <w:p w:rsidR="00902933" w:rsidRDefault="00902933" w:rsidP="00902933">
      <w:pPr>
        <w:pStyle w:val="Headingb"/>
        <w:rPr>
          <w:rFonts w:eastAsia="SimSun"/>
          <w:lang w:val="fr-CH"/>
        </w:rPr>
      </w:pPr>
      <w:r>
        <w:rPr>
          <w:rFonts w:eastAsia="SimSun"/>
          <w:lang w:val="fr-CH"/>
        </w:rPr>
        <w:lastRenderedPageBreak/>
        <w:t xml:space="preserve">GT 1A </w:t>
      </w:r>
      <w:r w:rsidRPr="006967E6">
        <w:rPr>
          <w:rFonts w:eastAsia="SimSun"/>
          <w:lang w:val="fr-CH"/>
        </w:rPr>
        <w:t>–</w:t>
      </w:r>
      <w:r>
        <w:rPr>
          <w:rFonts w:eastAsia="SimSun"/>
          <w:lang w:val="fr-CH"/>
        </w:rPr>
        <w:t xml:space="preserve"> Techniques d'ingénierie du spectre</w:t>
      </w:r>
    </w:p>
    <w:p w:rsidR="00902933" w:rsidRDefault="00902933" w:rsidP="00BC2E38">
      <w:pPr>
        <w:tabs>
          <w:tab w:val="left" w:pos="2835"/>
        </w:tabs>
        <w:ind w:left="2835" w:hanging="2835"/>
        <w:rPr>
          <w:rFonts w:eastAsia="SimSun"/>
          <w:lang w:val="fr-CH"/>
        </w:rPr>
      </w:pPr>
      <w:r w:rsidRPr="009C68A7">
        <w:rPr>
          <w:rFonts w:eastAsia="SimSun"/>
          <w:lang w:val="fr-CH"/>
        </w:rPr>
        <w:t>Président:</w:t>
      </w:r>
      <w:r>
        <w:rPr>
          <w:rFonts w:eastAsia="SimSun"/>
          <w:lang w:val="fr-CH"/>
        </w:rPr>
        <w:tab/>
      </w:r>
      <w:r>
        <w:rPr>
          <w:rFonts w:eastAsia="SimSun"/>
          <w:lang w:val="fr-CH"/>
        </w:rPr>
        <w:tab/>
      </w:r>
      <w:r>
        <w:rPr>
          <w:rFonts w:eastAsia="SimSun"/>
          <w:lang w:val="fr-CH"/>
        </w:rPr>
        <w:tab/>
      </w:r>
      <w:r>
        <w:rPr>
          <w:rFonts w:eastAsia="SimSun"/>
          <w:lang w:val="fr-CH"/>
        </w:rPr>
        <w:tab/>
      </w:r>
      <w:r w:rsidR="00BC2E38">
        <w:rPr>
          <w:rFonts w:eastAsia="SimSun"/>
          <w:lang w:val="fr-CH"/>
        </w:rPr>
        <w:t>M. R GARCIA DE SOUZA</w:t>
      </w:r>
    </w:p>
    <w:p w:rsidR="00902933" w:rsidRDefault="00902933" w:rsidP="00902933">
      <w:pPr>
        <w:tabs>
          <w:tab w:val="left" w:pos="2835"/>
        </w:tabs>
        <w:ind w:left="2835" w:hanging="2835"/>
        <w:rPr>
          <w:rFonts w:eastAsia="SimSun"/>
          <w:lang w:val="fr-CH"/>
        </w:rPr>
      </w:pPr>
      <w:r w:rsidRPr="009C68A7">
        <w:rPr>
          <w:rFonts w:eastAsia="SimSun"/>
          <w:lang w:val="fr-CH"/>
        </w:rPr>
        <w:t>Vice-Président:</w:t>
      </w:r>
      <w:r w:rsidR="00BC2E38">
        <w:rPr>
          <w:rFonts w:eastAsia="SimSun"/>
          <w:lang w:val="fr-CH"/>
        </w:rPr>
        <w:tab/>
      </w:r>
      <w:r w:rsidR="00BC2E38">
        <w:rPr>
          <w:rFonts w:eastAsia="SimSun"/>
          <w:lang w:val="fr-CH"/>
        </w:rPr>
        <w:tab/>
      </w:r>
      <w:r w:rsidR="00BC2E38">
        <w:rPr>
          <w:rFonts w:eastAsia="SimSun"/>
          <w:lang w:val="fr-CH"/>
        </w:rPr>
        <w:tab/>
        <w:t>Dr H. MAZAR</w:t>
      </w:r>
    </w:p>
    <w:p w:rsidR="00902933" w:rsidRDefault="00902933" w:rsidP="00902933">
      <w:pPr>
        <w:tabs>
          <w:tab w:val="left" w:pos="2835"/>
        </w:tabs>
        <w:ind w:left="2835" w:hanging="2835"/>
        <w:rPr>
          <w:rFonts w:eastAsia="SimSun"/>
          <w:lang w:val="fr-CH"/>
        </w:rPr>
      </w:pPr>
      <w:r>
        <w:rPr>
          <w:rFonts w:eastAsia="SimSun"/>
          <w:lang w:val="fr-CH"/>
        </w:rPr>
        <w:tab/>
      </w:r>
      <w:r>
        <w:rPr>
          <w:rFonts w:eastAsia="SimSun"/>
          <w:lang w:val="fr-CH"/>
        </w:rPr>
        <w:tab/>
      </w:r>
      <w:r>
        <w:rPr>
          <w:rFonts w:eastAsia="SimSun"/>
          <w:lang w:val="fr-CH"/>
        </w:rPr>
        <w:tab/>
      </w:r>
      <w:r w:rsidR="00BC2E38">
        <w:rPr>
          <w:rFonts w:eastAsia="SimSun"/>
          <w:lang w:val="fr-CH"/>
        </w:rPr>
        <w:tab/>
      </w:r>
      <w:r>
        <w:rPr>
          <w:rFonts w:eastAsia="SimSun"/>
          <w:lang w:val="fr-CH"/>
        </w:rPr>
        <w:t xml:space="preserve">M. </w:t>
      </w:r>
      <w:r w:rsidRPr="00B607AA">
        <w:rPr>
          <w:rFonts w:eastAsia="SimSun"/>
          <w:lang w:val="fr-CH"/>
        </w:rPr>
        <w:t>R. CHANG</w:t>
      </w:r>
    </w:p>
    <w:p w:rsidR="00902933" w:rsidRDefault="00902933" w:rsidP="00902933">
      <w:pPr>
        <w:pStyle w:val="Headingb"/>
        <w:rPr>
          <w:rFonts w:eastAsia="SimSun"/>
          <w:lang w:val="fr-CH"/>
        </w:rPr>
      </w:pPr>
      <w:r>
        <w:rPr>
          <w:rFonts w:eastAsia="SimSun"/>
          <w:lang w:val="fr-CH"/>
        </w:rPr>
        <w:t xml:space="preserve">GT 1B </w:t>
      </w:r>
      <w:r w:rsidRPr="006967E6">
        <w:rPr>
          <w:rFonts w:eastAsia="SimSun"/>
          <w:lang w:val="fr-CH"/>
        </w:rPr>
        <w:t>–</w:t>
      </w:r>
      <w:r>
        <w:rPr>
          <w:rFonts w:eastAsia="SimSun"/>
          <w:lang w:val="fr-CH"/>
        </w:rPr>
        <w:t xml:space="preserve"> Méthodologies de la gestion du spectre et stratégies économiques</w:t>
      </w:r>
    </w:p>
    <w:p w:rsidR="00902933" w:rsidRDefault="00902933" w:rsidP="00902933">
      <w:pPr>
        <w:tabs>
          <w:tab w:val="left" w:pos="2835"/>
        </w:tabs>
        <w:ind w:left="2835" w:hanging="2835"/>
        <w:rPr>
          <w:rFonts w:eastAsia="SimSun"/>
          <w:lang w:val="fr-CH"/>
        </w:rPr>
      </w:pPr>
      <w:r w:rsidRPr="009C68A7">
        <w:rPr>
          <w:rFonts w:eastAsia="SimSun"/>
          <w:lang w:val="fr-CH"/>
        </w:rPr>
        <w:t>Président:</w:t>
      </w:r>
      <w:r w:rsidRPr="009C68A7">
        <w:rPr>
          <w:rFonts w:eastAsia="SimSun"/>
          <w:lang w:val="fr-CH"/>
        </w:rPr>
        <w:tab/>
      </w:r>
      <w:r>
        <w:rPr>
          <w:rFonts w:eastAsia="SimSun"/>
          <w:lang w:val="fr-CH"/>
        </w:rPr>
        <w:tab/>
      </w:r>
      <w:r>
        <w:rPr>
          <w:rFonts w:eastAsia="SimSun"/>
          <w:lang w:val="fr-CH"/>
        </w:rPr>
        <w:tab/>
      </w:r>
      <w:r>
        <w:rPr>
          <w:rFonts w:eastAsia="SimSun"/>
          <w:lang w:val="fr-CH"/>
        </w:rPr>
        <w:tab/>
      </w:r>
      <w:r w:rsidR="00BC2E38">
        <w:rPr>
          <w:rFonts w:eastAsia="SimSun"/>
          <w:lang w:val="fr-CH"/>
        </w:rPr>
        <w:t xml:space="preserve">M. </w:t>
      </w:r>
      <w:r w:rsidRPr="00B607AA">
        <w:rPr>
          <w:rFonts w:eastAsia="SimSun"/>
          <w:lang w:val="fr-CH"/>
        </w:rPr>
        <w:t>N. AL-RASHEDI</w:t>
      </w:r>
    </w:p>
    <w:p w:rsidR="00902933" w:rsidRDefault="00902933" w:rsidP="00BC2E38">
      <w:pPr>
        <w:tabs>
          <w:tab w:val="left" w:pos="2835"/>
        </w:tabs>
        <w:ind w:left="2835" w:hanging="2835"/>
        <w:rPr>
          <w:rFonts w:eastAsia="SimSun"/>
          <w:lang w:val="fr-CH"/>
        </w:rPr>
      </w:pPr>
      <w:r w:rsidRPr="009C68A7">
        <w:rPr>
          <w:rFonts w:eastAsia="SimSun"/>
          <w:lang w:val="fr-CH"/>
        </w:rPr>
        <w:t>Vice-Président:</w:t>
      </w:r>
      <w:r w:rsidR="00BC2E38">
        <w:rPr>
          <w:rFonts w:eastAsia="SimSun"/>
          <w:lang w:val="fr-CH"/>
        </w:rPr>
        <w:tab/>
      </w:r>
      <w:r w:rsidR="00BC2E38">
        <w:rPr>
          <w:rFonts w:eastAsia="SimSun"/>
          <w:lang w:val="fr-CH"/>
        </w:rPr>
        <w:tab/>
      </w:r>
      <w:r w:rsidR="00BC2E38">
        <w:rPr>
          <w:rFonts w:eastAsia="SimSun"/>
          <w:lang w:val="fr-CH"/>
        </w:rPr>
        <w:tab/>
        <w:t>M.</w:t>
      </w:r>
      <w:r w:rsidRPr="00B607AA">
        <w:rPr>
          <w:rFonts w:eastAsia="SimSun"/>
          <w:lang w:val="fr-CH"/>
        </w:rPr>
        <w:t xml:space="preserve"> R. CHANG</w:t>
      </w:r>
    </w:p>
    <w:p w:rsidR="00902933" w:rsidRDefault="00902933" w:rsidP="00902933">
      <w:pPr>
        <w:pStyle w:val="Headingb"/>
        <w:keepLines/>
        <w:rPr>
          <w:rFonts w:eastAsia="SimSun"/>
          <w:lang w:val="fr-CH"/>
        </w:rPr>
      </w:pPr>
      <w:r>
        <w:rPr>
          <w:rFonts w:eastAsia="SimSun"/>
          <w:lang w:val="fr-CH"/>
        </w:rPr>
        <w:t xml:space="preserve">GT 1C </w:t>
      </w:r>
      <w:r w:rsidRPr="006967E6">
        <w:rPr>
          <w:rFonts w:eastAsia="SimSun"/>
          <w:lang w:val="fr-CH"/>
        </w:rPr>
        <w:t>–</w:t>
      </w:r>
      <w:r>
        <w:rPr>
          <w:rFonts w:eastAsia="SimSun"/>
          <w:lang w:val="fr-CH"/>
        </w:rPr>
        <w:t xml:space="preserve"> Contrôle du spectre</w:t>
      </w:r>
    </w:p>
    <w:p w:rsidR="00902933" w:rsidRDefault="00902933" w:rsidP="00902933">
      <w:pPr>
        <w:keepNext/>
        <w:keepLines/>
        <w:tabs>
          <w:tab w:val="left" w:pos="2835"/>
        </w:tabs>
        <w:ind w:left="2835" w:hanging="2835"/>
        <w:rPr>
          <w:rFonts w:eastAsia="SimSun"/>
          <w:lang w:val="fr-CH"/>
        </w:rPr>
      </w:pPr>
      <w:r w:rsidRPr="009C68A7">
        <w:rPr>
          <w:rFonts w:eastAsia="SimSun"/>
          <w:lang w:val="fr-CH"/>
        </w:rPr>
        <w:t>Président:</w:t>
      </w:r>
      <w:r w:rsidRPr="009C68A7">
        <w:rPr>
          <w:rFonts w:eastAsia="SimSun"/>
          <w:lang w:val="fr-CH"/>
        </w:rPr>
        <w:tab/>
      </w:r>
      <w:r>
        <w:rPr>
          <w:rFonts w:eastAsia="SimSun"/>
          <w:lang w:val="fr-CH"/>
        </w:rPr>
        <w:tab/>
      </w:r>
      <w:r>
        <w:rPr>
          <w:rFonts w:eastAsia="SimSun"/>
          <w:lang w:val="fr-CH"/>
        </w:rPr>
        <w:tab/>
      </w:r>
      <w:r>
        <w:rPr>
          <w:rFonts w:eastAsia="SimSun"/>
          <w:lang w:val="fr-CH"/>
        </w:rPr>
        <w:tab/>
        <w:t xml:space="preserve">M. </w:t>
      </w:r>
      <w:r w:rsidRPr="00B607AA">
        <w:rPr>
          <w:rFonts w:eastAsia="SimSun"/>
          <w:lang w:val="fr-CH"/>
        </w:rPr>
        <w:t>R. TRAUTMANN</w:t>
      </w:r>
    </w:p>
    <w:p w:rsidR="00902933" w:rsidRDefault="00902933" w:rsidP="00902933">
      <w:pPr>
        <w:keepNext/>
        <w:keepLines/>
        <w:tabs>
          <w:tab w:val="left" w:pos="2835"/>
        </w:tabs>
        <w:ind w:left="2835" w:hanging="2835"/>
        <w:rPr>
          <w:rFonts w:eastAsia="SimSun"/>
          <w:lang w:val="fr-CH"/>
        </w:rPr>
      </w:pPr>
      <w:r w:rsidRPr="009C68A7">
        <w:rPr>
          <w:rFonts w:eastAsia="SimSun"/>
          <w:lang w:val="fr-CH"/>
        </w:rPr>
        <w:t>Vice-Président:</w:t>
      </w:r>
      <w:r>
        <w:rPr>
          <w:rFonts w:eastAsia="SimSun"/>
          <w:lang w:val="fr-CH"/>
        </w:rPr>
        <w:tab/>
      </w:r>
      <w:r>
        <w:rPr>
          <w:rFonts w:eastAsia="SimSun"/>
          <w:lang w:val="fr-CH"/>
        </w:rPr>
        <w:tab/>
      </w:r>
      <w:r>
        <w:rPr>
          <w:rFonts w:eastAsia="SimSun"/>
          <w:lang w:val="fr-CH"/>
        </w:rPr>
        <w:tab/>
        <w:t xml:space="preserve">M. </w:t>
      </w:r>
      <w:r w:rsidRPr="00B607AA">
        <w:rPr>
          <w:rFonts w:eastAsia="SimSun"/>
          <w:lang w:val="fr-CH"/>
        </w:rPr>
        <w:t>M.</w:t>
      </w:r>
      <w:r w:rsidR="00BD6917">
        <w:rPr>
          <w:rFonts w:eastAsia="SimSun"/>
          <w:lang w:val="fr-CH"/>
        </w:rPr>
        <w:t xml:space="preserve"> AL-SAWAFI (Oman (Sultanat d'))</w:t>
      </w:r>
    </w:p>
    <w:p w:rsidR="00902933" w:rsidRDefault="00902933" w:rsidP="00BC2E38">
      <w:pPr>
        <w:pStyle w:val="Heading1"/>
        <w:rPr>
          <w:rFonts w:eastAsia="SimSun"/>
          <w:lang w:val="fr-CH"/>
        </w:rPr>
      </w:pPr>
      <w:r>
        <w:rPr>
          <w:lang w:val="fr-CH"/>
        </w:rPr>
        <w:t>4</w:t>
      </w:r>
      <w:r>
        <w:rPr>
          <w:lang w:val="fr-CH"/>
        </w:rPr>
        <w:tab/>
      </w:r>
      <w:r>
        <w:rPr>
          <w:rFonts w:eastAsia="SimSun"/>
          <w:lang w:val="fr-CH"/>
        </w:rPr>
        <w:t>Réunions tenues pendant la période d'études</w:t>
      </w:r>
      <w:r w:rsidR="00BC2E38">
        <w:rPr>
          <w:rFonts w:eastAsia="SimSun"/>
          <w:lang w:val="fr-CH"/>
        </w:rPr>
        <w:t xml:space="preserve"> considérée</w:t>
      </w:r>
    </w:p>
    <w:p w:rsidR="00902933" w:rsidRDefault="00902933" w:rsidP="00BC2E38">
      <w:pPr>
        <w:rPr>
          <w:rFonts w:eastAsia="SimSun"/>
          <w:lang w:val="fr-CH"/>
        </w:rPr>
      </w:pPr>
      <w:r>
        <w:rPr>
          <w:rFonts w:eastAsia="SimSun"/>
          <w:lang w:val="fr-CH"/>
        </w:rPr>
        <w:t xml:space="preserve">Les réunions de la CE 1 et de ses Groupes de travail tenues pendant la période d'études </w:t>
      </w:r>
      <w:r w:rsidR="00BC2E38">
        <w:rPr>
          <w:rFonts w:eastAsia="SimSun"/>
          <w:lang w:val="fr-CH"/>
        </w:rPr>
        <w:t xml:space="preserve">considérée </w:t>
      </w:r>
      <w:r>
        <w:rPr>
          <w:rFonts w:eastAsia="SimSun"/>
          <w:lang w:val="fr-CH"/>
        </w:rPr>
        <w:t xml:space="preserve">sont indiquées ci-après. Toutes les réunions ont eu lieu à Genève, </w:t>
      </w:r>
      <w:r w:rsidR="00BC2E38">
        <w:rPr>
          <w:rFonts w:eastAsia="SimSun"/>
          <w:lang w:val="fr-CH"/>
        </w:rPr>
        <w:t>(</w:t>
      </w:r>
      <w:r>
        <w:rPr>
          <w:rFonts w:eastAsia="SimSun"/>
          <w:lang w:val="fr-CH"/>
        </w:rPr>
        <w:t>Suisse</w:t>
      </w:r>
      <w:r w:rsidR="00BC2E38">
        <w:rPr>
          <w:rFonts w:eastAsia="SimSun"/>
          <w:lang w:val="fr-CH"/>
        </w:rPr>
        <w:t>)</w:t>
      </w:r>
      <w:r>
        <w:rPr>
          <w:rFonts w:eastAsia="SimSun"/>
          <w:lang w:val="fr-CH"/>
        </w:rPr>
        <w:t>:</w:t>
      </w:r>
    </w:p>
    <w:p w:rsidR="00902933" w:rsidRPr="005D6746" w:rsidRDefault="00902933" w:rsidP="00902933">
      <w:pPr>
        <w:pStyle w:val="enumlev1"/>
      </w:pPr>
      <w:r>
        <w:t xml:space="preserve"> </w:t>
      </w:r>
      <w:r>
        <w:tab/>
        <w:t>6</w:t>
      </w:r>
      <w:r w:rsidRPr="005D6746">
        <w:t xml:space="preserve"> </w:t>
      </w:r>
      <w:r>
        <w:t xml:space="preserve">au </w:t>
      </w:r>
      <w:r w:rsidRPr="00CA79AF">
        <w:rPr>
          <w:lang w:val="fr-CH"/>
        </w:rPr>
        <w:t>13</w:t>
      </w:r>
      <w:r w:rsidRPr="005D6746">
        <w:t xml:space="preserve"> </w:t>
      </w:r>
      <w:r>
        <w:t xml:space="preserve">juin </w:t>
      </w:r>
      <w:r w:rsidRPr="005D6746">
        <w:t>20</w:t>
      </w:r>
      <w:r w:rsidRPr="00CA79AF">
        <w:rPr>
          <w:lang w:val="fr-CH"/>
        </w:rPr>
        <w:t>12</w:t>
      </w:r>
      <w:r w:rsidRPr="005D6746">
        <w:tab/>
      </w:r>
      <w:r>
        <w:tab/>
      </w:r>
      <w:r>
        <w:tab/>
        <w:t xml:space="preserve">GT </w:t>
      </w:r>
      <w:r w:rsidRPr="005D6746">
        <w:t xml:space="preserve">1A, </w:t>
      </w:r>
      <w:r>
        <w:t xml:space="preserve">GT </w:t>
      </w:r>
      <w:r w:rsidRPr="005D6746">
        <w:t xml:space="preserve">1B </w:t>
      </w:r>
      <w:r>
        <w:t xml:space="preserve">et GT </w:t>
      </w:r>
      <w:r w:rsidRPr="005D6746">
        <w:t>1C</w:t>
      </w:r>
    </w:p>
    <w:p w:rsidR="00902933" w:rsidRPr="005D6746" w:rsidRDefault="00902933" w:rsidP="00813083">
      <w:pPr>
        <w:pStyle w:val="enumlev1"/>
      </w:pPr>
      <w:r>
        <w:tab/>
      </w:r>
      <w:r w:rsidRPr="00CA79AF">
        <w:rPr>
          <w:lang w:val="fr-CH"/>
        </w:rPr>
        <w:t>14</w:t>
      </w:r>
      <w:r w:rsidRPr="005D6746">
        <w:t xml:space="preserve"> </w:t>
      </w:r>
      <w:r>
        <w:t xml:space="preserve">juin </w:t>
      </w:r>
      <w:r w:rsidRPr="005D6746">
        <w:t>20</w:t>
      </w:r>
      <w:r w:rsidRPr="00CA79AF">
        <w:rPr>
          <w:lang w:val="fr-CH"/>
        </w:rPr>
        <w:t>12</w:t>
      </w:r>
      <w:r w:rsidRPr="005D6746">
        <w:tab/>
      </w:r>
      <w:r>
        <w:tab/>
      </w:r>
      <w:r>
        <w:tab/>
      </w:r>
      <w:r>
        <w:tab/>
        <w:t xml:space="preserve">CE </w:t>
      </w:r>
      <w:r w:rsidRPr="005D6746">
        <w:t>1</w:t>
      </w:r>
    </w:p>
    <w:p w:rsidR="00902933" w:rsidRPr="005D6746" w:rsidRDefault="00902933" w:rsidP="00902933">
      <w:pPr>
        <w:pStyle w:val="enumlev1"/>
      </w:pPr>
      <w:r>
        <w:tab/>
        <w:t>4</w:t>
      </w:r>
      <w:r w:rsidRPr="005D6746">
        <w:t xml:space="preserve"> </w:t>
      </w:r>
      <w:r>
        <w:t>au</w:t>
      </w:r>
      <w:r w:rsidRPr="005D6746">
        <w:t xml:space="preserve"> </w:t>
      </w:r>
      <w:r>
        <w:t>11</w:t>
      </w:r>
      <w:r w:rsidRPr="005D6746">
        <w:t xml:space="preserve"> </w:t>
      </w:r>
      <w:r>
        <w:t xml:space="preserve">juin </w:t>
      </w:r>
      <w:r w:rsidRPr="005D6746">
        <w:t xml:space="preserve"> 20</w:t>
      </w:r>
      <w:r>
        <w:t>13</w:t>
      </w:r>
      <w:r>
        <w:tab/>
      </w:r>
      <w:r w:rsidRPr="005D6746">
        <w:tab/>
      </w:r>
      <w:r>
        <w:tab/>
        <w:t xml:space="preserve">GT </w:t>
      </w:r>
      <w:r w:rsidRPr="005D6746">
        <w:t xml:space="preserve">1A, </w:t>
      </w:r>
      <w:r w:rsidR="00F6597F">
        <w:t>GT</w:t>
      </w:r>
      <w:r w:rsidRPr="005D6746">
        <w:t xml:space="preserve"> 1B </w:t>
      </w:r>
      <w:r w:rsidR="00813083">
        <w:t>et GT</w:t>
      </w:r>
      <w:r w:rsidRPr="005D6746">
        <w:t xml:space="preserve"> 1C</w:t>
      </w:r>
    </w:p>
    <w:p w:rsidR="00902933" w:rsidRPr="005D6746" w:rsidRDefault="00902933" w:rsidP="00902933">
      <w:pPr>
        <w:pStyle w:val="enumlev1"/>
      </w:pPr>
      <w:r>
        <w:tab/>
        <w:t>12</w:t>
      </w:r>
      <w:r w:rsidRPr="005D6746">
        <w:t xml:space="preserve"> </w:t>
      </w:r>
      <w:r w:rsidRPr="00CA79AF">
        <w:rPr>
          <w:lang w:val="fr-CH"/>
        </w:rPr>
        <w:t xml:space="preserve">juin </w:t>
      </w:r>
      <w:r w:rsidRPr="005D6746">
        <w:t xml:space="preserve"> 20</w:t>
      </w:r>
      <w:r w:rsidRPr="00CA79AF">
        <w:rPr>
          <w:lang w:val="fr-CH"/>
        </w:rPr>
        <w:t>13</w:t>
      </w:r>
      <w:r w:rsidRPr="00CA79AF">
        <w:rPr>
          <w:lang w:val="fr-CH"/>
        </w:rPr>
        <w:tab/>
      </w:r>
      <w:r w:rsidRPr="005D6746">
        <w:tab/>
      </w:r>
      <w:r>
        <w:tab/>
      </w:r>
      <w:r>
        <w:tab/>
        <w:t xml:space="preserve">CE </w:t>
      </w:r>
      <w:r w:rsidRPr="005D6746">
        <w:t>1</w:t>
      </w:r>
    </w:p>
    <w:p w:rsidR="00902933" w:rsidRDefault="00902933" w:rsidP="00902933">
      <w:pPr>
        <w:pStyle w:val="enumlev1"/>
      </w:pPr>
      <w:r>
        <w:tab/>
      </w:r>
      <w:r w:rsidRPr="00AA414F">
        <w:t xml:space="preserve">20 </w:t>
      </w:r>
      <w:r>
        <w:t>au</w:t>
      </w:r>
      <w:r w:rsidRPr="00AA414F">
        <w:t xml:space="preserve"> 24 </w:t>
      </w:r>
      <w:r>
        <w:t xml:space="preserve">janvier </w:t>
      </w:r>
      <w:r w:rsidRPr="00AA414F">
        <w:t>2014</w:t>
      </w:r>
      <w:r w:rsidRPr="00AA414F">
        <w:tab/>
      </w:r>
      <w:r w:rsidRPr="00AA414F">
        <w:tab/>
      </w:r>
      <w:r w:rsidRPr="00AA414F">
        <w:tab/>
      </w:r>
      <w:r>
        <w:t xml:space="preserve">GT </w:t>
      </w:r>
      <w:r w:rsidRPr="00AA414F">
        <w:t>1B</w:t>
      </w:r>
      <w:r w:rsidRPr="005A0A52">
        <w:t xml:space="preserve"> *</w:t>
      </w:r>
    </w:p>
    <w:p w:rsidR="00902933" w:rsidRDefault="00902933" w:rsidP="00902933">
      <w:pPr>
        <w:pStyle w:val="enumlev1"/>
      </w:pPr>
      <w:r>
        <w:tab/>
      </w:r>
      <w:r w:rsidRPr="005A0A52">
        <w:t xml:space="preserve">4 </w:t>
      </w:r>
      <w:r>
        <w:t>au</w:t>
      </w:r>
      <w:r w:rsidRPr="005A0A52">
        <w:t xml:space="preserve"> 11 </w:t>
      </w:r>
      <w:r>
        <w:t xml:space="preserve">juin </w:t>
      </w:r>
      <w:r w:rsidRPr="005A0A52">
        <w:t>2014</w:t>
      </w:r>
      <w:r w:rsidRPr="005A0A52">
        <w:tab/>
      </w:r>
      <w:r w:rsidRPr="005A0A52">
        <w:tab/>
      </w:r>
      <w:r w:rsidRPr="005A0A52">
        <w:tab/>
      </w:r>
      <w:r>
        <w:t xml:space="preserve">GT </w:t>
      </w:r>
      <w:r w:rsidRPr="005A0A52">
        <w:t xml:space="preserve">1A, </w:t>
      </w:r>
      <w:r w:rsidR="00813083">
        <w:t>GT</w:t>
      </w:r>
      <w:r>
        <w:t xml:space="preserve"> </w:t>
      </w:r>
      <w:r w:rsidRPr="005A0A52">
        <w:t xml:space="preserve">1B </w:t>
      </w:r>
      <w:r w:rsidR="00813083">
        <w:t>et GT</w:t>
      </w:r>
      <w:r>
        <w:t xml:space="preserve"> </w:t>
      </w:r>
      <w:r w:rsidRPr="005A0A52">
        <w:t>1C</w:t>
      </w:r>
      <w:r>
        <w:t xml:space="preserve"> **</w:t>
      </w:r>
    </w:p>
    <w:p w:rsidR="00902933" w:rsidRPr="005D6746" w:rsidRDefault="00902933" w:rsidP="00902933">
      <w:pPr>
        <w:pStyle w:val="enumlev1"/>
      </w:pPr>
      <w:r>
        <w:tab/>
        <w:t>12</w:t>
      </w:r>
      <w:r w:rsidRPr="005D6746">
        <w:t xml:space="preserve"> </w:t>
      </w:r>
      <w:r w:rsidR="00813083">
        <w:t>juin</w:t>
      </w:r>
      <w:r w:rsidRPr="005D6746">
        <w:t xml:space="preserve"> 201</w:t>
      </w:r>
      <w:r>
        <w:t>4</w:t>
      </w:r>
      <w:r w:rsidRPr="005D6746">
        <w:tab/>
      </w:r>
      <w:r>
        <w:tab/>
      </w:r>
      <w:r>
        <w:tab/>
      </w:r>
      <w:r>
        <w:tab/>
        <w:t xml:space="preserve">CE </w:t>
      </w:r>
      <w:r w:rsidRPr="005D6746">
        <w:t>1</w:t>
      </w:r>
    </w:p>
    <w:p w:rsidR="00902933" w:rsidRPr="005D6746" w:rsidRDefault="00902933" w:rsidP="00902933">
      <w:pPr>
        <w:pStyle w:val="enumlev1"/>
      </w:pPr>
      <w:r>
        <w:tab/>
      </w:r>
      <w:r w:rsidRPr="000F49EC">
        <w:rPr>
          <w:rFonts w:eastAsia="SimSun"/>
        </w:rPr>
        <w:t xml:space="preserve">3 </w:t>
      </w:r>
      <w:r>
        <w:rPr>
          <w:rFonts w:eastAsia="SimSun"/>
        </w:rPr>
        <w:t>au</w:t>
      </w:r>
      <w:r w:rsidRPr="000F49EC">
        <w:rPr>
          <w:rFonts w:eastAsia="SimSun"/>
        </w:rPr>
        <w:t xml:space="preserve"> 10 </w:t>
      </w:r>
      <w:r w:rsidR="00813083">
        <w:rPr>
          <w:rFonts w:eastAsia="SimSun"/>
        </w:rPr>
        <w:t>juin</w:t>
      </w:r>
      <w:r w:rsidRPr="000F49EC">
        <w:rPr>
          <w:rFonts w:eastAsia="SimSun"/>
        </w:rPr>
        <w:t xml:space="preserve"> 2015</w:t>
      </w:r>
      <w:r>
        <w:tab/>
      </w:r>
      <w:r>
        <w:tab/>
      </w:r>
      <w:r w:rsidRPr="005D6746">
        <w:tab/>
      </w:r>
      <w:r>
        <w:t xml:space="preserve">GT </w:t>
      </w:r>
      <w:r w:rsidRPr="005D6746">
        <w:t>1A</w:t>
      </w:r>
      <w:r>
        <w:t>***</w:t>
      </w:r>
      <w:r w:rsidRPr="005D6746">
        <w:t xml:space="preserve">, </w:t>
      </w:r>
      <w:r>
        <w:t xml:space="preserve">GT </w:t>
      </w:r>
      <w:r w:rsidRPr="005D6746">
        <w:t>1B</w:t>
      </w:r>
      <w:r>
        <w:t>***</w:t>
      </w:r>
      <w:r w:rsidRPr="005D6746">
        <w:t xml:space="preserve"> </w:t>
      </w:r>
      <w:r w:rsidR="00813083">
        <w:t>et GT</w:t>
      </w:r>
      <w:r>
        <w:t xml:space="preserve"> </w:t>
      </w:r>
      <w:r w:rsidRPr="005D6746">
        <w:t>1C</w:t>
      </w:r>
    </w:p>
    <w:p w:rsidR="00902933" w:rsidRPr="005D6746" w:rsidRDefault="00902933" w:rsidP="00902933">
      <w:pPr>
        <w:pStyle w:val="enumlev1"/>
      </w:pPr>
      <w:r>
        <w:tab/>
        <w:t>11</w:t>
      </w:r>
      <w:r w:rsidR="00BC2E38">
        <w:t xml:space="preserve"> et </w:t>
      </w:r>
      <w:r>
        <w:t>1</w:t>
      </w:r>
      <w:r w:rsidRPr="005D6746">
        <w:t xml:space="preserve">2 </w:t>
      </w:r>
      <w:r w:rsidR="00813083">
        <w:t>juin</w:t>
      </w:r>
      <w:r w:rsidRPr="005D6746">
        <w:t xml:space="preserve"> 201</w:t>
      </w:r>
      <w:r>
        <w:t>5</w:t>
      </w:r>
      <w:r w:rsidRPr="005D6746">
        <w:tab/>
      </w:r>
      <w:r w:rsidRPr="005D6746">
        <w:tab/>
      </w:r>
      <w:r>
        <w:tab/>
      </w:r>
      <w:r w:rsidR="00813083">
        <w:t>CE</w:t>
      </w:r>
      <w:r>
        <w:t xml:space="preserve"> </w:t>
      </w:r>
      <w:r w:rsidRPr="005D6746">
        <w:t>1</w:t>
      </w:r>
    </w:p>
    <w:p w:rsidR="00902933" w:rsidRDefault="00902933" w:rsidP="00902933">
      <w:r w:rsidRPr="00AA414F">
        <w:t xml:space="preserve">* </w:t>
      </w:r>
      <w:r>
        <w:t>Dans le cadre de cette réunion, le Groupe du rapporteur du GT</w:t>
      </w:r>
      <w:r w:rsidR="00FB5341">
        <w:t xml:space="preserve"> </w:t>
      </w:r>
      <w:r w:rsidRPr="00AA414F">
        <w:t xml:space="preserve">1A </w:t>
      </w:r>
      <w:r>
        <w:t>chargé de la révision du Manuel</w:t>
      </w:r>
      <w:r w:rsidRPr="00B607AA">
        <w:t xml:space="preserve"> </w:t>
      </w:r>
      <w:r w:rsidRPr="00AA414F">
        <w:t>CAT</w:t>
      </w:r>
      <w:r>
        <w:t xml:space="preserve"> s’est</w:t>
      </w:r>
      <w:r w:rsidR="00FB5341">
        <w:t xml:space="preserve"> réuni du 20 au 22 janvier 2014</w:t>
      </w:r>
      <w:r>
        <w:t xml:space="preserve"> </w:t>
      </w:r>
      <w:r w:rsidR="00BC2E38">
        <w:rPr>
          <w:color w:val="000000"/>
        </w:rPr>
        <w:t>et un A</w:t>
      </w:r>
      <w:r>
        <w:rPr>
          <w:color w:val="000000"/>
        </w:rPr>
        <w:t>telier de l'UIT sur les aspects de la gestion du spectre relatifs à l’utilisation des espaces blancs par les systèmes de radiocommunication cognitifs</w:t>
      </w:r>
      <w:r w:rsidRPr="00B607AA">
        <w:rPr>
          <w:color w:val="000000"/>
        </w:rPr>
        <w:t xml:space="preserve"> </w:t>
      </w:r>
      <w:r>
        <w:rPr>
          <w:color w:val="000000"/>
        </w:rPr>
        <w:t>a été organisé le 20 janvier 2014</w:t>
      </w:r>
      <w:r w:rsidR="00813083">
        <w:t xml:space="preserve"> </w:t>
      </w:r>
      <w:r>
        <w:t>(</w:t>
      </w:r>
      <w:r w:rsidR="00813083">
        <w:t>voir le §</w:t>
      </w:r>
      <w:r>
        <w:t xml:space="preserve"> 8)</w:t>
      </w:r>
      <w:r w:rsidRPr="00AA414F">
        <w:t>.</w:t>
      </w:r>
    </w:p>
    <w:p w:rsidR="00902933" w:rsidRPr="00AA414F" w:rsidRDefault="00902933" w:rsidP="00FB5341">
      <w:r>
        <w:t>*</w:t>
      </w:r>
      <w:r w:rsidRPr="00AA414F">
        <w:t xml:space="preserve">* </w:t>
      </w:r>
      <w:r>
        <w:t>Dans le cadre de ces réunions, un</w:t>
      </w:r>
      <w:r w:rsidRPr="003F025C">
        <w:t xml:space="preserve"> </w:t>
      </w:r>
      <w:r w:rsidR="00BC2E38">
        <w:rPr>
          <w:color w:val="000000"/>
        </w:rPr>
        <w:t>A</w:t>
      </w:r>
      <w:r>
        <w:rPr>
          <w:color w:val="000000"/>
        </w:rPr>
        <w:t>telier de l'UIT sur les dispositifs à courte portée (SRD) et les technolo</w:t>
      </w:r>
      <w:r w:rsidR="00813083">
        <w:rPr>
          <w:color w:val="000000"/>
        </w:rPr>
        <w:t xml:space="preserve">gies à ultra large bande (UWB) </w:t>
      </w:r>
      <w:r>
        <w:rPr>
          <w:color w:val="000000"/>
        </w:rPr>
        <w:t>a été organisé le 3 juin 2014</w:t>
      </w:r>
      <w:r>
        <w:t xml:space="preserve"> (voir le § 8)</w:t>
      </w:r>
      <w:r w:rsidRPr="00AA414F">
        <w:t>.</w:t>
      </w:r>
    </w:p>
    <w:p w:rsidR="00902933" w:rsidRPr="009C68A7" w:rsidRDefault="00902933" w:rsidP="00BC2E38">
      <w:r w:rsidRPr="00AA414F">
        <w:t>*</w:t>
      </w:r>
      <w:r>
        <w:t>*</w:t>
      </w:r>
      <w:r w:rsidRPr="00AA414F">
        <w:t>*</w:t>
      </w:r>
      <w:r>
        <w:t xml:space="preserve">Les réunions du GT </w:t>
      </w:r>
      <w:r w:rsidRPr="00AA414F">
        <w:t xml:space="preserve">1A </w:t>
      </w:r>
      <w:r>
        <w:t>et du GT 1B ont commencé le 4 juin 2015 les réunions des Groupes de Rapporteurs associés se sont tenues le 3 juin 2015.</w:t>
      </w:r>
    </w:p>
    <w:p w:rsidR="00902933" w:rsidRDefault="00902933" w:rsidP="00902933">
      <w:pPr>
        <w:pStyle w:val="Heading1"/>
        <w:rPr>
          <w:rFonts w:eastAsia="SimSun"/>
          <w:lang w:val="fr-CH"/>
        </w:rPr>
      </w:pPr>
      <w:r>
        <w:rPr>
          <w:lang w:val="fr-CH"/>
        </w:rPr>
        <w:t>5</w:t>
      </w:r>
      <w:r>
        <w:rPr>
          <w:lang w:val="fr-CH"/>
        </w:rPr>
        <w:tab/>
      </w:r>
      <w:r>
        <w:rPr>
          <w:rFonts w:eastAsia="SimSun"/>
          <w:lang w:val="fr-CH"/>
        </w:rPr>
        <w:t>Principales activités des Groupes de travail</w:t>
      </w:r>
    </w:p>
    <w:p w:rsidR="00902933" w:rsidRDefault="00902933" w:rsidP="004B3076">
      <w:pPr>
        <w:pStyle w:val="Heading2"/>
        <w:rPr>
          <w:rFonts w:eastAsia="SimSun"/>
          <w:lang w:val="fr-CH"/>
        </w:rPr>
      </w:pPr>
      <w:r w:rsidRPr="00700204">
        <w:rPr>
          <w:rFonts w:eastAsia="SimSun"/>
          <w:lang w:val="fr-CH"/>
        </w:rPr>
        <w:t>5.1</w:t>
      </w:r>
      <w:r w:rsidRPr="00700204">
        <w:rPr>
          <w:rFonts w:eastAsia="SimSun"/>
          <w:lang w:val="fr-CH"/>
        </w:rPr>
        <w:tab/>
      </w:r>
      <w:r>
        <w:rPr>
          <w:rFonts w:eastAsia="SimSun"/>
          <w:lang w:val="fr-CH"/>
        </w:rPr>
        <w:t>Activités liées aux Résolutions de l’UIT-R</w:t>
      </w:r>
    </w:p>
    <w:p w:rsidR="00902933" w:rsidRDefault="00902933" w:rsidP="00902933">
      <w:r>
        <w:t>Pendant la période d’étude</w:t>
      </w:r>
      <w:r w:rsidR="00950F9A">
        <w:t>s, la CE</w:t>
      </w:r>
      <w:r w:rsidR="00FB5341">
        <w:t xml:space="preserve"> </w:t>
      </w:r>
      <w:r w:rsidR="00950F9A">
        <w:t xml:space="preserve">1 a mené des activités </w:t>
      </w:r>
      <w:r>
        <w:t>concernant les Ré</w:t>
      </w:r>
      <w:r w:rsidR="004B3076">
        <w:t>solutions suivantes de l’UIT-R</w:t>
      </w:r>
      <w:r w:rsidR="00D642A1">
        <w:t>.</w:t>
      </w:r>
    </w:p>
    <w:p w:rsidR="00FB5341" w:rsidRDefault="00FB5341">
      <w:pPr>
        <w:tabs>
          <w:tab w:val="clear" w:pos="1134"/>
          <w:tab w:val="clear" w:pos="1871"/>
          <w:tab w:val="clear" w:pos="2268"/>
        </w:tabs>
        <w:overflowPunct/>
        <w:autoSpaceDE/>
        <w:autoSpaceDN/>
        <w:adjustRightInd/>
        <w:spacing w:before="0"/>
        <w:textAlignment w:val="auto"/>
      </w:pPr>
      <w:r>
        <w:br w:type="page"/>
      </w:r>
    </w:p>
    <w:p w:rsidR="00FB5341" w:rsidRDefault="00FB5341" w:rsidP="00902933"/>
    <w:tbl>
      <w:tblPr>
        <w:tblStyle w:val="TableGrid"/>
        <w:tblW w:w="0" w:type="auto"/>
        <w:tblLook w:val="04A0" w:firstRow="1" w:lastRow="0" w:firstColumn="1" w:lastColumn="0" w:noHBand="0" w:noVBand="1"/>
      </w:tblPr>
      <w:tblGrid>
        <w:gridCol w:w="1128"/>
        <w:gridCol w:w="2808"/>
        <w:gridCol w:w="5670"/>
      </w:tblGrid>
      <w:tr w:rsidR="00902933" w:rsidTr="007D5428">
        <w:trPr>
          <w:tblHeader/>
        </w:trPr>
        <w:tc>
          <w:tcPr>
            <w:tcW w:w="1128" w:type="dxa"/>
            <w:shd w:val="clear" w:color="auto" w:fill="EEECE1" w:themeFill="background2"/>
            <w:vAlign w:val="center"/>
          </w:tcPr>
          <w:p w:rsidR="00902933" w:rsidRPr="001B53A3" w:rsidRDefault="00902933" w:rsidP="007D5428">
            <w:pPr>
              <w:pStyle w:val="Tabletext"/>
              <w:spacing w:before="2"/>
              <w:jc w:val="center"/>
              <w:rPr>
                <w:b/>
                <w:bCs/>
                <w:lang w:eastAsia="ja-JP"/>
              </w:rPr>
            </w:pPr>
            <w:r w:rsidRPr="001B53A3">
              <w:rPr>
                <w:b/>
                <w:bCs/>
                <w:lang w:eastAsia="ja-JP"/>
              </w:rPr>
              <w:t>R</w:t>
            </w:r>
            <w:r w:rsidR="004B3076">
              <w:rPr>
                <w:b/>
                <w:bCs/>
                <w:lang w:eastAsia="ja-JP"/>
              </w:rPr>
              <w:t>é</w:t>
            </w:r>
            <w:r w:rsidRPr="001B53A3">
              <w:rPr>
                <w:b/>
                <w:bCs/>
                <w:lang w:eastAsia="ja-JP"/>
              </w:rPr>
              <w:t>solution</w:t>
            </w:r>
          </w:p>
        </w:tc>
        <w:tc>
          <w:tcPr>
            <w:tcW w:w="2808" w:type="dxa"/>
            <w:shd w:val="clear" w:color="auto" w:fill="EEECE1" w:themeFill="background2"/>
            <w:vAlign w:val="center"/>
          </w:tcPr>
          <w:p w:rsidR="00902933" w:rsidRPr="00976BD2" w:rsidRDefault="00902933" w:rsidP="007D5428">
            <w:pPr>
              <w:pStyle w:val="Tabletext"/>
              <w:spacing w:before="2"/>
              <w:jc w:val="center"/>
              <w:rPr>
                <w:b/>
                <w:bCs/>
              </w:rPr>
            </w:pPr>
            <w:r w:rsidRPr="00976BD2">
              <w:rPr>
                <w:b/>
                <w:bCs/>
              </w:rPr>
              <w:t>Tit</w:t>
            </w:r>
            <w:r>
              <w:rPr>
                <w:b/>
                <w:bCs/>
              </w:rPr>
              <w:t>r</w:t>
            </w:r>
            <w:r w:rsidRPr="00976BD2">
              <w:rPr>
                <w:b/>
                <w:bCs/>
              </w:rPr>
              <w:t>e</w:t>
            </w:r>
          </w:p>
        </w:tc>
        <w:tc>
          <w:tcPr>
            <w:tcW w:w="5670" w:type="dxa"/>
            <w:shd w:val="clear" w:color="auto" w:fill="EEECE1" w:themeFill="background2"/>
            <w:vAlign w:val="center"/>
          </w:tcPr>
          <w:p w:rsidR="00902933" w:rsidRPr="00A4472B" w:rsidRDefault="004B3076" w:rsidP="007D5428">
            <w:pPr>
              <w:pStyle w:val="Tabletext"/>
              <w:spacing w:before="2"/>
              <w:jc w:val="center"/>
              <w:rPr>
                <w:b/>
                <w:bCs/>
                <w:highlight w:val="yellow"/>
              </w:rPr>
            </w:pPr>
            <w:r>
              <w:rPr>
                <w:b/>
                <w:bCs/>
              </w:rPr>
              <w:t>E</w:t>
            </w:r>
            <w:r w:rsidR="00902933" w:rsidRPr="00700204">
              <w:rPr>
                <w:b/>
                <w:bCs/>
              </w:rPr>
              <w:t xml:space="preserve">tat d'avancement des études menées par </w:t>
            </w:r>
            <w:r w:rsidR="00902933">
              <w:rPr>
                <w:b/>
                <w:bCs/>
              </w:rPr>
              <w:t xml:space="preserve">CE </w:t>
            </w:r>
            <w:r w:rsidR="00902933" w:rsidRPr="00A4472B">
              <w:rPr>
                <w:b/>
                <w:bCs/>
              </w:rPr>
              <w:t>1</w:t>
            </w:r>
            <w:r w:rsidR="00D642A1">
              <w:rPr>
                <w:b/>
                <w:bCs/>
              </w:rPr>
              <w:t xml:space="preserve"> et documents établis par la</w:t>
            </w:r>
            <w:r w:rsidR="00902933" w:rsidRPr="00A4472B">
              <w:rPr>
                <w:b/>
                <w:bCs/>
              </w:rPr>
              <w:t xml:space="preserve"> </w:t>
            </w:r>
            <w:r w:rsidR="00902933">
              <w:rPr>
                <w:b/>
                <w:bCs/>
              </w:rPr>
              <w:t xml:space="preserve">CE </w:t>
            </w:r>
            <w:r w:rsidR="00902933" w:rsidRPr="00A4472B">
              <w:rPr>
                <w:b/>
                <w:bCs/>
              </w:rPr>
              <w:t>1</w:t>
            </w:r>
          </w:p>
        </w:tc>
      </w:tr>
      <w:tr w:rsidR="00902933" w:rsidTr="007D5428">
        <w:tc>
          <w:tcPr>
            <w:tcW w:w="1128" w:type="dxa"/>
          </w:tcPr>
          <w:p w:rsidR="00902933" w:rsidRPr="001B53A3" w:rsidRDefault="00902933" w:rsidP="007D5428">
            <w:pPr>
              <w:pStyle w:val="Tabletext"/>
              <w:spacing w:before="2"/>
              <w:rPr>
                <w:lang w:eastAsia="ja-JP"/>
              </w:rPr>
            </w:pPr>
            <w:r w:rsidRPr="001B53A3">
              <w:rPr>
                <w:lang w:eastAsia="ja-JP"/>
              </w:rPr>
              <w:t>11-4</w:t>
            </w:r>
          </w:p>
        </w:tc>
        <w:tc>
          <w:tcPr>
            <w:tcW w:w="2808" w:type="dxa"/>
          </w:tcPr>
          <w:p w:rsidR="00902933" w:rsidRPr="00976BD2" w:rsidRDefault="00902933" w:rsidP="007D5428">
            <w:pPr>
              <w:pStyle w:val="Tabletext"/>
              <w:spacing w:before="0"/>
              <w:rPr>
                <w:sz w:val="21"/>
                <w:szCs w:val="21"/>
              </w:rPr>
            </w:pPr>
            <w:r>
              <w:rPr>
                <w:color w:val="000000"/>
              </w:rPr>
              <w:t>Perfectionnement du système de gestion du spectre pour les pays en développement</w:t>
            </w:r>
          </w:p>
        </w:tc>
        <w:tc>
          <w:tcPr>
            <w:tcW w:w="5670" w:type="dxa"/>
          </w:tcPr>
          <w:p w:rsidR="00902933" w:rsidRPr="00A4472B" w:rsidRDefault="00902933" w:rsidP="007D5428">
            <w:pPr>
              <w:pStyle w:val="Tabletext"/>
              <w:spacing w:before="0"/>
              <w:ind w:left="284" w:hanging="284"/>
              <w:rPr>
                <w:lang w:eastAsia="ja-JP"/>
              </w:rPr>
            </w:pPr>
            <w:r w:rsidRPr="00A4472B">
              <w:rPr>
                <w:lang w:eastAsia="ja-JP"/>
              </w:rPr>
              <w:t>–</w:t>
            </w:r>
            <w:r w:rsidRPr="00A4472B">
              <w:rPr>
                <w:lang w:eastAsia="ja-JP"/>
              </w:rPr>
              <w:tab/>
            </w:r>
            <w:r>
              <w:rPr>
                <w:lang w:eastAsia="ja-JP"/>
              </w:rPr>
              <w:t xml:space="preserve">Nouvelle édition </w:t>
            </w:r>
            <w:r>
              <w:rPr>
                <w:color w:val="000000"/>
              </w:rPr>
              <w:t>du Manuel de l'UIT sur l'application des techniques informatiques à la gestion du spectre radioélectrique</w:t>
            </w:r>
          </w:p>
          <w:p w:rsidR="00902933" w:rsidRPr="00A4472B" w:rsidRDefault="00902933" w:rsidP="00A4472B">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rPr>
                <w:sz w:val="21"/>
                <w:szCs w:val="21"/>
                <w:highlight w:val="yellow"/>
                <w:lang w:eastAsia="ja-JP"/>
              </w:rPr>
            </w:pPr>
            <w:r w:rsidRPr="00A4472B">
              <w:rPr>
                <w:sz w:val="20"/>
                <w:lang w:eastAsia="ja-JP"/>
              </w:rPr>
              <w:t>–</w:t>
            </w:r>
            <w:r w:rsidRPr="00A4472B">
              <w:rPr>
                <w:sz w:val="20"/>
                <w:lang w:eastAsia="ja-JP"/>
              </w:rPr>
              <w:tab/>
            </w:r>
            <w:hyperlink r:id="rId9" w:history="1">
              <w:r w:rsidR="00851359">
                <w:rPr>
                  <w:rStyle w:val="Hyperlink"/>
                  <w:sz w:val="20"/>
                  <w:lang w:eastAsia="ja-JP"/>
                </w:rPr>
                <w:t>Recommandation UIT-R</w:t>
              </w:r>
              <w:r w:rsidRPr="00A4472B">
                <w:rPr>
                  <w:rStyle w:val="Hyperlink"/>
                  <w:sz w:val="20"/>
                  <w:lang w:eastAsia="ja-JP"/>
                </w:rPr>
                <w:t xml:space="preserve"> SM.1370-2</w:t>
              </w:r>
            </w:hyperlink>
            <w:r w:rsidRPr="00A4472B">
              <w:rPr>
                <w:sz w:val="20"/>
                <w:lang w:eastAsia="ja-JP"/>
              </w:rPr>
              <w:t xml:space="preserve"> </w:t>
            </w:r>
            <w:r>
              <w:rPr>
                <w:sz w:val="20"/>
                <w:lang w:eastAsia="ja-JP"/>
              </w:rPr>
              <w:t xml:space="preserve">- </w:t>
            </w:r>
            <w:r w:rsidRPr="004E680C">
              <w:rPr>
                <w:sz w:val="20"/>
                <w:lang w:eastAsia="ja-JP"/>
              </w:rPr>
              <w:t>Directives de conception pour la réalisation des systèmes de gestion automatisée du spectre</w:t>
            </w:r>
          </w:p>
        </w:tc>
      </w:tr>
      <w:tr w:rsidR="00902933" w:rsidTr="007D5428">
        <w:tc>
          <w:tcPr>
            <w:tcW w:w="1128" w:type="dxa"/>
          </w:tcPr>
          <w:p w:rsidR="00902933" w:rsidRPr="001B53A3" w:rsidRDefault="00902933" w:rsidP="007D5428">
            <w:pPr>
              <w:pStyle w:val="Tabletext"/>
              <w:spacing w:before="2"/>
              <w:rPr>
                <w:lang w:eastAsia="ja-JP"/>
              </w:rPr>
            </w:pPr>
            <w:r w:rsidRPr="001B53A3">
              <w:rPr>
                <w:lang w:eastAsia="ja-JP"/>
              </w:rPr>
              <w:t>22-3</w:t>
            </w:r>
          </w:p>
        </w:tc>
        <w:tc>
          <w:tcPr>
            <w:tcW w:w="2808" w:type="dxa"/>
          </w:tcPr>
          <w:p w:rsidR="00902933" w:rsidRPr="00976BD2" w:rsidRDefault="00902933" w:rsidP="007D5428">
            <w:pPr>
              <w:pStyle w:val="Tabletext"/>
              <w:spacing w:before="2"/>
              <w:rPr>
                <w:sz w:val="21"/>
                <w:szCs w:val="21"/>
              </w:rPr>
            </w:pPr>
            <w:r>
              <w:rPr>
                <w:color w:val="000000"/>
              </w:rPr>
              <w:t>Amélioration des pratiques et des techniques de gestion nationale du spectre radioélectrique</w:t>
            </w:r>
          </w:p>
        </w:tc>
        <w:tc>
          <w:tcPr>
            <w:tcW w:w="5670" w:type="dxa"/>
          </w:tcPr>
          <w:p w:rsidR="00902933" w:rsidRPr="00A4472B" w:rsidRDefault="00902933" w:rsidP="007D5428">
            <w:pPr>
              <w:pStyle w:val="Tabletext"/>
              <w:spacing w:before="0"/>
              <w:ind w:left="284" w:hanging="284"/>
              <w:rPr>
                <w:lang w:eastAsia="ja-JP"/>
              </w:rPr>
            </w:pPr>
            <w:r w:rsidRPr="00A4472B">
              <w:rPr>
                <w:lang w:eastAsia="ja-JP"/>
              </w:rPr>
              <w:t>–</w:t>
            </w:r>
            <w:r w:rsidRPr="00A4472B">
              <w:rPr>
                <w:lang w:eastAsia="ja-JP"/>
              </w:rPr>
              <w:tab/>
            </w:r>
            <w:hyperlink r:id="rId10" w:history="1">
              <w:r>
                <w:rPr>
                  <w:rStyle w:val="Hyperlink"/>
                  <w:lang w:eastAsia="ja-JP"/>
                </w:rPr>
                <w:t xml:space="preserve">Recommandation UIT-R </w:t>
              </w:r>
              <w:r w:rsidRPr="00A4472B">
                <w:rPr>
                  <w:rStyle w:val="Hyperlink"/>
                  <w:lang w:eastAsia="ja-JP"/>
                </w:rPr>
                <w:t>SM.1047-2</w:t>
              </w:r>
            </w:hyperlink>
            <w:r w:rsidRPr="00A4472B">
              <w:rPr>
                <w:lang w:eastAsia="ja-JP"/>
              </w:rPr>
              <w:t xml:space="preserve"> </w:t>
            </w:r>
            <w:r>
              <w:rPr>
                <w:lang w:eastAsia="ja-JP"/>
              </w:rPr>
              <w:t xml:space="preserve">- </w:t>
            </w:r>
            <w:r w:rsidR="004B3076">
              <w:rPr>
                <w:lang w:eastAsia="ja-JP"/>
              </w:rPr>
              <w:t>G</w:t>
            </w:r>
            <w:r w:rsidRPr="004E680C">
              <w:rPr>
                <w:lang w:eastAsia="ja-JP"/>
              </w:rPr>
              <w:t>estion nationale du spectre</w:t>
            </w:r>
          </w:p>
          <w:p w:rsidR="00902933" w:rsidRPr="00A4472B" w:rsidRDefault="00902933" w:rsidP="007D5428">
            <w:pPr>
              <w:pStyle w:val="Tabletext"/>
              <w:spacing w:before="0"/>
              <w:ind w:left="284" w:hanging="284"/>
              <w:rPr>
                <w:lang w:eastAsia="ja-JP"/>
              </w:rPr>
            </w:pPr>
            <w:r w:rsidRPr="00A4472B">
              <w:rPr>
                <w:lang w:eastAsia="ja-JP"/>
              </w:rPr>
              <w:t>–</w:t>
            </w:r>
            <w:r w:rsidRPr="00A4472B">
              <w:rPr>
                <w:lang w:eastAsia="ja-JP"/>
              </w:rPr>
              <w:tab/>
            </w:r>
            <w:hyperlink r:id="rId11" w:history="1">
              <w:r w:rsidR="00D642A1">
                <w:rPr>
                  <w:rStyle w:val="Hyperlink"/>
                  <w:lang w:eastAsia="ja-JP"/>
                </w:rPr>
                <w:t>Recommandation UIT-R</w:t>
              </w:r>
              <w:r w:rsidRPr="00A4472B">
                <w:rPr>
                  <w:rStyle w:val="Hyperlink"/>
                  <w:lang w:eastAsia="ja-JP"/>
                </w:rPr>
                <w:t xml:space="preserve"> SM.1603-2</w:t>
              </w:r>
            </w:hyperlink>
            <w:r w:rsidRPr="00A4472B">
              <w:rPr>
                <w:lang w:eastAsia="ja-JP"/>
              </w:rPr>
              <w:t xml:space="preserve"> </w:t>
            </w:r>
            <w:r>
              <w:rPr>
                <w:lang w:eastAsia="ja-JP"/>
              </w:rPr>
              <w:t xml:space="preserve">- </w:t>
            </w:r>
            <w:r w:rsidRPr="004E680C">
              <w:rPr>
                <w:lang w:eastAsia="ja-JP"/>
              </w:rPr>
              <w:t>Redéploiement du spectre en tant que méthode de gestion nationale du spectre</w:t>
            </w:r>
          </w:p>
          <w:p w:rsidR="00902933" w:rsidRPr="00A4472B" w:rsidRDefault="00902933" w:rsidP="007D5428">
            <w:pPr>
              <w:pStyle w:val="Tabletext"/>
              <w:spacing w:before="0"/>
              <w:ind w:left="284" w:hanging="284"/>
              <w:rPr>
                <w:lang w:eastAsia="ja-JP"/>
              </w:rPr>
            </w:pPr>
            <w:r w:rsidRPr="00A4472B">
              <w:rPr>
                <w:lang w:eastAsia="ja-JP"/>
              </w:rPr>
              <w:t>–</w:t>
            </w:r>
            <w:r w:rsidRPr="00A4472B">
              <w:rPr>
                <w:lang w:eastAsia="ja-JP"/>
              </w:rPr>
              <w:tab/>
            </w:r>
            <w:hyperlink r:id="rId12" w:history="1">
              <w:r>
                <w:rPr>
                  <w:rStyle w:val="Hyperlink"/>
                  <w:lang w:eastAsia="ja-JP"/>
                </w:rPr>
                <w:t xml:space="preserve">Rapport UIT-R </w:t>
              </w:r>
              <w:r w:rsidRPr="00A4472B">
                <w:rPr>
                  <w:rStyle w:val="Hyperlink"/>
                  <w:lang w:eastAsia="ja-JP"/>
                </w:rPr>
                <w:t>SM.2012-4</w:t>
              </w:r>
            </w:hyperlink>
            <w:r w:rsidRPr="00A4472B">
              <w:rPr>
                <w:lang w:eastAsia="ja-JP"/>
              </w:rPr>
              <w:t xml:space="preserve"> </w:t>
            </w:r>
            <w:r>
              <w:rPr>
                <w:lang w:eastAsia="ja-JP"/>
              </w:rPr>
              <w:t>-</w:t>
            </w:r>
            <w:r>
              <w:t xml:space="preserve"> </w:t>
            </w:r>
            <w:r w:rsidRPr="004E680C">
              <w:rPr>
                <w:lang w:eastAsia="ja-JP"/>
              </w:rPr>
              <w:t>Aspects économiques de la gestion du spectre</w:t>
            </w:r>
          </w:p>
          <w:p w:rsidR="00902933" w:rsidRPr="00A4472B" w:rsidRDefault="00902933" w:rsidP="00A4472B">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rPr>
                <w:sz w:val="21"/>
                <w:szCs w:val="21"/>
                <w:highlight w:val="yellow"/>
                <w:lang w:eastAsia="ja-JP"/>
              </w:rPr>
            </w:pPr>
            <w:r w:rsidRPr="00A4472B">
              <w:rPr>
                <w:sz w:val="20"/>
                <w:lang w:eastAsia="ja-JP"/>
              </w:rPr>
              <w:t>–</w:t>
            </w:r>
            <w:r w:rsidRPr="00A4472B">
              <w:rPr>
                <w:sz w:val="20"/>
                <w:lang w:eastAsia="ja-JP"/>
              </w:rPr>
              <w:tab/>
            </w:r>
            <w:r>
              <w:rPr>
                <w:sz w:val="20"/>
                <w:lang w:eastAsia="ja-JP"/>
              </w:rPr>
              <w:t xml:space="preserve">Nouvelle édition du Manuel de l’UIT sur la </w:t>
            </w:r>
            <w:r w:rsidRPr="004E680C">
              <w:rPr>
                <w:lang w:eastAsia="ja-JP"/>
              </w:rPr>
              <w:t>gestion nationale du spectre</w:t>
            </w:r>
          </w:p>
        </w:tc>
      </w:tr>
      <w:tr w:rsidR="00902933" w:rsidTr="007D5428">
        <w:tc>
          <w:tcPr>
            <w:tcW w:w="1128" w:type="dxa"/>
          </w:tcPr>
          <w:p w:rsidR="00902933" w:rsidRPr="001B53A3" w:rsidRDefault="00902933" w:rsidP="007D5428">
            <w:pPr>
              <w:pStyle w:val="Tabletext"/>
              <w:spacing w:before="2"/>
              <w:rPr>
                <w:lang w:eastAsia="ja-JP"/>
              </w:rPr>
            </w:pPr>
            <w:r w:rsidRPr="001B53A3">
              <w:rPr>
                <w:lang w:eastAsia="ja-JP"/>
              </w:rPr>
              <w:t>23-2</w:t>
            </w:r>
          </w:p>
        </w:tc>
        <w:tc>
          <w:tcPr>
            <w:tcW w:w="2808" w:type="dxa"/>
          </w:tcPr>
          <w:p w:rsidR="00902933" w:rsidRPr="00976BD2" w:rsidRDefault="00902933" w:rsidP="007D5428">
            <w:pPr>
              <w:pStyle w:val="Tabletext"/>
              <w:spacing w:before="2"/>
              <w:rPr>
                <w:sz w:val="21"/>
                <w:szCs w:val="21"/>
              </w:rPr>
            </w:pPr>
            <w:r>
              <w:rPr>
                <w:color w:val="000000"/>
              </w:rPr>
              <w:t>Extension à l'échelle mondiale du système de contrôle international des émissions</w:t>
            </w:r>
          </w:p>
        </w:tc>
        <w:tc>
          <w:tcPr>
            <w:tcW w:w="5670" w:type="dxa"/>
          </w:tcPr>
          <w:p w:rsidR="00902933" w:rsidRPr="00A4472B" w:rsidRDefault="00902933" w:rsidP="00A4472B">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rPr>
                <w:sz w:val="20"/>
                <w:highlight w:val="yellow"/>
                <w:lang w:eastAsia="ja-JP"/>
              </w:rPr>
            </w:pPr>
            <w:r>
              <w:rPr>
                <w:sz w:val="20"/>
                <w:lang w:eastAsia="ja-JP"/>
              </w:rPr>
              <w:t>Achevée</w:t>
            </w:r>
            <w:r w:rsidR="004B3076">
              <w:rPr>
                <w:sz w:val="20"/>
                <w:lang w:eastAsia="ja-JP"/>
              </w:rPr>
              <w:t>s</w:t>
            </w:r>
            <w:r>
              <w:rPr>
                <w:sz w:val="20"/>
                <w:lang w:eastAsia="ja-JP"/>
              </w:rPr>
              <w:t>, sous réserve de l’adjonction de nouvelles</w:t>
            </w:r>
            <w:r w:rsidR="00D642A1">
              <w:rPr>
                <w:sz w:val="20"/>
                <w:lang w:eastAsia="ja-JP"/>
              </w:rPr>
              <w:t xml:space="preserve"> administrations dans la Liste </w:t>
            </w:r>
            <w:r w:rsidRPr="00A4472B">
              <w:rPr>
                <w:sz w:val="20"/>
                <w:lang w:eastAsia="ja-JP"/>
              </w:rPr>
              <w:t>VIII (</w:t>
            </w:r>
            <w:r>
              <w:rPr>
                <w:sz w:val="20"/>
                <w:lang w:eastAsia="ja-JP"/>
              </w:rPr>
              <w:t xml:space="preserve">voir également par exemple le </w:t>
            </w:r>
            <w:hyperlink r:id="rId13" w:history="1">
              <w:r>
                <w:rPr>
                  <w:rStyle w:val="Hyperlink"/>
                  <w:sz w:val="20"/>
                  <w:lang w:eastAsia="ja-JP"/>
                </w:rPr>
                <w:t xml:space="preserve">Rapport UIT-R </w:t>
              </w:r>
              <w:r w:rsidRPr="00A4472B">
                <w:rPr>
                  <w:rStyle w:val="Hyperlink"/>
                  <w:sz w:val="20"/>
                  <w:lang w:eastAsia="ja-JP"/>
                </w:rPr>
                <w:t>SM.2182</w:t>
              </w:r>
            </w:hyperlink>
            <w:r w:rsidRPr="00A4472B">
              <w:rPr>
                <w:sz w:val="20"/>
                <w:lang w:eastAsia="ja-JP"/>
              </w:rPr>
              <w:t>)</w:t>
            </w:r>
          </w:p>
        </w:tc>
      </w:tr>
      <w:tr w:rsidR="00902933" w:rsidTr="007D5428">
        <w:tc>
          <w:tcPr>
            <w:tcW w:w="1128" w:type="dxa"/>
          </w:tcPr>
          <w:p w:rsidR="00902933" w:rsidRPr="00A4472B" w:rsidRDefault="00902933" w:rsidP="007D5428">
            <w:pPr>
              <w:pStyle w:val="Tabletext"/>
              <w:spacing w:before="2"/>
              <w:rPr>
                <w:rFonts w:asciiTheme="majorBidi" w:hAnsiTheme="majorBidi" w:cstheme="majorBidi"/>
                <w:lang w:eastAsia="ja-JP"/>
              </w:rPr>
            </w:pPr>
            <w:r w:rsidRPr="00A4472B">
              <w:rPr>
                <w:rFonts w:asciiTheme="majorBidi" w:hAnsiTheme="majorBidi" w:cstheme="majorBidi"/>
                <w:lang w:eastAsia="ja-JP"/>
              </w:rPr>
              <w:t>54-1</w:t>
            </w:r>
          </w:p>
        </w:tc>
        <w:tc>
          <w:tcPr>
            <w:tcW w:w="2808" w:type="dxa"/>
          </w:tcPr>
          <w:p w:rsidR="00902933" w:rsidRPr="00976BD2" w:rsidRDefault="00902933" w:rsidP="007D5428">
            <w:pPr>
              <w:pStyle w:val="Tabletext"/>
              <w:spacing w:before="2"/>
              <w:rPr>
                <w:sz w:val="21"/>
                <w:szCs w:val="21"/>
              </w:rPr>
            </w:pPr>
            <w:r>
              <w:rPr>
                <w:color w:val="000000"/>
              </w:rPr>
              <w:t>Etudes en vue d'assurer l'harmonisation des dispositifs à courte portée</w:t>
            </w:r>
          </w:p>
        </w:tc>
        <w:tc>
          <w:tcPr>
            <w:tcW w:w="5670" w:type="dxa"/>
          </w:tcPr>
          <w:p w:rsidR="00902933" w:rsidRPr="00A4472B" w:rsidRDefault="00902933" w:rsidP="007D5428">
            <w:pPr>
              <w:pStyle w:val="Tabletext"/>
              <w:spacing w:before="0"/>
              <w:ind w:left="284" w:hanging="284"/>
              <w:rPr>
                <w:lang w:eastAsia="ja-JP"/>
              </w:rPr>
            </w:pPr>
            <w:r w:rsidRPr="00A4472B">
              <w:rPr>
                <w:lang w:eastAsia="ja-JP"/>
              </w:rPr>
              <w:t>–</w:t>
            </w:r>
            <w:r w:rsidRPr="00A4472B">
              <w:rPr>
                <w:lang w:eastAsia="ja-JP"/>
              </w:rPr>
              <w:tab/>
            </w:r>
            <w:hyperlink r:id="rId14" w:history="1">
              <w:r>
                <w:rPr>
                  <w:rStyle w:val="Hyperlink"/>
                  <w:lang w:eastAsia="ja-JP"/>
                </w:rPr>
                <w:t xml:space="preserve">Recommandation UIT-R </w:t>
              </w:r>
              <w:r w:rsidRPr="00A4472B">
                <w:rPr>
                  <w:rStyle w:val="Hyperlink"/>
                  <w:lang w:eastAsia="ja-JP"/>
                </w:rPr>
                <w:t>SM.1896-0</w:t>
              </w:r>
            </w:hyperlink>
            <w:r w:rsidRPr="00A4472B">
              <w:rPr>
                <w:lang w:eastAsia="ja-JP"/>
              </w:rPr>
              <w:t xml:space="preserve"> </w:t>
            </w:r>
            <w:r>
              <w:rPr>
                <w:lang w:eastAsia="ja-JP"/>
              </w:rPr>
              <w:t>-</w:t>
            </w:r>
            <w:r>
              <w:rPr>
                <w:color w:val="000000"/>
              </w:rPr>
              <w:t>Gammes de fréquences pour une harmonisation mondiale ou régionale des dispositifs de radiocommunication à courte portée.</w:t>
            </w:r>
          </w:p>
          <w:p w:rsidR="00902933" w:rsidRPr="00A4472B" w:rsidRDefault="00902933" w:rsidP="007D5428">
            <w:pPr>
              <w:pStyle w:val="Tabletext"/>
              <w:spacing w:before="0"/>
              <w:ind w:left="284" w:hanging="284"/>
              <w:rPr>
                <w:lang w:eastAsia="ja-JP"/>
              </w:rPr>
            </w:pPr>
            <w:r w:rsidRPr="00A4472B">
              <w:rPr>
                <w:lang w:eastAsia="ja-JP"/>
              </w:rPr>
              <w:t>–</w:t>
            </w:r>
            <w:r w:rsidRPr="00A4472B">
              <w:rPr>
                <w:lang w:eastAsia="ja-JP"/>
              </w:rPr>
              <w:tab/>
            </w:r>
            <w:hyperlink r:id="rId15" w:history="1">
              <w:r>
                <w:rPr>
                  <w:rStyle w:val="Hyperlink"/>
                  <w:lang w:eastAsia="ja-JP"/>
                </w:rPr>
                <w:t xml:space="preserve">Rapport </w:t>
              </w:r>
              <w:r w:rsidR="00D642A1">
                <w:rPr>
                  <w:rStyle w:val="Hyperlink"/>
                  <w:lang w:eastAsia="ja-JP"/>
                </w:rPr>
                <w:t>UIT-R</w:t>
              </w:r>
              <w:r w:rsidRPr="00A4472B">
                <w:rPr>
                  <w:rStyle w:val="Hyperlink"/>
                  <w:lang w:eastAsia="ja-JP"/>
                </w:rPr>
                <w:t xml:space="preserve"> SM.2153-5</w:t>
              </w:r>
            </w:hyperlink>
            <w:r w:rsidRPr="00A4472B">
              <w:rPr>
                <w:lang w:eastAsia="ja-JP"/>
              </w:rPr>
              <w:t xml:space="preserve"> </w:t>
            </w:r>
            <w:r>
              <w:rPr>
                <w:lang w:eastAsia="ja-JP"/>
              </w:rPr>
              <w:t>-</w:t>
            </w:r>
            <w:r>
              <w:rPr>
                <w:color w:val="000000"/>
              </w:rPr>
              <w:t xml:space="preserve">Paramètres techniques et de fonctionnement des </w:t>
            </w:r>
            <w:r w:rsidR="004B3076">
              <w:rPr>
                <w:color w:val="000000"/>
              </w:rPr>
              <w:t xml:space="preserve">dispositifs </w:t>
            </w:r>
            <w:r>
              <w:rPr>
                <w:color w:val="000000"/>
              </w:rPr>
              <w:t>SRD et fréquences utilisées</w:t>
            </w:r>
          </w:p>
          <w:p w:rsidR="00902933" w:rsidRPr="00A4472B" w:rsidRDefault="00902933" w:rsidP="007D5428">
            <w:pPr>
              <w:pStyle w:val="Tabletext"/>
              <w:spacing w:before="0"/>
              <w:ind w:left="284" w:hanging="284"/>
              <w:rPr>
                <w:lang w:eastAsia="ja-JP"/>
              </w:rPr>
            </w:pPr>
            <w:r w:rsidRPr="00A4472B">
              <w:rPr>
                <w:lang w:eastAsia="ja-JP"/>
              </w:rPr>
              <w:t>–</w:t>
            </w:r>
            <w:r w:rsidRPr="00A4472B">
              <w:rPr>
                <w:lang w:eastAsia="ja-JP"/>
              </w:rPr>
              <w:tab/>
            </w:r>
            <w:hyperlink r:id="rId16" w:history="1">
              <w:r>
                <w:rPr>
                  <w:rStyle w:val="Hyperlink"/>
                  <w:lang w:eastAsia="ja-JP"/>
                </w:rPr>
                <w:t xml:space="preserve">Rapport UIT-R </w:t>
              </w:r>
              <w:r w:rsidRPr="00A4472B">
                <w:rPr>
                  <w:rStyle w:val="Hyperlink"/>
                  <w:lang w:eastAsia="ja-JP"/>
                </w:rPr>
                <w:t>SM.2255-0</w:t>
              </w:r>
            </w:hyperlink>
            <w:r w:rsidRPr="00A4472B">
              <w:rPr>
                <w:lang w:eastAsia="ja-JP"/>
              </w:rPr>
              <w:t xml:space="preserve"> </w:t>
            </w:r>
            <w:r>
              <w:rPr>
                <w:lang w:eastAsia="ja-JP"/>
              </w:rPr>
              <w:t>-</w:t>
            </w:r>
            <w:r w:rsidRPr="00A4472B">
              <w:rPr>
                <w:lang w:eastAsia="ja-JP"/>
              </w:rPr>
              <w:t xml:space="preserve"> </w:t>
            </w:r>
            <w:r>
              <w:rPr>
                <w:color w:val="000000"/>
              </w:rPr>
              <w:t>Caractéristiques techniques, normes et bandes de fréquences pour l'exploitation des systèmes d'identification par radiofréquence (RFID) et éventuelles possibilités d'harmonisation.</w:t>
            </w:r>
          </w:p>
          <w:p w:rsidR="00902933" w:rsidRPr="00A4472B" w:rsidRDefault="00902933" w:rsidP="004B3076">
            <w:pPr>
              <w:pStyle w:val="Tabletext"/>
              <w:spacing w:before="0"/>
              <w:ind w:left="284" w:hanging="284"/>
              <w:rPr>
                <w:lang w:eastAsia="ja-JP"/>
              </w:rPr>
            </w:pPr>
            <w:r w:rsidRPr="00A4472B">
              <w:rPr>
                <w:lang w:eastAsia="ja-JP"/>
              </w:rPr>
              <w:t>–</w:t>
            </w:r>
            <w:r w:rsidRPr="00A4472B">
              <w:rPr>
                <w:lang w:eastAsia="ja-JP"/>
              </w:rPr>
              <w:tab/>
            </w:r>
            <w:hyperlink r:id="rId17" w:history="1">
              <w:r w:rsidR="004B3076" w:rsidRPr="00485C6C">
                <w:rPr>
                  <w:rStyle w:val="Hyperlink"/>
                </w:rPr>
                <w:t>A</w:t>
              </w:r>
              <w:r w:rsidRPr="00485C6C">
                <w:rPr>
                  <w:rStyle w:val="Hyperlink"/>
                </w:rPr>
                <w:t xml:space="preserve">telier de l'UIT sur les </w:t>
              </w:r>
              <w:r w:rsidR="00D642A1" w:rsidRPr="00485C6C">
                <w:rPr>
                  <w:rStyle w:val="Hyperlink"/>
                </w:rPr>
                <w:t xml:space="preserve">dispositifs </w:t>
              </w:r>
              <w:r w:rsidRPr="00485C6C">
                <w:rPr>
                  <w:rStyle w:val="Hyperlink"/>
                </w:rPr>
                <w:t>SRD</w:t>
              </w:r>
              <w:r w:rsidR="004B3076" w:rsidRPr="00485C6C">
                <w:rPr>
                  <w:rStyle w:val="Hyperlink"/>
                </w:rPr>
                <w:t xml:space="preserve"> et </w:t>
              </w:r>
              <w:r w:rsidRPr="00485C6C">
                <w:rPr>
                  <w:rStyle w:val="Hyperlink"/>
                </w:rPr>
                <w:t>UWB</w:t>
              </w:r>
            </w:hyperlink>
            <w:r>
              <w:rPr>
                <w:color w:val="000000"/>
              </w:rPr>
              <w:t xml:space="preserve"> organisé</w:t>
            </w:r>
            <w:r w:rsidRPr="003F025C">
              <w:t xml:space="preserve"> </w:t>
            </w:r>
            <w:r>
              <w:rPr>
                <w:color w:val="000000"/>
              </w:rPr>
              <w:t>le 3 juin 2014</w:t>
            </w:r>
            <w:r>
              <w:t xml:space="preserve"> </w:t>
            </w:r>
            <w:r w:rsidRPr="00A4472B">
              <w:rPr>
                <w:lang w:eastAsia="ja-JP"/>
              </w:rPr>
              <w:t>(</w:t>
            </w:r>
            <w:r>
              <w:rPr>
                <w:lang w:eastAsia="ja-JP"/>
              </w:rPr>
              <w:t>voir le § 8 du présent rapport</w:t>
            </w:r>
            <w:r w:rsidRPr="00A4472B">
              <w:rPr>
                <w:lang w:eastAsia="ja-JP"/>
              </w:rPr>
              <w:t>)</w:t>
            </w:r>
          </w:p>
          <w:p w:rsidR="00902933" w:rsidRPr="00A4472B" w:rsidRDefault="00902933" w:rsidP="00A4472B">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rPr>
                <w:sz w:val="21"/>
                <w:szCs w:val="21"/>
                <w:highlight w:val="yellow"/>
                <w:lang w:eastAsia="ja-JP"/>
              </w:rPr>
            </w:pPr>
            <w:r w:rsidRPr="00A4472B">
              <w:rPr>
                <w:sz w:val="20"/>
                <w:lang w:eastAsia="ja-JP"/>
              </w:rPr>
              <w:t>–</w:t>
            </w:r>
            <w:r w:rsidRPr="00A4472B">
              <w:rPr>
                <w:sz w:val="20"/>
                <w:lang w:eastAsia="ja-JP"/>
              </w:rPr>
              <w:tab/>
            </w:r>
            <w:r w:rsidR="004B3076">
              <w:rPr>
                <w:sz w:val="20"/>
                <w:lang w:eastAsia="ja-JP"/>
              </w:rPr>
              <w:t>Groupe</w:t>
            </w:r>
            <w:r>
              <w:rPr>
                <w:sz w:val="20"/>
                <w:lang w:eastAsia="ja-JP"/>
              </w:rPr>
              <w:t xml:space="preserve"> d</w:t>
            </w:r>
            <w:r w:rsidR="00D642A1">
              <w:rPr>
                <w:sz w:val="20"/>
                <w:lang w:eastAsia="ja-JP"/>
              </w:rPr>
              <w:t xml:space="preserve">e travail </w:t>
            </w:r>
            <w:r>
              <w:rPr>
                <w:sz w:val="20"/>
                <w:lang w:eastAsia="ja-JP"/>
              </w:rPr>
              <w:t xml:space="preserve">par correspondance </w:t>
            </w:r>
            <w:r w:rsidRPr="004E680C">
              <w:rPr>
                <w:sz w:val="20"/>
                <w:lang w:eastAsia="ja-JP"/>
              </w:rPr>
              <w:t>sur la classification des dispositifs SRD</w:t>
            </w:r>
          </w:p>
        </w:tc>
      </w:tr>
      <w:tr w:rsidR="00902933" w:rsidTr="007D5428">
        <w:trPr>
          <w:trHeight w:val="1740"/>
        </w:trPr>
        <w:tc>
          <w:tcPr>
            <w:tcW w:w="1128" w:type="dxa"/>
          </w:tcPr>
          <w:p w:rsidR="00902933" w:rsidRPr="00A4472B" w:rsidRDefault="00902933" w:rsidP="007D5428">
            <w:pPr>
              <w:pStyle w:val="Tabletext"/>
              <w:spacing w:before="2"/>
              <w:rPr>
                <w:rFonts w:asciiTheme="majorBidi" w:hAnsiTheme="majorBidi" w:cstheme="majorBidi"/>
                <w:lang w:eastAsia="ja-JP"/>
              </w:rPr>
            </w:pPr>
            <w:r w:rsidRPr="00A4472B">
              <w:rPr>
                <w:rFonts w:asciiTheme="majorBidi" w:hAnsiTheme="majorBidi" w:cstheme="majorBidi"/>
                <w:lang w:eastAsia="ja-JP"/>
              </w:rPr>
              <w:t>58</w:t>
            </w:r>
          </w:p>
        </w:tc>
        <w:tc>
          <w:tcPr>
            <w:tcW w:w="2808" w:type="dxa"/>
          </w:tcPr>
          <w:p w:rsidR="00902933" w:rsidRPr="00A4472B" w:rsidRDefault="00902933" w:rsidP="007D5428">
            <w:pPr>
              <w:pStyle w:val="Tabletext"/>
              <w:spacing w:before="2"/>
            </w:pPr>
            <w:r>
              <w:rPr>
                <w:color w:val="000000"/>
              </w:rPr>
              <w:t>Etudes sur la mise en oeuvre et l'utilisation des systèmes de radiocommunication cognitifs</w:t>
            </w:r>
          </w:p>
        </w:tc>
        <w:tc>
          <w:tcPr>
            <w:tcW w:w="5670" w:type="dxa"/>
          </w:tcPr>
          <w:p w:rsidR="00902933" w:rsidRPr="00A4472B" w:rsidRDefault="00FB5341" w:rsidP="00FB5341">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rPr>
                <w:lang w:eastAsia="ja-JP"/>
              </w:rPr>
            </w:pPr>
            <w:r w:rsidRPr="00A4472B">
              <w:rPr>
                <w:sz w:val="20"/>
                <w:lang w:eastAsia="ja-JP"/>
              </w:rPr>
              <w:t>–</w:t>
            </w:r>
            <w:r>
              <w:rPr>
                <w:sz w:val="20"/>
                <w:lang w:eastAsia="ja-JP"/>
              </w:rPr>
              <w:tab/>
            </w:r>
            <w:r w:rsidR="004B3076" w:rsidRPr="00FB5341">
              <w:rPr>
                <w:sz w:val="20"/>
                <w:lang w:eastAsia="ja-JP"/>
              </w:rPr>
              <w:t>D</w:t>
            </w:r>
            <w:r w:rsidR="00902933" w:rsidRPr="00FB5341">
              <w:rPr>
                <w:sz w:val="20"/>
                <w:lang w:eastAsia="ja-JP"/>
              </w:rPr>
              <w:t>ocument</w:t>
            </w:r>
            <w:r w:rsidR="00902933">
              <w:rPr>
                <w:color w:val="000000"/>
              </w:rPr>
              <w:t xml:space="preserve"> de travail en vue d'un avant-projet de nouveau rapport</w:t>
            </w:r>
            <w:r w:rsidR="00D642A1">
              <w:rPr>
                <w:lang w:eastAsia="ja-JP"/>
              </w:rPr>
              <w:t xml:space="preserve"> </w:t>
            </w:r>
            <w:r w:rsidR="00902933">
              <w:rPr>
                <w:lang w:eastAsia="ja-JP"/>
              </w:rPr>
              <w:t xml:space="preserve">UIT-R </w:t>
            </w:r>
            <w:r w:rsidR="00902933" w:rsidRPr="00A4472B">
              <w:rPr>
                <w:lang w:eastAsia="ja-JP"/>
              </w:rPr>
              <w:t xml:space="preserve">SM.[CRS SPECTRUM MANAGEMENT CHALLENGES] - </w:t>
            </w:r>
            <w:r w:rsidR="004B3076">
              <w:rPr>
                <w:color w:val="000000"/>
              </w:rPr>
              <w:t>P</w:t>
            </w:r>
            <w:r w:rsidR="00902933">
              <w:rPr>
                <w:color w:val="000000"/>
              </w:rPr>
              <w:t xml:space="preserve">rincipes de gestion du spectre, problèmes et enjeux liés à l'accès dynamique  aux bandes de fréquences au moyen de systèmes de radiocommunication employant des fonctionnalités cognitives </w:t>
            </w:r>
          </w:p>
          <w:p w:rsidR="00902933" w:rsidRPr="00A4472B" w:rsidRDefault="00902933" w:rsidP="004B3076">
            <w:pPr>
              <w:pStyle w:val="Tabletext"/>
              <w:spacing w:before="0"/>
              <w:ind w:left="284" w:hanging="284"/>
              <w:rPr>
                <w:lang w:eastAsia="ja-JP"/>
              </w:rPr>
            </w:pPr>
            <w:r w:rsidRPr="00A4472B">
              <w:rPr>
                <w:lang w:eastAsia="ja-JP"/>
              </w:rPr>
              <w:t>–</w:t>
            </w:r>
            <w:r w:rsidRPr="00A4472B">
              <w:rPr>
                <w:lang w:eastAsia="ja-JP"/>
              </w:rPr>
              <w:tab/>
            </w:r>
            <w:hyperlink r:id="rId18" w:history="1">
              <w:r w:rsidR="004B3076" w:rsidRPr="00485C6C">
                <w:rPr>
                  <w:rStyle w:val="Hyperlink"/>
                </w:rPr>
                <w:t>A</w:t>
              </w:r>
              <w:r w:rsidRPr="00485C6C">
                <w:rPr>
                  <w:rStyle w:val="Hyperlink"/>
                </w:rPr>
                <w:t>telier de l'UIT sur les aspects de la gestion du spectre relatifs à l’utilisation des espaces blancs par les systèmes de radiocommunication cognitifs</w:t>
              </w:r>
            </w:hyperlink>
            <w:r w:rsidRPr="00B607AA">
              <w:rPr>
                <w:color w:val="000000"/>
              </w:rPr>
              <w:t xml:space="preserve"> </w:t>
            </w:r>
            <w:r>
              <w:rPr>
                <w:color w:val="000000"/>
              </w:rPr>
              <w:t>organisé le 20 janvier 2014</w:t>
            </w:r>
            <w:r w:rsidR="004B3076">
              <w:rPr>
                <w:color w:val="000000"/>
              </w:rPr>
              <w:t xml:space="preserve"> </w:t>
            </w:r>
            <w:r w:rsidRPr="00A4472B">
              <w:rPr>
                <w:lang w:eastAsia="ja-JP"/>
              </w:rPr>
              <w:t>(</w:t>
            </w:r>
            <w:r>
              <w:rPr>
                <w:lang w:eastAsia="ja-JP"/>
              </w:rPr>
              <w:t>voir le § 8 du présent rappo</w:t>
            </w:r>
            <w:r w:rsidR="004B3076">
              <w:rPr>
                <w:lang w:eastAsia="ja-JP"/>
              </w:rPr>
              <w:t>rt</w:t>
            </w:r>
            <w:r w:rsidRPr="00A4472B">
              <w:rPr>
                <w:lang w:eastAsia="ja-JP"/>
              </w:rPr>
              <w:t>)</w:t>
            </w:r>
          </w:p>
          <w:p w:rsidR="00902933" w:rsidRPr="00A4472B" w:rsidRDefault="00902933" w:rsidP="007D5428">
            <w:pPr>
              <w:pStyle w:val="Tabletext"/>
              <w:spacing w:before="0"/>
              <w:ind w:left="284" w:hanging="284"/>
              <w:rPr>
                <w:sz w:val="21"/>
                <w:szCs w:val="21"/>
                <w:highlight w:val="yellow"/>
                <w:lang w:eastAsia="ja-JP"/>
              </w:rPr>
            </w:pPr>
            <w:r w:rsidRPr="00A4472B">
              <w:rPr>
                <w:lang w:eastAsia="ja-JP"/>
              </w:rPr>
              <w:t>–</w:t>
            </w:r>
            <w:r w:rsidRPr="00A4472B">
              <w:rPr>
                <w:lang w:eastAsia="ja-JP"/>
              </w:rPr>
              <w:tab/>
            </w:r>
            <w:hyperlink r:id="rId19" w:history="1">
              <w:r>
                <w:rPr>
                  <w:rStyle w:val="Hyperlink"/>
                </w:rPr>
                <w:t xml:space="preserve">Recommandation UIT-R </w:t>
              </w:r>
              <w:r w:rsidRPr="00A4472B">
                <w:rPr>
                  <w:rStyle w:val="Hyperlink"/>
                </w:rPr>
                <w:t>SM.2039-0</w:t>
              </w:r>
            </w:hyperlink>
            <w:r w:rsidRPr="00A4472B">
              <w:rPr>
                <w:lang w:eastAsia="ja-JP"/>
              </w:rPr>
              <w:t xml:space="preserve"> </w:t>
            </w:r>
            <w:r>
              <w:rPr>
                <w:lang w:eastAsia="ja-JP"/>
              </w:rPr>
              <w:t>-</w:t>
            </w:r>
            <w:r w:rsidR="00C4409C">
              <w:rPr>
                <w:lang w:eastAsia="ja-JP"/>
              </w:rPr>
              <w:t xml:space="preserve"> </w:t>
            </w:r>
            <w:r>
              <w:rPr>
                <w:color w:val="000000"/>
              </w:rPr>
              <w:t>Evolution du contrôle des émissions radioélectriques</w:t>
            </w:r>
          </w:p>
        </w:tc>
      </w:tr>
    </w:tbl>
    <w:p w:rsidR="004B3076" w:rsidRDefault="00902933" w:rsidP="00D642A1">
      <w:r>
        <w:t xml:space="preserve">On trouvera dans le </w:t>
      </w:r>
      <w:r w:rsidRPr="00A4472B">
        <w:t>Document 1/1004</w:t>
      </w:r>
      <w:r>
        <w:t xml:space="preserve"> et ses </w:t>
      </w:r>
      <w:r w:rsidRPr="00A4472B">
        <w:t xml:space="preserve">Annexes 1 </w:t>
      </w:r>
      <w:r>
        <w:t>à</w:t>
      </w:r>
      <w:r w:rsidRPr="00A4472B">
        <w:t xml:space="preserve"> 5</w:t>
      </w:r>
      <w:r>
        <w:t xml:space="preserve"> des propositions relatives à la suite à donner aux Résolutions de l’UIT-R présentant un intérêt partic</w:t>
      </w:r>
      <w:r w:rsidR="00D642A1">
        <w:t>ulier pour la CE</w:t>
      </w:r>
      <w:r w:rsidR="00FB5341">
        <w:t xml:space="preserve"> </w:t>
      </w:r>
      <w:r w:rsidR="00D642A1">
        <w:t>1, ainsi qu’un</w:t>
      </w:r>
      <w:r>
        <w:t xml:space="preserve"> projet de révision de cinq de ces Résolutions.</w:t>
      </w:r>
    </w:p>
    <w:p w:rsidR="00902933" w:rsidRDefault="00902933" w:rsidP="00902933">
      <w:pPr>
        <w:pStyle w:val="Heading2"/>
        <w:rPr>
          <w:rFonts w:eastAsia="SimSun"/>
          <w:lang w:val="fr-CH"/>
        </w:rPr>
      </w:pPr>
      <w:r>
        <w:rPr>
          <w:rFonts w:eastAsia="SimSun"/>
          <w:lang w:val="fr-CH"/>
        </w:rPr>
        <w:t>5</w:t>
      </w:r>
      <w:r w:rsidR="004B3076">
        <w:rPr>
          <w:rFonts w:eastAsia="SimSun"/>
          <w:lang w:val="fr-CH"/>
        </w:rPr>
        <w:t>.2</w:t>
      </w:r>
      <w:r>
        <w:rPr>
          <w:rFonts w:eastAsia="SimSun"/>
          <w:lang w:val="fr-CH"/>
        </w:rPr>
        <w:tab/>
      </w:r>
      <w:r w:rsidR="004B3076">
        <w:rPr>
          <w:rFonts w:eastAsia="SimSun"/>
          <w:lang w:val="fr-CH"/>
        </w:rPr>
        <w:t>Groupe de travail</w:t>
      </w:r>
      <w:r>
        <w:rPr>
          <w:rFonts w:eastAsia="SimSun"/>
          <w:lang w:val="fr-CH"/>
        </w:rPr>
        <w:t xml:space="preserve"> 1A</w:t>
      </w:r>
    </w:p>
    <w:p w:rsidR="00902933" w:rsidRPr="005A103C" w:rsidRDefault="00902933" w:rsidP="00902933">
      <w:r w:rsidRPr="005A103C">
        <w:t xml:space="preserve">(Questions </w:t>
      </w:r>
      <w:r>
        <w:t>210-3</w:t>
      </w:r>
      <w:r w:rsidRPr="005A103C">
        <w:t>/1, 221</w:t>
      </w:r>
      <w:r>
        <w:t>-2</w:t>
      </w:r>
      <w:r w:rsidRPr="005A103C">
        <w:t>/1, 222/1, 2</w:t>
      </w:r>
      <w:r>
        <w:t>36</w:t>
      </w:r>
      <w:r w:rsidRPr="005A103C">
        <w:t>/1</w:t>
      </w:r>
      <w:r>
        <w:t>,</w:t>
      </w:r>
      <w:r w:rsidRPr="009C108C">
        <w:t xml:space="preserve"> 237/1</w:t>
      </w:r>
      <w:r w:rsidRPr="005A103C">
        <w:t>)</w:t>
      </w:r>
    </w:p>
    <w:p w:rsidR="00902933" w:rsidRDefault="00902933" w:rsidP="00FB5341">
      <w:pPr>
        <w:rPr>
          <w:rFonts w:eastAsia="SimSun"/>
          <w:lang w:val="fr-CH"/>
        </w:rPr>
      </w:pPr>
      <w:r>
        <w:rPr>
          <w:rFonts w:eastAsia="SimSun"/>
          <w:lang w:val="fr-CH"/>
        </w:rPr>
        <w:t>Pendant la période d'études</w:t>
      </w:r>
      <w:r w:rsidR="004B3076">
        <w:rPr>
          <w:rFonts w:eastAsia="SimSun"/>
          <w:lang w:val="fr-CH"/>
        </w:rPr>
        <w:t xml:space="preserve"> considérée</w:t>
      </w:r>
      <w:r>
        <w:rPr>
          <w:rFonts w:eastAsia="SimSun"/>
          <w:lang w:val="fr-CH"/>
        </w:rPr>
        <w:t>, le GT 1A a présenté un projet de nouvelle Question et un projet de Question révisée à la Commission d'études 1, pour adoption</w:t>
      </w:r>
      <w:r w:rsidR="00FB5341">
        <w:rPr>
          <w:rFonts w:eastAsia="SimSun"/>
          <w:lang w:val="fr-CH"/>
        </w:rPr>
        <w:t>.</w:t>
      </w:r>
    </w:p>
    <w:tbl>
      <w:tblPr>
        <w:tblStyle w:val="TableGrid"/>
        <w:tblW w:w="0" w:type="auto"/>
        <w:tblInd w:w="108" w:type="dxa"/>
        <w:tblLayout w:type="fixed"/>
        <w:tblLook w:val="01E0" w:firstRow="1" w:lastRow="1" w:firstColumn="1" w:lastColumn="1" w:noHBand="0" w:noVBand="0"/>
      </w:tblPr>
      <w:tblGrid>
        <w:gridCol w:w="2089"/>
        <w:gridCol w:w="5708"/>
        <w:gridCol w:w="1701"/>
      </w:tblGrid>
      <w:tr w:rsidR="00902933" w:rsidRPr="006D12AF" w:rsidTr="007D5428">
        <w:tc>
          <w:tcPr>
            <w:tcW w:w="2089" w:type="dxa"/>
            <w:vAlign w:val="center"/>
          </w:tcPr>
          <w:p w:rsidR="00902933" w:rsidRPr="006D12AF" w:rsidRDefault="00902933" w:rsidP="007D5428">
            <w:pPr>
              <w:pStyle w:val="Tablehead"/>
              <w:rPr>
                <w:rFonts w:eastAsia="SimSun"/>
              </w:rPr>
            </w:pPr>
            <w:r w:rsidRPr="006D12AF">
              <w:lastRenderedPageBreak/>
              <w:t>Question</w:t>
            </w:r>
            <w:r>
              <w:br/>
              <w:t>et suite donnée</w:t>
            </w:r>
          </w:p>
        </w:tc>
        <w:tc>
          <w:tcPr>
            <w:tcW w:w="5708" w:type="dxa"/>
            <w:vAlign w:val="center"/>
          </w:tcPr>
          <w:p w:rsidR="00902933" w:rsidRPr="006D12AF" w:rsidRDefault="00902933" w:rsidP="007D5428">
            <w:pPr>
              <w:pStyle w:val="Tablehead"/>
              <w:rPr>
                <w:rFonts w:eastAsia="SimSun"/>
              </w:rPr>
            </w:pPr>
            <w:r w:rsidRPr="006D12AF">
              <w:rPr>
                <w:rFonts w:eastAsia="SimSun"/>
              </w:rPr>
              <w:t>Titre</w:t>
            </w:r>
          </w:p>
        </w:tc>
        <w:tc>
          <w:tcPr>
            <w:tcW w:w="1701" w:type="dxa"/>
            <w:vAlign w:val="center"/>
          </w:tcPr>
          <w:p w:rsidR="00902933" w:rsidRPr="006D12AF" w:rsidRDefault="00902933" w:rsidP="007D5428">
            <w:pPr>
              <w:pStyle w:val="Tablehead"/>
              <w:rPr>
                <w:rFonts w:eastAsia="SimSun"/>
              </w:rPr>
            </w:pPr>
            <w:r>
              <w:rPr>
                <w:rFonts w:eastAsia="SimSun"/>
              </w:rPr>
              <w:t>Circulaire administrative</w:t>
            </w:r>
          </w:p>
        </w:tc>
      </w:tr>
      <w:tr w:rsidR="00902933" w:rsidRPr="00091E55" w:rsidTr="007D5428">
        <w:tblPrEx>
          <w:tblLook w:val="04A0" w:firstRow="1" w:lastRow="0" w:firstColumn="1" w:lastColumn="0" w:noHBand="0" w:noVBand="1"/>
        </w:tblPrEx>
        <w:tc>
          <w:tcPr>
            <w:tcW w:w="2089" w:type="dxa"/>
            <w:vAlign w:val="center"/>
          </w:tcPr>
          <w:p w:rsidR="00902933" w:rsidRPr="00091E55" w:rsidRDefault="00902933" w:rsidP="004B3076">
            <w:pPr>
              <w:pStyle w:val="Tabletext"/>
              <w:jc w:val="center"/>
            </w:pPr>
            <w:r>
              <w:t>210-3/1</w:t>
            </w:r>
            <w:r>
              <w:br/>
            </w:r>
            <w:r w:rsidR="004B3076">
              <w:t>(</w:t>
            </w:r>
            <w:r>
              <w:t>r</w:t>
            </w:r>
            <w:r w:rsidR="004B3076">
              <w:t>é</w:t>
            </w:r>
            <w:r>
              <w:t>visée</w:t>
            </w:r>
            <w:r w:rsidR="004B3076">
              <w:t>)</w:t>
            </w:r>
          </w:p>
        </w:tc>
        <w:tc>
          <w:tcPr>
            <w:tcW w:w="5708" w:type="dxa"/>
            <w:vAlign w:val="center"/>
          </w:tcPr>
          <w:p w:rsidR="00902933" w:rsidRPr="00091E55" w:rsidRDefault="00902933" w:rsidP="007D5428">
            <w:pPr>
              <w:pStyle w:val="Tabletext"/>
            </w:pPr>
            <w:r>
              <w:rPr>
                <w:color w:val="000000"/>
              </w:rPr>
              <w:t>Transmission d'énergie sans fil</w:t>
            </w:r>
          </w:p>
        </w:tc>
        <w:tc>
          <w:tcPr>
            <w:tcW w:w="1701" w:type="dxa"/>
            <w:vAlign w:val="center"/>
          </w:tcPr>
          <w:p w:rsidR="00902933" w:rsidRPr="00091E55" w:rsidRDefault="00902933" w:rsidP="007D5428">
            <w:pPr>
              <w:pStyle w:val="Tabletext"/>
              <w:jc w:val="center"/>
            </w:pPr>
            <w:r>
              <w:t>CACE/593</w:t>
            </w:r>
          </w:p>
        </w:tc>
      </w:tr>
      <w:tr w:rsidR="00902933" w:rsidRPr="00091E55" w:rsidTr="007D5428">
        <w:tblPrEx>
          <w:tblLook w:val="04A0" w:firstRow="1" w:lastRow="0" w:firstColumn="1" w:lastColumn="0" w:noHBand="0" w:noVBand="1"/>
        </w:tblPrEx>
        <w:tc>
          <w:tcPr>
            <w:tcW w:w="2089" w:type="dxa"/>
            <w:vAlign w:val="center"/>
          </w:tcPr>
          <w:p w:rsidR="00902933" w:rsidRPr="00091E55" w:rsidRDefault="00902933" w:rsidP="007D5428">
            <w:pPr>
              <w:pStyle w:val="Tabletext"/>
              <w:jc w:val="center"/>
            </w:pPr>
            <w:r>
              <w:t>237/1</w:t>
            </w:r>
            <w:r>
              <w:br/>
            </w:r>
            <w:r w:rsidR="004B3076">
              <w:t>(</w:t>
            </w:r>
            <w:r>
              <w:t>nouvelle</w:t>
            </w:r>
            <w:r w:rsidR="004B3076">
              <w:t>)</w:t>
            </w:r>
            <w:r>
              <w:t xml:space="preserve"> </w:t>
            </w:r>
          </w:p>
        </w:tc>
        <w:tc>
          <w:tcPr>
            <w:tcW w:w="5708" w:type="dxa"/>
            <w:vAlign w:val="center"/>
          </w:tcPr>
          <w:p w:rsidR="00902933" w:rsidRPr="00091E55" w:rsidRDefault="00902933" w:rsidP="007D5428">
            <w:pPr>
              <w:pStyle w:val="Tabletext"/>
            </w:pPr>
            <w:r>
              <w:rPr>
                <w:color w:val="000000"/>
              </w:rPr>
              <w:t>Caractéristiques techniques et opérationnelles des services actifs fonctionnant dans la gamme 275-1 000 GHz</w:t>
            </w:r>
          </w:p>
        </w:tc>
        <w:tc>
          <w:tcPr>
            <w:tcW w:w="1701" w:type="dxa"/>
            <w:vAlign w:val="center"/>
          </w:tcPr>
          <w:p w:rsidR="00902933" w:rsidRPr="00091E55" w:rsidRDefault="00902933" w:rsidP="007D5428">
            <w:pPr>
              <w:pStyle w:val="Tabletext"/>
              <w:jc w:val="center"/>
            </w:pPr>
            <w:r>
              <w:t>CACE/641</w:t>
            </w:r>
          </w:p>
        </w:tc>
      </w:tr>
    </w:tbl>
    <w:p w:rsidR="00902933" w:rsidRDefault="00902933" w:rsidP="00DE368B">
      <w:pPr>
        <w:rPr>
          <w:rFonts w:eastAsia="SimSun"/>
          <w:lang w:val="fr-CH"/>
        </w:rPr>
      </w:pPr>
      <w:r>
        <w:rPr>
          <w:rFonts w:eastAsia="SimSun"/>
          <w:lang w:val="fr-CH"/>
        </w:rPr>
        <w:t xml:space="preserve">Il a aussi présenté à la Commission d’études 1 un projet de nouvelle </w:t>
      </w:r>
      <w:r w:rsidRPr="005242C6">
        <w:rPr>
          <w:rFonts w:eastAsia="SimSun"/>
          <w:lang w:val="fr-CH"/>
        </w:rPr>
        <w:t>Recommandation</w:t>
      </w:r>
      <w:r>
        <w:rPr>
          <w:rFonts w:eastAsia="SimSun"/>
          <w:lang w:val="fr-CH"/>
        </w:rPr>
        <w:t>, deux projets de révision d’une Recommandation et le projet de révision</w:t>
      </w:r>
      <w:r w:rsidR="00F046CB">
        <w:rPr>
          <w:rFonts w:eastAsia="SimSun"/>
          <w:lang w:val="fr-CH"/>
        </w:rPr>
        <w:t xml:space="preserve"> de deux autres Recommandations</w:t>
      </w:r>
      <w:r>
        <w:rPr>
          <w:rFonts w:eastAsia="SimSun"/>
          <w:lang w:val="fr-CH"/>
        </w:rPr>
        <w:t xml:space="preserve"> , ainsi que qu</w:t>
      </w:r>
      <w:r w:rsidR="004B3076">
        <w:rPr>
          <w:rFonts w:eastAsia="SimSun"/>
          <w:lang w:val="fr-CH"/>
        </w:rPr>
        <w:t>atre projets de nouveau Rapport</w:t>
      </w:r>
      <w:r>
        <w:rPr>
          <w:rFonts w:eastAsia="SimSun"/>
          <w:lang w:val="fr-CH"/>
        </w:rPr>
        <w:t>, le projet</w:t>
      </w:r>
      <w:r w:rsidRPr="0082480C">
        <w:rPr>
          <w:rFonts w:eastAsia="SimSun"/>
          <w:lang w:val="fr-CH"/>
        </w:rPr>
        <w:t xml:space="preserve"> </w:t>
      </w:r>
      <w:r>
        <w:rPr>
          <w:rFonts w:eastAsia="SimSun"/>
          <w:lang w:val="fr-CH"/>
        </w:rPr>
        <w:t>de révision consécutive de l'un de ces Rapports et les proj</w:t>
      </w:r>
      <w:r w:rsidR="004B3076">
        <w:rPr>
          <w:rFonts w:eastAsia="SimSun"/>
          <w:lang w:val="fr-CH"/>
        </w:rPr>
        <w:t>ets de révision de deux autres R</w:t>
      </w:r>
      <w:r>
        <w:rPr>
          <w:rFonts w:eastAsia="SimSun"/>
          <w:lang w:val="fr-CH"/>
        </w:rPr>
        <w:t>apports</w:t>
      </w:r>
      <w:r w:rsidR="00F046CB">
        <w:rPr>
          <w:rFonts w:eastAsia="SimSun"/>
          <w:lang w:val="fr-CH"/>
        </w:rPr>
        <w:t>.</w:t>
      </w:r>
    </w:p>
    <w:p w:rsidR="004B3076" w:rsidRPr="004B3076" w:rsidRDefault="004B3076" w:rsidP="004B3076">
      <w:pPr>
        <w:rPr>
          <w:rFonts w:eastAsia="SimSun"/>
          <w:lang w:val="fr-CH"/>
        </w:rPr>
      </w:pPr>
    </w:p>
    <w:tbl>
      <w:tblPr>
        <w:tblStyle w:val="TableGrid"/>
        <w:tblW w:w="0" w:type="auto"/>
        <w:tblInd w:w="108" w:type="dxa"/>
        <w:tblLook w:val="01E0" w:firstRow="1" w:lastRow="1" w:firstColumn="1" w:lastColumn="1" w:noHBand="0" w:noVBand="0"/>
      </w:tblPr>
      <w:tblGrid>
        <w:gridCol w:w="2113"/>
        <w:gridCol w:w="5684"/>
        <w:gridCol w:w="1710"/>
      </w:tblGrid>
      <w:tr w:rsidR="00902933" w:rsidRPr="00184A69" w:rsidTr="007D5428">
        <w:tc>
          <w:tcPr>
            <w:tcW w:w="2113" w:type="dxa"/>
            <w:vAlign w:val="center"/>
          </w:tcPr>
          <w:p w:rsidR="00902933" w:rsidRPr="00184A69" w:rsidRDefault="00902933" w:rsidP="007D5428">
            <w:pPr>
              <w:pStyle w:val="Tablehead"/>
              <w:keepNext w:val="0"/>
              <w:rPr>
                <w:rFonts w:eastAsia="SimSun"/>
                <w:lang w:val="fr-CH"/>
              </w:rPr>
            </w:pPr>
            <w:r w:rsidRPr="00184A69">
              <w:rPr>
                <w:rFonts w:eastAsia="SimSun"/>
                <w:lang w:val="fr-CH"/>
              </w:rPr>
              <w:t>Recommandation</w:t>
            </w:r>
            <w:r>
              <w:rPr>
                <w:rFonts w:eastAsia="SimSun"/>
                <w:lang w:val="fr-CH"/>
              </w:rPr>
              <w:br/>
              <w:t>et suite donnée</w:t>
            </w:r>
          </w:p>
        </w:tc>
        <w:tc>
          <w:tcPr>
            <w:tcW w:w="5684" w:type="dxa"/>
            <w:vAlign w:val="center"/>
          </w:tcPr>
          <w:p w:rsidR="00902933" w:rsidRPr="00184A69" w:rsidRDefault="00902933" w:rsidP="007D5428">
            <w:pPr>
              <w:pStyle w:val="Tablehead"/>
              <w:keepLines/>
              <w:rPr>
                <w:rFonts w:eastAsia="SimSun"/>
                <w:lang w:val="fr-CH"/>
              </w:rPr>
            </w:pPr>
            <w:r>
              <w:rPr>
                <w:rFonts w:eastAsia="SimSun"/>
                <w:lang w:val="fr-CH"/>
              </w:rPr>
              <w:t>Titre</w:t>
            </w:r>
          </w:p>
        </w:tc>
        <w:tc>
          <w:tcPr>
            <w:tcW w:w="1710" w:type="dxa"/>
            <w:vAlign w:val="center"/>
          </w:tcPr>
          <w:p w:rsidR="00902933" w:rsidRPr="006D12AF" w:rsidRDefault="00902933" w:rsidP="007D5428">
            <w:pPr>
              <w:pStyle w:val="Tablehead"/>
              <w:keepLines/>
              <w:rPr>
                <w:rFonts w:eastAsia="SimSun"/>
                <w:lang w:val="fr-CH"/>
              </w:rPr>
            </w:pPr>
            <w:r>
              <w:rPr>
                <w:rFonts w:eastAsia="SimSun"/>
                <w:lang w:val="fr-CH"/>
              </w:rPr>
              <w:t>Circulaire administrative</w:t>
            </w:r>
          </w:p>
        </w:tc>
      </w:tr>
      <w:tr w:rsidR="00902933" w:rsidRPr="00091E55" w:rsidTr="007D5428">
        <w:tblPrEx>
          <w:tblLook w:val="04A0" w:firstRow="1" w:lastRow="0" w:firstColumn="1" w:lastColumn="0" w:noHBand="0" w:noVBand="1"/>
        </w:tblPrEx>
        <w:tc>
          <w:tcPr>
            <w:tcW w:w="2113" w:type="dxa"/>
          </w:tcPr>
          <w:p w:rsidR="00902933" w:rsidRPr="00091E55" w:rsidRDefault="004B3076" w:rsidP="007D5428">
            <w:pPr>
              <w:pStyle w:val="Tabletext"/>
              <w:jc w:val="center"/>
            </w:pPr>
            <w:r>
              <w:t>SM.329-12</w:t>
            </w:r>
            <w:r w:rsidR="00902933">
              <w:br/>
            </w:r>
            <w:r w:rsidR="00902933" w:rsidRPr="00091E55">
              <w:t>R</w:t>
            </w:r>
            <w:r w:rsidR="00902933">
              <w:t>évisée</w:t>
            </w:r>
          </w:p>
        </w:tc>
        <w:tc>
          <w:tcPr>
            <w:tcW w:w="5684" w:type="dxa"/>
          </w:tcPr>
          <w:p w:rsidR="00902933" w:rsidRPr="00EB1D32" w:rsidRDefault="00902933" w:rsidP="007D5428">
            <w:pPr>
              <w:pStyle w:val="Tabletext"/>
              <w:keepNext/>
              <w:keepLines/>
              <w:rPr>
                <w:lang w:val="fr-CH"/>
              </w:rPr>
            </w:pPr>
            <w:r w:rsidRPr="00FD00D5">
              <w:t>Rayonnements non désirés dans le domaine des rayonnements non essentiels</w:t>
            </w:r>
          </w:p>
        </w:tc>
        <w:tc>
          <w:tcPr>
            <w:tcW w:w="1710" w:type="dxa"/>
          </w:tcPr>
          <w:p w:rsidR="00902933" w:rsidRPr="00091E55" w:rsidRDefault="00902933" w:rsidP="004B3076">
            <w:pPr>
              <w:pStyle w:val="Tabletext"/>
              <w:keepNext/>
              <w:keepLines/>
              <w:jc w:val="center"/>
            </w:pPr>
            <w:r w:rsidRPr="00091E55">
              <w:t>CACE/5</w:t>
            </w:r>
            <w:r w:rsidR="004B3076">
              <w:t>85</w:t>
            </w:r>
          </w:p>
        </w:tc>
      </w:tr>
      <w:tr w:rsidR="00902933" w:rsidRPr="00091E55" w:rsidTr="007D5428">
        <w:tblPrEx>
          <w:tblLook w:val="04A0" w:firstRow="1" w:lastRow="0" w:firstColumn="1" w:lastColumn="0" w:noHBand="0" w:noVBand="1"/>
        </w:tblPrEx>
        <w:tc>
          <w:tcPr>
            <w:tcW w:w="2113" w:type="dxa"/>
          </w:tcPr>
          <w:p w:rsidR="00902933" w:rsidRPr="00091E55" w:rsidRDefault="00902933" w:rsidP="007D5428">
            <w:pPr>
              <w:pStyle w:val="Tabletext"/>
              <w:jc w:val="center"/>
            </w:pPr>
            <w:r w:rsidRPr="00091E55">
              <w:t>SM.1541-</w:t>
            </w:r>
            <w:r>
              <w:t>6</w:t>
            </w:r>
            <w:r>
              <w:br/>
            </w:r>
            <w:r w:rsidRPr="00091E55">
              <w:t>Revis</w:t>
            </w:r>
            <w:r>
              <w:t>ée deux fois</w:t>
            </w:r>
          </w:p>
        </w:tc>
        <w:tc>
          <w:tcPr>
            <w:tcW w:w="5684" w:type="dxa"/>
          </w:tcPr>
          <w:p w:rsidR="00902933" w:rsidRPr="007C15C2" w:rsidRDefault="00902933" w:rsidP="007D5428">
            <w:pPr>
              <w:pStyle w:val="Tabletext"/>
              <w:keepNext/>
              <w:keepLines/>
              <w:rPr>
                <w:lang w:val="fr-CH"/>
              </w:rPr>
            </w:pPr>
            <w:r w:rsidRPr="00FD00D5">
              <w:t>Rayonnements non désirés dans le domaine des émissions hors bande</w:t>
            </w:r>
          </w:p>
        </w:tc>
        <w:tc>
          <w:tcPr>
            <w:tcW w:w="1710" w:type="dxa"/>
          </w:tcPr>
          <w:p w:rsidR="00902933" w:rsidRPr="00091E55" w:rsidRDefault="00902933" w:rsidP="004B3076">
            <w:pPr>
              <w:pStyle w:val="Tabletext"/>
              <w:keepNext/>
              <w:keepLines/>
              <w:jc w:val="center"/>
            </w:pPr>
            <w:r w:rsidRPr="00091E55">
              <w:t>CACE/</w:t>
            </w:r>
            <w:r w:rsidR="004B3076">
              <w:t>627</w:t>
            </w:r>
            <w:r w:rsidRPr="00091E55">
              <w:br/>
              <w:t>CACE/</w:t>
            </w:r>
            <w:r w:rsidR="004B3076">
              <w:t>750</w:t>
            </w:r>
          </w:p>
        </w:tc>
      </w:tr>
      <w:tr w:rsidR="00902933" w:rsidRPr="00091E55" w:rsidTr="007D5428">
        <w:tblPrEx>
          <w:tblLook w:val="04A0" w:firstRow="1" w:lastRow="0" w:firstColumn="1" w:lastColumn="0" w:noHBand="0" w:noVBand="1"/>
        </w:tblPrEx>
        <w:tc>
          <w:tcPr>
            <w:tcW w:w="2113" w:type="dxa"/>
          </w:tcPr>
          <w:p w:rsidR="00902933" w:rsidRPr="00091E55" w:rsidRDefault="00902933" w:rsidP="007D5428">
            <w:pPr>
              <w:pStyle w:val="Tabletext"/>
              <w:jc w:val="center"/>
            </w:pPr>
            <w:r w:rsidRPr="00091E55">
              <w:t>SM.1879-</w:t>
            </w:r>
            <w:r>
              <w:t>2</w:t>
            </w:r>
            <w:r>
              <w:br/>
            </w:r>
            <w:r w:rsidR="004B3076">
              <w:t>R</w:t>
            </w:r>
            <w:r>
              <w:t>évisée</w:t>
            </w:r>
          </w:p>
        </w:tc>
        <w:tc>
          <w:tcPr>
            <w:tcW w:w="5684" w:type="dxa"/>
          </w:tcPr>
          <w:p w:rsidR="00902933" w:rsidRPr="007C15C2" w:rsidRDefault="00902933" w:rsidP="007D5428">
            <w:pPr>
              <w:pStyle w:val="Tabletext"/>
              <w:keepNext/>
              <w:keepLines/>
              <w:rPr>
                <w:lang w:val="fr-CH"/>
              </w:rPr>
            </w:pPr>
            <w:r w:rsidRPr="00B56EC8">
              <w:rPr>
                <w:lang w:val="fr-CH"/>
              </w:rPr>
              <w:t>Incidence des systèmes de télécommunicati</w:t>
            </w:r>
            <w:r>
              <w:rPr>
                <w:lang w:val="fr-CH"/>
              </w:rPr>
              <w:t xml:space="preserve">on à courants porteurs en ligne </w:t>
            </w:r>
            <w:r w:rsidRPr="00B56EC8">
              <w:rPr>
                <w:lang w:val="fr-CH"/>
              </w:rPr>
              <w:t>à haut débit sur les systèmes de radiocommunication</w:t>
            </w:r>
            <w:r>
              <w:rPr>
                <w:lang w:val="fr-CH"/>
              </w:rPr>
              <w:t xml:space="preserve"> au-dessous de 470 MHz</w:t>
            </w:r>
            <w:r w:rsidRPr="007C15C2">
              <w:rPr>
                <w:lang w:val="fr-CH"/>
              </w:rPr>
              <w:t xml:space="preserve"> </w:t>
            </w:r>
          </w:p>
        </w:tc>
        <w:tc>
          <w:tcPr>
            <w:tcW w:w="1710" w:type="dxa"/>
          </w:tcPr>
          <w:p w:rsidR="00902933" w:rsidRPr="00091E55" w:rsidRDefault="00902933" w:rsidP="004B3076">
            <w:pPr>
              <w:pStyle w:val="Tabletext"/>
              <w:keepNext/>
              <w:keepLines/>
              <w:jc w:val="center"/>
            </w:pPr>
            <w:r w:rsidRPr="00091E55">
              <w:t>CACE/</w:t>
            </w:r>
            <w:r w:rsidR="004B3076">
              <w:t>627</w:t>
            </w:r>
          </w:p>
        </w:tc>
      </w:tr>
      <w:tr w:rsidR="00902933" w:rsidRPr="00091E55" w:rsidTr="007D5428">
        <w:tblPrEx>
          <w:tblLook w:val="04A0" w:firstRow="1" w:lastRow="0" w:firstColumn="1" w:lastColumn="0" w:noHBand="0" w:noVBand="1"/>
        </w:tblPrEx>
        <w:tc>
          <w:tcPr>
            <w:tcW w:w="2113" w:type="dxa"/>
          </w:tcPr>
          <w:p w:rsidR="00902933" w:rsidRPr="00091E55" w:rsidRDefault="00902933" w:rsidP="007D5428">
            <w:pPr>
              <w:pStyle w:val="Tabletext"/>
              <w:jc w:val="center"/>
            </w:pPr>
            <w:r w:rsidRPr="00091E55">
              <w:t>SM.</w:t>
            </w:r>
            <w:r>
              <w:t>2028</w:t>
            </w:r>
            <w:r w:rsidRPr="00091E55">
              <w:t>-</w:t>
            </w:r>
            <w:r>
              <w:t>0</w:t>
            </w:r>
            <w:r>
              <w:br/>
            </w:r>
            <w:r w:rsidRPr="00091E55">
              <w:t>N</w:t>
            </w:r>
            <w:r>
              <w:t>ouvelle</w:t>
            </w:r>
          </w:p>
        </w:tc>
        <w:tc>
          <w:tcPr>
            <w:tcW w:w="5684" w:type="dxa"/>
          </w:tcPr>
          <w:p w:rsidR="00902933" w:rsidRPr="00091E55" w:rsidRDefault="00902933" w:rsidP="007D5428">
            <w:pPr>
              <w:pStyle w:val="Tabletext"/>
            </w:pPr>
            <w:r>
              <w:rPr>
                <w:color w:val="000000"/>
              </w:rPr>
              <w:t>Calcul des distances de protection entre systèmes inductifs et services de radiocommunication utilisant les fréquences au-dessous de 30 MHz</w:t>
            </w:r>
          </w:p>
        </w:tc>
        <w:tc>
          <w:tcPr>
            <w:tcW w:w="1710" w:type="dxa"/>
          </w:tcPr>
          <w:p w:rsidR="00902933" w:rsidRPr="00091E55" w:rsidRDefault="00902933" w:rsidP="007D5428">
            <w:pPr>
              <w:pStyle w:val="Tabletext"/>
              <w:jc w:val="center"/>
            </w:pPr>
            <w:r>
              <w:t>CACE/585</w:t>
            </w:r>
          </w:p>
        </w:tc>
      </w:tr>
    </w:tbl>
    <w:p w:rsidR="00902933" w:rsidRDefault="00902933" w:rsidP="00902933">
      <w:pPr>
        <w:rPr>
          <w:lang w:val="fr-CH"/>
        </w:rPr>
      </w:pPr>
    </w:p>
    <w:tbl>
      <w:tblPr>
        <w:tblStyle w:val="TableGrid"/>
        <w:tblW w:w="9498" w:type="dxa"/>
        <w:tblInd w:w="108" w:type="dxa"/>
        <w:tblLook w:val="01E0" w:firstRow="1" w:lastRow="1" w:firstColumn="1" w:lastColumn="1" w:noHBand="0" w:noVBand="0"/>
      </w:tblPr>
      <w:tblGrid>
        <w:gridCol w:w="2127"/>
        <w:gridCol w:w="7371"/>
      </w:tblGrid>
      <w:tr w:rsidR="00902933" w:rsidRPr="006D12AF" w:rsidTr="007D5428">
        <w:tc>
          <w:tcPr>
            <w:tcW w:w="2127" w:type="dxa"/>
          </w:tcPr>
          <w:p w:rsidR="00902933" w:rsidRPr="006D12AF" w:rsidRDefault="00902933" w:rsidP="007D5428">
            <w:pPr>
              <w:pStyle w:val="Tablehead"/>
              <w:keepNext w:val="0"/>
              <w:rPr>
                <w:rFonts w:eastAsia="SimSun"/>
                <w:lang w:val="fr-CH"/>
              </w:rPr>
            </w:pPr>
            <w:r w:rsidRPr="006D12AF">
              <w:rPr>
                <w:rFonts w:eastAsia="SimSun"/>
                <w:lang w:val="fr-CH"/>
              </w:rPr>
              <w:t>Rapport</w:t>
            </w:r>
            <w:r>
              <w:rPr>
                <w:rFonts w:eastAsia="SimSun"/>
                <w:lang w:val="fr-CH"/>
              </w:rPr>
              <w:br/>
              <w:t>et suite donnée</w:t>
            </w:r>
          </w:p>
        </w:tc>
        <w:tc>
          <w:tcPr>
            <w:tcW w:w="7371" w:type="dxa"/>
            <w:vAlign w:val="center"/>
          </w:tcPr>
          <w:p w:rsidR="00902933" w:rsidRPr="006D12AF" w:rsidRDefault="00902933" w:rsidP="007D5428">
            <w:pPr>
              <w:pStyle w:val="Tablehead"/>
              <w:rPr>
                <w:rFonts w:eastAsia="SimSun"/>
                <w:lang w:val="fr-CH"/>
              </w:rPr>
            </w:pPr>
            <w:r>
              <w:rPr>
                <w:rFonts w:eastAsia="SimSun"/>
                <w:lang w:val="fr-CH"/>
              </w:rPr>
              <w:t>Titre</w:t>
            </w:r>
          </w:p>
        </w:tc>
      </w:tr>
      <w:tr w:rsidR="00902933" w:rsidRPr="00D12CF7" w:rsidTr="007D5428">
        <w:tc>
          <w:tcPr>
            <w:tcW w:w="2127" w:type="dxa"/>
            <w:vAlign w:val="center"/>
          </w:tcPr>
          <w:p w:rsidR="00902933" w:rsidRPr="00221986" w:rsidRDefault="00902933" w:rsidP="004B3076">
            <w:pPr>
              <w:pStyle w:val="Tabletext"/>
              <w:jc w:val="center"/>
              <w:rPr>
                <w:lang w:val="fr-CH"/>
              </w:rPr>
            </w:pPr>
            <w:r w:rsidRPr="00221986">
              <w:rPr>
                <w:lang w:val="fr-CH"/>
              </w:rPr>
              <w:t>SM.2158-</w:t>
            </w:r>
            <w:r w:rsidR="004B3076">
              <w:rPr>
                <w:lang w:val="fr-CH"/>
              </w:rPr>
              <w:t>3</w:t>
            </w:r>
            <w:r w:rsidRPr="00221986">
              <w:rPr>
                <w:lang w:val="fr-CH"/>
              </w:rPr>
              <w:br/>
            </w:r>
            <w:r w:rsidR="004B3076">
              <w:rPr>
                <w:lang w:val="fr-CH"/>
              </w:rPr>
              <w:t>R</w:t>
            </w:r>
            <w:r>
              <w:rPr>
                <w:lang w:val="fr-CH"/>
              </w:rPr>
              <w:t>évisé</w:t>
            </w:r>
          </w:p>
        </w:tc>
        <w:tc>
          <w:tcPr>
            <w:tcW w:w="7371" w:type="dxa"/>
            <w:vAlign w:val="center"/>
          </w:tcPr>
          <w:p w:rsidR="00902933" w:rsidRPr="00D12CF7" w:rsidRDefault="00902933" w:rsidP="004B3076">
            <w:pPr>
              <w:pStyle w:val="Tabletext"/>
              <w:rPr>
                <w:lang w:val="fr-CH"/>
              </w:rPr>
            </w:pPr>
            <w:r w:rsidRPr="00D12CF7">
              <w:rPr>
                <w:lang w:val="fr-CH"/>
              </w:rPr>
              <w:t>Incidence des systèmes de télécommunication à courants porteurs en ligne sur les systèmes de radiocommunication fonctionnant dans les bandes de fréquences au-dessous de 80 MHz</w:t>
            </w:r>
          </w:p>
        </w:tc>
      </w:tr>
      <w:tr w:rsidR="00902933" w:rsidRPr="006D12AF" w:rsidTr="007D5428">
        <w:tc>
          <w:tcPr>
            <w:tcW w:w="2127" w:type="dxa"/>
            <w:vAlign w:val="center"/>
          </w:tcPr>
          <w:p w:rsidR="00902933" w:rsidRPr="00091E55" w:rsidRDefault="00902933" w:rsidP="004B3076">
            <w:pPr>
              <w:pStyle w:val="Tabletext"/>
              <w:jc w:val="center"/>
            </w:pPr>
            <w:r w:rsidRPr="00091E55">
              <w:t>SM.2212</w:t>
            </w:r>
            <w:r w:rsidR="004B3076">
              <w:t>-1</w:t>
            </w:r>
            <w:r>
              <w:br/>
            </w:r>
            <w:r w:rsidR="004B3076">
              <w:t>Révisé</w:t>
            </w:r>
          </w:p>
        </w:tc>
        <w:tc>
          <w:tcPr>
            <w:tcW w:w="7371" w:type="dxa"/>
            <w:vAlign w:val="center"/>
          </w:tcPr>
          <w:p w:rsidR="00902933" w:rsidRPr="00E474C6" w:rsidRDefault="00902933" w:rsidP="004B3076">
            <w:pPr>
              <w:pStyle w:val="Tabletext"/>
              <w:rPr>
                <w:lang w:val="fr-CH"/>
              </w:rPr>
            </w:pPr>
            <w:r w:rsidRPr="00E474C6">
              <w:rPr>
                <w:lang w:val="fr-CH"/>
              </w:rPr>
              <w:t>Incidence des systèmes de télécommunication à courants porteurs en ligne sur les systèmes de radiocommunication fonctionnant dans les bandes de fréquences au-dessus de 80 MHz  </w:t>
            </w:r>
          </w:p>
        </w:tc>
      </w:tr>
      <w:tr w:rsidR="00902933" w:rsidRPr="00091E55" w:rsidTr="007D5428">
        <w:tblPrEx>
          <w:tblLook w:val="04A0" w:firstRow="1" w:lastRow="0" w:firstColumn="1" w:lastColumn="0" w:noHBand="0" w:noVBand="1"/>
        </w:tblPrEx>
        <w:tc>
          <w:tcPr>
            <w:tcW w:w="2127" w:type="dxa"/>
          </w:tcPr>
          <w:p w:rsidR="00902933" w:rsidRPr="00091E55" w:rsidRDefault="00902933" w:rsidP="007D5428">
            <w:pPr>
              <w:pStyle w:val="Tabletext"/>
              <w:jc w:val="center"/>
            </w:pPr>
            <w:r>
              <w:t>SM.2269-0</w:t>
            </w:r>
            <w:r>
              <w:br/>
              <w:t>Nouveau</w:t>
            </w:r>
          </w:p>
        </w:tc>
        <w:tc>
          <w:tcPr>
            <w:tcW w:w="7371" w:type="dxa"/>
          </w:tcPr>
          <w:p w:rsidR="00902933" w:rsidRPr="00091E55" w:rsidRDefault="00902933" w:rsidP="007D5428">
            <w:pPr>
              <w:pStyle w:val="Tabletext"/>
            </w:pPr>
            <w:r>
              <w:rPr>
                <w:color w:val="000000"/>
              </w:rPr>
              <w:t>Méthodes à utiliser pour établir une relation entre les rayonnements émis par les installations de communication par courants porteurs en ligne et la sortie des modems de communication par courants porteurs en ligne</w:t>
            </w:r>
          </w:p>
        </w:tc>
      </w:tr>
      <w:tr w:rsidR="00902933" w:rsidRPr="00194101" w:rsidTr="007D5428">
        <w:tblPrEx>
          <w:tblLook w:val="04A0" w:firstRow="1" w:lastRow="0" w:firstColumn="1" w:lastColumn="0" w:noHBand="0" w:noVBand="1"/>
        </w:tblPrEx>
        <w:tc>
          <w:tcPr>
            <w:tcW w:w="2127" w:type="dxa"/>
          </w:tcPr>
          <w:p w:rsidR="00902933" w:rsidRDefault="00902933" w:rsidP="00456FD6">
            <w:pPr>
              <w:pStyle w:val="Tabletext"/>
              <w:jc w:val="center"/>
            </w:pPr>
            <w:r>
              <w:t>SM.2303-1</w:t>
            </w:r>
            <w:r>
              <w:br/>
              <w:t>Nouveau</w:t>
            </w:r>
            <w:r w:rsidRPr="00221986">
              <w:rPr>
                <w:lang w:val="fr-CH"/>
              </w:rPr>
              <w:t xml:space="preserve"> et </w:t>
            </w:r>
            <w:r w:rsidRPr="00221986">
              <w:rPr>
                <w:lang w:val="fr-CH"/>
              </w:rPr>
              <w:br/>
            </w:r>
            <w:r>
              <w:rPr>
                <w:lang w:val="fr-CH"/>
              </w:rPr>
              <w:t>révisé</w:t>
            </w:r>
          </w:p>
        </w:tc>
        <w:tc>
          <w:tcPr>
            <w:tcW w:w="7371" w:type="dxa"/>
          </w:tcPr>
          <w:p w:rsidR="00902933" w:rsidRPr="00CA79AF" w:rsidRDefault="00902933" w:rsidP="007D5428">
            <w:pPr>
              <w:pStyle w:val="Tabletext"/>
              <w:rPr>
                <w:rFonts w:asciiTheme="majorBidi" w:eastAsia="SimSun" w:hAnsiTheme="majorBidi" w:cstheme="majorBidi"/>
                <w:lang w:val="fr-CH"/>
              </w:rPr>
            </w:pPr>
            <w:r>
              <w:rPr>
                <w:color w:val="000000"/>
              </w:rPr>
              <w:t>Transmission d'énergie sans fil au moyen de techniques autres que la transmission par faisceau radiofréquence</w:t>
            </w:r>
          </w:p>
        </w:tc>
      </w:tr>
      <w:tr w:rsidR="00902933" w:rsidRPr="00872B14" w:rsidTr="007D5428">
        <w:tblPrEx>
          <w:tblLook w:val="04A0" w:firstRow="1" w:lastRow="0" w:firstColumn="1" w:lastColumn="0" w:noHBand="0" w:noVBand="1"/>
        </w:tblPrEx>
        <w:tc>
          <w:tcPr>
            <w:tcW w:w="2127" w:type="dxa"/>
          </w:tcPr>
          <w:p w:rsidR="00902933" w:rsidRDefault="00902933" w:rsidP="007D5428">
            <w:pPr>
              <w:pStyle w:val="Tabletext"/>
              <w:jc w:val="center"/>
            </w:pPr>
            <w:r>
              <w:t>SM.2351-0</w:t>
            </w:r>
            <w:r>
              <w:br/>
              <w:t>Nouveau</w:t>
            </w:r>
          </w:p>
        </w:tc>
        <w:tc>
          <w:tcPr>
            <w:tcW w:w="7371" w:type="dxa"/>
          </w:tcPr>
          <w:p w:rsidR="00902933" w:rsidRPr="00CA79AF" w:rsidRDefault="00902933" w:rsidP="007D5428">
            <w:pPr>
              <w:pStyle w:val="Tabletext"/>
              <w:rPr>
                <w:rFonts w:asciiTheme="majorBidi" w:eastAsia="SimSun" w:hAnsiTheme="majorBidi" w:cstheme="majorBidi"/>
                <w:lang w:val="fr-CH"/>
              </w:rPr>
            </w:pPr>
            <w:r>
              <w:rPr>
                <w:color w:val="000000"/>
              </w:rPr>
              <w:t>Systèmes de gestion des  réseaux électriques intelligents</w:t>
            </w:r>
          </w:p>
        </w:tc>
      </w:tr>
      <w:tr w:rsidR="00902933" w:rsidRPr="00AB43E7" w:rsidTr="007D5428">
        <w:tblPrEx>
          <w:tblLook w:val="04A0" w:firstRow="1" w:lastRow="0" w:firstColumn="1" w:lastColumn="0" w:noHBand="0" w:noVBand="1"/>
        </w:tblPrEx>
        <w:tc>
          <w:tcPr>
            <w:tcW w:w="2127" w:type="dxa"/>
          </w:tcPr>
          <w:p w:rsidR="00902933" w:rsidRDefault="00902933" w:rsidP="007D5428">
            <w:pPr>
              <w:pStyle w:val="Tabletext"/>
              <w:jc w:val="center"/>
            </w:pPr>
            <w:r>
              <w:t>SM.2352-0</w:t>
            </w:r>
            <w:r>
              <w:br/>
              <w:t>Nouveau</w:t>
            </w:r>
          </w:p>
        </w:tc>
        <w:tc>
          <w:tcPr>
            <w:tcW w:w="7371" w:type="dxa"/>
          </w:tcPr>
          <w:p w:rsidR="00902933" w:rsidRPr="00CA79AF" w:rsidRDefault="00902933" w:rsidP="00456FD6">
            <w:pPr>
              <w:pStyle w:val="Tabletext"/>
              <w:rPr>
                <w:rFonts w:asciiTheme="majorBidi" w:eastAsia="SimSun" w:hAnsiTheme="majorBidi" w:cstheme="majorBidi"/>
                <w:lang w:val="fr-CH"/>
              </w:rPr>
            </w:pPr>
            <w:r w:rsidRPr="00CA79AF">
              <w:rPr>
                <w:rFonts w:asciiTheme="majorBidi" w:eastAsia="SimSun" w:hAnsiTheme="majorBidi" w:cstheme="majorBidi"/>
                <w:lang w:val="fr-CH"/>
              </w:rPr>
              <w:t xml:space="preserve">Évolution technique des services actifs dans la gamme de fréquences </w:t>
            </w:r>
            <w:r w:rsidR="00456FD6">
              <w:rPr>
                <w:rFonts w:asciiTheme="majorBidi" w:eastAsia="SimSun" w:hAnsiTheme="majorBidi" w:cstheme="majorBidi"/>
                <w:lang w:val="fr-CH"/>
              </w:rPr>
              <w:t>275-</w:t>
            </w:r>
            <w:r w:rsidRPr="00CA79AF">
              <w:rPr>
                <w:rFonts w:asciiTheme="majorBidi" w:eastAsia="SimSun" w:hAnsiTheme="majorBidi" w:cstheme="majorBidi"/>
                <w:lang w:val="fr-CH"/>
              </w:rPr>
              <w:t>3 000 GHz</w:t>
            </w:r>
          </w:p>
        </w:tc>
      </w:tr>
    </w:tbl>
    <w:p w:rsidR="00902933" w:rsidRDefault="00902933" w:rsidP="00902933">
      <w:pPr>
        <w:pStyle w:val="Normalaftertitle"/>
        <w:rPr>
          <w:rFonts w:eastAsia="SimSun"/>
          <w:lang w:val="fr-CH"/>
        </w:rPr>
      </w:pPr>
      <w:r>
        <w:t xml:space="preserve">Le § </w:t>
      </w:r>
      <w:r w:rsidRPr="005D6746">
        <w:t> </w:t>
      </w:r>
      <w:r>
        <w:t>7.1</w:t>
      </w:r>
      <w:r w:rsidRPr="005D6746">
        <w:t xml:space="preserve"> </w:t>
      </w:r>
      <w:r>
        <w:t xml:space="preserve">décrit les activités menées par le GT </w:t>
      </w:r>
      <w:r w:rsidRPr="005D6746">
        <w:t>1</w:t>
      </w:r>
      <w:r>
        <w:t>A</w:t>
      </w:r>
      <w:r w:rsidRPr="005D6746">
        <w:t xml:space="preserve"> </w:t>
      </w:r>
      <w:r>
        <w:t xml:space="preserve">en ce qui concerne l’édition de 2015 du Manuel de l’UIT sur </w:t>
      </w:r>
      <w:r>
        <w:rPr>
          <w:color w:val="000000"/>
        </w:rPr>
        <w:t>l'application des techniques informatiques à la gestion du spectre radioélectrique.</w:t>
      </w:r>
    </w:p>
    <w:p w:rsidR="00902933" w:rsidRDefault="00902933" w:rsidP="00902933">
      <w:pPr>
        <w:pStyle w:val="Heading2"/>
        <w:rPr>
          <w:lang w:val="fr-CH"/>
        </w:rPr>
      </w:pPr>
      <w:r>
        <w:rPr>
          <w:lang w:val="fr-CH"/>
        </w:rPr>
        <w:t>5.3</w:t>
      </w:r>
      <w:r>
        <w:rPr>
          <w:lang w:val="fr-CH"/>
        </w:rPr>
        <w:tab/>
      </w:r>
      <w:r w:rsidR="00456FD6">
        <w:rPr>
          <w:lang w:val="fr-CH"/>
        </w:rPr>
        <w:t>Groupe de travail</w:t>
      </w:r>
      <w:r>
        <w:rPr>
          <w:lang w:val="fr-CH"/>
        </w:rPr>
        <w:t xml:space="preserve"> 1B</w:t>
      </w:r>
    </w:p>
    <w:p w:rsidR="00902933" w:rsidRPr="001857C6" w:rsidRDefault="00902933" w:rsidP="00456FD6">
      <w:pPr>
        <w:rPr>
          <w:iCs/>
        </w:rPr>
      </w:pPr>
      <w:r w:rsidRPr="001857C6">
        <w:rPr>
          <w:iCs/>
        </w:rPr>
        <w:t>(</w:t>
      </w:r>
      <w:r w:rsidRPr="0053007D">
        <w:rPr>
          <w:iCs/>
        </w:rPr>
        <w:t>Questions 205-</w:t>
      </w:r>
      <w:r>
        <w:rPr>
          <w:iCs/>
        </w:rPr>
        <w:t>2</w:t>
      </w:r>
      <w:r w:rsidRPr="0053007D">
        <w:rPr>
          <w:iCs/>
        </w:rPr>
        <w:t>/1, 208</w:t>
      </w:r>
      <w:r>
        <w:rPr>
          <w:iCs/>
        </w:rPr>
        <w:t>-1</w:t>
      </w:r>
      <w:r w:rsidRPr="0053007D">
        <w:rPr>
          <w:iCs/>
        </w:rPr>
        <w:t>/1, 216</w:t>
      </w:r>
      <w:r>
        <w:rPr>
          <w:iCs/>
        </w:rPr>
        <w:t>-1</w:t>
      </w:r>
      <w:r w:rsidRPr="0053007D">
        <w:rPr>
          <w:iCs/>
        </w:rPr>
        <w:t>/1</w:t>
      </w:r>
      <w:r w:rsidR="00FB5341">
        <w:rPr>
          <w:iCs/>
        </w:rPr>
        <w:t xml:space="preserve"> </w:t>
      </w:r>
      <w:r>
        <w:rPr>
          <w:iCs/>
        </w:rPr>
        <w:t xml:space="preserve">et également </w:t>
      </w:r>
      <w:r>
        <w:rPr>
          <w:rFonts w:eastAsia="Arial Unicode MS"/>
        </w:rPr>
        <w:t>210-3/1</w:t>
      </w:r>
      <w:r w:rsidR="00456FD6">
        <w:rPr>
          <w:rFonts w:eastAsia="Arial Unicode MS"/>
        </w:rPr>
        <w:t>,</w:t>
      </w:r>
      <w:r>
        <w:rPr>
          <w:rFonts w:eastAsia="Arial Unicode MS"/>
        </w:rPr>
        <w:t xml:space="preserve"> une fois que le GT </w:t>
      </w:r>
      <w:r w:rsidRPr="005D6746">
        <w:t>1</w:t>
      </w:r>
      <w:r>
        <w:t>A</w:t>
      </w:r>
      <w:r w:rsidRPr="005D6746">
        <w:t xml:space="preserve"> </w:t>
      </w:r>
      <w:r>
        <w:rPr>
          <w:rFonts w:eastAsia="Arial Unicode MS"/>
        </w:rPr>
        <w:t>aura fourni les paramètres techniques et opérationnels nécessaires</w:t>
      </w:r>
      <w:r w:rsidRPr="0053007D">
        <w:rPr>
          <w:iCs/>
        </w:rPr>
        <w:t>)</w:t>
      </w:r>
    </w:p>
    <w:p w:rsidR="00902933" w:rsidRDefault="00902933" w:rsidP="00456FD6">
      <w:pPr>
        <w:rPr>
          <w:rFonts w:eastAsia="SimSun"/>
          <w:lang w:val="fr-CH"/>
        </w:rPr>
      </w:pPr>
      <w:r>
        <w:rPr>
          <w:rFonts w:eastAsia="SimSun"/>
          <w:lang w:val="fr-CH"/>
        </w:rPr>
        <w:lastRenderedPageBreak/>
        <w:t>Pendant la période d'études</w:t>
      </w:r>
      <w:r w:rsidR="00456FD6">
        <w:rPr>
          <w:rFonts w:eastAsia="SimSun"/>
          <w:lang w:val="fr-CH"/>
        </w:rPr>
        <w:t xml:space="preserve"> considérée</w:t>
      </w:r>
      <w:r>
        <w:rPr>
          <w:rFonts w:eastAsia="SimSun"/>
          <w:lang w:val="fr-CH"/>
        </w:rPr>
        <w:t>, le GT 1B a présenté le projet de révision de trois Questions à la Commission d’études 1 pour adoption et a proposé la suppression d’une Question.</w:t>
      </w:r>
    </w:p>
    <w:p w:rsidR="00456FD6" w:rsidRPr="00A91B12" w:rsidRDefault="00456FD6" w:rsidP="00456FD6">
      <w:pPr>
        <w:rPr>
          <w:rFonts w:eastAsia="SimSun"/>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5837"/>
        <w:gridCol w:w="1750"/>
      </w:tblGrid>
      <w:tr w:rsidR="00902933" w:rsidRPr="00091E55" w:rsidTr="007D5428">
        <w:trPr>
          <w:cantSplit/>
          <w:tblHeader/>
        </w:trPr>
        <w:tc>
          <w:tcPr>
            <w:tcW w:w="2042" w:type="dxa"/>
            <w:vAlign w:val="center"/>
          </w:tcPr>
          <w:p w:rsidR="00902933" w:rsidRPr="006D12AF" w:rsidRDefault="00902933" w:rsidP="007D5428">
            <w:pPr>
              <w:pStyle w:val="Tablehead"/>
              <w:keepNext w:val="0"/>
              <w:rPr>
                <w:rFonts w:eastAsia="SimSun"/>
                <w:lang w:val="fr-CH"/>
              </w:rPr>
            </w:pPr>
            <w:r w:rsidRPr="006D12AF">
              <w:rPr>
                <w:rFonts w:eastAsia="SimSun"/>
                <w:lang w:val="fr-CH"/>
              </w:rPr>
              <w:t>Question</w:t>
            </w:r>
            <w:r>
              <w:rPr>
                <w:rFonts w:eastAsia="SimSun"/>
                <w:lang w:val="fr-CH"/>
              </w:rPr>
              <w:br/>
              <w:t>et suite donnée</w:t>
            </w:r>
          </w:p>
        </w:tc>
        <w:tc>
          <w:tcPr>
            <w:tcW w:w="5837" w:type="dxa"/>
            <w:vAlign w:val="center"/>
          </w:tcPr>
          <w:p w:rsidR="00902933" w:rsidRPr="006D12AF" w:rsidRDefault="00902933" w:rsidP="007D5428">
            <w:pPr>
              <w:pStyle w:val="Tablehead"/>
              <w:rPr>
                <w:rFonts w:eastAsia="SimSun"/>
                <w:lang w:val="fr-CH"/>
              </w:rPr>
            </w:pPr>
            <w:r w:rsidRPr="006D12AF">
              <w:rPr>
                <w:rFonts w:eastAsia="SimSun"/>
                <w:lang w:val="fr-CH"/>
              </w:rPr>
              <w:t>Titre</w:t>
            </w:r>
          </w:p>
        </w:tc>
        <w:tc>
          <w:tcPr>
            <w:tcW w:w="1750" w:type="dxa"/>
            <w:vAlign w:val="center"/>
          </w:tcPr>
          <w:p w:rsidR="00902933" w:rsidRPr="006D12AF" w:rsidRDefault="00902933" w:rsidP="007D5428">
            <w:pPr>
              <w:pStyle w:val="Tablehead"/>
              <w:rPr>
                <w:rFonts w:eastAsia="SimSun"/>
                <w:lang w:val="fr-CH"/>
              </w:rPr>
            </w:pPr>
            <w:r>
              <w:rPr>
                <w:rFonts w:eastAsia="SimSun"/>
                <w:lang w:val="fr-CH"/>
              </w:rPr>
              <w:t>Circulaire administrative</w:t>
            </w:r>
          </w:p>
        </w:tc>
      </w:tr>
      <w:tr w:rsidR="00902933" w:rsidRPr="00091E55" w:rsidTr="007D5428">
        <w:trPr>
          <w:cantSplit/>
        </w:trPr>
        <w:tc>
          <w:tcPr>
            <w:tcW w:w="2042" w:type="dxa"/>
            <w:vAlign w:val="center"/>
          </w:tcPr>
          <w:p w:rsidR="00902933" w:rsidRPr="00091E55" w:rsidRDefault="00902933" w:rsidP="007D5428">
            <w:pPr>
              <w:pStyle w:val="Tabletext"/>
              <w:jc w:val="center"/>
            </w:pPr>
            <w:r w:rsidRPr="00091E55">
              <w:t>20</w:t>
            </w:r>
            <w:r>
              <w:t>5</w:t>
            </w:r>
            <w:r w:rsidRPr="00091E55">
              <w:t>-</w:t>
            </w:r>
            <w:r>
              <w:t>2</w:t>
            </w:r>
            <w:r w:rsidRPr="00091E55">
              <w:t>/1</w:t>
            </w:r>
            <w:r>
              <w:br/>
              <w:t>R</w:t>
            </w:r>
            <w:r w:rsidR="00456FD6">
              <w:t>é</w:t>
            </w:r>
            <w:r>
              <w:t>visée</w:t>
            </w:r>
          </w:p>
        </w:tc>
        <w:tc>
          <w:tcPr>
            <w:tcW w:w="5837" w:type="dxa"/>
            <w:vAlign w:val="center"/>
          </w:tcPr>
          <w:p w:rsidR="00902933" w:rsidRPr="00091E55" w:rsidRDefault="00902933" w:rsidP="007D5428">
            <w:pPr>
              <w:pStyle w:val="Tabletext"/>
            </w:pPr>
            <w:r>
              <w:rPr>
                <w:color w:val="000000"/>
              </w:rPr>
              <w:t>Stratégies à long terme pour l'utilisation du spectre</w:t>
            </w:r>
          </w:p>
        </w:tc>
        <w:tc>
          <w:tcPr>
            <w:tcW w:w="1750" w:type="dxa"/>
            <w:vAlign w:val="center"/>
          </w:tcPr>
          <w:p w:rsidR="00902933" w:rsidRPr="00091E55" w:rsidRDefault="00902933" w:rsidP="007D5428">
            <w:pPr>
              <w:pStyle w:val="Tabletext"/>
              <w:jc w:val="center"/>
            </w:pPr>
            <w:r w:rsidRPr="00091E55">
              <w:t>CACE/</w:t>
            </w:r>
            <w:r>
              <w:t>7</w:t>
            </w:r>
            <w:r w:rsidRPr="00091E55">
              <w:t>5</w:t>
            </w:r>
            <w:r>
              <w:t>1</w:t>
            </w:r>
          </w:p>
        </w:tc>
      </w:tr>
      <w:tr w:rsidR="00902933" w:rsidRPr="00091E55" w:rsidTr="007D5428">
        <w:trPr>
          <w:cantSplit/>
        </w:trPr>
        <w:tc>
          <w:tcPr>
            <w:tcW w:w="2042" w:type="dxa"/>
            <w:vAlign w:val="center"/>
          </w:tcPr>
          <w:p w:rsidR="00902933" w:rsidRPr="00091E55" w:rsidRDefault="00902933" w:rsidP="007D5428">
            <w:pPr>
              <w:pStyle w:val="Tabletext"/>
              <w:jc w:val="center"/>
            </w:pPr>
            <w:r w:rsidRPr="00091E55">
              <w:t>20</w:t>
            </w:r>
            <w:r>
              <w:t>8</w:t>
            </w:r>
            <w:r w:rsidRPr="00091E55">
              <w:t>-1/1</w:t>
            </w:r>
            <w:r>
              <w:br/>
              <w:t>R</w:t>
            </w:r>
            <w:r w:rsidR="00456FD6">
              <w:t>é</w:t>
            </w:r>
            <w:r>
              <w:t>visée</w:t>
            </w:r>
          </w:p>
        </w:tc>
        <w:tc>
          <w:tcPr>
            <w:tcW w:w="5837" w:type="dxa"/>
            <w:vAlign w:val="center"/>
          </w:tcPr>
          <w:p w:rsidR="00902933" w:rsidRPr="00091E55" w:rsidRDefault="00902933" w:rsidP="007D5428">
            <w:pPr>
              <w:pStyle w:val="Tabletext"/>
            </w:pPr>
            <w:r>
              <w:rPr>
                <w:color w:val="000000"/>
              </w:rPr>
              <w:t>Autres méthodes de gestion nationale du spectre</w:t>
            </w:r>
          </w:p>
        </w:tc>
        <w:tc>
          <w:tcPr>
            <w:tcW w:w="1750" w:type="dxa"/>
            <w:vAlign w:val="center"/>
          </w:tcPr>
          <w:p w:rsidR="00902933" w:rsidRPr="00091E55" w:rsidRDefault="00902933" w:rsidP="007D5428">
            <w:pPr>
              <w:pStyle w:val="Tabletext"/>
              <w:jc w:val="center"/>
            </w:pPr>
            <w:r w:rsidRPr="00091E55">
              <w:t>CACE/</w:t>
            </w:r>
            <w:r>
              <w:t>751</w:t>
            </w:r>
          </w:p>
        </w:tc>
      </w:tr>
      <w:tr w:rsidR="00902933" w:rsidRPr="00091E55" w:rsidTr="007D5428">
        <w:trPr>
          <w:cantSplit/>
        </w:trPr>
        <w:tc>
          <w:tcPr>
            <w:tcW w:w="2042" w:type="dxa"/>
            <w:vAlign w:val="center"/>
          </w:tcPr>
          <w:p w:rsidR="00902933" w:rsidRPr="00091E55" w:rsidRDefault="00902933" w:rsidP="007D5428">
            <w:pPr>
              <w:pStyle w:val="Tabletext"/>
              <w:jc w:val="center"/>
            </w:pPr>
            <w:r w:rsidRPr="00091E55">
              <w:t>2</w:t>
            </w:r>
            <w:r>
              <w:t>16</w:t>
            </w:r>
            <w:r w:rsidRPr="00091E55">
              <w:t>-1/1</w:t>
            </w:r>
            <w:r>
              <w:br/>
              <w:t>R</w:t>
            </w:r>
            <w:r w:rsidR="00456FD6">
              <w:t>é</w:t>
            </w:r>
            <w:r>
              <w:t>visée</w:t>
            </w:r>
          </w:p>
        </w:tc>
        <w:tc>
          <w:tcPr>
            <w:tcW w:w="5837" w:type="dxa"/>
            <w:vAlign w:val="center"/>
          </w:tcPr>
          <w:p w:rsidR="00902933" w:rsidRPr="00091E55" w:rsidRDefault="00902933" w:rsidP="007D5428">
            <w:pPr>
              <w:pStyle w:val="Tabletext"/>
            </w:pPr>
            <w:r>
              <w:rPr>
                <w:color w:val="000000"/>
              </w:rPr>
              <w:t>Redéploiement du spectre en tant que méthode de gestion nationale du spectre</w:t>
            </w:r>
          </w:p>
        </w:tc>
        <w:tc>
          <w:tcPr>
            <w:tcW w:w="1750" w:type="dxa"/>
            <w:vAlign w:val="center"/>
          </w:tcPr>
          <w:p w:rsidR="00902933" w:rsidRPr="00091E55" w:rsidRDefault="00902933" w:rsidP="007D5428">
            <w:pPr>
              <w:pStyle w:val="Tabletext"/>
              <w:jc w:val="center"/>
            </w:pPr>
            <w:r w:rsidRPr="00091E55">
              <w:t>CACE/</w:t>
            </w:r>
            <w:r>
              <w:t>751</w:t>
            </w:r>
          </w:p>
        </w:tc>
      </w:tr>
      <w:tr w:rsidR="00902933" w:rsidRPr="00091E55" w:rsidDel="00AF3175" w:rsidTr="007D5428">
        <w:trPr>
          <w:cantSplit/>
        </w:trPr>
        <w:tc>
          <w:tcPr>
            <w:tcW w:w="2042" w:type="dxa"/>
            <w:vAlign w:val="center"/>
          </w:tcPr>
          <w:p w:rsidR="00902933" w:rsidRPr="00091E55" w:rsidDel="00AF3175" w:rsidRDefault="00902933" w:rsidP="007D5428">
            <w:pPr>
              <w:pStyle w:val="Tabletext"/>
              <w:jc w:val="center"/>
            </w:pPr>
            <w:r w:rsidRPr="00091E55">
              <w:t>22</w:t>
            </w:r>
            <w:r>
              <w:t>4</w:t>
            </w:r>
            <w:r w:rsidRPr="00091E55">
              <w:t>/1</w:t>
            </w:r>
            <w:r>
              <w:br/>
            </w:r>
            <w:r w:rsidRPr="00091E55">
              <w:t>Suppr</w:t>
            </w:r>
            <w:r>
              <w:t>imée</w:t>
            </w:r>
          </w:p>
        </w:tc>
        <w:tc>
          <w:tcPr>
            <w:tcW w:w="5837" w:type="dxa"/>
            <w:vAlign w:val="center"/>
          </w:tcPr>
          <w:p w:rsidR="00902933" w:rsidRPr="00091E55" w:rsidDel="00AF3175" w:rsidRDefault="00902933" w:rsidP="007D5428">
            <w:pPr>
              <w:pStyle w:val="Tabletext"/>
            </w:pPr>
            <w:r>
              <w:rPr>
                <w:color w:val="000000"/>
              </w:rPr>
              <w:t>Convergence technique des applications de Terre multimédia interactives fixes mobiles et de radiodiffusion et environnement réglementaire associé</w:t>
            </w:r>
          </w:p>
        </w:tc>
        <w:tc>
          <w:tcPr>
            <w:tcW w:w="1750" w:type="dxa"/>
            <w:vAlign w:val="center"/>
          </w:tcPr>
          <w:p w:rsidR="00902933" w:rsidRPr="00091E55" w:rsidDel="00AF3175" w:rsidRDefault="00902933" w:rsidP="007D5428">
            <w:pPr>
              <w:pStyle w:val="Tabletext"/>
              <w:jc w:val="center"/>
            </w:pPr>
            <w:r w:rsidRPr="00091E55">
              <w:t>CACE/</w:t>
            </w:r>
            <w:r>
              <w:t>751</w:t>
            </w:r>
          </w:p>
        </w:tc>
      </w:tr>
    </w:tbl>
    <w:p w:rsidR="00902933" w:rsidRPr="007B73A6" w:rsidRDefault="00902933" w:rsidP="00DE368B">
      <w:r w:rsidRPr="007B73A6">
        <w:rPr>
          <w:rFonts w:eastAsia="SimSun"/>
        </w:rPr>
        <w:t xml:space="preserve">Il a aussi présenté </w:t>
      </w:r>
      <w:r>
        <w:t xml:space="preserve">à la </w:t>
      </w:r>
      <w:r>
        <w:rPr>
          <w:lang w:val="fr-CH"/>
        </w:rPr>
        <w:t>Commission d'études </w:t>
      </w:r>
      <w:r w:rsidR="00456FD6">
        <w:t xml:space="preserve">1 </w:t>
      </w:r>
      <w:r>
        <w:rPr>
          <w:rFonts w:eastAsia="SimSun"/>
        </w:rPr>
        <w:t>deux</w:t>
      </w:r>
      <w:r w:rsidRPr="007B73A6">
        <w:rPr>
          <w:rFonts w:eastAsia="SimSun"/>
        </w:rPr>
        <w:t xml:space="preserve"> projet</w:t>
      </w:r>
      <w:r>
        <w:rPr>
          <w:rFonts w:eastAsia="SimSun"/>
        </w:rPr>
        <w:t>s</w:t>
      </w:r>
      <w:r w:rsidRPr="007B73A6">
        <w:rPr>
          <w:rFonts w:eastAsia="SimSun"/>
        </w:rPr>
        <w:t xml:space="preserve"> de </w:t>
      </w:r>
      <w:r>
        <w:rPr>
          <w:rFonts w:eastAsia="SimSun"/>
        </w:rPr>
        <w:t xml:space="preserve">révision d’une </w:t>
      </w:r>
      <w:r w:rsidR="00456FD6">
        <w:rPr>
          <w:rFonts w:eastAsia="SimSun"/>
        </w:rPr>
        <w:t>Recommandation</w:t>
      </w:r>
      <w:r w:rsidRPr="007B73A6">
        <w:rPr>
          <w:rFonts w:eastAsia="SimSun"/>
        </w:rPr>
        <w:t xml:space="preserve"> </w:t>
      </w:r>
      <w:r>
        <w:rPr>
          <w:rFonts w:eastAsia="SimSun"/>
        </w:rPr>
        <w:t xml:space="preserve">et le projet de révision de trois autres Recommandations, </w:t>
      </w:r>
      <w:r w:rsidR="00456FD6">
        <w:t>ainsi que</w:t>
      </w:r>
      <w:r>
        <w:t xml:space="preserve"> trois projets</w:t>
      </w:r>
      <w:r w:rsidRPr="0037360C">
        <w:rPr>
          <w:rFonts w:eastAsia="SimSun"/>
        </w:rPr>
        <w:t xml:space="preserve"> </w:t>
      </w:r>
      <w:r>
        <w:rPr>
          <w:rFonts w:eastAsia="SimSun"/>
        </w:rPr>
        <w:t>de révision</w:t>
      </w:r>
      <w:r>
        <w:t xml:space="preserve"> d</w:t>
      </w:r>
      <w:r w:rsidR="00456FD6">
        <w:t xml:space="preserve">’un </w:t>
      </w:r>
      <w:r>
        <w:t>Rapport</w:t>
      </w:r>
      <w:r w:rsidR="00456FD6">
        <w:t>,</w:t>
      </w:r>
      <w:r>
        <w:t xml:space="preserve"> les projets </w:t>
      </w:r>
      <w:r>
        <w:rPr>
          <w:rFonts w:eastAsia="SimSun"/>
        </w:rPr>
        <w:t>de révision de deux autres Rapports et deux projets de nouveau Rapport</w:t>
      </w:r>
      <w:r w:rsidR="00F046CB">
        <w:rPr>
          <w:rFonts w:eastAsia="SimSun"/>
        </w:rPr>
        <w:t>.</w:t>
      </w:r>
    </w:p>
    <w:p w:rsidR="00902933" w:rsidRPr="007B73A6" w:rsidRDefault="00902933" w:rsidP="009029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5866"/>
        <w:gridCol w:w="1749"/>
      </w:tblGrid>
      <w:tr w:rsidR="00902933" w:rsidRPr="00091E55" w:rsidTr="007D5428">
        <w:trPr>
          <w:cantSplit/>
          <w:tblHeader/>
        </w:trPr>
        <w:tc>
          <w:tcPr>
            <w:tcW w:w="2014" w:type="dxa"/>
            <w:vAlign w:val="center"/>
          </w:tcPr>
          <w:p w:rsidR="00902933" w:rsidRPr="006D12AF" w:rsidRDefault="00902933" w:rsidP="007D5428">
            <w:pPr>
              <w:pStyle w:val="Tablehead"/>
              <w:keepNext w:val="0"/>
              <w:rPr>
                <w:rFonts w:eastAsia="SimSun"/>
                <w:lang w:val="fr-CH"/>
              </w:rPr>
            </w:pPr>
            <w:r>
              <w:rPr>
                <w:rFonts w:eastAsia="SimSun"/>
                <w:lang w:val="fr-CH"/>
              </w:rPr>
              <w:t>Recommandation</w:t>
            </w:r>
            <w:r>
              <w:rPr>
                <w:rFonts w:eastAsia="SimSun"/>
                <w:lang w:val="fr-CH"/>
              </w:rPr>
              <w:br/>
              <w:t>et suite donnée</w:t>
            </w:r>
          </w:p>
        </w:tc>
        <w:tc>
          <w:tcPr>
            <w:tcW w:w="5866" w:type="dxa"/>
            <w:vAlign w:val="center"/>
          </w:tcPr>
          <w:p w:rsidR="00902933" w:rsidRPr="006D12AF" w:rsidRDefault="00902933" w:rsidP="007D5428">
            <w:pPr>
              <w:pStyle w:val="Tablehead"/>
              <w:keepNext w:val="0"/>
              <w:rPr>
                <w:rFonts w:eastAsia="SimSun"/>
                <w:lang w:val="fr-CH"/>
              </w:rPr>
            </w:pPr>
            <w:r w:rsidRPr="006D12AF">
              <w:rPr>
                <w:rFonts w:eastAsia="SimSun"/>
                <w:lang w:val="fr-CH"/>
              </w:rPr>
              <w:t>Titre</w:t>
            </w:r>
          </w:p>
        </w:tc>
        <w:tc>
          <w:tcPr>
            <w:tcW w:w="1749" w:type="dxa"/>
            <w:vAlign w:val="center"/>
          </w:tcPr>
          <w:p w:rsidR="00902933" w:rsidRPr="006D12AF" w:rsidRDefault="00902933" w:rsidP="007D5428">
            <w:pPr>
              <w:pStyle w:val="Tablehead"/>
              <w:keepNext w:val="0"/>
              <w:rPr>
                <w:rFonts w:eastAsia="SimSun"/>
                <w:lang w:val="fr-CH"/>
              </w:rPr>
            </w:pPr>
            <w:r>
              <w:rPr>
                <w:rFonts w:eastAsia="SimSun"/>
                <w:lang w:val="fr-CH"/>
              </w:rPr>
              <w:t>Circulaire administrative</w:t>
            </w:r>
          </w:p>
        </w:tc>
      </w:tr>
      <w:tr w:rsidR="00902933" w:rsidRPr="00091E55" w:rsidTr="007D5428">
        <w:tc>
          <w:tcPr>
            <w:tcW w:w="2014" w:type="dxa"/>
            <w:vAlign w:val="center"/>
          </w:tcPr>
          <w:p w:rsidR="00902933" w:rsidRPr="00091E55" w:rsidDel="008966AF" w:rsidRDefault="00456FD6" w:rsidP="007D5428">
            <w:pPr>
              <w:spacing w:before="0"/>
              <w:jc w:val="center"/>
              <w:rPr>
                <w:sz w:val="20"/>
              </w:rPr>
            </w:pPr>
            <w:r>
              <w:rPr>
                <w:sz w:val="20"/>
              </w:rPr>
              <w:t>SM.1047-2</w:t>
            </w:r>
            <w:r>
              <w:rPr>
                <w:sz w:val="20"/>
              </w:rPr>
              <w:br/>
              <w:t>Ré</w:t>
            </w:r>
            <w:r w:rsidR="00902933">
              <w:rPr>
                <w:sz w:val="20"/>
              </w:rPr>
              <w:t>vis</w:t>
            </w:r>
            <w:r>
              <w:rPr>
                <w:sz w:val="20"/>
              </w:rPr>
              <w:t>ée</w:t>
            </w:r>
          </w:p>
        </w:tc>
        <w:tc>
          <w:tcPr>
            <w:tcW w:w="5866" w:type="dxa"/>
            <w:vAlign w:val="center"/>
          </w:tcPr>
          <w:p w:rsidR="00902933" w:rsidRPr="00091E55" w:rsidDel="008966AF" w:rsidRDefault="00902933" w:rsidP="007D5428">
            <w:pPr>
              <w:pStyle w:val="Tabletext"/>
            </w:pPr>
            <w:r>
              <w:rPr>
                <w:lang w:val="fr-CH"/>
              </w:rPr>
              <w:t>Gestion nationale du spectre</w:t>
            </w:r>
          </w:p>
        </w:tc>
        <w:tc>
          <w:tcPr>
            <w:tcW w:w="1749" w:type="dxa"/>
            <w:vAlign w:val="center"/>
          </w:tcPr>
          <w:p w:rsidR="00902933" w:rsidRPr="00091E55" w:rsidDel="008966AF" w:rsidRDefault="00902933" w:rsidP="007D5428">
            <w:pPr>
              <w:spacing w:before="0"/>
              <w:jc w:val="center"/>
              <w:rPr>
                <w:sz w:val="20"/>
              </w:rPr>
            </w:pPr>
            <w:r>
              <w:rPr>
                <w:sz w:val="20"/>
              </w:rPr>
              <w:t>CACE/585</w:t>
            </w:r>
          </w:p>
        </w:tc>
      </w:tr>
      <w:tr w:rsidR="00902933" w:rsidRPr="00091E55" w:rsidTr="007D5428">
        <w:tc>
          <w:tcPr>
            <w:tcW w:w="2014" w:type="dxa"/>
            <w:vAlign w:val="center"/>
          </w:tcPr>
          <w:p w:rsidR="00902933" w:rsidRPr="00091E55" w:rsidDel="008966AF" w:rsidRDefault="00456FD6" w:rsidP="00456FD6">
            <w:pPr>
              <w:spacing w:before="0"/>
              <w:jc w:val="center"/>
              <w:rPr>
                <w:sz w:val="20"/>
              </w:rPr>
            </w:pPr>
            <w:r>
              <w:rPr>
                <w:sz w:val="20"/>
              </w:rPr>
              <w:t>SM.1370-2</w:t>
            </w:r>
            <w:r>
              <w:rPr>
                <w:sz w:val="20"/>
              </w:rPr>
              <w:br/>
              <w:t>Ré</w:t>
            </w:r>
            <w:r w:rsidR="00902933">
              <w:rPr>
                <w:sz w:val="20"/>
              </w:rPr>
              <w:t>vis</w:t>
            </w:r>
            <w:r>
              <w:rPr>
                <w:sz w:val="20"/>
              </w:rPr>
              <w:t>ée</w:t>
            </w:r>
          </w:p>
        </w:tc>
        <w:tc>
          <w:tcPr>
            <w:tcW w:w="5866" w:type="dxa"/>
            <w:vAlign w:val="center"/>
          </w:tcPr>
          <w:p w:rsidR="00902933" w:rsidRPr="00B34A2B" w:rsidDel="008966AF" w:rsidRDefault="00902933" w:rsidP="006525E4">
            <w:pPr>
              <w:pStyle w:val="Tabletext"/>
              <w:rPr>
                <w:lang w:val="fr-CH"/>
              </w:rPr>
            </w:pPr>
            <w:r w:rsidRPr="006076D9">
              <w:rPr>
                <w:lang w:val="fr-CH" w:eastAsia="ko-KR"/>
              </w:rPr>
              <w:t>Directives de conception pour la réalisation des systèmes de</w:t>
            </w:r>
            <w:r>
              <w:rPr>
                <w:lang w:val="fr-CH" w:eastAsia="ko-KR"/>
              </w:rPr>
              <w:t xml:space="preserve"> gestion automatisée du spectre</w:t>
            </w:r>
          </w:p>
        </w:tc>
        <w:tc>
          <w:tcPr>
            <w:tcW w:w="1749" w:type="dxa"/>
            <w:vAlign w:val="center"/>
          </w:tcPr>
          <w:p w:rsidR="00902933" w:rsidRPr="00091E55" w:rsidDel="008966AF" w:rsidRDefault="00902933" w:rsidP="007D5428">
            <w:pPr>
              <w:spacing w:before="0"/>
              <w:jc w:val="center"/>
              <w:rPr>
                <w:sz w:val="20"/>
              </w:rPr>
            </w:pPr>
            <w:r>
              <w:rPr>
                <w:sz w:val="20"/>
              </w:rPr>
              <w:t>CACE/627</w:t>
            </w:r>
          </w:p>
        </w:tc>
      </w:tr>
      <w:tr w:rsidR="00902933" w:rsidRPr="00091E55" w:rsidTr="007D5428">
        <w:tc>
          <w:tcPr>
            <w:tcW w:w="2014" w:type="dxa"/>
            <w:vAlign w:val="center"/>
          </w:tcPr>
          <w:p w:rsidR="00902933" w:rsidRPr="00091E55" w:rsidDel="008966AF" w:rsidRDefault="00456FD6" w:rsidP="007D5428">
            <w:pPr>
              <w:spacing w:before="0"/>
              <w:jc w:val="center"/>
              <w:rPr>
                <w:sz w:val="20"/>
              </w:rPr>
            </w:pPr>
            <w:r>
              <w:rPr>
                <w:sz w:val="20"/>
              </w:rPr>
              <w:t>SM.1413-3</w:t>
            </w:r>
            <w:r>
              <w:rPr>
                <w:sz w:val="20"/>
              </w:rPr>
              <w:br/>
              <w:t>Ré</w:t>
            </w:r>
            <w:r w:rsidR="00902933">
              <w:rPr>
                <w:sz w:val="20"/>
              </w:rPr>
              <w:t>vis</w:t>
            </w:r>
            <w:r>
              <w:rPr>
                <w:sz w:val="20"/>
              </w:rPr>
              <w:t>ée</w:t>
            </w:r>
          </w:p>
        </w:tc>
        <w:tc>
          <w:tcPr>
            <w:tcW w:w="5866" w:type="dxa"/>
            <w:vAlign w:val="center"/>
          </w:tcPr>
          <w:p w:rsidR="00902933" w:rsidRPr="00B34A2B" w:rsidDel="008966AF" w:rsidRDefault="00902933" w:rsidP="00456FD6">
            <w:pPr>
              <w:pStyle w:val="Tabletext"/>
              <w:rPr>
                <w:lang w:val="fr-CH"/>
              </w:rPr>
            </w:pPr>
            <w:r w:rsidRPr="001A242E">
              <w:t xml:space="preserve">Dictionnaire de données des radiocommunications </w:t>
            </w:r>
            <w:r w:rsidR="00456FD6">
              <w:t>pour la notification et la coordination</w:t>
            </w:r>
          </w:p>
        </w:tc>
        <w:tc>
          <w:tcPr>
            <w:tcW w:w="1749" w:type="dxa"/>
            <w:vAlign w:val="center"/>
          </w:tcPr>
          <w:p w:rsidR="00902933" w:rsidRPr="00091E55" w:rsidDel="008966AF" w:rsidRDefault="00902933" w:rsidP="007D5428">
            <w:pPr>
              <w:spacing w:before="0"/>
              <w:jc w:val="center"/>
              <w:rPr>
                <w:sz w:val="20"/>
              </w:rPr>
            </w:pPr>
            <w:r>
              <w:rPr>
                <w:sz w:val="20"/>
              </w:rPr>
              <w:t>CACE/687</w:t>
            </w:r>
          </w:p>
        </w:tc>
      </w:tr>
      <w:tr w:rsidR="00902933" w:rsidRPr="00091E55" w:rsidTr="007D5428">
        <w:tc>
          <w:tcPr>
            <w:tcW w:w="2014" w:type="dxa"/>
            <w:vAlign w:val="center"/>
          </w:tcPr>
          <w:p w:rsidR="00902933" w:rsidRPr="00091E55" w:rsidDel="008966AF" w:rsidRDefault="00902933" w:rsidP="00881CFA">
            <w:pPr>
              <w:spacing w:before="0"/>
              <w:jc w:val="center"/>
              <w:rPr>
                <w:sz w:val="20"/>
              </w:rPr>
            </w:pPr>
            <w:r>
              <w:rPr>
                <w:sz w:val="20"/>
              </w:rPr>
              <w:t>SM.1603-2</w:t>
            </w:r>
            <w:r>
              <w:rPr>
                <w:sz w:val="20"/>
              </w:rPr>
              <w:br/>
              <w:t>R</w:t>
            </w:r>
            <w:r w:rsidR="00881CFA">
              <w:rPr>
                <w:sz w:val="20"/>
              </w:rPr>
              <w:t>é</w:t>
            </w:r>
            <w:r>
              <w:rPr>
                <w:sz w:val="20"/>
              </w:rPr>
              <w:t>vis</w:t>
            </w:r>
            <w:r w:rsidR="00456FD6">
              <w:rPr>
                <w:sz w:val="20"/>
              </w:rPr>
              <w:t>ée deux fois</w:t>
            </w:r>
          </w:p>
        </w:tc>
        <w:tc>
          <w:tcPr>
            <w:tcW w:w="5866" w:type="dxa"/>
            <w:vAlign w:val="center"/>
          </w:tcPr>
          <w:p w:rsidR="00902933" w:rsidRPr="00B34A2B" w:rsidDel="008966AF" w:rsidRDefault="00902933" w:rsidP="006525E4">
            <w:pPr>
              <w:pStyle w:val="Tabletext"/>
              <w:rPr>
                <w:lang w:val="fr-CH"/>
              </w:rPr>
            </w:pPr>
            <w:r w:rsidRPr="001A242E">
              <w:t>Redéploiement du spectre en tant que méthode de gestion nationale du spectre</w:t>
            </w:r>
          </w:p>
        </w:tc>
        <w:tc>
          <w:tcPr>
            <w:tcW w:w="1749" w:type="dxa"/>
            <w:vAlign w:val="center"/>
          </w:tcPr>
          <w:p w:rsidR="00902933" w:rsidRPr="00091E55" w:rsidDel="008966AF" w:rsidRDefault="00902933" w:rsidP="007D5428">
            <w:pPr>
              <w:spacing w:before="0"/>
              <w:jc w:val="center"/>
              <w:rPr>
                <w:sz w:val="20"/>
              </w:rPr>
            </w:pPr>
            <w:r>
              <w:rPr>
                <w:sz w:val="20"/>
              </w:rPr>
              <w:t>CACE/585</w:t>
            </w:r>
            <w:r>
              <w:rPr>
                <w:sz w:val="20"/>
              </w:rPr>
              <w:br/>
              <w:t>CACE/687</w:t>
            </w:r>
          </w:p>
        </w:tc>
      </w:tr>
    </w:tbl>
    <w:p w:rsidR="00902933" w:rsidRPr="005D6746" w:rsidRDefault="00902933" w:rsidP="009029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634"/>
      </w:tblGrid>
      <w:tr w:rsidR="00902933" w:rsidRPr="005D6746" w:rsidTr="007D5428">
        <w:trPr>
          <w:cantSplit/>
          <w:tblHeader/>
        </w:trPr>
        <w:tc>
          <w:tcPr>
            <w:tcW w:w="1995" w:type="dxa"/>
            <w:vAlign w:val="center"/>
          </w:tcPr>
          <w:p w:rsidR="00902933" w:rsidRPr="005D6746" w:rsidRDefault="00902933" w:rsidP="007D5428">
            <w:pPr>
              <w:pStyle w:val="Tablehead"/>
              <w:keepNext w:val="0"/>
            </w:pPr>
            <w:r>
              <w:t>Rap</w:t>
            </w:r>
            <w:r w:rsidRPr="005D6746">
              <w:t xml:space="preserve">port </w:t>
            </w:r>
            <w:r>
              <w:br/>
              <w:t>et suite donnée</w:t>
            </w:r>
          </w:p>
        </w:tc>
        <w:tc>
          <w:tcPr>
            <w:tcW w:w="7634" w:type="dxa"/>
            <w:vAlign w:val="center"/>
          </w:tcPr>
          <w:p w:rsidR="00902933" w:rsidRPr="005D6746" w:rsidRDefault="00902933" w:rsidP="007D5428">
            <w:pPr>
              <w:pStyle w:val="Tablehead"/>
            </w:pPr>
            <w:r>
              <w:t>Titr</w:t>
            </w:r>
            <w:r w:rsidRPr="005D6746">
              <w:t>e</w:t>
            </w:r>
          </w:p>
        </w:tc>
      </w:tr>
      <w:tr w:rsidR="00902933" w:rsidRPr="002151AF" w:rsidTr="007D5428">
        <w:tc>
          <w:tcPr>
            <w:tcW w:w="1995" w:type="dxa"/>
            <w:vAlign w:val="center"/>
          </w:tcPr>
          <w:p w:rsidR="00902933" w:rsidRPr="005D6746" w:rsidRDefault="00902933" w:rsidP="007D5428">
            <w:pPr>
              <w:pStyle w:val="Tabletext"/>
              <w:jc w:val="center"/>
            </w:pPr>
            <w:r w:rsidRPr="005D6746">
              <w:t>SM.2012-</w:t>
            </w:r>
            <w:r>
              <w:t>4</w:t>
            </w:r>
            <w:r>
              <w:br/>
            </w:r>
            <w:r w:rsidRPr="005D6746">
              <w:t>R</w:t>
            </w:r>
            <w:r>
              <w:t>évisé</w:t>
            </w:r>
          </w:p>
        </w:tc>
        <w:tc>
          <w:tcPr>
            <w:tcW w:w="7634" w:type="dxa"/>
            <w:vAlign w:val="center"/>
          </w:tcPr>
          <w:p w:rsidR="00902933" w:rsidRPr="002151AF" w:rsidRDefault="00902933" w:rsidP="007D5428">
            <w:pPr>
              <w:pStyle w:val="Tabletext"/>
              <w:rPr>
                <w:lang w:val="fr-CH"/>
              </w:rPr>
            </w:pPr>
            <w:r w:rsidRPr="00E7411D">
              <w:rPr>
                <w:lang w:val="fr-CH"/>
              </w:rPr>
              <w:t>Aspects économiques de la gestion du spectre</w:t>
            </w:r>
          </w:p>
        </w:tc>
      </w:tr>
      <w:tr w:rsidR="00902933" w:rsidRPr="00DC4626" w:rsidTr="007D5428">
        <w:tc>
          <w:tcPr>
            <w:tcW w:w="1995" w:type="dxa"/>
            <w:vAlign w:val="center"/>
          </w:tcPr>
          <w:p w:rsidR="00902933" w:rsidRPr="005D6746" w:rsidRDefault="00456FD6" w:rsidP="007D5428">
            <w:pPr>
              <w:pStyle w:val="Tabletext"/>
              <w:jc w:val="center"/>
            </w:pPr>
            <w:r>
              <w:t>SM.2093-2</w:t>
            </w:r>
            <w:r w:rsidR="00902933">
              <w:br/>
            </w:r>
            <w:r w:rsidR="00902933" w:rsidRPr="005D6746">
              <w:t>R</w:t>
            </w:r>
            <w:r w:rsidR="00902933">
              <w:t>évisé</w:t>
            </w:r>
          </w:p>
        </w:tc>
        <w:tc>
          <w:tcPr>
            <w:tcW w:w="7634" w:type="dxa"/>
            <w:vAlign w:val="center"/>
          </w:tcPr>
          <w:p w:rsidR="00902933" w:rsidRPr="00DC4626" w:rsidRDefault="00902933" w:rsidP="007D5428">
            <w:pPr>
              <w:pStyle w:val="Tabletext"/>
              <w:rPr>
                <w:lang w:val="fr-CH"/>
              </w:rPr>
            </w:pPr>
            <w:r w:rsidRPr="008D6F5F">
              <w:rPr>
                <w:lang w:val="fr-CH"/>
              </w:rPr>
              <w:t>Directives applicables au cadre réglementaire</w:t>
            </w:r>
            <w:r>
              <w:rPr>
                <w:lang w:val="fr-CH"/>
              </w:rPr>
              <w:t xml:space="preserve"> </w:t>
            </w:r>
            <w:r w:rsidRPr="008D6F5F">
              <w:rPr>
                <w:lang w:val="fr-CH"/>
              </w:rPr>
              <w:t>de gestion nationale du spectre</w:t>
            </w:r>
          </w:p>
        </w:tc>
      </w:tr>
      <w:tr w:rsidR="00902933" w:rsidRPr="00DC4626" w:rsidTr="007D5428">
        <w:tc>
          <w:tcPr>
            <w:tcW w:w="1995" w:type="dxa"/>
            <w:vAlign w:val="center"/>
          </w:tcPr>
          <w:p w:rsidR="00902933" w:rsidRPr="00BE674A" w:rsidRDefault="00902933" w:rsidP="00456FD6">
            <w:pPr>
              <w:pStyle w:val="Tabletext"/>
              <w:jc w:val="center"/>
              <w:rPr>
                <w:lang w:val="fr-CH"/>
              </w:rPr>
            </w:pPr>
            <w:r w:rsidRPr="00BE674A">
              <w:rPr>
                <w:lang w:val="fr-CH"/>
              </w:rPr>
              <w:t>SM.2153-</w:t>
            </w:r>
            <w:r>
              <w:rPr>
                <w:lang w:val="fr-CH"/>
              </w:rPr>
              <w:t>5</w:t>
            </w:r>
            <w:r w:rsidRPr="00BE674A">
              <w:rPr>
                <w:lang w:val="fr-CH"/>
              </w:rPr>
              <w:br/>
            </w:r>
            <w:r>
              <w:rPr>
                <w:lang w:val="fr-CH"/>
              </w:rPr>
              <w:t>Révisé trois fois</w:t>
            </w:r>
          </w:p>
        </w:tc>
        <w:tc>
          <w:tcPr>
            <w:tcW w:w="7634" w:type="dxa"/>
            <w:vAlign w:val="center"/>
          </w:tcPr>
          <w:p w:rsidR="00902933" w:rsidRPr="00DC4626" w:rsidRDefault="00902933" w:rsidP="007D5428">
            <w:pPr>
              <w:pStyle w:val="Tabletext"/>
              <w:rPr>
                <w:lang w:val="fr-CH"/>
              </w:rPr>
            </w:pPr>
            <w:r w:rsidRPr="00BF6B21">
              <w:rPr>
                <w:noProof/>
                <w:szCs w:val="24"/>
                <w:lang w:val="fr-CH"/>
              </w:rPr>
              <w:t>Paramètres techniques et de fonctionnement des dispositifs de radiocommunication à courte portée et fréquences utilisées</w:t>
            </w:r>
          </w:p>
        </w:tc>
      </w:tr>
      <w:tr w:rsidR="00902933" w:rsidRPr="00B34A2B" w:rsidTr="007D5428">
        <w:tc>
          <w:tcPr>
            <w:tcW w:w="1995" w:type="dxa"/>
            <w:tcBorders>
              <w:top w:val="single" w:sz="4" w:space="0" w:color="auto"/>
              <w:left w:val="single" w:sz="4" w:space="0" w:color="auto"/>
              <w:bottom w:val="single" w:sz="4" w:space="0" w:color="auto"/>
              <w:right w:val="single" w:sz="4" w:space="0" w:color="auto"/>
            </w:tcBorders>
            <w:vAlign w:val="center"/>
          </w:tcPr>
          <w:p w:rsidR="00902933" w:rsidRPr="00BA4AC8" w:rsidRDefault="00902933" w:rsidP="007D5428">
            <w:pPr>
              <w:pStyle w:val="Tabletext"/>
              <w:jc w:val="center"/>
              <w:rPr>
                <w:lang w:val="fr-CH"/>
              </w:rPr>
            </w:pPr>
            <w:r w:rsidRPr="00BA4AC8">
              <w:rPr>
                <w:lang w:val="fr-CH"/>
              </w:rPr>
              <w:t>SM.2255-0</w:t>
            </w:r>
            <w:r w:rsidRPr="00BA4AC8">
              <w:rPr>
                <w:lang w:val="fr-CH"/>
              </w:rPr>
              <w:br/>
            </w:r>
            <w:r>
              <w:t>Nouveau</w:t>
            </w:r>
          </w:p>
        </w:tc>
        <w:tc>
          <w:tcPr>
            <w:tcW w:w="7634" w:type="dxa"/>
            <w:tcBorders>
              <w:top w:val="single" w:sz="4" w:space="0" w:color="auto"/>
              <w:left w:val="single" w:sz="4" w:space="0" w:color="auto"/>
              <w:bottom w:val="single" w:sz="4" w:space="0" w:color="auto"/>
              <w:right w:val="single" w:sz="4" w:space="0" w:color="auto"/>
            </w:tcBorders>
            <w:vAlign w:val="center"/>
          </w:tcPr>
          <w:p w:rsidR="00902933" w:rsidRPr="00BA4AC8" w:rsidRDefault="00902933" w:rsidP="007D5428">
            <w:pPr>
              <w:pStyle w:val="Tabletext"/>
              <w:rPr>
                <w:noProof/>
                <w:szCs w:val="24"/>
                <w:lang w:val="fr-CH"/>
              </w:rPr>
            </w:pPr>
            <w:r w:rsidRPr="00BA4AC8">
              <w:rPr>
                <w:noProof/>
                <w:szCs w:val="24"/>
                <w:lang w:val="fr-CH"/>
              </w:rPr>
              <w:t>Caractéristiques techniques, normes et bandes de fréquences pour l'exploitation des systèmes d'identification par radiofréquence (RFID) et éventuelles possibilités d'harmonisation</w:t>
            </w:r>
          </w:p>
        </w:tc>
      </w:tr>
      <w:tr w:rsidR="00902933" w:rsidRPr="00B34A2B" w:rsidTr="007D5428">
        <w:tc>
          <w:tcPr>
            <w:tcW w:w="1995" w:type="dxa"/>
            <w:tcBorders>
              <w:top w:val="single" w:sz="4" w:space="0" w:color="auto"/>
              <w:left w:val="single" w:sz="4" w:space="0" w:color="auto"/>
              <w:bottom w:val="single" w:sz="4" w:space="0" w:color="auto"/>
              <w:right w:val="single" w:sz="4" w:space="0" w:color="auto"/>
            </w:tcBorders>
            <w:vAlign w:val="center"/>
          </w:tcPr>
          <w:p w:rsidR="00902933" w:rsidRPr="00BA4AC8" w:rsidRDefault="00902933" w:rsidP="007D5428">
            <w:pPr>
              <w:pStyle w:val="Tabletext"/>
              <w:jc w:val="center"/>
              <w:rPr>
                <w:lang w:val="fr-CH"/>
              </w:rPr>
            </w:pPr>
            <w:r w:rsidRPr="00BA4AC8">
              <w:rPr>
                <w:lang w:val="fr-CH"/>
              </w:rPr>
              <w:t>SM.2353-0</w:t>
            </w:r>
            <w:r w:rsidRPr="00BA4AC8">
              <w:rPr>
                <w:rStyle w:val="Hyperlink"/>
                <w:color w:val="auto"/>
                <w:u w:val="none"/>
                <w:lang w:val="fr-CH"/>
              </w:rPr>
              <w:br/>
            </w:r>
            <w:r>
              <w:t>Nouveau</w:t>
            </w:r>
          </w:p>
        </w:tc>
        <w:tc>
          <w:tcPr>
            <w:tcW w:w="7634" w:type="dxa"/>
            <w:tcBorders>
              <w:top w:val="single" w:sz="4" w:space="0" w:color="auto"/>
              <w:left w:val="single" w:sz="4" w:space="0" w:color="auto"/>
              <w:bottom w:val="single" w:sz="4" w:space="0" w:color="auto"/>
              <w:right w:val="single" w:sz="4" w:space="0" w:color="auto"/>
            </w:tcBorders>
            <w:vAlign w:val="center"/>
          </w:tcPr>
          <w:p w:rsidR="00902933" w:rsidRPr="00BA4AC8" w:rsidRDefault="00902933" w:rsidP="00456FD6">
            <w:pPr>
              <w:pStyle w:val="Tabletext"/>
              <w:rPr>
                <w:noProof/>
                <w:szCs w:val="24"/>
                <w:lang w:val="fr-CH"/>
              </w:rPr>
            </w:pPr>
            <w:r w:rsidRPr="00BA4AC8">
              <w:rPr>
                <w:noProof/>
                <w:szCs w:val="24"/>
                <w:lang w:val="fr-CH"/>
              </w:rPr>
              <w:t>Problèmes que pose la gestion du spectre et perspectives qui s'offrent en la matière par suite du passage à la télévision numérique de Terre dans les bandes d'ondes décimétriques</w:t>
            </w:r>
          </w:p>
        </w:tc>
      </w:tr>
    </w:tbl>
    <w:p w:rsidR="00902933" w:rsidRPr="00496CA4" w:rsidRDefault="00902933" w:rsidP="00456FD6">
      <w:pPr>
        <w:jc w:val="both"/>
      </w:pPr>
      <w:r>
        <w:rPr>
          <w:rFonts w:eastAsia="SimSun"/>
          <w:lang w:val="fr-CH"/>
        </w:rPr>
        <w:t xml:space="preserve">Le § </w:t>
      </w:r>
      <w:r w:rsidRPr="005D6746">
        <w:t> </w:t>
      </w:r>
      <w:r>
        <w:t>7.2</w:t>
      </w:r>
      <w:r w:rsidRPr="005D6746">
        <w:t xml:space="preserve"> </w:t>
      </w:r>
      <w:r>
        <w:t>décrit les activités menées par le GT 1B en ce qui concerne l’édition de 2015 du Manuel de l’UIT sur la gestion nationale du spectre</w:t>
      </w:r>
      <w:r w:rsidR="00AB7A70">
        <w:t>.</w:t>
      </w:r>
    </w:p>
    <w:p w:rsidR="00902933" w:rsidRPr="00B24498" w:rsidRDefault="00902933" w:rsidP="00902933">
      <w:pPr>
        <w:pStyle w:val="Heading2"/>
        <w:rPr>
          <w:lang w:val="fr-CH"/>
        </w:rPr>
      </w:pPr>
      <w:r w:rsidRPr="00B24498">
        <w:rPr>
          <w:lang w:val="fr-CH"/>
        </w:rPr>
        <w:t>5.</w:t>
      </w:r>
      <w:r>
        <w:rPr>
          <w:lang w:val="fr-CH"/>
        </w:rPr>
        <w:t>4</w:t>
      </w:r>
      <w:r w:rsidRPr="00B24498">
        <w:rPr>
          <w:lang w:val="fr-CH"/>
        </w:rPr>
        <w:tab/>
      </w:r>
      <w:r w:rsidR="00456FD6">
        <w:rPr>
          <w:lang w:val="fr-CH"/>
        </w:rPr>
        <w:t>Groupe de travail</w:t>
      </w:r>
      <w:r>
        <w:rPr>
          <w:lang w:val="fr-CH"/>
        </w:rPr>
        <w:t xml:space="preserve"> </w:t>
      </w:r>
      <w:r w:rsidRPr="00B24498">
        <w:rPr>
          <w:lang w:val="fr-CH"/>
        </w:rPr>
        <w:t>1C</w:t>
      </w:r>
    </w:p>
    <w:p w:rsidR="00902933" w:rsidRPr="005D6746" w:rsidRDefault="00902933" w:rsidP="00902933">
      <w:r w:rsidRPr="005D6746">
        <w:t>(Questions 232/1, 233-1/1, 235/1)</w:t>
      </w:r>
    </w:p>
    <w:p w:rsidR="00902933" w:rsidRDefault="00902933" w:rsidP="006525E4">
      <w:pPr>
        <w:rPr>
          <w:rFonts w:eastAsia="SimSun"/>
          <w:lang w:val="fr-CH"/>
        </w:rPr>
      </w:pPr>
      <w:r>
        <w:rPr>
          <w:rFonts w:eastAsia="SimSun"/>
          <w:lang w:val="fr-CH"/>
        </w:rPr>
        <w:lastRenderedPageBreak/>
        <w:t>Pendant la période d'études</w:t>
      </w:r>
      <w:r w:rsidR="00456FD6">
        <w:rPr>
          <w:rFonts w:eastAsia="SimSun"/>
          <w:lang w:val="fr-CH"/>
        </w:rPr>
        <w:t xml:space="preserve"> considérée</w:t>
      </w:r>
      <w:r>
        <w:rPr>
          <w:rFonts w:eastAsia="SimSun"/>
          <w:lang w:val="fr-CH"/>
        </w:rPr>
        <w:t>, le GT 1C a proposé à la Commission d’études 1 la suppression d’une Question.</w:t>
      </w:r>
    </w:p>
    <w:p w:rsidR="00902933" w:rsidRDefault="00902933" w:rsidP="00902933">
      <w:pPr>
        <w:keepLines/>
        <w:rPr>
          <w:rFonts w:eastAsia="SimSun"/>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5760"/>
        <w:gridCol w:w="1750"/>
      </w:tblGrid>
      <w:tr w:rsidR="00902933" w:rsidRPr="00095BB3" w:rsidTr="007D5428">
        <w:trPr>
          <w:cantSplit/>
          <w:tblHeader/>
        </w:trPr>
        <w:tc>
          <w:tcPr>
            <w:tcW w:w="2119" w:type="dxa"/>
            <w:vAlign w:val="center"/>
          </w:tcPr>
          <w:p w:rsidR="00902933" w:rsidRPr="005D6746" w:rsidRDefault="00902933" w:rsidP="007D5428">
            <w:pPr>
              <w:pStyle w:val="Tablehead"/>
              <w:keepNext w:val="0"/>
            </w:pPr>
            <w:r w:rsidRPr="005D6746">
              <w:t xml:space="preserve">Question </w:t>
            </w:r>
            <w:r>
              <w:br/>
              <w:t>et suite donnée</w:t>
            </w:r>
          </w:p>
        </w:tc>
        <w:tc>
          <w:tcPr>
            <w:tcW w:w="5760" w:type="dxa"/>
            <w:vAlign w:val="center"/>
          </w:tcPr>
          <w:p w:rsidR="00902933" w:rsidRPr="005D6746" w:rsidRDefault="00902933" w:rsidP="007D5428">
            <w:pPr>
              <w:pStyle w:val="Tablehead"/>
              <w:keepNext w:val="0"/>
            </w:pPr>
            <w:r w:rsidRPr="005D6746">
              <w:t>Tit</w:t>
            </w:r>
            <w:r>
              <w:t>r</w:t>
            </w:r>
            <w:r w:rsidRPr="005D6746">
              <w:t>e</w:t>
            </w:r>
          </w:p>
        </w:tc>
        <w:tc>
          <w:tcPr>
            <w:tcW w:w="1750" w:type="dxa"/>
            <w:vAlign w:val="center"/>
          </w:tcPr>
          <w:p w:rsidR="00902933" w:rsidRPr="00095BB3" w:rsidRDefault="00902933" w:rsidP="007D5428">
            <w:pPr>
              <w:pStyle w:val="Tablehead"/>
              <w:keepNext w:val="0"/>
              <w:rPr>
                <w:lang w:val="en-GB"/>
              </w:rPr>
            </w:pPr>
            <w:r w:rsidRPr="00095BB3">
              <w:rPr>
                <w:lang w:val="en-GB"/>
              </w:rPr>
              <w:t>Circulaire</w:t>
            </w:r>
            <w:r w:rsidRPr="00095BB3">
              <w:rPr>
                <w:lang w:val="en-GB"/>
              </w:rPr>
              <w:br/>
            </w:r>
            <w:r>
              <w:rPr>
                <w:lang w:val="en-GB"/>
              </w:rPr>
              <w:t>administrative</w:t>
            </w:r>
          </w:p>
        </w:tc>
      </w:tr>
      <w:tr w:rsidR="00902933" w:rsidRPr="005D6746" w:rsidTr="007D5428">
        <w:trPr>
          <w:cantSplit/>
        </w:trPr>
        <w:tc>
          <w:tcPr>
            <w:tcW w:w="2119" w:type="dxa"/>
            <w:vAlign w:val="center"/>
          </w:tcPr>
          <w:p w:rsidR="00902933" w:rsidRPr="005D6746" w:rsidRDefault="00902933" w:rsidP="007D5428">
            <w:pPr>
              <w:pStyle w:val="Tabletext"/>
              <w:jc w:val="center"/>
            </w:pPr>
            <w:r w:rsidRPr="005D6746">
              <w:t>21</w:t>
            </w:r>
            <w:r>
              <w:t>4</w:t>
            </w:r>
            <w:r w:rsidRPr="005D6746">
              <w:t>/1</w:t>
            </w:r>
            <w:r>
              <w:br/>
            </w:r>
            <w:r w:rsidRPr="005D6746">
              <w:t>Suppr</w:t>
            </w:r>
            <w:r>
              <w:t>imée</w:t>
            </w:r>
          </w:p>
        </w:tc>
        <w:tc>
          <w:tcPr>
            <w:tcW w:w="5760" w:type="dxa"/>
            <w:vAlign w:val="center"/>
          </w:tcPr>
          <w:p w:rsidR="00902933" w:rsidRPr="00B34A2B" w:rsidRDefault="00902933" w:rsidP="007D5428">
            <w:pPr>
              <w:pStyle w:val="Tabletext"/>
              <w:rPr>
                <w:lang w:val="fr-CH"/>
              </w:rPr>
            </w:pPr>
            <w:r w:rsidRPr="00AC36B6">
              <w:rPr>
                <w:lang w:val="fr-CH" w:eastAsia="zh-CN"/>
              </w:rPr>
              <w:t>Contrôle des signaux de radiodiffusion numérique</w:t>
            </w:r>
          </w:p>
        </w:tc>
        <w:tc>
          <w:tcPr>
            <w:tcW w:w="1750" w:type="dxa"/>
            <w:vAlign w:val="center"/>
          </w:tcPr>
          <w:p w:rsidR="00902933" w:rsidRPr="005D6746" w:rsidRDefault="00902933" w:rsidP="007D5428">
            <w:pPr>
              <w:pStyle w:val="Tabletext"/>
              <w:jc w:val="center"/>
            </w:pPr>
            <w:r w:rsidRPr="005D6746">
              <w:t>CACE/</w:t>
            </w:r>
            <w:r>
              <w:t>593</w:t>
            </w:r>
          </w:p>
        </w:tc>
      </w:tr>
    </w:tbl>
    <w:p w:rsidR="00902933" w:rsidRDefault="00902933" w:rsidP="001D7633">
      <w:pPr>
        <w:pStyle w:val="Normalaftertitle"/>
        <w:rPr>
          <w:rFonts w:eastAsia="SimSun"/>
          <w:lang w:val="fr-CH"/>
        </w:rPr>
      </w:pPr>
      <w:r>
        <w:rPr>
          <w:rFonts w:eastAsia="SimSun"/>
          <w:lang w:val="fr-CH"/>
        </w:rPr>
        <w:t>Il a aussi présenté quatre projets de nouvelle Recommandation, deux projets de révision de deux Recommandations et le projet de révision de sept autres Recommandations</w:t>
      </w:r>
      <w:r w:rsidR="00456FD6">
        <w:rPr>
          <w:rFonts w:eastAsia="SimSun"/>
          <w:lang w:val="fr-CH"/>
        </w:rPr>
        <w:t xml:space="preserve"> et a proposé la suppression de trois Recommandations à la Com</w:t>
      </w:r>
      <w:r w:rsidR="006525E4">
        <w:rPr>
          <w:rFonts w:eastAsia="SimSun"/>
          <w:lang w:val="fr-CH"/>
        </w:rPr>
        <w:t>m</w:t>
      </w:r>
      <w:r w:rsidR="00456FD6">
        <w:rPr>
          <w:rFonts w:eastAsia="SimSun"/>
          <w:lang w:val="fr-CH"/>
        </w:rPr>
        <w:t>ission d'études 1. En outre, il a présenté</w:t>
      </w:r>
      <w:r>
        <w:rPr>
          <w:rFonts w:eastAsia="SimSun"/>
          <w:lang w:val="fr-CH"/>
        </w:rPr>
        <w:t xml:space="preserve"> huit projets de nouveau Rapport</w:t>
      </w:r>
      <w:r w:rsidR="001D7633">
        <w:rPr>
          <w:rFonts w:eastAsia="SimSun"/>
          <w:lang w:val="fr-CH"/>
        </w:rPr>
        <w:t xml:space="preserve">, trois projets de révision consécutifs, l'un de ces rapports et le projet de révision de deux autres Rapports </w:t>
      </w:r>
      <w:r>
        <w:rPr>
          <w:rFonts w:eastAsia="SimSun"/>
          <w:lang w:val="fr-CH"/>
        </w:rPr>
        <w:t>à la Commission d'études 1.</w:t>
      </w:r>
    </w:p>
    <w:p w:rsidR="00902933" w:rsidRPr="005D6746" w:rsidRDefault="00902933" w:rsidP="00652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5810"/>
        <w:gridCol w:w="1752"/>
      </w:tblGrid>
      <w:tr w:rsidR="006525E4" w:rsidRPr="005D6746" w:rsidTr="007D5428">
        <w:trPr>
          <w:cantSplit/>
        </w:trPr>
        <w:tc>
          <w:tcPr>
            <w:tcW w:w="2067" w:type="dxa"/>
            <w:vAlign w:val="center"/>
          </w:tcPr>
          <w:p w:rsidR="006525E4" w:rsidRPr="005D6746" w:rsidRDefault="006525E4" w:rsidP="006525E4">
            <w:pPr>
              <w:pStyle w:val="Tablehead"/>
            </w:pPr>
            <w:r>
              <w:t>Recommandation</w:t>
            </w:r>
            <w:r>
              <w:br/>
              <w:t>et suite à donner</w:t>
            </w:r>
          </w:p>
        </w:tc>
        <w:tc>
          <w:tcPr>
            <w:tcW w:w="5810" w:type="dxa"/>
            <w:vAlign w:val="center"/>
          </w:tcPr>
          <w:p w:rsidR="006525E4" w:rsidRPr="00AB6E65" w:rsidRDefault="006525E4" w:rsidP="006525E4">
            <w:pPr>
              <w:pStyle w:val="Tablehead"/>
              <w:rPr>
                <w:rFonts w:eastAsiaTheme="minorEastAsia"/>
                <w:szCs w:val="28"/>
                <w:lang w:val="fr-CH"/>
              </w:rPr>
            </w:pPr>
            <w:r>
              <w:rPr>
                <w:rFonts w:eastAsiaTheme="minorEastAsia"/>
                <w:szCs w:val="28"/>
                <w:lang w:val="fr-CH"/>
              </w:rPr>
              <w:t>Titre</w:t>
            </w:r>
          </w:p>
        </w:tc>
        <w:tc>
          <w:tcPr>
            <w:tcW w:w="1752" w:type="dxa"/>
            <w:vAlign w:val="center"/>
          </w:tcPr>
          <w:p w:rsidR="006525E4" w:rsidRPr="005D6746" w:rsidRDefault="006525E4" w:rsidP="006525E4">
            <w:pPr>
              <w:pStyle w:val="Tablehead"/>
            </w:pPr>
            <w:r>
              <w:t>Circulaire administrative</w:t>
            </w:r>
          </w:p>
        </w:tc>
      </w:tr>
      <w:tr w:rsidR="00902933" w:rsidRPr="005D6746" w:rsidTr="007D5428">
        <w:trPr>
          <w:cantSplit/>
        </w:trPr>
        <w:tc>
          <w:tcPr>
            <w:tcW w:w="2067" w:type="dxa"/>
            <w:vAlign w:val="center"/>
          </w:tcPr>
          <w:p w:rsidR="00902933" w:rsidRPr="005D6746" w:rsidRDefault="00902933" w:rsidP="001D7633">
            <w:pPr>
              <w:pStyle w:val="Tabletext"/>
              <w:jc w:val="center"/>
            </w:pPr>
            <w:r w:rsidRPr="005D6746">
              <w:t>SM.</w:t>
            </w:r>
            <w:r>
              <w:t>575</w:t>
            </w:r>
            <w:r w:rsidRPr="005D6746">
              <w:t>-</w:t>
            </w:r>
            <w:r>
              <w:t>2</w:t>
            </w:r>
            <w:r>
              <w:br/>
            </w:r>
            <w:r w:rsidR="001D7633">
              <w:t>Révisée</w:t>
            </w:r>
          </w:p>
        </w:tc>
        <w:tc>
          <w:tcPr>
            <w:tcW w:w="5810" w:type="dxa"/>
            <w:vAlign w:val="center"/>
          </w:tcPr>
          <w:p w:rsidR="00902933" w:rsidRPr="00B34A2B" w:rsidRDefault="00902933" w:rsidP="007D5428">
            <w:pPr>
              <w:pStyle w:val="Tabletext"/>
              <w:rPr>
                <w:lang w:val="fr-CH"/>
              </w:rPr>
            </w:pPr>
            <w:r w:rsidRPr="00AB6E65">
              <w:rPr>
                <w:rFonts w:eastAsiaTheme="minorEastAsia"/>
                <w:szCs w:val="28"/>
                <w:lang w:val="fr-CH"/>
              </w:rPr>
              <w:t>Protection des stations fixes de contrôle des émissions contre les brouillages</w:t>
            </w:r>
            <w:r>
              <w:rPr>
                <w:rFonts w:eastAsiaTheme="minorEastAsia"/>
                <w:szCs w:val="28"/>
                <w:lang w:val="fr-CH"/>
              </w:rPr>
              <w:t xml:space="preserve"> </w:t>
            </w:r>
            <w:r w:rsidRPr="00AB6E65">
              <w:rPr>
                <w:rFonts w:eastAsiaTheme="minorEastAsia"/>
                <w:szCs w:val="28"/>
                <w:lang w:val="fr-CH"/>
              </w:rPr>
              <w:t>causés par des émetteurs voisins ou des émetteurs de forte puissance</w:t>
            </w:r>
          </w:p>
        </w:tc>
        <w:tc>
          <w:tcPr>
            <w:tcW w:w="1752" w:type="dxa"/>
            <w:vAlign w:val="center"/>
          </w:tcPr>
          <w:p w:rsidR="00902933" w:rsidRPr="005D6746" w:rsidRDefault="00902933" w:rsidP="007D5428">
            <w:pPr>
              <w:pStyle w:val="Tabletext"/>
              <w:jc w:val="center"/>
            </w:pPr>
            <w:r w:rsidRPr="005D6746">
              <w:t>CACE/</w:t>
            </w:r>
            <w:r>
              <w:t>640</w:t>
            </w:r>
          </w:p>
        </w:tc>
      </w:tr>
      <w:tr w:rsidR="00902933" w:rsidRPr="005D6746" w:rsidTr="007D5428">
        <w:trPr>
          <w:cantSplit/>
        </w:trPr>
        <w:tc>
          <w:tcPr>
            <w:tcW w:w="2067" w:type="dxa"/>
            <w:vAlign w:val="center"/>
          </w:tcPr>
          <w:p w:rsidR="00902933" w:rsidRPr="005D6746" w:rsidRDefault="00902933" w:rsidP="001D7633">
            <w:pPr>
              <w:pStyle w:val="Tabletext"/>
              <w:jc w:val="center"/>
            </w:pPr>
            <w:r w:rsidRPr="005D6746">
              <w:t>SM.</w:t>
            </w:r>
            <w:r>
              <w:t>1051</w:t>
            </w:r>
            <w:r w:rsidRPr="005D6746">
              <w:t>-</w:t>
            </w:r>
            <w:r>
              <w:t>3</w:t>
            </w:r>
            <w:r>
              <w:br/>
            </w:r>
            <w:r w:rsidRPr="005D6746">
              <w:t>R</w:t>
            </w:r>
            <w:r w:rsidR="001D7633">
              <w:t>é</w:t>
            </w:r>
            <w:r w:rsidRPr="005D6746">
              <w:t>vis</w:t>
            </w:r>
            <w:r w:rsidR="001D7633">
              <w:t>ée</w:t>
            </w:r>
          </w:p>
        </w:tc>
        <w:tc>
          <w:tcPr>
            <w:tcW w:w="5810" w:type="dxa"/>
            <w:vAlign w:val="center"/>
          </w:tcPr>
          <w:p w:rsidR="00902933" w:rsidRPr="00B34A2B" w:rsidRDefault="00902933" w:rsidP="007D5428">
            <w:pPr>
              <w:pStyle w:val="Tabletext"/>
              <w:rPr>
                <w:lang w:val="fr-CH"/>
              </w:rPr>
            </w:pPr>
            <w:r w:rsidRPr="001A242E">
              <w:t>Priorité accordée à l'identification et à la suppression des brouillages préjudiciables dans la bande 406-406,1 MHz</w:t>
            </w:r>
          </w:p>
        </w:tc>
        <w:tc>
          <w:tcPr>
            <w:tcW w:w="1752" w:type="dxa"/>
            <w:vAlign w:val="center"/>
          </w:tcPr>
          <w:p w:rsidR="00902933" w:rsidRPr="005D6746" w:rsidRDefault="00902933" w:rsidP="007D5428">
            <w:pPr>
              <w:pStyle w:val="Tabletext"/>
              <w:jc w:val="center"/>
            </w:pPr>
            <w:r w:rsidRPr="005D6746">
              <w:t>CACE/</w:t>
            </w:r>
            <w:r>
              <w:t>687</w:t>
            </w:r>
          </w:p>
        </w:tc>
      </w:tr>
      <w:tr w:rsidR="00902933" w:rsidRPr="005D6746" w:rsidTr="007D5428">
        <w:trPr>
          <w:cantSplit/>
        </w:trPr>
        <w:tc>
          <w:tcPr>
            <w:tcW w:w="2067" w:type="dxa"/>
            <w:vAlign w:val="center"/>
          </w:tcPr>
          <w:p w:rsidR="00902933" w:rsidRPr="005D6746" w:rsidRDefault="00902933" w:rsidP="001D7633">
            <w:pPr>
              <w:pStyle w:val="Tabletext"/>
              <w:jc w:val="center"/>
            </w:pPr>
            <w:r w:rsidRPr="005D6746">
              <w:t>SM.</w:t>
            </w:r>
            <w:r>
              <w:t>1052</w:t>
            </w:r>
            <w:r>
              <w:br/>
              <w:t>Suppr</w:t>
            </w:r>
            <w:r w:rsidR="001D7633">
              <w:t>imée</w:t>
            </w:r>
          </w:p>
        </w:tc>
        <w:tc>
          <w:tcPr>
            <w:tcW w:w="5810" w:type="dxa"/>
          </w:tcPr>
          <w:p w:rsidR="00902933" w:rsidRPr="00B34A2B" w:rsidRDefault="00902933" w:rsidP="007D5428">
            <w:pPr>
              <w:pStyle w:val="Tabletext"/>
              <w:rPr>
                <w:lang w:val="fr-CH"/>
              </w:rPr>
            </w:pPr>
            <w:r>
              <w:rPr>
                <w:lang w:val="fr-CH"/>
              </w:rPr>
              <w:t>Identification automatique des stations de radiocommunication</w:t>
            </w:r>
          </w:p>
        </w:tc>
        <w:tc>
          <w:tcPr>
            <w:tcW w:w="1752" w:type="dxa"/>
            <w:vAlign w:val="center"/>
          </w:tcPr>
          <w:p w:rsidR="00902933" w:rsidRPr="005D6746" w:rsidRDefault="00902933" w:rsidP="007D5428">
            <w:pPr>
              <w:pStyle w:val="Tabletext"/>
              <w:jc w:val="center"/>
            </w:pPr>
            <w:r w:rsidRPr="005D6746">
              <w:t>CACE/</w:t>
            </w:r>
            <w:r>
              <w:t>585</w:t>
            </w:r>
          </w:p>
        </w:tc>
      </w:tr>
      <w:tr w:rsidR="00902933" w:rsidRPr="005D6746" w:rsidTr="007D5428">
        <w:trPr>
          <w:cantSplit/>
        </w:trPr>
        <w:tc>
          <w:tcPr>
            <w:tcW w:w="2067" w:type="dxa"/>
            <w:vAlign w:val="center"/>
          </w:tcPr>
          <w:p w:rsidR="00902933" w:rsidRPr="005D6746" w:rsidRDefault="00902933" w:rsidP="001D7633">
            <w:pPr>
              <w:pStyle w:val="Tabletext"/>
              <w:jc w:val="center"/>
            </w:pPr>
            <w:r w:rsidRPr="005D6746">
              <w:t>SM.</w:t>
            </w:r>
            <w:r>
              <w:t>1267</w:t>
            </w:r>
            <w:r>
              <w:br/>
              <w:t>Suppr</w:t>
            </w:r>
            <w:r w:rsidR="001D7633">
              <w:t>imée</w:t>
            </w:r>
          </w:p>
        </w:tc>
        <w:tc>
          <w:tcPr>
            <w:tcW w:w="5810" w:type="dxa"/>
            <w:vAlign w:val="center"/>
          </w:tcPr>
          <w:p w:rsidR="00902933" w:rsidRPr="00B34A2B" w:rsidRDefault="00902933" w:rsidP="007D5428">
            <w:pPr>
              <w:pStyle w:val="Tabletext"/>
              <w:rPr>
                <w:lang w:val="fr-CH"/>
              </w:rPr>
            </w:pPr>
            <w:r>
              <w:rPr>
                <w:lang w:val="fr-CH"/>
              </w:rPr>
              <w:t>Collecte et publication des données de contrôle des émissions visant à faciliter l'attribution de fréquences aux systèmes à satellites géostationnaires</w:t>
            </w:r>
          </w:p>
        </w:tc>
        <w:tc>
          <w:tcPr>
            <w:tcW w:w="1752" w:type="dxa"/>
            <w:vAlign w:val="center"/>
          </w:tcPr>
          <w:p w:rsidR="00902933" w:rsidRPr="005D6746" w:rsidRDefault="00902933" w:rsidP="007D5428">
            <w:pPr>
              <w:pStyle w:val="Tabletext"/>
              <w:jc w:val="center"/>
            </w:pPr>
            <w:r w:rsidRPr="005D6746">
              <w:t>CACE/</w:t>
            </w:r>
            <w:r>
              <w:t>585</w:t>
            </w:r>
          </w:p>
        </w:tc>
      </w:tr>
      <w:tr w:rsidR="00902933" w:rsidRPr="005D6746" w:rsidTr="007D5428">
        <w:trPr>
          <w:cantSplit/>
        </w:trPr>
        <w:tc>
          <w:tcPr>
            <w:tcW w:w="2067" w:type="dxa"/>
            <w:vAlign w:val="center"/>
          </w:tcPr>
          <w:p w:rsidR="00902933" w:rsidRPr="005D6746" w:rsidRDefault="00902933" w:rsidP="001D7633">
            <w:pPr>
              <w:pStyle w:val="Tabletext"/>
              <w:jc w:val="center"/>
            </w:pPr>
            <w:r w:rsidRPr="005D6746">
              <w:t>SM.1268-</w:t>
            </w:r>
            <w:r>
              <w:t>3</w:t>
            </w:r>
            <w:r>
              <w:br/>
            </w:r>
            <w:r w:rsidRPr="005D6746">
              <w:t>R</w:t>
            </w:r>
            <w:r w:rsidR="001D7633">
              <w:t>é</w:t>
            </w:r>
            <w:r w:rsidRPr="005D6746">
              <w:t>vis</w:t>
            </w:r>
            <w:r w:rsidR="001D7633">
              <w:t>ée</w:t>
            </w:r>
          </w:p>
        </w:tc>
        <w:tc>
          <w:tcPr>
            <w:tcW w:w="5810" w:type="dxa"/>
            <w:vAlign w:val="center"/>
          </w:tcPr>
          <w:p w:rsidR="00902933" w:rsidRPr="000D69E4" w:rsidRDefault="00902933" w:rsidP="007D5428">
            <w:pPr>
              <w:pStyle w:val="Tabletext"/>
              <w:rPr>
                <w:lang w:val="fr-CH"/>
              </w:rPr>
            </w:pPr>
            <w:r w:rsidRPr="001A242E">
              <w:t>Méthode à utiliser par les stations de contrôle des émissions pour mesurer l'excursion maximale de fréquence des émissions de radiodiffusion MF</w:t>
            </w:r>
          </w:p>
        </w:tc>
        <w:tc>
          <w:tcPr>
            <w:tcW w:w="1752" w:type="dxa"/>
            <w:vAlign w:val="center"/>
          </w:tcPr>
          <w:p w:rsidR="00902933" w:rsidRPr="005D6746" w:rsidRDefault="00902933" w:rsidP="007D5428">
            <w:pPr>
              <w:pStyle w:val="Tabletext"/>
              <w:jc w:val="center"/>
            </w:pPr>
            <w:r w:rsidRPr="005D6746">
              <w:t>CACE/</w:t>
            </w:r>
            <w:r>
              <w:t>687</w:t>
            </w:r>
          </w:p>
        </w:tc>
      </w:tr>
      <w:tr w:rsidR="00902933" w:rsidRPr="005D6746" w:rsidTr="007D5428">
        <w:trPr>
          <w:cantSplit/>
        </w:trPr>
        <w:tc>
          <w:tcPr>
            <w:tcW w:w="2067" w:type="dxa"/>
            <w:vAlign w:val="center"/>
          </w:tcPr>
          <w:p w:rsidR="00902933" w:rsidRPr="005D6746" w:rsidRDefault="00902933" w:rsidP="001D7633">
            <w:pPr>
              <w:pStyle w:val="Tabletext"/>
              <w:jc w:val="center"/>
            </w:pPr>
            <w:r w:rsidRPr="005D6746">
              <w:t>SM.1</w:t>
            </w:r>
            <w:r>
              <w:t>537</w:t>
            </w:r>
            <w:r w:rsidRPr="005D6746">
              <w:t>-</w:t>
            </w:r>
            <w:r>
              <w:t>1</w:t>
            </w:r>
            <w:r>
              <w:br/>
            </w:r>
            <w:r w:rsidRPr="005D6746">
              <w:t>R</w:t>
            </w:r>
            <w:r w:rsidR="001D7633">
              <w:t>é</w:t>
            </w:r>
            <w:r w:rsidRPr="005D6746">
              <w:t>vis</w:t>
            </w:r>
            <w:r w:rsidR="001D7633">
              <w:t>ée</w:t>
            </w:r>
          </w:p>
        </w:tc>
        <w:tc>
          <w:tcPr>
            <w:tcW w:w="5810" w:type="dxa"/>
            <w:vAlign w:val="center"/>
          </w:tcPr>
          <w:p w:rsidR="00902933" w:rsidRPr="00B34A2B" w:rsidRDefault="00902933" w:rsidP="007D5428">
            <w:pPr>
              <w:pStyle w:val="Tabletext"/>
              <w:rPr>
                <w:lang w:val="fr-CH"/>
              </w:rPr>
            </w:pPr>
            <w:r w:rsidRPr="006076D9">
              <w:rPr>
                <w:lang w:val="fr-CH" w:eastAsia="ko-KR"/>
              </w:rPr>
              <w:t>Automatisation et intégration de systèmes de contrôle du spectre avec gestion automatisée du spectre</w:t>
            </w:r>
          </w:p>
        </w:tc>
        <w:tc>
          <w:tcPr>
            <w:tcW w:w="1752" w:type="dxa"/>
            <w:vAlign w:val="center"/>
          </w:tcPr>
          <w:p w:rsidR="00902933" w:rsidRPr="005D6746" w:rsidRDefault="00902933" w:rsidP="007D5428">
            <w:pPr>
              <w:pStyle w:val="Tabletext"/>
              <w:jc w:val="center"/>
            </w:pPr>
            <w:r w:rsidRPr="005D6746">
              <w:t>CACE/</w:t>
            </w:r>
            <w:r>
              <w:t>627</w:t>
            </w:r>
          </w:p>
        </w:tc>
      </w:tr>
      <w:tr w:rsidR="00902933" w:rsidRPr="005D6746" w:rsidTr="007D5428">
        <w:trPr>
          <w:cantSplit/>
        </w:trPr>
        <w:tc>
          <w:tcPr>
            <w:tcW w:w="2067" w:type="dxa"/>
            <w:vAlign w:val="center"/>
          </w:tcPr>
          <w:p w:rsidR="00902933" w:rsidRPr="005D6746" w:rsidRDefault="00902933" w:rsidP="001D7633">
            <w:pPr>
              <w:pStyle w:val="Tabletext"/>
              <w:jc w:val="center"/>
            </w:pPr>
            <w:r w:rsidRPr="005D6746">
              <w:t>SM.</w:t>
            </w:r>
            <w:r>
              <w:t>1600</w:t>
            </w:r>
            <w:r w:rsidRPr="005D6746">
              <w:t>-</w:t>
            </w:r>
            <w:r>
              <w:t>2</w:t>
            </w:r>
            <w:r>
              <w:br/>
            </w:r>
            <w:r w:rsidRPr="005D6746">
              <w:t>R</w:t>
            </w:r>
            <w:r w:rsidR="001D7633">
              <w:t>é</w:t>
            </w:r>
            <w:r w:rsidRPr="005D6746">
              <w:t>vis</w:t>
            </w:r>
            <w:r w:rsidR="001D7633">
              <w:t>ée</w:t>
            </w:r>
            <w:r>
              <w:t xml:space="preserve"> </w:t>
            </w:r>
            <w:r w:rsidR="001D7633">
              <w:t>deux fois</w:t>
            </w:r>
          </w:p>
        </w:tc>
        <w:tc>
          <w:tcPr>
            <w:tcW w:w="5810" w:type="dxa"/>
            <w:vAlign w:val="center"/>
          </w:tcPr>
          <w:p w:rsidR="00902933" w:rsidRPr="00B34A2B" w:rsidRDefault="00902933" w:rsidP="007D5428">
            <w:pPr>
              <w:pStyle w:val="Tabletext"/>
              <w:rPr>
                <w:lang w:val="fr-CH"/>
              </w:rPr>
            </w:pPr>
            <w:r w:rsidRPr="006525E4">
              <w:rPr>
                <w:lang w:val="fr-CH" w:eastAsia="ko-KR"/>
              </w:rPr>
              <w:t>Identification technique des signaux numériques</w:t>
            </w:r>
          </w:p>
        </w:tc>
        <w:tc>
          <w:tcPr>
            <w:tcW w:w="1752" w:type="dxa"/>
            <w:vAlign w:val="center"/>
          </w:tcPr>
          <w:p w:rsidR="00902933" w:rsidRPr="005D6746" w:rsidRDefault="00902933" w:rsidP="007D5428">
            <w:pPr>
              <w:pStyle w:val="Tabletext"/>
              <w:jc w:val="center"/>
            </w:pPr>
            <w:r w:rsidRPr="005D6746">
              <w:t>CACE/</w:t>
            </w:r>
            <w:r>
              <w:t>585</w:t>
            </w:r>
            <w:r>
              <w:br/>
              <w:t>CACE/750</w:t>
            </w:r>
          </w:p>
        </w:tc>
      </w:tr>
      <w:tr w:rsidR="00902933" w:rsidRPr="005D6746" w:rsidTr="007D5428">
        <w:trPr>
          <w:cantSplit/>
        </w:trPr>
        <w:tc>
          <w:tcPr>
            <w:tcW w:w="2067" w:type="dxa"/>
            <w:vAlign w:val="center"/>
          </w:tcPr>
          <w:p w:rsidR="00902933" w:rsidRPr="005D6746" w:rsidRDefault="00902933" w:rsidP="001D7633">
            <w:pPr>
              <w:pStyle w:val="Tabletext"/>
              <w:jc w:val="center"/>
            </w:pPr>
            <w:r w:rsidRPr="005D6746">
              <w:t>SM.</w:t>
            </w:r>
            <w:r>
              <w:t>1752</w:t>
            </w:r>
            <w:r>
              <w:br/>
              <w:t>Suppr</w:t>
            </w:r>
            <w:r w:rsidR="001D7633">
              <w:t>imée</w:t>
            </w:r>
          </w:p>
        </w:tc>
        <w:tc>
          <w:tcPr>
            <w:tcW w:w="5810" w:type="dxa"/>
            <w:vAlign w:val="center"/>
          </w:tcPr>
          <w:p w:rsidR="00902933" w:rsidRPr="00B34A2B" w:rsidRDefault="00902933" w:rsidP="007D5428">
            <w:pPr>
              <w:pStyle w:val="Tabletext"/>
              <w:rPr>
                <w:lang w:val="fr-CH"/>
              </w:rPr>
            </w:pPr>
            <w:r>
              <w:rPr>
                <w:lang w:val="fr-CH"/>
              </w:rPr>
              <w:t>Limites des rayonnements non désirés en espace libre</w:t>
            </w:r>
          </w:p>
        </w:tc>
        <w:tc>
          <w:tcPr>
            <w:tcW w:w="1752" w:type="dxa"/>
            <w:vAlign w:val="center"/>
          </w:tcPr>
          <w:p w:rsidR="00902933" w:rsidRPr="005D6746" w:rsidRDefault="00902933" w:rsidP="007D5428">
            <w:pPr>
              <w:pStyle w:val="Tabletext"/>
              <w:jc w:val="center"/>
            </w:pPr>
            <w:r w:rsidRPr="005D6746">
              <w:t>CACE/</w:t>
            </w:r>
            <w:r>
              <w:t>585</w:t>
            </w:r>
          </w:p>
        </w:tc>
      </w:tr>
      <w:tr w:rsidR="00902933" w:rsidRPr="005D6746" w:rsidTr="007D5428">
        <w:trPr>
          <w:cantSplit/>
        </w:trPr>
        <w:tc>
          <w:tcPr>
            <w:tcW w:w="2067" w:type="dxa"/>
            <w:vAlign w:val="center"/>
          </w:tcPr>
          <w:p w:rsidR="00902933" w:rsidRPr="005D6746" w:rsidRDefault="00902933" w:rsidP="001D7633">
            <w:pPr>
              <w:pStyle w:val="Tabletext"/>
              <w:jc w:val="center"/>
            </w:pPr>
            <w:r w:rsidRPr="005D6746">
              <w:t>SM.1753-</w:t>
            </w:r>
            <w:r>
              <w:t>2</w:t>
            </w:r>
            <w:r>
              <w:br/>
            </w:r>
            <w:r w:rsidR="001D7633">
              <w:t>Ré</w:t>
            </w:r>
            <w:r w:rsidRPr="005D6746">
              <w:t>vis</w:t>
            </w:r>
            <w:r w:rsidR="001D7633">
              <w:t>ée</w:t>
            </w:r>
          </w:p>
        </w:tc>
        <w:tc>
          <w:tcPr>
            <w:tcW w:w="5810" w:type="dxa"/>
            <w:vAlign w:val="center"/>
          </w:tcPr>
          <w:p w:rsidR="00902933" w:rsidRPr="0044441C" w:rsidRDefault="00902933" w:rsidP="007D5428">
            <w:pPr>
              <w:pStyle w:val="Tabletext"/>
              <w:rPr>
                <w:lang w:val="fr-CH"/>
              </w:rPr>
            </w:pPr>
            <w:r w:rsidRPr="00F6616C">
              <w:rPr>
                <w:lang w:val="fr-CH"/>
              </w:rPr>
              <w:t>Méthode</w:t>
            </w:r>
            <w:r>
              <w:rPr>
                <w:lang w:val="fr-CH"/>
              </w:rPr>
              <w:t>s</w:t>
            </w:r>
            <w:r w:rsidRPr="00F6616C">
              <w:rPr>
                <w:lang w:val="fr-CH"/>
              </w:rPr>
              <w:t xml:space="preserve"> pour mesurer le bruit radioélectrique</w:t>
            </w:r>
          </w:p>
        </w:tc>
        <w:tc>
          <w:tcPr>
            <w:tcW w:w="1752" w:type="dxa"/>
            <w:vAlign w:val="center"/>
          </w:tcPr>
          <w:p w:rsidR="00902933" w:rsidRPr="005D6746" w:rsidRDefault="00902933" w:rsidP="007D5428">
            <w:pPr>
              <w:pStyle w:val="Tabletext"/>
              <w:jc w:val="center"/>
            </w:pPr>
            <w:r w:rsidRPr="005D6746">
              <w:t>CACE/</w:t>
            </w:r>
          </w:p>
        </w:tc>
      </w:tr>
      <w:tr w:rsidR="00902933" w:rsidRPr="005D6746" w:rsidTr="007D5428">
        <w:trPr>
          <w:cantSplit/>
        </w:trPr>
        <w:tc>
          <w:tcPr>
            <w:tcW w:w="2067" w:type="dxa"/>
            <w:vAlign w:val="center"/>
          </w:tcPr>
          <w:p w:rsidR="00902933" w:rsidRPr="005D6746" w:rsidRDefault="00902933" w:rsidP="007D5428">
            <w:pPr>
              <w:pStyle w:val="Tabletext"/>
              <w:jc w:val="center"/>
            </w:pPr>
            <w:r w:rsidRPr="005D6746">
              <w:t>SM.183</w:t>
            </w:r>
            <w:r>
              <w:t>7</w:t>
            </w:r>
            <w:r w:rsidRPr="005D6746">
              <w:t>-1</w:t>
            </w:r>
            <w:r>
              <w:br/>
            </w:r>
            <w:r w:rsidR="001D7633">
              <w:t>Ré</w:t>
            </w:r>
            <w:r w:rsidR="001D7633" w:rsidRPr="005D6746">
              <w:t>vis</w:t>
            </w:r>
            <w:r w:rsidR="001D7633">
              <w:t>ée</w:t>
            </w:r>
          </w:p>
        </w:tc>
        <w:tc>
          <w:tcPr>
            <w:tcW w:w="5810" w:type="dxa"/>
            <w:vAlign w:val="center"/>
          </w:tcPr>
          <w:p w:rsidR="00902933" w:rsidRPr="00B34A2B" w:rsidRDefault="00902933" w:rsidP="007D5428">
            <w:pPr>
              <w:pStyle w:val="Tabletext"/>
              <w:rPr>
                <w:lang w:val="fr-CH"/>
              </w:rPr>
            </w:pPr>
            <w:r w:rsidRPr="006076D9">
              <w:rPr>
                <w:lang w:val="fr-CH" w:eastAsia="ko-KR"/>
              </w:rPr>
              <w:t>Procédure d'essai pour mesurer le niveau</w:t>
            </w:r>
            <w:r>
              <w:rPr>
                <w:lang w:val="fr-CH" w:eastAsia="ko-KR"/>
              </w:rPr>
              <w:t xml:space="preserve"> </w:t>
            </w:r>
            <w:r w:rsidRPr="006076D9">
              <w:rPr>
                <w:lang w:val="fr-CH" w:eastAsia="ko-KR"/>
              </w:rPr>
              <w:t>du point d'interc</w:t>
            </w:r>
            <w:r>
              <w:rPr>
                <w:lang w:val="fr-CH" w:eastAsia="ko-KR"/>
              </w:rPr>
              <w:t>eption de troisième ordre (IP</w:t>
            </w:r>
            <w:r w:rsidRPr="006525E4">
              <w:t>3</w:t>
            </w:r>
            <w:r>
              <w:rPr>
                <w:lang w:val="fr-CH" w:eastAsia="ko-KR"/>
              </w:rPr>
              <w:t xml:space="preserve">) </w:t>
            </w:r>
            <w:r w:rsidRPr="006076D9">
              <w:rPr>
                <w:lang w:val="fr-CH" w:eastAsia="ko-KR"/>
              </w:rPr>
              <w:t>des récepteurs de contrôle des émissions</w:t>
            </w:r>
          </w:p>
        </w:tc>
        <w:tc>
          <w:tcPr>
            <w:tcW w:w="1752" w:type="dxa"/>
            <w:vAlign w:val="center"/>
          </w:tcPr>
          <w:p w:rsidR="00902933" w:rsidRPr="005D6746" w:rsidRDefault="00902933" w:rsidP="007D5428">
            <w:pPr>
              <w:pStyle w:val="Tabletext"/>
              <w:jc w:val="center"/>
            </w:pPr>
            <w:r w:rsidRPr="005D6746">
              <w:t>CACE/</w:t>
            </w:r>
            <w:r>
              <w:t>627</w:t>
            </w:r>
          </w:p>
        </w:tc>
      </w:tr>
      <w:tr w:rsidR="00902933" w:rsidRPr="005D6746" w:rsidTr="007D5428">
        <w:trPr>
          <w:cantSplit/>
        </w:trPr>
        <w:tc>
          <w:tcPr>
            <w:tcW w:w="2067" w:type="dxa"/>
            <w:vAlign w:val="center"/>
          </w:tcPr>
          <w:p w:rsidR="00902933" w:rsidRPr="005D6746" w:rsidDel="005B0503" w:rsidRDefault="00902933" w:rsidP="001D7633">
            <w:pPr>
              <w:pStyle w:val="Tabletext"/>
              <w:jc w:val="center"/>
            </w:pPr>
            <w:r w:rsidRPr="005D6746">
              <w:t>SM.1875</w:t>
            </w:r>
            <w:r>
              <w:t>-2</w:t>
            </w:r>
            <w:r>
              <w:br/>
            </w:r>
            <w:r w:rsidR="001D7633">
              <w:t>Ré</w:t>
            </w:r>
            <w:r w:rsidR="001D7633" w:rsidRPr="005D6746">
              <w:t>vis</w:t>
            </w:r>
            <w:r w:rsidR="001D7633">
              <w:t>ée</w:t>
            </w:r>
            <w:r>
              <w:t xml:space="preserve"> </w:t>
            </w:r>
            <w:r w:rsidR="001D7633">
              <w:t>deux fois</w:t>
            </w:r>
          </w:p>
        </w:tc>
        <w:tc>
          <w:tcPr>
            <w:tcW w:w="5810" w:type="dxa"/>
            <w:vAlign w:val="center"/>
          </w:tcPr>
          <w:p w:rsidR="00902933" w:rsidRPr="00942EA4" w:rsidDel="005B0503" w:rsidRDefault="00902933" w:rsidP="007D5428">
            <w:pPr>
              <w:pStyle w:val="Tabletext"/>
              <w:rPr>
                <w:lang w:val="fr-CH"/>
              </w:rPr>
            </w:pPr>
            <w:r w:rsidRPr="001A242E">
              <w:rPr>
                <w:lang w:eastAsia="ko-KR"/>
              </w:rPr>
              <w:t>Mesures de la couverture DVB-T et vérification des critères de planification</w:t>
            </w:r>
          </w:p>
        </w:tc>
        <w:tc>
          <w:tcPr>
            <w:tcW w:w="1752" w:type="dxa"/>
            <w:vAlign w:val="center"/>
          </w:tcPr>
          <w:p w:rsidR="00902933" w:rsidRPr="005D6746" w:rsidDel="005B0503" w:rsidRDefault="00902933" w:rsidP="007D5428">
            <w:pPr>
              <w:pStyle w:val="Tabletext"/>
              <w:jc w:val="center"/>
            </w:pPr>
            <w:r w:rsidRPr="005D6746">
              <w:t>CACE/</w:t>
            </w:r>
            <w:r>
              <w:t>627</w:t>
            </w:r>
            <w:r>
              <w:br/>
              <w:t>CACE/687</w:t>
            </w:r>
          </w:p>
        </w:tc>
      </w:tr>
      <w:tr w:rsidR="00902933" w:rsidRPr="005D6746" w:rsidTr="007D5428">
        <w:trPr>
          <w:cantSplit/>
        </w:trPr>
        <w:tc>
          <w:tcPr>
            <w:tcW w:w="2067" w:type="dxa"/>
            <w:vAlign w:val="center"/>
          </w:tcPr>
          <w:p w:rsidR="00902933" w:rsidRPr="005D6746" w:rsidRDefault="00902933" w:rsidP="007D5428">
            <w:pPr>
              <w:pStyle w:val="Tabletext"/>
              <w:jc w:val="center"/>
            </w:pPr>
            <w:r w:rsidRPr="005D6746">
              <w:t>SM.1880</w:t>
            </w:r>
            <w:r>
              <w:t>-1</w:t>
            </w:r>
            <w:r>
              <w:br/>
            </w:r>
            <w:r w:rsidR="001D7633">
              <w:t>Ré</w:t>
            </w:r>
            <w:r w:rsidR="001D7633" w:rsidRPr="005D6746">
              <w:t>vis</w:t>
            </w:r>
            <w:r w:rsidR="001D7633">
              <w:t>ée</w:t>
            </w:r>
          </w:p>
        </w:tc>
        <w:tc>
          <w:tcPr>
            <w:tcW w:w="5810" w:type="dxa"/>
            <w:vAlign w:val="center"/>
          </w:tcPr>
          <w:p w:rsidR="00902933" w:rsidRPr="001D7633" w:rsidRDefault="001D7633" w:rsidP="007D5428">
            <w:pPr>
              <w:pStyle w:val="Tabletext"/>
              <w:rPr>
                <w:lang w:val="fr-CH"/>
              </w:rPr>
            </w:pPr>
            <w:r w:rsidRPr="001D7633">
              <w:rPr>
                <w:lang w:val="fr-CH"/>
              </w:rPr>
              <w:t>Mesure et évaluation de l'occupation du spectre</w:t>
            </w:r>
          </w:p>
        </w:tc>
        <w:tc>
          <w:tcPr>
            <w:tcW w:w="1752" w:type="dxa"/>
            <w:vAlign w:val="center"/>
          </w:tcPr>
          <w:p w:rsidR="00902933" w:rsidRPr="005D6746" w:rsidRDefault="00902933" w:rsidP="007D5428">
            <w:pPr>
              <w:pStyle w:val="Tabletext"/>
              <w:jc w:val="center"/>
            </w:pPr>
            <w:r w:rsidRPr="005D6746">
              <w:t>CACE/</w:t>
            </w:r>
            <w:r>
              <w:t>750</w:t>
            </w:r>
          </w:p>
        </w:tc>
      </w:tr>
      <w:tr w:rsidR="00902933" w:rsidRPr="005D6746" w:rsidTr="007D5428">
        <w:trPr>
          <w:cantSplit/>
        </w:trPr>
        <w:tc>
          <w:tcPr>
            <w:tcW w:w="2067" w:type="dxa"/>
            <w:vAlign w:val="center"/>
          </w:tcPr>
          <w:p w:rsidR="00902933" w:rsidRPr="005D6746" w:rsidRDefault="00902933" w:rsidP="001D7633">
            <w:pPr>
              <w:pStyle w:val="Tabletext"/>
              <w:jc w:val="center"/>
            </w:pPr>
            <w:r>
              <w:t>SM.2039-0</w:t>
            </w:r>
            <w:r>
              <w:br/>
            </w:r>
            <w:r w:rsidR="001D7633">
              <w:t>Nouvelle</w:t>
            </w:r>
          </w:p>
        </w:tc>
        <w:tc>
          <w:tcPr>
            <w:tcW w:w="5810" w:type="dxa"/>
            <w:vAlign w:val="center"/>
          </w:tcPr>
          <w:p w:rsidR="00902933" w:rsidRPr="005A3E8F" w:rsidRDefault="00902933" w:rsidP="007D5428">
            <w:pPr>
              <w:pStyle w:val="Tabletext"/>
            </w:pPr>
            <w:r w:rsidRPr="006076D9">
              <w:rPr>
                <w:lang w:val="fr-CH" w:eastAsia="ko-KR"/>
              </w:rPr>
              <w:t xml:space="preserve">Evolution du contrôle </w:t>
            </w:r>
            <w:r>
              <w:rPr>
                <w:lang w:val="fr-CH" w:eastAsia="ko-KR"/>
              </w:rPr>
              <w:t>du spectre</w:t>
            </w:r>
          </w:p>
        </w:tc>
        <w:tc>
          <w:tcPr>
            <w:tcW w:w="1752" w:type="dxa"/>
            <w:vAlign w:val="center"/>
          </w:tcPr>
          <w:p w:rsidR="00902933" w:rsidRPr="005D6746" w:rsidRDefault="00902933" w:rsidP="007D5428">
            <w:pPr>
              <w:pStyle w:val="Tabletext"/>
              <w:jc w:val="center"/>
            </w:pPr>
            <w:r>
              <w:t>CACE/627</w:t>
            </w:r>
          </w:p>
        </w:tc>
      </w:tr>
      <w:tr w:rsidR="00902933" w:rsidRPr="005D6746" w:rsidTr="007D5428">
        <w:trPr>
          <w:cantSplit/>
        </w:trPr>
        <w:tc>
          <w:tcPr>
            <w:tcW w:w="2067" w:type="dxa"/>
            <w:vAlign w:val="center"/>
          </w:tcPr>
          <w:p w:rsidR="00902933" w:rsidRPr="005D6746" w:rsidRDefault="00902933" w:rsidP="007D5428">
            <w:pPr>
              <w:pStyle w:val="Tabletext"/>
              <w:jc w:val="center"/>
            </w:pPr>
            <w:r>
              <w:t>SM.2060-0</w:t>
            </w:r>
            <w:r>
              <w:br/>
            </w:r>
            <w:r w:rsidR="001D7633">
              <w:t>Nouvelle</w:t>
            </w:r>
          </w:p>
        </w:tc>
        <w:tc>
          <w:tcPr>
            <w:tcW w:w="5810" w:type="dxa"/>
            <w:vAlign w:val="center"/>
          </w:tcPr>
          <w:p w:rsidR="00902933" w:rsidRPr="00B34A2B" w:rsidRDefault="00902933" w:rsidP="007D5428">
            <w:pPr>
              <w:pStyle w:val="Tabletext"/>
              <w:rPr>
                <w:lang w:val="fr-CH"/>
              </w:rPr>
            </w:pPr>
            <w:r w:rsidRPr="00656BD9">
              <w:t>Procédure de test pour mesurer la précision des radiogoniomètres</w:t>
            </w:r>
          </w:p>
        </w:tc>
        <w:tc>
          <w:tcPr>
            <w:tcW w:w="1752" w:type="dxa"/>
            <w:vAlign w:val="center"/>
          </w:tcPr>
          <w:p w:rsidR="00902933" w:rsidRPr="005D6746" w:rsidRDefault="00902933" w:rsidP="007D5428">
            <w:pPr>
              <w:pStyle w:val="Tabletext"/>
              <w:jc w:val="center"/>
            </w:pPr>
            <w:r>
              <w:t>CACE/697</w:t>
            </w:r>
          </w:p>
        </w:tc>
      </w:tr>
      <w:tr w:rsidR="00902933" w:rsidRPr="005D6746" w:rsidTr="007D5428">
        <w:trPr>
          <w:cantSplit/>
        </w:trPr>
        <w:tc>
          <w:tcPr>
            <w:tcW w:w="2067" w:type="dxa"/>
            <w:vAlign w:val="center"/>
          </w:tcPr>
          <w:p w:rsidR="00902933" w:rsidRDefault="00902933" w:rsidP="007D5428">
            <w:pPr>
              <w:pStyle w:val="Tabletext"/>
              <w:jc w:val="center"/>
            </w:pPr>
            <w:r>
              <w:t>SM.2061-0</w:t>
            </w:r>
            <w:r>
              <w:br/>
            </w:r>
            <w:r w:rsidR="001D7633">
              <w:t>Nouvelle</w:t>
            </w:r>
          </w:p>
        </w:tc>
        <w:tc>
          <w:tcPr>
            <w:tcW w:w="5810" w:type="dxa"/>
            <w:vAlign w:val="center"/>
          </w:tcPr>
          <w:p w:rsidR="00902933" w:rsidRPr="00B34A2B" w:rsidRDefault="00902933" w:rsidP="00553090">
            <w:pPr>
              <w:pStyle w:val="Tabletext"/>
              <w:rPr>
                <w:lang w:val="fr-CH"/>
              </w:rPr>
            </w:pPr>
            <w:r w:rsidRPr="00656BD9">
              <w:t>Procédure de test pour mesurer l'immunité des radiogoniomètres à la propagation par trajets multiples</w:t>
            </w:r>
          </w:p>
        </w:tc>
        <w:tc>
          <w:tcPr>
            <w:tcW w:w="1752" w:type="dxa"/>
            <w:vAlign w:val="center"/>
          </w:tcPr>
          <w:p w:rsidR="00902933" w:rsidRPr="005D6746" w:rsidRDefault="00902933" w:rsidP="007D5428">
            <w:pPr>
              <w:pStyle w:val="Tabletext"/>
              <w:jc w:val="center"/>
            </w:pPr>
            <w:r>
              <w:t>CACE/697</w:t>
            </w:r>
          </w:p>
        </w:tc>
      </w:tr>
      <w:tr w:rsidR="00902933" w:rsidRPr="005D6746" w:rsidTr="007D5428">
        <w:trPr>
          <w:cantSplit/>
        </w:trPr>
        <w:tc>
          <w:tcPr>
            <w:tcW w:w="2067" w:type="dxa"/>
            <w:vAlign w:val="center"/>
          </w:tcPr>
          <w:p w:rsidR="00902933" w:rsidRDefault="00902933" w:rsidP="007D5428">
            <w:pPr>
              <w:pStyle w:val="Tabletext"/>
              <w:jc w:val="center"/>
            </w:pPr>
            <w:r>
              <w:lastRenderedPageBreak/>
              <w:t>SM.2080-0</w:t>
            </w:r>
            <w:r>
              <w:br/>
            </w:r>
            <w:r w:rsidR="001D7633">
              <w:t>Nouvelle</w:t>
            </w:r>
          </w:p>
        </w:tc>
        <w:tc>
          <w:tcPr>
            <w:tcW w:w="5810" w:type="dxa"/>
            <w:vAlign w:val="center"/>
          </w:tcPr>
          <w:p w:rsidR="00902933" w:rsidRPr="00B34A2B" w:rsidRDefault="00902933" w:rsidP="00553090">
            <w:pPr>
              <w:pStyle w:val="Tabletext"/>
              <w:rPr>
                <w:lang w:val="fr-CH"/>
              </w:rPr>
            </w:pPr>
            <w:r w:rsidRPr="00AF4AC3">
              <w:rPr>
                <w:lang w:val="fr-CH"/>
              </w:rPr>
              <w:t xml:space="preserve">Précision des informations </w:t>
            </w:r>
            <w:r w:rsidRPr="00F040A4">
              <w:rPr>
                <w:lang w:val="fr-CH"/>
              </w:rPr>
              <w:t>temporelles</w:t>
            </w:r>
            <w:r w:rsidRPr="00AF4AC3">
              <w:rPr>
                <w:lang w:val="fr-CH"/>
              </w:rPr>
              <w:t xml:space="preserve"> dans les données de sortie</w:t>
            </w:r>
            <w:r w:rsidR="00553090">
              <w:rPr>
                <w:lang w:val="fr-CH"/>
              </w:rPr>
              <w:t xml:space="preserve"> </w:t>
            </w:r>
            <w:r w:rsidRPr="00AF4AC3">
              <w:rPr>
                <w:lang w:val="fr-CH"/>
              </w:rPr>
              <w:t>des récepteurs de contrôle</w:t>
            </w:r>
          </w:p>
        </w:tc>
        <w:tc>
          <w:tcPr>
            <w:tcW w:w="1752" w:type="dxa"/>
            <w:vAlign w:val="center"/>
          </w:tcPr>
          <w:p w:rsidR="00902933" w:rsidRPr="005D6746" w:rsidRDefault="00902933" w:rsidP="007D5428">
            <w:pPr>
              <w:pStyle w:val="Tabletext"/>
              <w:jc w:val="center"/>
            </w:pPr>
            <w:r>
              <w:t>CACE/750</w:t>
            </w:r>
          </w:p>
        </w:tc>
      </w:tr>
    </w:tbl>
    <w:p w:rsidR="00902933" w:rsidRDefault="00902933" w:rsidP="00902933">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7627"/>
      </w:tblGrid>
      <w:tr w:rsidR="00902933" w:rsidRPr="005D6746" w:rsidTr="007D5428">
        <w:trPr>
          <w:cantSplit/>
          <w:tblHeader/>
        </w:trPr>
        <w:tc>
          <w:tcPr>
            <w:tcW w:w="2002" w:type="dxa"/>
            <w:vAlign w:val="center"/>
          </w:tcPr>
          <w:p w:rsidR="00902933" w:rsidRPr="005D6746" w:rsidRDefault="00902933" w:rsidP="001D7633">
            <w:pPr>
              <w:pStyle w:val="Tablehead"/>
            </w:pPr>
            <w:r w:rsidRPr="005D6746">
              <w:t>R</w:t>
            </w:r>
            <w:r w:rsidR="001D7633">
              <w:t>ap</w:t>
            </w:r>
            <w:r w:rsidRPr="005D6746">
              <w:t xml:space="preserve">port </w:t>
            </w:r>
            <w:r w:rsidR="001D7633">
              <w:t>et suite donnée</w:t>
            </w:r>
          </w:p>
        </w:tc>
        <w:tc>
          <w:tcPr>
            <w:tcW w:w="7627" w:type="dxa"/>
            <w:vAlign w:val="center"/>
          </w:tcPr>
          <w:p w:rsidR="00902933" w:rsidRPr="005D6746" w:rsidRDefault="00902933" w:rsidP="007D5428">
            <w:pPr>
              <w:pStyle w:val="Tablehead"/>
            </w:pPr>
            <w:r w:rsidRPr="005D6746">
              <w:t>T</w:t>
            </w:r>
            <w:r w:rsidR="001D7633">
              <w:t>itr</w:t>
            </w:r>
            <w:r w:rsidRPr="005D6746">
              <w:t>e</w:t>
            </w:r>
          </w:p>
        </w:tc>
      </w:tr>
      <w:tr w:rsidR="00902933" w:rsidRPr="001D7633" w:rsidTr="007D5428">
        <w:tc>
          <w:tcPr>
            <w:tcW w:w="2002" w:type="dxa"/>
            <w:vAlign w:val="center"/>
          </w:tcPr>
          <w:p w:rsidR="00902933" w:rsidRPr="005A3E8F" w:rsidRDefault="00902933" w:rsidP="001D7633">
            <w:pPr>
              <w:pStyle w:val="Tabletext"/>
              <w:jc w:val="center"/>
            </w:pPr>
            <w:r w:rsidRPr="005A3E8F">
              <w:t>SM.2</w:t>
            </w:r>
            <w:r>
              <w:t>0</w:t>
            </w:r>
            <w:r w:rsidRPr="005A3E8F">
              <w:t>56</w:t>
            </w:r>
            <w:r>
              <w:t>-1</w:t>
            </w:r>
            <w:r w:rsidRPr="005A3E8F">
              <w:br/>
            </w:r>
            <w:r>
              <w:t>R</w:t>
            </w:r>
            <w:r w:rsidR="001D7633">
              <w:t>é</w:t>
            </w:r>
            <w:r>
              <w:t>vis</w:t>
            </w:r>
            <w:r w:rsidR="001D7633">
              <w:t>ée</w:t>
            </w:r>
          </w:p>
        </w:tc>
        <w:tc>
          <w:tcPr>
            <w:tcW w:w="7627" w:type="dxa"/>
            <w:vAlign w:val="center"/>
          </w:tcPr>
          <w:p w:rsidR="00902933" w:rsidRPr="001D7633" w:rsidRDefault="001D7633" w:rsidP="007D5428">
            <w:pPr>
              <w:pStyle w:val="Tabletext"/>
              <w:rPr>
                <w:lang w:val="fr-CH"/>
              </w:rPr>
            </w:pPr>
            <w:r w:rsidRPr="001D7633">
              <w:rPr>
                <w:rFonts w:asciiTheme="majorBidi" w:hAnsiTheme="majorBidi" w:cstheme="majorBidi"/>
                <w:lang w:val="fr-CH"/>
              </w:rPr>
              <w:t>Vérification, par aérones, des diagrammes d'antenne des</w:t>
            </w:r>
            <w:r w:rsidR="00902933" w:rsidRPr="001D7633">
              <w:rPr>
                <w:rFonts w:asciiTheme="majorBidi" w:hAnsiTheme="majorBidi" w:cstheme="majorBidi"/>
                <w:lang w:val="fr-CH"/>
              </w:rPr>
              <w:t xml:space="preserve"> stations</w:t>
            </w:r>
            <w:r w:rsidRPr="001D7633">
              <w:rPr>
                <w:rFonts w:asciiTheme="majorBidi" w:hAnsiTheme="majorBidi" w:cstheme="majorBidi"/>
                <w:lang w:val="fr-CH"/>
              </w:rPr>
              <w:t xml:space="preserve"> de radiodiffusion</w:t>
            </w:r>
          </w:p>
        </w:tc>
      </w:tr>
      <w:tr w:rsidR="00902933" w:rsidRPr="000E2890" w:rsidTr="007D5428">
        <w:tc>
          <w:tcPr>
            <w:tcW w:w="2002" w:type="dxa"/>
            <w:vAlign w:val="center"/>
          </w:tcPr>
          <w:p w:rsidR="00902933" w:rsidRPr="005A3E8F" w:rsidRDefault="00902933" w:rsidP="003D3E92">
            <w:pPr>
              <w:pStyle w:val="Tabletext"/>
              <w:jc w:val="center"/>
            </w:pPr>
            <w:r w:rsidRPr="005A3E8F">
              <w:t>SM.2211</w:t>
            </w:r>
            <w:r>
              <w:t>-1</w:t>
            </w:r>
            <w:r w:rsidRPr="005A3E8F">
              <w:br/>
            </w:r>
            <w:r>
              <w:t>R</w:t>
            </w:r>
            <w:r w:rsidR="003D3E92">
              <w:t>é</w:t>
            </w:r>
            <w:r>
              <w:t>vis</w:t>
            </w:r>
            <w:r w:rsidR="003D3E92">
              <w:t>ée</w:t>
            </w:r>
          </w:p>
        </w:tc>
        <w:tc>
          <w:tcPr>
            <w:tcW w:w="7627" w:type="dxa"/>
            <w:vAlign w:val="center"/>
          </w:tcPr>
          <w:p w:rsidR="00902933" w:rsidRPr="000E2890" w:rsidRDefault="000E2890" w:rsidP="007D5428">
            <w:pPr>
              <w:pStyle w:val="Tabletext"/>
              <w:rPr>
                <w:lang w:val="fr-CH"/>
              </w:rPr>
            </w:pPr>
            <w:r w:rsidRPr="000E2890">
              <w:rPr>
                <w:lang w:val="fr-CH"/>
              </w:rPr>
              <w:t>Comparaison de la méthode de géolocali</w:t>
            </w:r>
            <w:r>
              <w:rPr>
                <w:lang w:val="fr-CH"/>
              </w:rPr>
              <w:t>sation de signal fondée sur la différence entre les instants d'arrivée par rapport à celle fondée sur l'angle d'arrivée</w:t>
            </w:r>
          </w:p>
        </w:tc>
      </w:tr>
      <w:tr w:rsidR="00902933" w:rsidRPr="009F279E" w:rsidTr="007D5428">
        <w:tc>
          <w:tcPr>
            <w:tcW w:w="2002" w:type="dxa"/>
            <w:vAlign w:val="center"/>
          </w:tcPr>
          <w:p w:rsidR="00902933" w:rsidRPr="005A3E8F" w:rsidRDefault="00902933" w:rsidP="000E2890">
            <w:pPr>
              <w:pStyle w:val="Tabletext"/>
              <w:jc w:val="center"/>
            </w:pPr>
            <w:r>
              <w:t>SM.2256-0</w:t>
            </w:r>
            <w:r>
              <w:br/>
            </w:r>
            <w:r w:rsidR="000E2890">
              <w:t>Nouveau</w:t>
            </w:r>
          </w:p>
        </w:tc>
        <w:tc>
          <w:tcPr>
            <w:tcW w:w="7627" w:type="dxa"/>
            <w:vAlign w:val="center"/>
          </w:tcPr>
          <w:p w:rsidR="00902933" w:rsidRPr="00B34A2B" w:rsidRDefault="00902933" w:rsidP="007D5428">
            <w:pPr>
              <w:pStyle w:val="Tabletext"/>
              <w:rPr>
                <w:lang w:val="fr-CH"/>
              </w:rPr>
            </w:pPr>
            <w:r w:rsidRPr="00CA79AF">
              <w:rPr>
                <w:lang w:val="fr-CH"/>
              </w:rPr>
              <w:t>Mesures et évaluation de l'occupation du spectre</w:t>
            </w:r>
          </w:p>
        </w:tc>
      </w:tr>
      <w:tr w:rsidR="00902933" w:rsidRPr="009F279E" w:rsidTr="007D5428">
        <w:tc>
          <w:tcPr>
            <w:tcW w:w="2002" w:type="dxa"/>
            <w:vAlign w:val="center"/>
          </w:tcPr>
          <w:p w:rsidR="00902933" w:rsidRPr="000E2890" w:rsidRDefault="00902933" w:rsidP="000E2890">
            <w:pPr>
              <w:pStyle w:val="Tabletext"/>
              <w:jc w:val="center"/>
              <w:rPr>
                <w:lang w:val="fr-CH"/>
              </w:rPr>
            </w:pPr>
            <w:r w:rsidRPr="000E2890">
              <w:rPr>
                <w:lang w:val="fr-CH"/>
              </w:rPr>
              <w:t>SM.2257-3</w:t>
            </w:r>
            <w:r w:rsidRPr="000E2890">
              <w:rPr>
                <w:rStyle w:val="Hyperlink"/>
                <w:rFonts w:asciiTheme="majorBidi" w:hAnsiTheme="majorBidi" w:cstheme="majorBidi"/>
                <w:lang w:val="fr-CH"/>
              </w:rPr>
              <w:br/>
            </w:r>
            <w:r w:rsidR="000E2890" w:rsidRPr="00950F9A">
              <w:rPr>
                <w:rStyle w:val="Hyperlink"/>
                <w:rFonts w:asciiTheme="majorBidi" w:hAnsiTheme="majorBidi" w:cstheme="majorBidi"/>
                <w:color w:val="auto"/>
                <w:u w:val="none"/>
              </w:rPr>
              <w:t>Nouveau et révisé trois fois</w:t>
            </w:r>
          </w:p>
        </w:tc>
        <w:tc>
          <w:tcPr>
            <w:tcW w:w="7627" w:type="dxa"/>
            <w:vAlign w:val="center"/>
          </w:tcPr>
          <w:p w:rsidR="00902933" w:rsidRPr="00B34A2B" w:rsidRDefault="00902933" w:rsidP="007D5428">
            <w:pPr>
              <w:pStyle w:val="Tabletext"/>
              <w:rPr>
                <w:rFonts w:asciiTheme="majorBidi" w:eastAsia="SimSun" w:hAnsiTheme="majorBidi" w:cstheme="majorBidi"/>
                <w:lang w:val="fr-CH"/>
              </w:rPr>
            </w:pPr>
            <w:r w:rsidRPr="00CA79AF">
              <w:rPr>
                <w:rFonts w:asciiTheme="majorBidi" w:eastAsia="SimSun" w:hAnsiTheme="majorBidi" w:cstheme="majorBidi"/>
                <w:lang w:val="fr-CH"/>
              </w:rPr>
              <w:t>Gestion et contrôle du spectre lors de grands événements</w:t>
            </w:r>
          </w:p>
        </w:tc>
      </w:tr>
      <w:tr w:rsidR="00902933" w:rsidRPr="009F279E" w:rsidTr="007D5428">
        <w:tc>
          <w:tcPr>
            <w:tcW w:w="2002" w:type="dxa"/>
            <w:vAlign w:val="center"/>
          </w:tcPr>
          <w:p w:rsidR="00902933" w:rsidRDefault="00902933" w:rsidP="007D5428">
            <w:pPr>
              <w:pStyle w:val="Tabletext"/>
              <w:jc w:val="center"/>
            </w:pPr>
            <w:r>
              <w:t>SM.2258-0</w:t>
            </w:r>
            <w:r>
              <w:br/>
            </w:r>
            <w:r w:rsidR="000E2890">
              <w:t>Nouveau</w:t>
            </w:r>
          </w:p>
        </w:tc>
        <w:tc>
          <w:tcPr>
            <w:tcW w:w="7627" w:type="dxa"/>
            <w:vAlign w:val="center"/>
          </w:tcPr>
          <w:p w:rsidR="00902933" w:rsidRPr="00CA79AF" w:rsidRDefault="00902933" w:rsidP="007D5428">
            <w:pPr>
              <w:pStyle w:val="Tabletext"/>
              <w:rPr>
                <w:rFonts w:asciiTheme="majorBidi" w:eastAsia="SimSun" w:hAnsiTheme="majorBidi" w:cstheme="majorBidi"/>
                <w:lang w:val="fr-CH"/>
              </w:rPr>
            </w:pPr>
            <w:r w:rsidRPr="00CA79AF">
              <w:rPr>
                <w:rFonts w:asciiTheme="majorBidi" w:eastAsia="SimSun" w:hAnsiTheme="majorBidi" w:cstheme="majorBidi"/>
                <w:lang w:val="fr-CH"/>
              </w:rPr>
              <w:t>Aperçu de la détection et de la géolocalisation des sources de brouillage affectant la bande 406,0-406,1 MHz utilisée par les balises d'urgence</w:t>
            </w:r>
          </w:p>
        </w:tc>
      </w:tr>
      <w:tr w:rsidR="00902933" w:rsidRPr="00BC548A" w:rsidTr="007D5428">
        <w:tc>
          <w:tcPr>
            <w:tcW w:w="2002" w:type="dxa"/>
            <w:vAlign w:val="center"/>
          </w:tcPr>
          <w:p w:rsidR="00902933" w:rsidRDefault="00902933" w:rsidP="007D5428">
            <w:pPr>
              <w:pStyle w:val="Tabletext"/>
              <w:jc w:val="center"/>
            </w:pPr>
            <w:r w:rsidRPr="00B34A2B">
              <w:t>SM.2270-0</w:t>
            </w:r>
            <w:r>
              <w:rPr>
                <w:rStyle w:val="Hyperlink"/>
                <w:rFonts w:asciiTheme="majorBidi" w:hAnsiTheme="majorBidi" w:cstheme="majorBidi"/>
              </w:rPr>
              <w:br/>
            </w:r>
            <w:r w:rsidR="000E2890">
              <w:t>Nouveau</w:t>
            </w:r>
          </w:p>
        </w:tc>
        <w:tc>
          <w:tcPr>
            <w:tcW w:w="7627" w:type="dxa"/>
            <w:vAlign w:val="center"/>
          </w:tcPr>
          <w:p w:rsidR="00902933" w:rsidRPr="00B34A2B" w:rsidRDefault="00902933" w:rsidP="007D5428">
            <w:pPr>
              <w:pStyle w:val="Tabletext"/>
              <w:rPr>
                <w:rFonts w:asciiTheme="majorBidi" w:eastAsia="SimSun" w:hAnsiTheme="majorBidi" w:cstheme="majorBidi"/>
                <w:lang w:val="fr-CH"/>
              </w:rPr>
            </w:pPr>
            <w:r w:rsidRPr="00B34A2B">
              <w:rPr>
                <w:rFonts w:asciiTheme="majorBidi" w:eastAsia="SimSun" w:hAnsiTheme="majorBidi" w:cstheme="majorBidi"/>
                <w:lang w:val="fr-CH"/>
              </w:rPr>
              <w:t>Technologie de visualisation des sources</w:t>
            </w:r>
            <w:r>
              <w:rPr>
                <w:rFonts w:asciiTheme="majorBidi" w:eastAsia="SimSun" w:hAnsiTheme="majorBidi" w:cstheme="majorBidi"/>
                <w:lang w:val="fr-CH"/>
              </w:rPr>
              <w:t xml:space="preserve"> radioélectriques pour le contrôle du spectre</w:t>
            </w:r>
          </w:p>
        </w:tc>
      </w:tr>
      <w:tr w:rsidR="00902933" w:rsidRPr="005C5D1F" w:rsidTr="007D5428">
        <w:tc>
          <w:tcPr>
            <w:tcW w:w="2002" w:type="dxa"/>
            <w:vAlign w:val="center"/>
          </w:tcPr>
          <w:p w:rsidR="00902933" w:rsidRPr="000F6D96" w:rsidRDefault="00902933" w:rsidP="007D5428">
            <w:pPr>
              <w:pStyle w:val="Tabletext"/>
              <w:jc w:val="center"/>
            </w:pPr>
            <w:r w:rsidRPr="00B34A2B">
              <w:t>SM.2304-0</w:t>
            </w:r>
            <w:r w:rsidRPr="00B34A2B">
              <w:rPr>
                <w:rStyle w:val="Hyperlink"/>
                <w:rFonts w:asciiTheme="majorBidi" w:hAnsiTheme="majorBidi" w:cstheme="majorBidi"/>
              </w:rPr>
              <w:br/>
            </w:r>
            <w:r w:rsidR="000E2890">
              <w:t>Nouveau</w:t>
            </w:r>
          </w:p>
        </w:tc>
        <w:tc>
          <w:tcPr>
            <w:tcW w:w="7627" w:type="dxa"/>
            <w:vAlign w:val="center"/>
          </w:tcPr>
          <w:p w:rsidR="00902933" w:rsidRPr="00B34A2B" w:rsidRDefault="00902933" w:rsidP="007D5428">
            <w:pPr>
              <w:pStyle w:val="Tabletext"/>
              <w:rPr>
                <w:rFonts w:asciiTheme="majorBidi" w:eastAsia="SimSun" w:hAnsiTheme="majorBidi" w:cstheme="majorBidi"/>
                <w:lang w:val="fr-CH"/>
              </w:rPr>
            </w:pPr>
            <w:r w:rsidRPr="00B34A2B">
              <w:rPr>
                <w:rFonts w:asciiTheme="majorBidi" w:eastAsia="SimSun" w:hAnsiTheme="majorBidi" w:cstheme="majorBidi"/>
                <w:lang w:val="fr-CH"/>
              </w:rPr>
              <w:t>Application de l'identification et de</w:t>
            </w:r>
            <w:r>
              <w:rPr>
                <w:rFonts w:asciiTheme="majorBidi" w:eastAsia="SimSun" w:hAnsiTheme="majorBidi" w:cstheme="majorBidi"/>
                <w:lang w:val="fr-CH"/>
              </w:rPr>
              <w:t xml:space="preserve"> l'analyse techniques de signaux numériques spécifiques</w:t>
            </w:r>
            <w:r w:rsidRPr="00B34A2B">
              <w:rPr>
                <w:rFonts w:asciiTheme="majorBidi" w:eastAsia="SimSun" w:hAnsiTheme="majorBidi" w:cstheme="majorBidi"/>
                <w:lang w:val="fr-CH"/>
              </w:rPr>
              <w:t xml:space="preserve"> </w:t>
            </w:r>
          </w:p>
        </w:tc>
      </w:tr>
      <w:tr w:rsidR="00902933" w:rsidRPr="00BC548A" w:rsidTr="007D5428">
        <w:tc>
          <w:tcPr>
            <w:tcW w:w="2002" w:type="dxa"/>
            <w:vAlign w:val="center"/>
          </w:tcPr>
          <w:p w:rsidR="00902933" w:rsidRPr="000F6D96" w:rsidRDefault="00902933" w:rsidP="007D5428">
            <w:pPr>
              <w:pStyle w:val="Tabletext"/>
              <w:jc w:val="center"/>
            </w:pPr>
            <w:r w:rsidRPr="00B34A2B">
              <w:t>SM.2354-0</w:t>
            </w:r>
            <w:r w:rsidRPr="00B34A2B">
              <w:rPr>
                <w:rStyle w:val="Hyperlink"/>
                <w:rFonts w:asciiTheme="majorBidi" w:hAnsiTheme="majorBidi" w:cstheme="majorBidi"/>
              </w:rPr>
              <w:t xml:space="preserve"> </w:t>
            </w:r>
            <w:r w:rsidRPr="00B34A2B">
              <w:rPr>
                <w:rStyle w:val="Hyperlink"/>
                <w:rFonts w:asciiTheme="majorBidi" w:hAnsiTheme="majorBidi" w:cstheme="majorBidi"/>
              </w:rPr>
              <w:br/>
            </w:r>
            <w:r w:rsidR="000E2890">
              <w:t>Nouveau</w:t>
            </w:r>
          </w:p>
        </w:tc>
        <w:tc>
          <w:tcPr>
            <w:tcW w:w="7627" w:type="dxa"/>
            <w:vAlign w:val="center"/>
          </w:tcPr>
          <w:p w:rsidR="00902933" w:rsidRPr="00B34A2B" w:rsidRDefault="00902933" w:rsidP="007D5428">
            <w:pPr>
              <w:pStyle w:val="Tabletext"/>
              <w:rPr>
                <w:rFonts w:eastAsia="SimSun"/>
                <w:lang w:val="fr-CH"/>
              </w:rPr>
            </w:pPr>
            <w:r w:rsidRPr="00B34A2B">
              <w:rPr>
                <w:rFonts w:eastAsia="SimSun"/>
                <w:lang w:val="fr-CH"/>
              </w:rPr>
              <w:t>Autre procédure de mesure de la précision et de l'immunité d'un radiogo</w:t>
            </w:r>
            <w:r>
              <w:rPr>
                <w:rFonts w:eastAsia="SimSun"/>
                <w:lang w:val="fr-CH"/>
              </w:rPr>
              <w:t>niomètre utilisant un simulateur</w:t>
            </w:r>
          </w:p>
        </w:tc>
      </w:tr>
      <w:tr w:rsidR="00902933" w:rsidRPr="005D6746" w:rsidTr="007D5428">
        <w:tc>
          <w:tcPr>
            <w:tcW w:w="2002" w:type="dxa"/>
            <w:vAlign w:val="center"/>
          </w:tcPr>
          <w:p w:rsidR="00902933" w:rsidRPr="000F6D96" w:rsidRDefault="00902933" w:rsidP="007D5428">
            <w:pPr>
              <w:pStyle w:val="Tabletext"/>
              <w:jc w:val="center"/>
            </w:pPr>
            <w:r w:rsidRPr="00B34A2B">
              <w:t>SM.2355-0</w:t>
            </w:r>
            <w:r w:rsidRPr="00B34A2B">
              <w:rPr>
                <w:rStyle w:val="Hyperlink"/>
                <w:rFonts w:asciiTheme="majorBidi" w:hAnsiTheme="majorBidi" w:cstheme="majorBidi"/>
              </w:rPr>
              <w:t xml:space="preserve"> </w:t>
            </w:r>
            <w:r w:rsidRPr="00B34A2B">
              <w:rPr>
                <w:rStyle w:val="Hyperlink"/>
                <w:rFonts w:asciiTheme="majorBidi" w:hAnsiTheme="majorBidi" w:cstheme="majorBidi"/>
              </w:rPr>
              <w:br/>
            </w:r>
            <w:r w:rsidR="000E2890">
              <w:t>Nouveau</w:t>
            </w:r>
          </w:p>
        </w:tc>
        <w:tc>
          <w:tcPr>
            <w:tcW w:w="7627" w:type="dxa"/>
            <w:vAlign w:val="center"/>
          </w:tcPr>
          <w:p w:rsidR="00902933" w:rsidRPr="000E2890" w:rsidRDefault="000E2890" w:rsidP="007D5428">
            <w:pPr>
              <w:spacing w:before="0"/>
              <w:rPr>
                <w:rFonts w:asciiTheme="majorBidi" w:eastAsia="SimSun" w:hAnsiTheme="majorBidi" w:cstheme="majorBidi"/>
                <w:sz w:val="20"/>
                <w:lang w:val="fr-CH"/>
              </w:rPr>
            </w:pPr>
            <w:r w:rsidRPr="000E2890">
              <w:rPr>
                <w:rFonts w:asciiTheme="majorBidi" w:eastAsia="SimSun" w:hAnsiTheme="majorBidi" w:cstheme="majorBidi"/>
                <w:sz w:val="20"/>
                <w:lang w:val="fr-CH"/>
              </w:rPr>
              <w:t>E</w:t>
            </w:r>
            <w:r w:rsidR="00902933" w:rsidRPr="000E2890">
              <w:rPr>
                <w:rFonts w:asciiTheme="majorBidi" w:eastAsia="SimSun" w:hAnsiTheme="majorBidi" w:cstheme="majorBidi"/>
                <w:sz w:val="20"/>
                <w:lang w:val="fr-CH"/>
              </w:rPr>
              <w:t>volution</w:t>
            </w:r>
            <w:r w:rsidRPr="000E2890">
              <w:rPr>
                <w:rFonts w:asciiTheme="majorBidi" w:eastAsia="SimSun" w:hAnsiTheme="majorBidi" w:cstheme="majorBidi"/>
                <w:sz w:val="20"/>
                <w:lang w:val="fr-CH"/>
              </w:rPr>
              <w:t xml:space="preserve"> du contrôle des émissions radioélectriques</w:t>
            </w:r>
          </w:p>
        </w:tc>
      </w:tr>
      <w:tr w:rsidR="00902933" w:rsidRPr="000E2890" w:rsidTr="007D5428">
        <w:tc>
          <w:tcPr>
            <w:tcW w:w="2002" w:type="dxa"/>
            <w:vAlign w:val="center"/>
          </w:tcPr>
          <w:p w:rsidR="00902933" w:rsidRPr="000F6D96" w:rsidRDefault="00902933" w:rsidP="007D5428">
            <w:pPr>
              <w:pStyle w:val="Tabletext"/>
              <w:jc w:val="center"/>
            </w:pPr>
            <w:r w:rsidRPr="00B34A2B">
              <w:t>SM.2356-0</w:t>
            </w:r>
            <w:r w:rsidRPr="00B34A2B">
              <w:rPr>
                <w:rStyle w:val="Hyperlink"/>
                <w:rFonts w:asciiTheme="majorBidi" w:hAnsiTheme="majorBidi" w:cstheme="majorBidi"/>
              </w:rPr>
              <w:br/>
            </w:r>
            <w:r w:rsidR="000E2890">
              <w:t>Nouveau</w:t>
            </w:r>
          </w:p>
        </w:tc>
        <w:tc>
          <w:tcPr>
            <w:tcW w:w="7627" w:type="dxa"/>
            <w:vAlign w:val="center"/>
          </w:tcPr>
          <w:p w:rsidR="00902933" w:rsidRPr="000E2890" w:rsidRDefault="00902933" w:rsidP="000E2890">
            <w:pPr>
              <w:spacing w:before="0"/>
              <w:rPr>
                <w:rFonts w:asciiTheme="majorBidi" w:eastAsia="SimSun" w:hAnsiTheme="majorBidi" w:cstheme="majorBidi"/>
                <w:sz w:val="20"/>
                <w:lang w:val="fr-CH"/>
              </w:rPr>
            </w:pPr>
            <w:r w:rsidRPr="000E2890">
              <w:rPr>
                <w:rFonts w:asciiTheme="majorBidi" w:eastAsia="SimSun" w:hAnsiTheme="majorBidi" w:cstheme="majorBidi"/>
                <w:sz w:val="20"/>
                <w:lang w:val="fr-CH"/>
              </w:rPr>
              <w:t>Proc</w:t>
            </w:r>
            <w:r w:rsidR="000E2890" w:rsidRPr="000E2890">
              <w:rPr>
                <w:rFonts w:asciiTheme="majorBidi" w:eastAsia="SimSun" w:hAnsiTheme="majorBidi" w:cstheme="majorBidi"/>
                <w:sz w:val="20"/>
                <w:lang w:val="fr-CH"/>
              </w:rPr>
              <w:t>é</w:t>
            </w:r>
            <w:r w:rsidRPr="000E2890">
              <w:rPr>
                <w:rFonts w:asciiTheme="majorBidi" w:eastAsia="SimSun" w:hAnsiTheme="majorBidi" w:cstheme="majorBidi"/>
                <w:sz w:val="20"/>
                <w:lang w:val="fr-CH"/>
              </w:rPr>
              <w:t xml:space="preserve">dures </w:t>
            </w:r>
            <w:r w:rsidR="000E2890" w:rsidRPr="000E2890">
              <w:rPr>
                <w:rFonts w:asciiTheme="majorBidi" w:eastAsia="SimSun" w:hAnsiTheme="majorBidi" w:cstheme="majorBidi"/>
                <w:sz w:val="20"/>
                <w:lang w:val="fr-CH"/>
              </w:rPr>
              <w:t>à suivre pour la planification et l'</w:t>
            </w:r>
            <w:r w:rsidRPr="000E2890">
              <w:rPr>
                <w:rFonts w:asciiTheme="majorBidi" w:eastAsia="SimSun" w:hAnsiTheme="majorBidi" w:cstheme="majorBidi"/>
                <w:sz w:val="20"/>
                <w:lang w:val="fr-CH"/>
              </w:rPr>
              <w:t>optimi</w:t>
            </w:r>
            <w:r w:rsidR="000E2890" w:rsidRPr="000E2890">
              <w:rPr>
                <w:rFonts w:asciiTheme="majorBidi" w:eastAsia="SimSun" w:hAnsiTheme="majorBidi" w:cstheme="majorBidi"/>
                <w:sz w:val="20"/>
                <w:lang w:val="fr-CH"/>
              </w:rPr>
              <w:t>s</w:t>
            </w:r>
            <w:r w:rsidRPr="000E2890">
              <w:rPr>
                <w:rFonts w:asciiTheme="majorBidi" w:eastAsia="SimSun" w:hAnsiTheme="majorBidi" w:cstheme="majorBidi"/>
                <w:sz w:val="20"/>
                <w:lang w:val="fr-CH"/>
              </w:rPr>
              <w:t xml:space="preserve">ation </w:t>
            </w:r>
            <w:r w:rsidR="000E2890" w:rsidRPr="000E2890">
              <w:rPr>
                <w:rFonts w:asciiTheme="majorBidi" w:eastAsia="SimSun" w:hAnsiTheme="majorBidi" w:cstheme="majorBidi"/>
                <w:sz w:val="20"/>
                <w:lang w:val="fr-CH"/>
              </w:rPr>
              <w:t>des réseaux utilisés pour le contr</w:t>
            </w:r>
            <w:r w:rsidR="000E2890">
              <w:rPr>
                <w:rFonts w:asciiTheme="majorBidi" w:eastAsia="SimSun" w:hAnsiTheme="majorBidi" w:cstheme="majorBidi"/>
                <w:sz w:val="20"/>
                <w:lang w:val="fr-CH"/>
              </w:rPr>
              <w:t>ôle des émissions</w:t>
            </w:r>
            <w:r w:rsidRPr="000E2890">
              <w:rPr>
                <w:rFonts w:asciiTheme="majorBidi" w:eastAsia="SimSun" w:hAnsiTheme="majorBidi" w:cstheme="majorBidi"/>
                <w:sz w:val="20"/>
                <w:lang w:val="fr-CH"/>
              </w:rPr>
              <w:t xml:space="preserve"> </w:t>
            </w:r>
            <w:r w:rsidR="000E2890">
              <w:rPr>
                <w:rFonts w:asciiTheme="majorBidi" w:eastAsia="SimSun" w:hAnsiTheme="majorBidi" w:cstheme="majorBidi"/>
                <w:sz w:val="20"/>
                <w:lang w:val="fr-CH"/>
              </w:rPr>
              <w:t>dans la gamme des ondes métriques et décimétriques</w:t>
            </w:r>
          </w:p>
        </w:tc>
      </w:tr>
    </w:tbl>
    <w:p w:rsidR="00902933" w:rsidRDefault="00902933" w:rsidP="00553090">
      <w:pPr>
        <w:pStyle w:val="Heading1"/>
        <w:rPr>
          <w:rFonts w:eastAsia="SimSun"/>
        </w:rPr>
      </w:pPr>
      <w:r>
        <w:rPr>
          <w:lang w:val="fr-CH"/>
        </w:rPr>
        <w:t>6</w:t>
      </w:r>
      <w:r>
        <w:rPr>
          <w:lang w:val="fr-CH"/>
        </w:rPr>
        <w:tab/>
      </w:r>
      <w:r>
        <w:rPr>
          <w:rFonts w:eastAsia="SimSun"/>
        </w:rPr>
        <w:t>Préparation de la Conférence mondiale des radiocommunications de 2015 (</w:t>
      </w:r>
      <w:r>
        <w:rPr>
          <w:lang w:val="fr-CH"/>
        </w:rPr>
        <w:t xml:space="preserve">CMR-15) </w:t>
      </w:r>
      <w:r>
        <w:rPr>
          <w:rFonts w:eastAsia="SimSun"/>
        </w:rPr>
        <w:t>et de la seconde session de la réunion de préparation</w:t>
      </w:r>
      <w:r w:rsidR="000E2890">
        <w:rPr>
          <w:lang w:val="fr-CH"/>
        </w:rPr>
        <w:t xml:space="preserve"> </w:t>
      </w:r>
      <w:r>
        <w:rPr>
          <w:rFonts w:eastAsia="SimSun"/>
        </w:rPr>
        <w:t>à la Conférence</w:t>
      </w:r>
      <w:r w:rsidR="000E2890">
        <w:rPr>
          <w:rFonts w:eastAsia="SimSun"/>
        </w:rPr>
        <w:t xml:space="preserve"> </w:t>
      </w:r>
      <w:r w:rsidR="000E2890">
        <w:rPr>
          <w:lang w:val="fr-CH"/>
        </w:rPr>
        <w:t>(RPC) en vue de la CMR-15</w:t>
      </w:r>
    </w:p>
    <w:p w:rsidR="00902933" w:rsidRDefault="00902933" w:rsidP="00902933">
      <w:r>
        <w:rPr>
          <w:lang w:val="fr-CH"/>
        </w:rPr>
        <w:t xml:space="preserve">Conformément au § 2.2 de l'Annexe 1 de la Résolution UIT-R 2-6, la première session de la Réunion de préparation à </w:t>
      </w:r>
      <w:r w:rsidR="000E2890">
        <w:rPr>
          <w:lang w:val="fr-CH"/>
        </w:rPr>
        <w:t>la Conférence en vue de la CMR-1</w:t>
      </w:r>
      <w:r>
        <w:rPr>
          <w:lang w:val="fr-CH"/>
        </w:rPr>
        <w:t>5 (RPC15-1) avait permis de désigner le Groupe de travail 1B groupe responsable des</w:t>
      </w:r>
      <w:r>
        <w:t xml:space="preserve"> Questions 9.</w:t>
      </w:r>
      <w:r w:rsidRPr="005D6746">
        <w:t>1.</w:t>
      </w:r>
      <w:r>
        <w:t>4, 9.</w:t>
      </w:r>
      <w:r w:rsidRPr="005D6746">
        <w:t>1.</w:t>
      </w:r>
      <w:r>
        <w:t>6 et 9.</w:t>
      </w:r>
      <w:r w:rsidRPr="005D6746">
        <w:t>1.</w:t>
      </w:r>
      <w:r>
        <w:t>7 identifié</w:t>
      </w:r>
      <w:r w:rsidR="000E2890">
        <w:t>e</w:t>
      </w:r>
      <w:r>
        <w:t>s au titre des poin</w:t>
      </w:r>
      <w:r w:rsidR="000E2890">
        <w:t>ts de l’ordre du jour de la CMR-</w:t>
      </w:r>
      <w:r>
        <w:t xml:space="preserve">15, afin de de procéder à des études et </w:t>
      </w:r>
      <w:r w:rsidR="000E2890">
        <w:t>d’élaborer des projets de texte</w:t>
      </w:r>
      <w:r>
        <w:t xml:space="preserve"> de la RPC en application des</w:t>
      </w:r>
      <w:r w:rsidRPr="00832EAF">
        <w:t xml:space="preserve"> </w:t>
      </w:r>
      <w:r>
        <w:t xml:space="preserve">Résolutions </w:t>
      </w:r>
      <w:r w:rsidRPr="00DF353C">
        <w:rPr>
          <w:b/>
          <w:bCs/>
        </w:rPr>
        <w:t>67 (</w:t>
      </w:r>
      <w:r w:rsidRPr="00553090">
        <w:rPr>
          <w:b/>
          <w:bCs/>
          <w:lang w:val="fr-CH"/>
        </w:rPr>
        <w:t>CMR</w:t>
      </w:r>
      <w:r w:rsidRPr="00553090">
        <w:rPr>
          <w:b/>
          <w:bCs/>
        </w:rPr>
        <w:t>-</w:t>
      </w:r>
      <w:r w:rsidRPr="00DF353C">
        <w:rPr>
          <w:b/>
          <w:bCs/>
        </w:rPr>
        <w:t>12)</w:t>
      </w:r>
      <w:r>
        <w:t xml:space="preserve">, </w:t>
      </w:r>
      <w:r w:rsidRPr="00DF353C">
        <w:rPr>
          <w:b/>
          <w:bCs/>
        </w:rPr>
        <w:t>957 (</w:t>
      </w:r>
      <w:r w:rsidRPr="00553090">
        <w:rPr>
          <w:b/>
          <w:bCs/>
          <w:lang w:val="fr-CH"/>
        </w:rPr>
        <w:t>CMR</w:t>
      </w:r>
      <w:r w:rsidRPr="00553090">
        <w:t>-</w:t>
      </w:r>
      <w:r w:rsidRPr="00DF353C">
        <w:rPr>
          <w:b/>
          <w:bCs/>
        </w:rPr>
        <w:t>12)</w:t>
      </w:r>
      <w:r w:rsidRPr="005D6746">
        <w:t xml:space="preserve"> </w:t>
      </w:r>
      <w:r>
        <w:t xml:space="preserve">et </w:t>
      </w:r>
      <w:r w:rsidRPr="00DF353C">
        <w:rPr>
          <w:b/>
          <w:bCs/>
        </w:rPr>
        <w:t>647 (R</w:t>
      </w:r>
      <w:r w:rsidR="000E2890">
        <w:rPr>
          <w:b/>
          <w:bCs/>
        </w:rPr>
        <w:t>é</w:t>
      </w:r>
      <w:r w:rsidRPr="00DF353C">
        <w:rPr>
          <w:b/>
          <w:bCs/>
        </w:rPr>
        <w:t>v.</w:t>
      </w:r>
      <w:r w:rsidRPr="00832EAF">
        <w:rPr>
          <w:lang w:val="fr-CH"/>
        </w:rPr>
        <w:t xml:space="preserve"> </w:t>
      </w:r>
      <w:r w:rsidRPr="00553090">
        <w:rPr>
          <w:b/>
          <w:bCs/>
          <w:lang w:val="fr-CH"/>
        </w:rPr>
        <w:t>CMR</w:t>
      </w:r>
      <w:r w:rsidRPr="00553090">
        <w:rPr>
          <w:b/>
          <w:bCs/>
        </w:rPr>
        <w:noBreakHyphen/>
      </w:r>
      <w:r w:rsidRPr="00DF353C">
        <w:rPr>
          <w:b/>
          <w:bCs/>
        </w:rPr>
        <w:t>12)</w:t>
      </w:r>
      <w:r>
        <w:t xml:space="preserve"> respectivement</w:t>
      </w:r>
      <w:r w:rsidR="00190EA0">
        <w:t>.</w:t>
      </w:r>
    </w:p>
    <w:p w:rsidR="00902933" w:rsidRPr="005D6746" w:rsidRDefault="00902933" w:rsidP="00C4409C">
      <w:r>
        <w:t>Le GT</w:t>
      </w:r>
      <w:r w:rsidRPr="00474CA3">
        <w:t xml:space="preserve"> 1B </w:t>
      </w:r>
      <w:r w:rsidR="00C4409C">
        <w:t>a</w:t>
      </w:r>
      <w:r>
        <w:t xml:space="preserve"> étudié les questions et élaboré les projets de texte</w:t>
      </w:r>
      <w:r w:rsidR="000E2890">
        <w:t xml:space="preserve"> de la RPC avant le délai fixé</w:t>
      </w:r>
      <w:r>
        <w:t xml:space="preserve"> et l</w:t>
      </w:r>
      <w:r w:rsidR="00FB022F">
        <w:t>es a insérés dans le projet de r</w:t>
      </w:r>
      <w:r>
        <w:t>apport de la RPC. Ces textes ont été examinés durant la seconde sessio</w:t>
      </w:r>
      <w:r w:rsidR="00FB022F">
        <w:t>n de la RPC et insérés dans le R</w:t>
      </w:r>
      <w:r>
        <w:t>apport de la RPC à la CMR</w:t>
      </w:r>
      <w:r w:rsidR="000E2890">
        <w:t>-</w:t>
      </w:r>
      <w:r>
        <w:t>15, moyennant quelques modifications apportées à l’une des options indiquées sous la Question 9.1.7.</w:t>
      </w:r>
    </w:p>
    <w:p w:rsidR="00902933" w:rsidRDefault="00902933" w:rsidP="007D5428">
      <w:pPr>
        <w:pStyle w:val="Heading1"/>
        <w:rPr>
          <w:lang w:val="fr-CH"/>
        </w:rPr>
      </w:pPr>
      <w:r>
        <w:rPr>
          <w:lang w:val="fr-CH"/>
        </w:rPr>
        <w:t>7</w:t>
      </w:r>
      <w:r>
        <w:rPr>
          <w:lang w:val="fr-CH"/>
        </w:rPr>
        <w:tab/>
        <w:t>Manuels UIT</w:t>
      </w:r>
      <w:r>
        <w:rPr>
          <w:lang w:val="fr-CH"/>
        </w:rPr>
        <w:noBreakHyphen/>
        <w:t>R</w:t>
      </w:r>
    </w:p>
    <w:p w:rsidR="00902933" w:rsidRDefault="00902933" w:rsidP="007D5428">
      <w:pPr>
        <w:rPr>
          <w:i/>
          <w:iCs/>
          <w:lang w:val="fr-CH"/>
        </w:rPr>
      </w:pPr>
      <w:r>
        <w:rPr>
          <w:lang w:val="fr-CH"/>
        </w:rPr>
        <w:t xml:space="preserve">La </w:t>
      </w:r>
      <w:r w:rsidR="004F2C83">
        <w:rPr>
          <w:lang w:val="fr-CH"/>
        </w:rPr>
        <w:t>Commission d’études 1 s'occupe</w:t>
      </w:r>
      <w:r>
        <w:rPr>
          <w:lang w:val="fr-CH"/>
        </w:rPr>
        <w:t xml:space="preserve"> de trois Manuels, à savoir </w:t>
      </w:r>
      <w:r w:rsidRPr="00DA1DFF">
        <w:rPr>
          <w:lang w:val="fr-CH"/>
        </w:rPr>
        <w:t>le</w:t>
      </w:r>
      <w:r w:rsidRPr="00233B4F">
        <w:rPr>
          <w:i/>
          <w:lang w:val="fr-CH"/>
        </w:rPr>
        <w:t xml:space="preserve"> Manuel sur la gestion nationale du spectre </w:t>
      </w:r>
      <w:r>
        <w:rPr>
          <w:i/>
        </w:rPr>
        <w:t>(NSM)</w:t>
      </w:r>
      <w:r>
        <w:rPr>
          <w:lang w:val="fr-CH"/>
        </w:rPr>
        <w:t>,</w:t>
      </w:r>
      <w:r w:rsidRPr="00DA1DFF">
        <w:rPr>
          <w:lang w:val="fr-CH"/>
        </w:rPr>
        <w:t xml:space="preserve"> le</w:t>
      </w:r>
      <w:r w:rsidRPr="00233B4F">
        <w:rPr>
          <w:i/>
          <w:lang w:val="fr-CH"/>
        </w:rPr>
        <w:t xml:space="preserve"> Manuel sur les applications des techniques informatiques à la gestion du spectre radioélectrique</w:t>
      </w:r>
      <w:r>
        <w:rPr>
          <w:i/>
          <w:lang w:val="fr-CH"/>
        </w:rPr>
        <w:t xml:space="preserve"> </w:t>
      </w:r>
      <w:r>
        <w:rPr>
          <w:i/>
        </w:rPr>
        <w:t>(CAT)</w:t>
      </w:r>
      <w:r>
        <w:rPr>
          <w:iCs/>
          <w:lang w:val="fr-CH"/>
        </w:rPr>
        <w:t xml:space="preserve"> et le </w:t>
      </w:r>
      <w:r w:rsidRPr="001857C6">
        <w:rPr>
          <w:i/>
          <w:iCs/>
          <w:lang w:val="fr-CH"/>
        </w:rPr>
        <w:t>Manuel sur le contrôle du spectre radioélectrique</w:t>
      </w:r>
      <w:r>
        <w:rPr>
          <w:i/>
          <w:iCs/>
          <w:lang w:val="fr-CH"/>
        </w:rPr>
        <w:t>.</w:t>
      </w:r>
      <w:r w:rsidRPr="00832EAF">
        <w:rPr>
          <w:lang w:val="fr-CH"/>
        </w:rPr>
        <w:t xml:space="preserve"> Pendant</w:t>
      </w:r>
      <w:r>
        <w:rPr>
          <w:lang w:val="fr-CH"/>
        </w:rPr>
        <w:t xml:space="preserve"> la </w:t>
      </w:r>
      <w:r w:rsidRPr="00832EAF">
        <w:rPr>
          <w:lang w:val="fr-CH"/>
        </w:rPr>
        <w:t>période d’études</w:t>
      </w:r>
      <w:r w:rsidR="007D5428">
        <w:rPr>
          <w:lang w:val="fr-CH"/>
        </w:rPr>
        <w:t xml:space="preserve"> considérée</w:t>
      </w:r>
      <w:r w:rsidRPr="00832EAF">
        <w:rPr>
          <w:lang w:val="fr-CH"/>
        </w:rPr>
        <w:t xml:space="preserve">, le GT </w:t>
      </w:r>
      <w:r>
        <w:rPr>
          <w:lang w:val="fr-CH"/>
        </w:rPr>
        <w:t>1A</w:t>
      </w:r>
      <w:r w:rsidRPr="00832EAF">
        <w:rPr>
          <w:lang w:val="fr-CH"/>
        </w:rPr>
        <w:t xml:space="preserve"> et le GT 1B se sont employés à </w:t>
      </w:r>
      <w:r w:rsidR="007D5428">
        <w:rPr>
          <w:lang w:val="fr-CH"/>
        </w:rPr>
        <w:t>modifier</w:t>
      </w:r>
      <w:r w:rsidRPr="00832EAF">
        <w:rPr>
          <w:lang w:val="fr-CH"/>
        </w:rPr>
        <w:t xml:space="preserve"> les deux premiers</w:t>
      </w:r>
      <w:r w:rsidRPr="00832EAF">
        <w:rPr>
          <w:i/>
          <w:lang w:val="fr-CH"/>
        </w:rPr>
        <w:t xml:space="preserve"> </w:t>
      </w:r>
      <w:r w:rsidRPr="00553090">
        <w:rPr>
          <w:iCs/>
          <w:lang w:val="fr-CH"/>
        </w:rPr>
        <w:t>Manuels</w:t>
      </w:r>
      <w:r w:rsidRPr="00832EAF">
        <w:rPr>
          <w:lang w:val="fr-CH"/>
        </w:rPr>
        <w:t xml:space="preserve"> en étroite collaboration avec le GT 1C</w:t>
      </w:r>
      <w:r>
        <w:rPr>
          <w:i/>
          <w:iCs/>
          <w:lang w:val="fr-CH"/>
        </w:rPr>
        <w:t>.</w:t>
      </w:r>
    </w:p>
    <w:p w:rsidR="00902933" w:rsidRPr="00206CAD" w:rsidRDefault="00902933" w:rsidP="00902933">
      <w:pPr>
        <w:pStyle w:val="Heading2"/>
      </w:pPr>
      <w:r w:rsidRPr="00206CAD">
        <w:lastRenderedPageBreak/>
        <w:t>7.1</w:t>
      </w:r>
      <w:r>
        <w:tab/>
      </w:r>
      <w:r w:rsidRPr="00832EAF">
        <w:t>Manuel sur les applications des techniques informatiques à la gestion du spectre radioélectrique</w:t>
      </w:r>
    </w:p>
    <w:p w:rsidR="00902933" w:rsidRDefault="00902933" w:rsidP="007D5428">
      <w:r w:rsidRPr="007E57E0">
        <w:t>En juin 2011, le GT 1</w:t>
      </w:r>
      <w:r>
        <w:t>A</w:t>
      </w:r>
      <w:r w:rsidRPr="007E57E0">
        <w:t xml:space="preserve"> a créé un Groupe du Rapporteur chargé d’établir une version révisée de l’édition de 20</w:t>
      </w:r>
      <w:r>
        <w:t>05</w:t>
      </w:r>
      <w:r w:rsidR="004F2C83">
        <w:t xml:space="preserve"> du Manuel</w:t>
      </w:r>
      <w:r w:rsidRPr="007E57E0">
        <w:t xml:space="preserve"> </w:t>
      </w:r>
      <w:r w:rsidRPr="00A4472B">
        <w:t>CAT</w:t>
      </w:r>
      <w:r w:rsidR="004F2C83">
        <w:t xml:space="preserve">. </w:t>
      </w:r>
      <w:r w:rsidRPr="007E57E0">
        <w:t>Les travaux ont été achevés à la réunion de juin 2014 du GT 1</w:t>
      </w:r>
      <w:r>
        <w:t>A</w:t>
      </w:r>
      <w:r w:rsidR="00A56906">
        <w:t xml:space="preserve"> </w:t>
      </w:r>
      <w:r w:rsidRPr="007E57E0">
        <w:t>et la nouvelle édition de ce Manuel a été approuvée par la CE</w:t>
      </w:r>
      <w:r w:rsidR="00A56906">
        <w:t xml:space="preserve"> </w:t>
      </w:r>
      <w:r w:rsidRPr="007E57E0">
        <w:t>1</w:t>
      </w:r>
      <w:r w:rsidR="004F2C83">
        <w:t>.</w:t>
      </w:r>
    </w:p>
    <w:p w:rsidR="00902933" w:rsidRDefault="00902933" w:rsidP="00902933">
      <w:pPr>
        <w:pStyle w:val="Heading2"/>
      </w:pPr>
      <w:r w:rsidRPr="00206CAD">
        <w:t>7.2</w:t>
      </w:r>
      <w:r>
        <w:tab/>
      </w:r>
      <w:r w:rsidRPr="007E57E0">
        <w:t xml:space="preserve">Manuel sur la gestion nationale du spectre </w:t>
      </w:r>
    </w:p>
    <w:p w:rsidR="00902933" w:rsidRPr="007E57E0" w:rsidRDefault="00902933" w:rsidP="00A56906">
      <w:r w:rsidRPr="007E57E0">
        <w:t>En juin 2011, le GT</w:t>
      </w:r>
      <w:r w:rsidR="00A56906">
        <w:t xml:space="preserve"> 1B a créé un Groupe de travail</w:t>
      </w:r>
      <w:r w:rsidRPr="007E57E0">
        <w:t xml:space="preserve"> par correspondance, qui a été remplacé, en juin 2012, par un </w:t>
      </w:r>
      <w:r>
        <w:t>G</w:t>
      </w:r>
      <w:r w:rsidRPr="007E57E0">
        <w:t xml:space="preserve">roupe du </w:t>
      </w:r>
      <w:r>
        <w:t>R</w:t>
      </w:r>
      <w:r w:rsidRPr="007E57E0">
        <w:t xml:space="preserve">apporteur chargé d’établir une version révisée </w:t>
      </w:r>
      <w:r w:rsidR="004F2C83">
        <w:t xml:space="preserve">de l’édition de 2011 du Manuel </w:t>
      </w:r>
      <w:r w:rsidRPr="00A4472B">
        <w:t>NSM</w:t>
      </w:r>
      <w:r w:rsidR="00A56906">
        <w:t>.</w:t>
      </w:r>
      <w:r w:rsidRPr="00A4472B">
        <w:t xml:space="preserve"> </w:t>
      </w:r>
      <w:r w:rsidRPr="007E57E0">
        <w:t xml:space="preserve">Les travaux ont été achevés à la réunion de juin 2014 du GT </w:t>
      </w:r>
      <w:r w:rsidRPr="00A4472B">
        <w:t>1B</w:t>
      </w:r>
      <w:r w:rsidRPr="007E57E0">
        <w:t xml:space="preserve"> et la nouvelle édition de ce Man</w:t>
      </w:r>
      <w:r w:rsidR="007D5428">
        <w:t>uel a été approuvée par la CE</w:t>
      </w:r>
      <w:r w:rsidR="00A56906">
        <w:t xml:space="preserve"> </w:t>
      </w:r>
      <w:r w:rsidR="007D5428">
        <w:t>1</w:t>
      </w:r>
      <w:r w:rsidR="004F2C83">
        <w:t>.</w:t>
      </w:r>
    </w:p>
    <w:p w:rsidR="00902933" w:rsidRPr="00206CAD" w:rsidRDefault="00902933" w:rsidP="00902933">
      <w:pPr>
        <w:pStyle w:val="Heading2"/>
      </w:pPr>
      <w:r w:rsidRPr="00206CAD">
        <w:t>7.</w:t>
      </w:r>
      <w:r>
        <w:t>3</w:t>
      </w:r>
      <w:r>
        <w:tab/>
      </w:r>
      <w:r w:rsidRPr="007E57E0">
        <w:t>Manuel sur le contrôle du spectre radioélectrique</w:t>
      </w:r>
    </w:p>
    <w:p w:rsidR="00902933" w:rsidRPr="00206CAD" w:rsidRDefault="00902933" w:rsidP="00902933">
      <w:pPr>
        <w:jc w:val="both"/>
      </w:pPr>
      <w:r>
        <w:t xml:space="preserve">La dernière révision du Manuel sur le contrôle du spectre radioélectrique, approuvée en 2010, est toujours en vigueur. </w:t>
      </w:r>
    </w:p>
    <w:p w:rsidR="00902933" w:rsidRPr="005D6746" w:rsidRDefault="00902933" w:rsidP="00902933">
      <w:pPr>
        <w:pStyle w:val="Heading1"/>
      </w:pPr>
      <w:r>
        <w:t>8</w:t>
      </w:r>
      <w:r w:rsidRPr="000A056D">
        <w:tab/>
      </w:r>
      <w:r>
        <w:t>Ateliers de l</w:t>
      </w:r>
      <w:r w:rsidR="007D5428">
        <w:t>’UIT organisés</w:t>
      </w:r>
      <w:r w:rsidR="004F2C83">
        <w:t xml:space="preserve"> par la Commission d’études 1</w:t>
      </w:r>
    </w:p>
    <w:p w:rsidR="00902933" w:rsidRPr="00A56906" w:rsidRDefault="00902933" w:rsidP="007D5428">
      <w:pPr>
        <w:pStyle w:val="enumlev1"/>
        <w:rPr>
          <w:i/>
          <w:iCs/>
        </w:rPr>
      </w:pPr>
      <w:r>
        <w:t>•</w:t>
      </w:r>
      <w:r>
        <w:tab/>
      </w:r>
      <w:r w:rsidR="007D5428" w:rsidRPr="00A56906">
        <w:rPr>
          <w:i/>
          <w:iCs/>
        </w:rPr>
        <w:t>A</w:t>
      </w:r>
      <w:r w:rsidRPr="00A56906">
        <w:rPr>
          <w:i/>
          <w:iCs/>
        </w:rPr>
        <w:t>telier de l'UIT: Aspects de la gestion du spectre relatifs à l’utilisation des espaces blancs par les systèmes de radiocommunication cognitifs (Genève, 20 janvier 2014)</w:t>
      </w:r>
    </w:p>
    <w:p w:rsidR="00902933" w:rsidRPr="00CA79AF" w:rsidRDefault="007D5428" w:rsidP="007D5428">
      <w:pPr>
        <w:rPr>
          <w:szCs w:val="24"/>
          <w:lang w:val="fr-CH" w:eastAsia="ru-RU"/>
        </w:rPr>
      </w:pPr>
      <w:r>
        <w:rPr>
          <w:szCs w:val="24"/>
          <w:lang w:val="fr-CH" w:eastAsia="ru-RU"/>
        </w:rPr>
        <w:t>L’objectif de cet A</w:t>
      </w:r>
      <w:r w:rsidR="00902933" w:rsidRPr="00CA79AF">
        <w:rPr>
          <w:szCs w:val="24"/>
          <w:lang w:val="fr-CH" w:eastAsia="ru-RU"/>
        </w:rPr>
        <w:t xml:space="preserve">telier était de présenter </w:t>
      </w:r>
      <w:r w:rsidR="00902933">
        <w:rPr>
          <w:color w:val="000000"/>
        </w:rPr>
        <w:t>une perspective de haut niveau sur les aspects</w:t>
      </w:r>
      <w:r w:rsidR="00902933" w:rsidRPr="007E57E0">
        <w:t xml:space="preserve"> de la gestion du spectre relatifs à l’utilisation des espaces blancs </w:t>
      </w:r>
      <w:r w:rsidR="00902933" w:rsidRPr="00A4472B">
        <w:rPr>
          <w:szCs w:val="24"/>
          <w:lang w:val="fr-CH" w:eastAsia="ru-RU"/>
        </w:rPr>
        <w:t xml:space="preserve">(WS) </w:t>
      </w:r>
      <w:r w:rsidR="00902933" w:rsidRPr="007E57E0">
        <w:t>par les systèmes de radiocommunication cognitifs</w:t>
      </w:r>
      <w:r w:rsidR="00902933">
        <w:t xml:space="preserve"> </w:t>
      </w:r>
      <w:r w:rsidR="00902933" w:rsidRPr="00A4472B">
        <w:rPr>
          <w:szCs w:val="24"/>
          <w:lang w:val="fr-CH" w:eastAsia="ru-RU"/>
        </w:rPr>
        <w:t>(CRS)</w:t>
      </w:r>
      <w:r w:rsidR="00902933" w:rsidRPr="00CA79AF">
        <w:rPr>
          <w:szCs w:val="24"/>
          <w:lang w:val="fr-CH" w:eastAsia="ru-RU"/>
        </w:rPr>
        <w:t>, compte tenu des résu</w:t>
      </w:r>
      <w:r w:rsidR="004F2C83">
        <w:rPr>
          <w:szCs w:val="24"/>
          <w:lang w:val="fr-CH" w:eastAsia="ru-RU"/>
        </w:rPr>
        <w:t xml:space="preserve">ltats de l’AR-12 et </w:t>
      </w:r>
      <w:r>
        <w:rPr>
          <w:szCs w:val="24"/>
          <w:lang w:val="fr-CH" w:eastAsia="ru-RU"/>
        </w:rPr>
        <w:t>de la CMR-</w:t>
      </w:r>
      <w:r w:rsidR="00902933" w:rsidRPr="00CA79AF">
        <w:rPr>
          <w:szCs w:val="24"/>
          <w:lang w:val="fr-CH" w:eastAsia="ru-RU"/>
        </w:rPr>
        <w:t>12 (</w:t>
      </w:r>
      <w:r>
        <w:rPr>
          <w:szCs w:val="24"/>
          <w:lang w:val="fr-CH" w:eastAsia="ru-RU"/>
        </w:rPr>
        <w:t>p</w:t>
      </w:r>
      <w:r w:rsidR="00FE4074">
        <w:rPr>
          <w:szCs w:val="24"/>
          <w:lang w:val="fr-CH" w:eastAsia="ru-RU"/>
        </w:rPr>
        <w:t>oint 1.</w:t>
      </w:r>
      <w:r w:rsidR="00902933" w:rsidRPr="00CA79AF">
        <w:rPr>
          <w:szCs w:val="24"/>
          <w:lang w:val="fr-CH" w:eastAsia="ru-RU"/>
        </w:rPr>
        <w:t>19 de l’ordre du jour), et notamment de l’approbation de la Recommandation</w:t>
      </w:r>
      <w:r w:rsidR="00902933" w:rsidRPr="00A4472B">
        <w:rPr>
          <w:szCs w:val="24"/>
          <w:lang w:val="fr-CH" w:eastAsia="ru-RU"/>
        </w:rPr>
        <w:t xml:space="preserve"> 76 (</w:t>
      </w:r>
      <w:r w:rsidR="004F2C83">
        <w:rPr>
          <w:szCs w:val="24"/>
          <w:lang w:val="fr-CH" w:eastAsia="ru-RU"/>
        </w:rPr>
        <w:t>CMR</w:t>
      </w:r>
      <w:r w:rsidR="00902933" w:rsidRPr="00A4472B">
        <w:rPr>
          <w:szCs w:val="24"/>
          <w:lang w:val="fr-CH" w:eastAsia="ru-RU"/>
        </w:rPr>
        <w:t>-12)</w:t>
      </w:r>
      <w:r w:rsidR="004F2C83">
        <w:rPr>
          <w:szCs w:val="24"/>
          <w:lang w:val="fr-CH" w:eastAsia="ru-RU"/>
        </w:rPr>
        <w:t xml:space="preserve"> et de la</w:t>
      </w:r>
      <w:r w:rsidR="00902933" w:rsidRPr="00A4472B">
        <w:rPr>
          <w:szCs w:val="24"/>
          <w:lang w:val="fr-CH" w:eastAsia="ru-RU"/>
        </w:rPr>
        <w:t xml:space="preserve"> R</w:t>
      </w:r>
      <w:r>
        <w:rPr>
          <w:szCs w:val="24"/>
          <w:lang w:val="fr-CH" w:eastAsia="ru-RU"/>
        </w:rPr>
        <w:t>é</w:t>
      </w:r>
      <w:r w:rsidR="00902933" w:rsidRPr="00A4472B">
        <w:rPr>
          <w:szCs w:val="24"/>
          <w:lang w:val="fr-CH" w:eastAsia="ru-RU"/>
        </w:rPr>
        <w:t xml:space="preserve">solution </w:t>
      </w:r>
      <w:r w:rsidR="00902933" w:rsidRPr="00CA79AF">
        <w:rPr>
          <w:szCs w:val="24"/>
          <w:lang w:val="fr-CH" w:eastAsia="ru-RU"/>
        </w:rPr>
        <w:t xml:space="preserve">UIT-R </w:t>
      </w:r>
      <w:r w:rsidR="00902933" w:rsidRPr="00A4472B">
        <w:rPr>
          <w:szCs w:val="24"/>
          <w:lang w:val="fr-CH" w:eastAsia="ru-RU"/>
        </w:rPr>
        <w:t>58</w:t>
      </w:r>
      <w:r>
        <w:rPr>
          <w:szCs w:val="24"/>
          <w:lang w:val="fr-CH" w:eastAsia="ru-RU"/>
        </w:rPr>
        <w:t>. Au cours de cet A</w:t>
      </w:r>
      <w:r w:rsidR="00902933" w:rsidRPr="00CA79AF">
        <w:rPr>
          <w:szCs w:val="24"/>
          <w:lang w:val="fr-CH" w:eastAsia="ru-RU"/>
        </w:rPr>
        <w:t>telier, les études ac</w:t>
      </w:r>
      <w:r>
        <w:rPr>
          <w:szCs w:val="24"/>
          <w:lang w:val="fr-CH" w:eastAsia="ru-RU"/>
        </w:rPr>
        <w:t>tuellement effectuées par l’UIT-</w:t>
      </w:r>
      <w:r w:rsidR="00902933" w:rsidRPr="00CA79AF">
        <w:rPr>
          <w:szCs w:val="24"/>
          <w:lang w:val="fr-CH" w:eastAsia="ru-RU"/>
        </w:rPr>
        <w:t xml:space="preserve">R dans ce domaine ont été brièvement présentées et des exposés sur les </w:t>
      </w:r>
      <w:r>
        <w:rPr>
          <w:szCs w:val="24"/>
          <w:lang w:val="fr-CH" w:eastAsia="ru-RU"/>
        </w:rPr>
        <w:t>questions possibles</w:t>
      </w:r>
      <w:r w:rsidR="00902933" w:rsidRPr="00CA79AF">
        <w:rPr>
          <w:szCs w:val="24"/>
          <w:lang w:val="fr-CH" w:eastAsia="ru-RU"/>
        </w:rPr>
        <w:t xml:space="preserve"> indiqué</w:t>
      </w:r>
      <w:r>
        <w:rPr>
          <w:szCs w:val="24"/>
          <w:lang w:val="fr-CH" w:eastAsia="ru-RU"/>
        </w:rPr>
        <w:t>e</w:t>
      </w:r>
      <w:r w:rsidR="00902933" w:rsidRPr="00CA79AF">
        <w:rPr>
          <w:szCs w:val="24"/>
          <w:lang w:val="fr-CH" w:eastAsia="ru-RU"/>
        </w:rPr>
        <w:t>s dans le programme ont été présentés (</w:t>
      </w:r>
      <w:r>
        <w:rPr>
          <w:szCs w:val="24"/>
          <w:lang w:val="fr-CH" w:eastAsia="ru-RU"/>
        </w:rPr>
        <w:t>c</w:t>
      </w:r>
      <w:r w:rsidR="00902933" w:rsidRPr="00CA79AF">
        <w:rPr>
          <w:szCs w:val="24"/>
          <w:lang w:val="fr-CH" w:eastAsia="ru-RU"/>
        </w:rPr>
        <w:t>réation et responsabilité/tenu</w:t>
      </w:r>
      <w:r w:rsidR="00FE4074">
        <w:rPr>
          <w:szCs w:val="24"/>
          <w:lang w:val="fr-CH" w:eastAsia="ru-RU"/>
        </w:rPr>
        <w:t xml:space="preserve">e à jour de la base de données </w:t>
      </w:r>
      <w:r w:rsidR="00902933" w:rsidRPr="00CA79AF">
        <w:rPr>
          <w:szCs w:val="24"/>
          <w:lang w:val="fr-CH" w:eastAsia="ru-RU"/>
        </w:rPr>
        <w:t>sur le spectre/</w:t>
      </w:r>
      <w:r w:rsidR="00902933">
        <w:rPr>
          <w:color w:val="000000"/>
        </w:rPr>
        <w:t xml:space="preserve">de géolocalisation destinée </w:t>
      </w:r>
      <w:r>
        <w:rPr>
          <w:color w:val="000000"/>
        </w:rPr>
        <w:t>à l'usage des</w:t>
      </w:r>
      <w:r w:rsidR="00902933">
        <w:rPr>
          <w:color w:val="000000"/>
        </w:rPr>
        <w:t xml:space="preserve"> dispositifs</w:t>
      </w:r>
      <w:r w:rsidR="00902933" w:rsidRPr="00CA79AF">
        <w:rPr>
          <w:szCs w:val="24"/>
          <w:lang w:val="fr-CH" w:eastAsia="ru-RU"/>
        </w:rPr>
        <w:t xml:space="preserve"> WS; régime d’autorisation/d’octroi </w:t>
      </w:r>
      <w:r w:rsidR="004F2C83">
        <w:rPr>
          <w:szCs w:val="24"/>
          <w:lang w:val="fr-CH" w:eastAsia="ru-RU"/>
        </w:rPr>
        <w:t xml:space="preserve">de licences </w:t>
      </w:r>
      <w:r>
        <w:rPr>
          <w:szCs w:val="24"/>
          <w:lang w:val="fr-CH" w:eastAsia="ru-RU"/>
        </w:rPr>
        <w:t xml:space="preserve">pour les réseaux </w:t>
      </w:r>
      <w:r w:rsidR="00FE4074">
        <w:rPr>
          <w:szCs w:val="24"/>
          <w:lang w:val="fr-CH" w:eastAsia="ru-RU"/>
        </w:rPr>
        <w:t>WS</w:t>
      </w:r>
      <w:r w:rsidR="00902933" w:rsidRPr="00CA79AF">
        <w:rPr>
          <w:szCs w:val="24"/>
          <w:lang w:val="fr-CH" w:eastAsia="ru-RU"/>
        </w:rPr>
        <w:t xml:space="preserve">; iii) </w:t>
      </w:r>
      <w:r>
        <w:rPr>
          <w:szCs w:val="24"/>
          <w:lang w:val="fr-CH" w:eastAsia="ru-RU"/>
        </w:rPr>
        <w:t>p</w:t>
      </w:r>
      <w:r w:rsidR="00902933" w:rsidRPr="00CA79AF">
        <w:rPr>
          <w:szCs w:val="24"/>
          <w:lang w:val="fr-CH" w:eastAsia="ru-RU"/>
        </w:rPr>
        <w:t>rotection des services de radiocommunication existants; iv) coordinat</w:t>
      </w:r>
      <w:r w:rsidR="004F2C83">
        <w:rPr>
          <w:szCs w:val="24"/>
          <w:lang w:val="fr-CH" w:eastAsia="ru-RU"/>
        </w:rPr>
        <w:t>ion dans les zones frontalières</w:t>
      </w:r>
      <w:r w:rsidR="00902933" w:rsidRPr="00CA79AF">
        <w:rPr>
          <w:szCs w:val="24"/>
          <w:lang w:val="fr-CH" w:eastAsia="ru-RU"/>
        </w:rPr>
        <w:t xml:space="preserve">; v) </w:t>
      </w:r>
      <w:r w:rsidR="00FE4074">
        <w:rPr>
          <w:szCs w:val="24"/>
          <w:lang w:val="fr-CH" w:eastAsia="ru-RU"/>
        </w:rPr>
        <w:t>aspects économiques</w:t>
      </w:r>
      <w:r w:rsidR="00902933" w:rsidRPr="00CA79AF">
        <w:rPr>
          <w:szCs w:val="24"/>
          <w:lang w:val="fr-CH" w:eastAsia="ru-RU"/>
        </w:rPr>
        <w:t>/</w:t>
      </w:r>
      <w:r w:rsidR="00902933">
        <w:rPr>
          <w:color w:val="000000"/>
        </w:rPr>
        <w:t>approches commerciales</w:t>
      </w:r>
      <w:r w:rsidR="00902933" w:rsidRPr="00CA79AF">
        <w:rPr>
          <w:szCs w:val="24"/>
          <w:lang w:val="fr-CH" w:eastAsia="ru-RU"/>
        </w:rPr>
        <w:t>, etc.)</w:t>
      </w:r>
      <w:r w:rsidR="00902933" w:rsidRPr="00A4472B">
        <w:rPr>
          <w:szCs w:val="24"/>
          <w:lang w:val="fr-CH" w:eastAsia="ru-RU"/>
        </w:rPr>
        <w:t xml:space="preserve">. </w:t>
      </w:r>
      <w:r w:rsidR="00902933" w:rsidRPr="00CA79AF">
        <w:rPr>
          <w:szCs w:val="24"/>
          <w:lang w:val="fr-CH" w:eastAsia="ru-RU"/>
        </w:rPr>
        <w:t xml:space="preserve">Des </w:t>
      </w:r>
      <w:r w:rsidR="004F2C83">
        <w:rPr>
          <w:color w:val="000000"/>
        </w:rPr>
        <w:t>données d'expérience provenant</w:t>
      </w:r>
      <w:r w:rsidR="00902933">
        <w:rPr>
          <w:color w:val="000000"/>
        </w:rPr>
        <w:t xml:space="preserve"> d'études de cas</w:t>
      </w:r>
      <w:r w:rsidR="00902933" w:rsidRPr="00A4472B">
        <w:rPr>
          <w:szCs w:val="24"/>
          <w:lang w:val="fr-CH" w:eastAsia="ru-RU"/>
        </w:rPr>
        <w:t xml:space="preserve">, </w:t>
      </w:r>
      <w:r w:rsidR="00902933" w:rsidRPr="00CA79AF">
        <w:rPr>
          <w:szCs w:val="24"/>
          <w:lang w:val="fr-CH" w:eastAsia="ru-RU"/>
        </w:rPr>
        <w:t>d’</w:t>
      </w:r>
      <w:r w:rsidR="00902933">
        <w:rPr>
          <w:color w:val="000000"/>
        </w:rPr>
        <w:t>expériences et d’essais</w:t>
      </w:r>
      <w:r w:rsidR="00902933" w:rsidRPr="00A4472B">
        <w:rPr>
          <w:szCs w:val="24"/>
          <w:lang w:val="fr-CH" w:eastAsia="ru-RU"/>
        </w:rPr>
        <w:t xml:space="preserve">, </w:t>
      </w:r>
      <w:r w:rsidR="00902933" w:rsidRPr="00CA79AF">
        <w:rPr>
          <w:szCs w:val="24"/>
          <w:lang w:val="fr-CH" w:eastAsia="ru-RU"/>
        </w:rPr>
        <w:t>concernant notamment cert</w:t>
      </w:r>
      <w:r>
        <w:rPr>
          <w:szCs w:val="24"/>
          <w:lang w:val="fr-CH" w:eastAsia="ru-RU"/>
        </w:rPr>
        <w:t>ains aspects réglementaires et l</w:t>
      </w:r>
      <w:r w:rsidR="00902933" w:rsidRPr="00CA79AF">
        <w:rPr>
          <w:szCs w:val="24"/>
          <w:lang w:val="fr-CH" w:eastAsia="ru-RU"/>
        </w:rPr>
        <w:t xml:space="preserve">es activités régionales, ont également été présentés et ont donné lieu à </w:t>
      </w:r>
      <w:r w:rsidR="00452311">
        <w:rPr>
          <w:szCs w:val="24"/>
          <w:lang w:val="fr-CH" w:eastAsia="ru-RU"/>
        </w:rPr>
        <w:t xml:space="preserve">des échanges de vues fructueux. </w:t>
      </w:r>
      <w:r w:rsidR="00902933" w:rsidRPr="00CA79AF">
        <w:rPr>
          <w:szCs w:val="24"/>
          <w:lang w:val="fr-CH" w:eastAsia="ru-RU"/>
        </w:rPr>
        <w:t xml:space="preserve">Des précisions complémentaires sur cet </w:t>
      </w:r>
      <w:r>
        <w:rPr>
          <w:szCs w:val="24"/>
          <w:lang w:val="fr-CH" w:eastAsia="ru-RU"/>
        </w:rPr>
        <w:t>A</w:t>
      </w:r>
      <w:r w:rsidR="00902933" w:rsidRPr="00CA79AF">
        <w:rPr>
          <w:szCs w:val="24"/>
          <w:lang w:val="fr-CH" w:eastAsia="ru-RU"/>
        </w:rPr>
        <w:t>telier sont accessibles en ligne à l’adresse</w:t>
      </w:r>
      <w:r w:rsidR="00902933" w:rsidRPr="00A4472B">
        <w:rPr>
          <w:szCs w:val="24"/>
          <w:lang w:val="fr-CH" w:eastAsia="ru-RU"/>
        </w:rPr>
        <w:t>:</w:t>
      </w:r>
      <w:r>
        <w:rPr>
          <w:szCs w:val="24"/>
          <w:lang w:val="fr-CH" w:eastAsia="ru-RU"/>
        </w:rPr>
        <w:t xml:space="preserve"> </w:t>
      </w:r>
      <w:hyperlink r:id="rId20" w:history="1">
        <w:r w:rsidR="00902933" w:rsidRPr="00A4472B">
          <w:rPr>
            <w:rStyle w:val="Hyperlink"/>
          </w:rPr>
          <w:t>www.itu.int/go/</w:t>
        </w:r>
        <w:r w:rsidR="00902933">
          <w:rPr>
            <w:rStyle w:val="Hyperlink"/>
          </w:rPr>
          <w:t>UIT-R</w:t>
        </w:r>
        <w:r w:rsidR="00902933" w:rsidRPr="00A4472B">
          <w:rPr>
            <w:rStyle w:val="Hyperlink"/>
          </w:rPr>
          <w:t>/RWP1B-SMWSCRS-14</w:t>
        </w:r>
      </w:hyperlink>
      <w:r w:rsidR="00902933" w:rsidRPr="00CA79AF">
        <w:rPr>
          <w:szCs w:val="24"/>
          <w:lang w:val="fr-CH" w:eastAsia="ru-RU"/>
        </w:rPr>
        <w:t>. L’</w:t>
      </w:r>
      <w:r>
        <w:rPr>
          <w:szCs w:val="24"/>
          <w:lang w:val="fr-CH" w:eastAsia="ru-RU"/>
        </w:rPr>
        <w:t>A</w:t>
      </w:r>
      <w:r w:rsidR="00902933" w:rsidRPr="00CA79AF">
        <w:rPr>
          <w:szCs w:val="24"/>
          <w:lang w:val="fr-CH" w:eastAsia="ru-RU"/>
        </w:rPr>
        <w:t xml:space="preserve">telier a été l’occasion d’engager un débat ouvert sur les questions mentionnées ci-dessus et de procéder à un échange de vues constructif sur les </w:t>
      </w:r>
      <w:r w:rsidR="00FE4074">
        <w:rPr>
          <w:color w:val="000000"/>
        </w:rPr>
        <w:t>options possibles pour l’avenir</w:t>
      </w:r>
      <w:r w:rsidR="00902933" w:rsidRPr="00CA79AF">
        <w:rPr>
          <w:color w:val="000000"/>
          <w:lang w:val="fr-CH"/>
        </w:rPr>
        <w:t>.</w:t>
      </w:r>
      <w:r w:rsidR="00452311">
        <w:rPr>
          <w:color w:val="000000"/>
          <w:lang w:val="fr-CH"/>
        </w:rPr>
        <w:t xml:space="preserve"> On trouvera un résumé dans le </w:t>
      </w:r>
      <w:r w:rsidR="00902933" w:rsidRPr="00CA79AF">
        <w:rPr>
          <w:color w:val="000000"/>
          <w:lang w:val="fr-CH"/>
        </w:rPr>
        <w:t xml:space="preserve">Document </w:t>
      </w:r>
      <w:hyperlink r:id="rId21" w:history="1">
        <w:r w:rsidR="00902933" w:rsidRPr="00CA79AF">
          <w:rPr>
            <w:rStyle w:val="Hyperlink"/>
            <w:lang w:val="fr-CH"/>
          </w:rPr>
          <w:t>1/INFO/4</w:t>
        </w:r>
      </w:hyperlink>
      <w:r w:rsidR="00902933" w:rsidRPr="00CA79AF">
        <w:rPr>
          <w:color w:val="000000"/>
          <w:lang w:val="fr-CH"/>
        </w:rPr>
        <w:t>.</w:t>
      </w:r>
    </w:p>
    <w:p w:rsidR="00902933" w:rsidRPr="00FE4074" w:rsidRDefault="00902933" w:rsidP="00902933">
      <w:pPr>
        <w:pStyle w:val="enumlev1"/>
        <w:rPr>
          <w:i/>
          <w:iCs/>
        </w:rPr>
      </w:pPr>
      <w:r>
        <w:t>•</w:t>
      </w:r>
      <w:r>
        <w:tab/>
      </w:r>
      <w:r w:rsidRPr="00FE4074">
        <w:rPr>
          <w:i/>
          <w:iCs/>
        </w:rPr>
        <w:t xml:space="preserve">Atelier de l’UIT sur </w:t>
      </w:r>
      <w:r w:rsidRPr="00FE4074">
        <w:rPr>
          <w:i/>
          <w:iCs/>
          <w:color w:val="000000"/>
        </w:rPr>
        <w:t>les dispositifs à courte portée et les dispositifs à ultra large bande.</w:t>
      </w:r>
      <w:r w:rsidR="00452311" w:rsidRPr="00FE4074">
        <w:rPr>
          <w:i/>
          <w:iCs/>
        </w:rPr>
        <w:t xml:space="preserve"> </w:t>
      </w:r>
      <w:r w:rsidRPr="00FE4074">
        <w:rPr>
          <w:i/>
          <w:iCs/>
        </w:rPr>
        <w:t>(3 juin 2014)</w:t>
      </w:r>
    </w:p>
    <w:p w:rsidR="00902933" w:rsidRPr="00CA79AF" w:rsidRDefault="00902933" w:rsidP="007D5428">
      <w:pPr>
        <w:rPr>
          <w:szCs w:val="24"/>
          <w:lang w:val="fr-CH" w:eastAsia="ru-RU"/>
        </w:rPr>
      </w:pPr>
      <w:r w:rsidRPr="00CA79AF">
        <w:rPr>
          <w:szCs w:val="24"/>
          <w:lang w:val="fr-CH" w:eastAsia="ru-RU"/>
        </w:rPr>
        <w:t xml:space="preserve">Étant donné qu’il est indispensable d’harmoniser </w:t>
      </w:r>
      <w:r>
        <w:t>l'utilisation du spectre pour optimiser le rendement et l'efficacité des dispositifs à courte portée (SRD) en vue de leur adoption à l'échelle mondiale, afin de faire face à la croissance explosive et à la</w:t>
      </w:r>
      <w:r w:rsidR="007D5428">
        <w:t xml:space="preserve"> multiplication transfrontière </w:t>
      </w:r>
      <w:r>
        <w:t>des dispositifs</w:t>
      </w:r>
      <w:r w:rsidR="007D5428">
        <w:t xml:space="preserve"> de radiocommunication</w:t>
      </w:r>
      <w:r>
        <w:t xml:space="preserve"> à courte portée (SRD)</w:t>
      </w:r>
      <w:r w:rsidR="007D5428">
        <w:t xml:space="preserve"> compte tenu</w:t>
      </w:r>
      <w:r>
        <w:t xml:space="preserve"> notamment </w:t>
      </w:r>
      <w:r w:rsidR="007D5428">
        <w:t>de</w:t>
      </w:r>
      <w:r>
        <w:t xml:space="preserve"> l’adoption à l’échelle mondiale des dispositifs à ultra large bande</w:t>
      </w:r>
      <w:r w:rsidRPr="00A4472B">
        <w:rPr>
          <w:szCs w:val="24"/>
          <w:lang w:val="fr-CH" w:eastAsia="ru-RU"/>
        </w:rPr>
        <w:t xml:space="preserve"> (UWB)</w:t>
      </w:r>
      <w:r w:rsidR="007D5428">
        <w:rPr>
          <w:szCs w:val="24"/>
          <w:lang w:val="fr-CH" w:eastAsia="ru-RU"/>
        </w:rPr>
        <w:t xml:space="preserve">, et pour </w:t>
      </w:r>
      <w:r w:rsidRPr="00CA79AF">
        <w:rPr>
          <w:szCs w:val="24"/>
          <w:lang w:val="fr-CH" w:eastAsia="ru-RU"/>
        </w:rPr>
        <w:t xml:space="preserve">encourager l’utilisation organisée des techniques disponibles les plus récentes </w:t>
      </w:r>
      <w:r w:rsidR="00452311">
        <w:rPr>
          <w:szCs w:val="24"/>
          <w:lang w:val="fr-CH" w:eastAsia="ru-RU"/>
        </w:rPr>
        <w:t xml:space="preserve">et </w:t>
      </w:r>
      <w:r w:rsidR="007D5428">
        <w:rPr>
          <w:szCs w:val="24"/>
          <w:lang w:val="fr-CH" w:eastAsia="ru-RU"/>
        </w:rPr>
        <w:t>en tirer pleinement parti</w:t>
      </w:r>
      <w:r w:rsidRPr="00CA79AF">
        <w:rPr>
          <w:szCs w:val="24"/>
          <w:lang w:val="fr-CH" w:eastAsia="ru-RU"/>
        </w:rPr>
        <w:t xml:space="preserve">, </w:t>
      </w:r>
      <w:r w:rsidR="007D5428">
        <w:rPr>
          <w:szCs w:val="24"/>
          <w:lang w:val="fr-CH" w:eastAsia="ru-RU"/>
        </w:rPr>
        <w:t>l’objectif de l’A</w:t>
      </w:r>
      <w:r w:rsidRPr="00CA79AF">
        <w:rPr>
          <w:szCs w:val="24"/>
          <w:lang w:val="fr-CH" w:eastAsia="ru-RU"/>
        </w:rPr>
        <w:t>teli</w:t>
      </w:r>
      <w:r w:rsidR="00452311">
        <w:rPr>
          <w:szCs w:val="24"/>
          <w:lang w:val="fr-CH" w:eastAsia="ru-RU"/>
        </w:rPr>
        <w:t xml:space="preserve">er était de mettre en évidence </w:t>
      </w:r>
      <w:r w:rsidRPr="00CA79AF">
        <w:rPr>
          <w:szCs w:val="24"/>
          <w:lang w:val="fr-CH" w:eastAsia="ru-RU"/>
        </w:rPr>
        <w:t xml:space="preserve">les parties du spectre susceptibles de faire l’objet d’une </w:t>
      </w:r>
      <w:r w:rsidR="00452311">
        <w:rPr>
          <w:szCs w:val="24"/>
          <w:lang w:val="fr-CH" w:eastAsia="ru-RU"/>
        </w:rPr>
        <w:t>harmonisation au niveau mondial</w:t>
      </w:r>
      <w:r w:rsidRPr="00CA79AF">
        <w:rPr>
          <w:szCs w:val="24"/>
          <w:lang w:val="fr-CH" w:eastAsia="ru-RU"/>
        </w:rPr>
        <w:t xml:space="preserve"> ou </w:t>
      </w:r>
      <w:r w:rsidR="00881CFA" w:rsidRPr="00CA79AF">
        <w:rPr>
          <w:szCs w:val="24"/>
          <w:lang w:val="fr-CH" w:eastAsia="ru-RU"/>
        </w:rPr>
        <w:t>régional</w:t>
      </w:r>
      <w:r w:rsidRPr="00CA79AF">
        <w:rPr>
          <w:szCs w:val="24"/>
          <w:lang w:val="fr-CH" w:eastAsia="ru-RU"/>
        </w:rPr>
        <w:t>, pour faciliter l’adoption, au niveau mondial, des applications SRD et des techn</w:t>
      </w:r>
      <w:r w:rsidR="007D5428">
        <w:rPr>
          <w:szCs w:val="24"/>
          <w:lang w:val="fr-CH" w:eastAsia="ru-RU"/>
        </w:rPr>
        <w:t>ologies qui leur sont associées. L’A</w:t>
      </w:r>
      <w:r w:rsidRPr="00CA79AF">
        <w:rPr>
          <w:szCs w:val="24"/>
          <w:lang w:val="fr-CH" w:eastAsia="ru-RU"/>
        </w:rPr>
        <w:t>telier a été l’occasion de</w:t>
      </w:r>
      <w:r w:rsidR="00452311">
        <w:rPr>
          <w:szCs w:val="24"/>
          <w:lang w:val="fr-CH" w:eastAsia="ru-RU"/>
        </w:rPr>
        <w:t xml:space="preserve"> présenter brièvement le cadre </w:t>
      </w:r>
      <w:r w:rsidRPr="00CA79AF">
        <w:rPr>
          <w:szCs w:val="24"/>
          <w:lang w:val="fr-CH" w:eastAsia="ru-RU"/>
        </w:rPr>
        <w:t xml:space="preserve">UIT-R des études menées sur ces questions (notamment la Résolution UIT-R </w:t>
      </w:r>
      <w:r w:rsidRPr="00A4472B">
        <w:rPr>
          <w:szCs w:val="24"/>
          <w:lang w:val="fr-CH" w:eastAsia="ru-RU"/>
        </w:rPr>
        <w:lastRenderedPageBreak/>
        <w:t>54-1),</w:t>
      </w:r>
      <w:r w:rsidRPr="00CA79AF">
        <w:rPr>
          <w:szCs w:val="24"/>
          <w:lang w:val="fr-CH" w:eastAsia="ru-RU"/>
        </w:rPr>
        <w:t xml:space="preserve"> d’examiner l'état d'avancement de l'harmonisation des dispositifs </w:t>
      </w:r>
      <w:r w:rsidRPr="00A4472B">
        <w:rPr>
          <w:szCs w:val="24"/>
          <w:lang w:val="fr-CH" w:eastAsia="ru-RU"/>
        </w:rPr>
        <w:t>SRD</w:t>
      </w:r>
      <w:r w:rsidRPr="00CA79AF">
        <w:rPr>
          <w:szCs w:val="24"/>
          <w:lang w:val="fr-CH" w:eastAsia="ru-RU"/>
        </w:rPr>
        <w:t xml:space="preserve"> dans le monde,</w:t>
      </w:r>
      <w:r w:rsidRPr="00A4472B">
        <w:rPr>
          <w:szCs w:val="24"/>
          <w:lang w:val="fr-CH" w:eastAsia="ru-RU"/>
        </w:rPr>
        <w:t xml:space="preserve"> </w:t>
      </w:r>
      <w:r w:rsidRPr="00CA79AF">
        <w:rPr>
          <w:szCs w:val="24"/>
          <w:lang w:val="fr-CH" w:eastAsia="ru-RU"/>
        </w:rPr>
        <w:t>de faire le point</w:t>
      </w:r>
      <w:r w:rsidR="00452311">
        <w:rPr>
          <w:szCs w:val="24"/>
          <w:lang w:val="fr-CH" w:eastAsia="ru-RU"/>
        </w:rPr>
        <w:t xml:space="preserve"> des études menées par l’UIT-R,</w:t>
      </w:r>
      <w:r w:rsidRPr="00CA79AF">
        <w:rPr>
          <w:szCs w:val="24"/>
          <w:lang w:val="fr-CH" w:eastAsia="ru-RU"/>
        </w:rPr>
        <w:t xml:space="preserve"> de présenter quelques exemples de dispositifs </w:t>
      </w:r>
      <w:r w:rsidRPr="00A4472B">
        <w:rPr>
          <w:szCs w:val="24"/>
          <w:lang w:val="fr-CH" w:eastAsia="ru-RU"/>
        </w:rPr>
        <w:t>SRD</w:t>
      </w:r>
      <w:r w:rsidRPr="00CA79AF">
        <w:rPr>
          <w:szCs w:val="24"/>
          <w:lang w:val="fr-CH" w:eastAsia="ru-RU"/>
        </w:rPr>
        <w:t xml:space="preserve"> spécifiques, en vue d’une harmonisation à l’échelle régionale ou mondiale, et de donner un aperçu de </w:t>
      </w:r>
      <w:r>
        <w:t>l'évolution récente et des nouvelles études entreprises en ce qui concerne les</w:t>
      </w:r>
      <w:r w:rsidRPr="00CA79AF">
        <w:rPr>
          <w:szCs w:val="24"/>
          <w:lang w:val="fr-CH" w:eastAsia="ru-RU"/>
        </w:rPr>
        <w:t xml:space="preserve"> dispositifs</w:t>
      </w:r>
      <w:r>
        <w:t xml:space="preserve"> </w:t>
      </w:r>
      <w:r w:rsidRPr="00A4472B">
        <w:rPr>
          <w:szCs w:val="24"/>
          <w:lang w:val="fr-CH" w:eastAsia="ru-RU"/>
        </w:rPr>
        <w:t xml:space="preserve">UWB </w:t>
      </w:r>
      <w:r w:rsidRPr="00CA79AF">
        <w:rPr>
          <w:szCs w:val="24"/>
          <w:lang w:val="fr-CH" w:eastAsia="ru-RU"/>
        </w:rPr>
        <w:t xml:space="preserve">et </w:t>
      </w:r>
      <w:r w:rsidRPr="00A4472B">
        <w:rPr>
          <w:szCs w:val="24"/>
          <w:lang w:val="fr-CH" w:eastAsia="ru-RU"/>
        </w:rPr>
        <w:t>RFID</w:t>
      </w:r>
      <w:r w:rsidRPr="00CA79AF">
        <w:rPr>
          <w:szCs w:val="24"/>
          <w:lang w:val="fr-CH" w:eastAsia="ru-RU"/>
        </w:rPr>
        <w:t>. Les renseignemen</w:t>
      </w:r>
      <w:r w:rsidR="007D5428">
        <w:rPr>
          <w:szCs w:val="24"/>
          <w:lang w:val="fr-CH" w:eastAsia="ru-RU"/>
        </w:rPr>
        <w:t>ts présentés à l’occasion de l’A</w:t>
      </w:r>
      <w:r w:rsidRPr="00CA79AF">
        <w:rPr>
          <w:szCs w:val="24"/>
          <w:lang w:val="fr-CH" w:eastAsia="ru-RU"/>
        </w:rPr>
        <w:t>telier ainsi que les points de vue échangés, les observations, les mesures restrictives et les suggestions formulées à l’</w:t>
      </w:r>
      <w:r w:rsidR="007D5428">
        <w:rPr>
          <w:szCs w:val="24"/>
          <w:lang w:val="fr-CH" w:eastAsia="ru-RU"/>
        </w:rPr>
        <w:t xml:space="preserve">occasion des débats, qui ont été </w:t>
      </w:r>
      <w:r w:rsidRPr="00CA79AF">
        <w:rPr>
          <w:szCs w:val="24"/>
          <w:lang w:val="fr-CH" w:eastAsia="ru-RU"/>
        </w:rPr>
        <w:t>constructifs</w:t>
      </w:r>
      <w:r w:rsidR="007D5428">
        <w:rPr>
          <w:szCs w:val="24"/>
          <w:lang w:val="fr-CH" w:eastAsia="ru-RU"/>
        </w:rPr>
        <w:t>,</w:t>
      </w:r>
      <w:r w:rsidRPr="00CA79AF">
        <w:rPr>
          <w:szCs w:val="24"/>
          <w:lang w:val="fr-CH" w:eastAsia="ru-RU"/>
        </w:rPr>
        <w:t xml:space="preserve"> ont été étudiés pl</w:t>
      </w:r>
      <w:r w:rsidR="00452311">
        <w:rPr>
          <w:szCs w:val="24"/>
          <w:lang w:val="fr-CH" w:eastAsia="ru-RU"/>
        </w:rPr>
        <w:t>us avant dans le cadre du GT 1B</w:t>
      </w:r>
      <w:r w:rsidRPr="00CA79AF">
        <w:rPr>
          <w:szCs w:val="24"/>
          <w:lang w:val="fr-CH" w:eastAsia="ru-RU"/>
        </w:rPr>
        <w:t>, selon les besoins. On trouv</w:t>
      </w:r>
      <w:r w:rsidR="007D5428">
        <w:rPr>
          <w:szCs w:val="24"/>
          <w:lang w:val="fr-CH" w:eastAsia="ru-RU"/>
        </w:rPr>
        <w:t>era plus de précisions sur cet A</w:t>
      </w:r>
      <w:r w:rsidR="00452311">
        <w:rPr>
          <w:szCs w:val="24"/>
          <w:lang w:val="fr-CH" w:eastAsia="ru-RU"/>
        </w:rPr>
        <w:t>telier en ligne, à l’adresse</w:t>
      </w:r>
      <w:r w:rsidRPr="00A4472B">
        <w:rPr>
          <w:szCs w:val="24"/>
          <w:lang w:val="fr-CH" w:eastAsia="ru-RU"/>
        </w:rPr>
        <w:t xml:space="preserve">: </w:t>
      </w:r>
      <w:hyperlink r:id="rId22" w:history="1">
        <w:r w:rsidRPr="00A4472B">
          <w:rPr>
            <w:rStyle w:val="Hyperlink"/>
            <w:szCs w:val="24"/>
            <w:lang w:val="fr-CH" w:eastAsia="ru-RU"/>
          </w:rPr>
          <w:t>www.itu.int/go/</w:t>
        </w:r>
        <w:r w:rsidRPr="00CA79AF">
          <w:rPr>
            <w:rStyle w:val="Hyperlink"/>
            <w:szCs w:val="24"/>
            <w:lang w:val="fr-CH" w:eastAsia="ru-RU"/>
          </w:rPr>
          <w:t>UIT-R</w:t>
        </w:r>
        <w:r w:rsidRPr="00A4472B">
          <w:rPr>
            <w:rStyle w:val="Hyperlink"/>
            <w:szCs w:val="24"/>
            <w:lang w:val="fr-CH" w:eastAsia="ru-RU"/>
          </w:rPr>
          <w:t>/RWP1B-SRD-UWB-14</w:t>
        </w:r>
      </w:hyperlink>
      <w:r w:rsidRPr="00A4472B">
        <w:rPr>
          <w:szCs w:val="24"/>
          <w:lang w:val="fr-CH" w:eastAsia="ru-RU"/>
        </w:rPr>
        <w:t>.</w:t>
      </w:r>
    </w:p>
    <w:p w:rsidR="00902933" w:rsidRDefault="00902933" w:rsidP="00902933">
      <w:pPr>
        <w:pStyle w:val="Heading1"/>
        <w:rPr>
          <w:lang w:val="fr-CH"/>
        </w:rPr>
      </w:pPr>
      <w:r>
        <w:rPr>
          <w:lang w:val="fr-CH"/>
        </w:rPr>
        <w:t>9</w:t>
      </w:r>
      <w:r>
        <w:rPr>
          <w:lang w:val="fr-CH"/>
        </w:rPr>
        <w:tab/>
        <w:t>Liaison avec d'autres groupes</w:t>
      </w:r>
    </w:p>
    <w:p w:rsidR="00902933" w:rsidRDefault="00902933" w:rsidP="00881CFA">
      <w:pPr>
        <w:rPr>
          <w:lang w:val="fr-CH"/>
        </w:rPr>
      </w:pPr>
      <w:r>
        <w:rPr>
          <w:lang w:val="fr-CH"/>
        </w:rPr>
        <w:t>Outre les activités normales de liaison avec les Commissions d'études, les Groupes de travail et les autres groupes du Secteur des radiocommunications de l'UIT qu'elle mène de façon ponctuelle, la CE 1 travaille en coopération constante sur différentes questions avec le Secteur du développement des télécommunications, le Secteur de la norma</w:t>
      </w:r>
      <w:r w:rsidR="008A2DBF">
        <w:rPr>
          <w:lang w:val="fr-CH"/>
        </w:rPr>
        <w:t>lisation des télécommunications</w:t>
      </w:r>
      <w:r>
        <w:rPr>
          <w:lang w:val="fr-CH"/>
        </w:rPr>
        <w:t xml:space="preserve">, le Comité international spécial des perturbations radioélectriques ainsi qu’avec un certain nombre d’organisations </w:t>
      </w:r>
      <w:r>
        <w:rPr>
          <w:color w:val="000000"/>
        </w:rPr>
        <w:t>extérieures</w:t>
      </w:r>
      <w:r w:rsidR="008A2DBF">
        <w:rPr>
          <w:color w:val="000000"/>
        </w:rPr>
        <w:t>.</w:t>
      </w:r>
    </w:p>
    <w:p w:rsidR="00902933" w:rsidRDefault="00881CFA" w:rsidP="00902933">
      <w:pPr>
        <w:pStyle w:val="Heading2"/>
        <w:rPr>
          <w:lang w:val="fr-CH"/>
        </w:rPr>
      </w:pPr>
      <w:r>
        <w:rPr>
          <w:lang w:val="fr-CH"/>
        </w:rPr>
        <w:t>9</w:t>
      </w:r>
      <w:r w:rsidR="00902933">
        <w:rPr>
          <w:lang w:val="fr-CH"/>
        </w:rPr>
        <w:t>.1</w:t>
      </w:r>
      <w:r w:rsidR="00902933">
        <w:rPr>
          <w:lang w:val="fr-CH"/>
        </w:rPr>
        <w:tab/>
        <w:t xml:space="preserve">Secteur du développement des </w:t>
      </w:r>
      <w:r w:rsidR="00902933" w:rsidRPr="00B90D64">
        <w:rPr>
          <w:lang w:val="fr-CH"/>
        </w:rPr>
        <w:t>télécommunication</w:t>
      </w:r>
      <w:r w:rsidR="00902933">
        <w:rPr>
          <w:lang w:val="fr-CH"/>
        </w:rPr>
        <w:t>s de l'UIT (UIT</w:t>
      </w:r>
      <w:r w:rsidR="00902933">
        <w:rPr>
          <w:lang w:val="fr-CH"/>
        </w:rPr>
        <w:noBreakHyphen/>
        <w:t>D)</w:t>
      </w:r>
    </w:p>
    <w:p w:rsidR="00902933" w:rsidRDefault="00902933" w:rsidP="00FE4074">
      <w:pPr>
        <w:rPr>
          <w:lang w:val="fr-CH"/>
        </w:rPr>
      </w:pPr>
      <w:r>
        <w:rPr>
          <w:lang w:val="fr-CH"/>
        </w:rPr>
        <w:t>Afin de faciliter la gestion du spectre, principalement dans les pays en développement, la Commission d’</w:t>
      </w:r>
      <w:r w:rsidR="00654EA4">
        <w:rPr>
          <w:lang w:val="fr-CH"/>
        </w:rPr>
        <w:t xml:space="preserve">études 1 </w:t>
      </w:r>
      <w:r>
        <w:rPr>
          <w:lang w:val="fr-CH"/>
        </w:rPr>
        <w:t>continue de coopérer avec la Commission d'études 2 de l'UIT-D (avan</w:t>
      </w:r>
      <w:r w:rsidR="00654EA4">
        <w:rPr>
          <w:lang w:val="fr-CH"/>
        </w:rPr>
        <w:t xml:space="preserve">t la CMDT–14) et la Commission </w:t>
      </w:r>
      <w:r>
        <w:rPr>
          <w:lang w:val="fr-CH"/>
        </w:rPr>
        <w:t>d’études 1 de l’UIT</w:t>
      </w:r>
      <w:r w:rsidR="00FE4074">
        <w:rPr>
          <w:lang w:val="fr-CH"/>
        </w:rPr>
        <w:noBreakHyphen/>
        <w:t>D (depuis la CMDT</w:t>
      </w:r>
      <w:r>
        <w:rPr>
          <w:lang w:val="fr-CH"/>
        </w:rPr>
        <w:t>–14) dans le cadre de la Résolution 9 de l'UIT-D «</w:t>
      </w:r>
      <w:r w:rsidRPr="00A218A4">
        <w:rPr>
          <w:i/>
          <w:iCs/>
          <w:lang w:val="fr-CH"/>
        </w:rPr>
        <w:t>Participation des pays, en particulier des pays en dévelop</w:t>
      </w:r>
      <w:r>
        <w:rPr>
          <w:i/>
          <w:iCs/>
          <w:lang w:val="fr-CH"/>
        </w:rPr>
        <w:t xml:space="preserve">pement, </w:t>
      </w:r>
      <w:r w:rsidRPr="00A218A4">
        <w:rPr>
          <w:i/>
          <w:iCs/>
          <w:lang w:val="fr-CH"/>
        </w:rPr>
        <w:t>à la gestion du spectre radioélectrique</w:t>
      </w:r>
      <w:r>
        <w:rPr>
          <w:i/>
          <w:iCs/>
          <w:lang w:val="fr-CH"/>
        </w:rPr>
        <w:t>»,</w:t>
      </w:r>
      <w:r>
        <w:rPr>
          <w:lang w:val="fr-CH"/>
        </w:rPr>
        <w:t xml:space="preserve"> que la Conférence mondiale de développement des télécommunicatio</w:t>
      </w:r>
      <w:r w:rsidR="00654EA4">
        <w:rPr>
          <w:lang w:val="fr-CH"/>
        </w:rPr>
        <w:t>ns de 2014</w:t>
      </w:r>
      <w:r w:rsidR="00FE4074">
        <w:rPr>
          <w:lang w:val="fr-CH"/>
        </w:rPr>
        <w:t xml:space="preserve"> (CMDT-14) (</w:t>
      </w:r>
      <w:r w:rsidR="00C4409C">
        <w:rPr>
          <w:lang w:val="fr-CH"/>
        </w:rPr>
        <w:t>Dubaï</w:t>
      </w:r>
      <w:r w:rsidR="00654EA4">
        <w:rPr>
          <w:lang w:val="fr-CH"/>
        </w:rPr>
        <w:t xml:space="preserve">) a </w:t>
      </w:r>
      <w:r>
        <w:rPr>
          <w:lang w:val="fr-CH"/>
        </w:rPr>
        <w:t>révisée.</w:t>
      </w:r>
    </w:p>
    <w:p w:rsidR="00902933" w:rsidRPr="008253A6" w:rsidRDefault="00902933" w:rsidP="00881CFA">
      <w:pPr>
        <w:jc w:val="both"/>
      </w:pPr>
      <w:r>
        <w:t>Au cours de la période d’études</w:t>
      </w:r>
      <w:r w:rsidR="00881CFA">
        <w:t xml:space="preserve"> considérée</w:t>
      </w:r>
      <w:r>
        <w:t>, le</w:t>
      </w:r>
      <w:r w:rsidRPr="001F7081">
        <w:rPr>
          <w:color w:val="000000"/>
        </w:rPr>
        <w:t xml:space="preserve"> </w:t>
      </w:r>
      <w:r>
        <w:rPr>
          <w:color w:val="000000"/>
        </w:rPr>
        <w:t xml:space="preserve">Groupe mixte UIT-D/UIT-R sur la Résolution 9 </w:t>
      </w:r>
      <w:r>
        <w:t>a tenu six réunions à</w:t>
      </w:r>
      <w:r w:rsidR="0031437E">
        <w:t xml:space="preserve"> Genève, aux dates suivantes</w:t>
      </w:r>
      <w:r w:rsidR="00654EA4">
        <w:t>:</w:t>
      </w:r>
    </w:p>
    <w:p w:rsidR="00902933" w:rsidRPr="008253A6" w:rsidRDefault="00902933" w:rsidP="00902933">
      <w:pPr>
        <w:pStyle w:val="enumlev1"/>
        <w:tabs>
          <w:tab w:val="clear" w:pos="1134"/>
          <w:tab w:val="clear" w:pos="1871"/>
        </w:tabs>
        <w:ind w:left="1985" w:hanging="1985"/>
      </w:pPr>
      <w:r w:rsidRPr="008253A6">
        <w:rPr>
          <w:i/>
          <w:iCs/>
        </w:rPr>
        <w:t>(</w:t>
      </w:r>
      <w:r w:rsidR="00FE4074">
        <w:rPr>
          <w:i/>
          <w:iCs/>
        </w:rPr>
        <w:t>avant la CMDT</w:t>
      </w:r>
      <w:r w:rsidRPr="008253A6">
        <w:rPr>
          <w:i/>
          <w:iCs/>
        </w:rPr>
        <w:t>-14)</w:t>
      </w:r>
      <w:r w:rsidRPr="008253A6">
        <w:tab/>
        <w:t xml:space="preserve">21 </w:t>
      </w:r>
      <w:r>
        <w:t>s</w:t>
      </w:r>
      <w:r w:rsidRPr="008253A6">
        <w:t>eptemb</w:t>
      </w:r>
      <w:r>
        <w:t>re</w:t>
      </w:r>
      <w:r w:rsidRPr="008253A6">
        <w:t xml:space="preserve"> 2012,</w:t>
      </w:r>
      <w:r w:rsidR="00881CFA">
        <w:t xml:space="preserve"> pendant la réunion de la CE</w:t>
      </w:r>
      <w:r w:rsidRPr="008253A6">
        <w:t xml:space="preserve"> </w:t>
      </w:r>
      <w:r w:rsidRPr="00CA79AF">
        <w:rPr>
          <w:lang w:val="fr-CH"/>
        </w:rPr>
        <w:t>2 de l’</w:t>
      </w:r>
      <w:r>
        <w:t>UIT-D</w:t>
      </w:r>
      <w:r w:rsidRPr="008253A6">
        <w:t>;</w:t>
      </w:r>
    </w:p>
    <w:p w:rsidR="00902933" w:rsidRPr="008253A6" w:rsidRDefault="00902933" w:rsidP="00902933">
      <w:pPr>
        <w:pStyle w:val="enumlev1"/>
        <w:tabs>
          <w:tab w:val="clear" w:pos="1134"/>
          <w:tab w:val="clear" w:pos="1871"/>
        </w:tabs>
        <w:ind w:left="1985" w:hanging="1985"/>
      </w:pPr>
      <w:r w:rsidRPr="008253A6">
        <w:tab/>
      </w:r>
      <w:r w:rsidR="00FE4074">
        <w:tab/>
      </w:r>
      <w:r w:rsidRPr="008253A6">
        <w:t>13 Ju</w:t>
      </w:r>
      <w:r>
        <w:t>in</w:t>
      </w:r>
      <w:r w:rsidRPr="008253A6">
        <w:t xml:space="preserve"> 2013,</w:t>
      </w:r>
      <w:r w:rsidRPr="00CA79AF">
        <w:rPr>
          <w:lang w:val="fr-CH"/>
        </w:rPr>
        <w:t xml:space="preserve"> immédiatement après </w:t>
      </w:r>
      <w:r>
        <w:t xml:space="preserve">la réunion de la CE </w:t>
      </w:r>
      <w:r w:rsidRPr="00CA79AF">
        <w:rPr>
          <w:lang w:val="fr-CH"/>
        </w:rPr>
        <w:t>1 de l’</w:t>
      </w:r>
      <w:r w:rsidR="00881CFA">
        <w:t>UIT-R</w:t>
      </w:r>
      <w:r w:rsidRPr="008253A6">
        <w:t>;</w:t>
      </w:r>
    </w:p>
    <w:p w:rsidR="00902933" w:rsidRPr="008253A6" w:rsidRDefault="00902933" w:rsidP="00902933">
      <w:pPr>
        <w:pStyle w:val="enumlev1"/>
        <w:tabs>
          <w:tab w:val="clear" w:pos="1134"/>
          <w:tab w:val="clear" w:pos="1871"/>
        </w:tabs>
        <w:ind w:left="1985" w:hanging="1985"/>
      </w:pPr>
      <w:r w:rsidRPr="008253A6">
        <w:tab/>
      </w:r>
      <w:r w:rsidR="00FE4074">
        <w:tab/>
      </w:r>
      <w:r w:rsidRPr="008253A6">
        <w:t xml:space="preserve">19 </w:t>
      </w:r>
      <w:r>
        <w:t>s</w:t>
      </w:r>
      <w:r w:rsidRPr="008253A6">
        <w:t>eptemb</w:t>
      </w:r>
      <w:r>
        <w:t>re</w:t>
      </w:r>
      <w:r w:rsidRPr="008253A6">
        <w:t xml:space="preserve"> 2013,</w:t>
      </w:r>
      <w:r w:rsidRPr="00CA79AF">
        <w:rPr>
          <w:lang w:val="fr-CH"/>
        </w:rPr>
        <w:t xml:space="preserve"> </w:t>
      </w:r>
      <w:r>
        <w:t xml:space="preserve">pendant la réunion de la CE </w:t>
      </w:r>
      <w:r w:rsidRPr="00CA79AF">
        <w:rPr>
          <w:lang w:val="fr-CH"/>
        </w:rPr>
        <w:t>2 de l’</w:t>
      </w:r>
      <w:r>
        <w:t>UIT-D</w:t>
      </w:r>
      <w:r w:rsidRPr="008253A6">
        <w:t>;</w:t>
      </w:r>
    </w:p>
    <w:p w:rsidR="00902933" w:rsidRPr="008253A6" w:rsidRDefault="00902933" w:rsidP="00881CFA">
      <w:pPr>
        <w:pStyle w:val="enumlev1"/>
        <w:tabs>
          <w:tab w:val="clear" w:pos="1134"/>
          <w:tab w:val="clear" w:pos="1871"/>
        </w:tabs>
        <w:ind w:left="1985" w:hanging="1985"/>
      </w:pPr>
      <w:r>
        <w:rPr>
          <w:i/>
          <w:iCs/>
        </w:rPr>
        <w:t>(depuis la</w:t>
      </w:r>
      <w:r w:rsidRPr="008253A6">
        <w:rPr>
          <w:i/>
          <w:iCs/>
        </w:rPr>
        <w:t xml:space="preserve"> </w:t>
      </w:r>
      <w:r w:rsidR="00FE4074">
        <w:rPr>
          <w:i/>
          <w:iCs/>
        </w:rPr>
        <w:t>CMDT</w:t>
      </w:r>
      <w:r w:rsidRPr="008253A6">
        <w:rPr>
          <w:i/>
          <w:iCs/>
        </w:rPr>
        <w:t>-14)</w:t>
      </w:r>
      <w:r w:rsidRPr="008253A6">
        <w:tab/>
        <w:t xml:space="preserve">18 </w:t>
      </w:r>
      <w:r>
        <w:t>s</w:t>
      </w:r>
      <w:r w:rsidRPr="008253A6">
        <w:t>eptemb</w:t>
      </w:r>
      <w:r>
        <w:t>re</w:t>
      </w:r>
      <w:r w:rsidRPr="008253A6">
        <w:t xml:space="preserve"> 2014,</w:t>
      </w:r>
      <w:r w:rsidRPr="001967C6">
        <w:t xml:space="preserve"> </w:t>
      </w:r>
      <w:r>
        <w:t xml:space="preserve">pendant la réunion de la CE </w:t>
      </w:r>
      <w:r w:rsidRPr="00CA79AF">
        <w:rPr>
          <w:lang w:val="fr-CH"/>
        </w:rPr>
        <w:t>1 de l’</w:t>
      </w:r>
      <w:r w:rsidR="00654EA4">
        <w:t>UIT-D</w:t>
      </w:r>
      <w:r w:rsidRPr="008253A6">
        <w:t>;</w:t>
      </w:r>
    </w:p>
    <w:p w:rsidR="00902933" w:rsidRPr="008253A6" w:rsidRDefault="00902933" w:rsidP="00FE4074">
      <w:pPr>
        <w:pStyle w:val="enumlev1"/>
        <w:tabs>
          <w:tab w:val="clear" w:pos="1134"/>
          <w:tab w:val="clear" w:pos="1871"/>
        </w:tabs>
        <w:ind w:left="2608" w:hanging="2608"/>
      </w:pPr>
      <w:r w:rsidRPr="008253A6">
        <w:tab/>
        <w:t xml:space="preserve">20 </w:t>
      </w:r>
      <w:r>
        <w:t>av</w:t>
      </w:r>
      <w:r w:rsidRPr="008253A6">
        <w:t xml:space="preserve">ril 2015, </w:t>
      </w:r>
      <w:r>
        <w:t>à l’occasion des réunions du Groupe du Rapporteur de la</w:t>
      </w:r>
      <w:r w:rsidRPr="001967C6">
        <w:t xml:space="preserve"> </w:t>
      </w:r>
      <w:r>
        <w:t xml:space="preserve">CE </w:t>
      </w:r>
      <w:r w:rsidRPr="008253A6">
        <w:t>1</w:t>
      </w:r>
      <w:r w:rsidRPr="00CA79AF">
        <w:rPr>
          <w:lang w:val="fr-CH"/>
        </w:rPr>
        <w:t xml:space="preserve"> de l’</w:t>
      </w:r>
      <w:r>
        <w:t>UIT-D</w:t>
      </w:r>
      <w:r w:rsidR="00654EA4">
        <w:t>;</w:t>
      </w:r>
    </w:p>
    <w:p w:rsidR="00902933" w:rsidRPr="008253A6" w:rsidRDefault="00902933" w:rsidP="00654EA4">
      <w:pPr>
        <w:pStyle w:val="enumlev1"/>
        <w:tabs>
          <w:tab w:val="clear" w:pos="1134"/>
          <w:tab w:val="clear" w:pos="1871"/>
        </w:tabs>
        <w:ind w:left="1985" w:hanging="1985"/>
      </w:pPr>
      <w:r w:rsidRPr="008253A6">
        <w:tab/>
      </w:r>
      <w:r w:rsidR="00FE4074">
        <w:tab/>
      </w:r>
      <w:r w:rsidRPr="008253A6">
        <w:t xml:space="preserve">16 </w:t>
      </w:r>
      <w:r>
        <w:t>s</w:t>
      </w:r>
      <w:r w:rsidRPr="008253A6">
        <w:t>eptemb</w:t>
      </w:r>
      <w:r>
        <w:t>re</w:t>
      </w:r>
      <w:r w:rsidRPr="008253A6">
        <w:t xml:space="preserve"> 2015, </w:t>
      </w:r>
      <w:r>
        <w:t xml:space="preserve">pendant la réunion de la CE </w:t>
      </w:r>
      <w:r w:rsidRPr="00CA79AF">
        <w:rPr>
          <w:lang w:val="fr-CH"/>
        </w:rPr>
        <w:t>1 de l’</w:t>
      </w:r>
      <w:r>
        <w:t>UIT-D</w:t>
      </w:r>
      <w:r w:rsidRPr="008253A6">
        <w:t>.</w:t>
      </w:r>
    </w:p>
    <w:p w:rsidR="00902933" w:rsidRPr="008253A6" w:rsidRDefault="00902933" w:rsidP="00C4409C">
      <w:r>
        <w:t xml:space="preserve">Le président de la CE </w:t>
      </w:r>
      <w:r w:rsidRPr="008253A6">
        <w:t>1</w:t>
      </w:r>
      <w:r w:rsidR="00881CFA">
        <w:t xml:space="preserve"> a été nommé </w:t>
      </w:r>
      <w:r w:rsidR="00DE368B">
        <w:t>C</w:t>
      </w:r>
      <w:r w:rsidR="00881CFA">
        <w:t>o</w:t>
      </w:r>
      <w:r w:rsidR="00C4409C">
        <w:t>p</w:t>
      </w:r>
      <w:r>
        <w:t>résident du</w:t>
      </w:r>
      <w:r w:rsidRPr="00522866">
        <w:rPr>
          <w:color w:val="000000"/>
        </w:rPr>
        <w:t xml:space="preserve"> </w:t>
      </w:r>
      <w:r>
        <w:rPr>
          <w:color w:val="000000"/>
        </w:rPr>
        <w:t>Groupe mixte UIT-D/UIT-R sur la Résolution 9</w:t>
      </w:r>
      <w:r>
        <w:t>.</w:t>
      </w:r>
      <w:r w:rsidR="00DE368B">
        <w:t xml:space="preserve"> </w:t>
      </w:r>
      <w:r>
        <w:t xml:space="preserve">La </w:t>
      </w:r>
      <w:r>
        <w:rPr>
          <w:rFonts w:eastAsia="SimSun"/>
        </w:rPr>
        <w:t xml:space="preserve">CE </w:t>
      </w:r>
      <w:r w:rsidRPr="008253A6">
        <w:rPr>
          <w:rFonts w:eastAsia="SimSun"/>
        </w:rPr>
        <w:t xml:space="preserve">1 </w:t>
      </w:r>
      <w:r>
        <w:rPr>
          <w:rFonts w:eastAsia="SimSun"/>
        </w:rPr>
        <w:t>de l’UIT-R</w:t>
      </w:r>
      <w:r w:rsidRPr="008253A6">
        <w:rPr>
          <w:rFonts w:eastAsia="SimSun"/>
        </w:rPr>
        <w:t xml:space="preserve"> </w:t>
      </w:r>
      <w:r>
        <w:rPr>
          <w:rFonts w:eastAsia="SimSun"/>
        </w:rPr>
        <w:t xml:space="preserve">continuera de </w:t>
      </w:r>
      <w:r w:rsidR="00881CFA">
        <w:rPr>
          <w:rFonts w:eastAsia="SimSun"/>
        </w:rPr>
        <w:t>collaborer activement avec les C</w:t>
      </w:r>
      <w:r>
        <w:rPr>
          <w:rFonts w:eastAsia="SimSun"/>
        </w:rPr>
        <w:t>ommissions d’études de l’UIT</w:t>
      </w:r>
      <w:r w:rsidR="00DE368B">
        <w:rPr>
          <w:rFonts w:eastAsia="SimSun"/>
        </w:rPr>
        <w:noBreakHyphen/>
      </w:r>
      <w:r>
        <w:rPr>
          <w:rFonts w:eastAsia="SimSun"/>
        </w:rPr>
        <w:t>D, non seulement pour apporte</w:t>
      </w:r>
      <w:r w:rsidR="00881CFA">
        <w:rPr>
          <w:rFonts w:eastAsia="SimSun"/>
        </w:rPr>
        <w:t>r un appui à l’UIT-</w:t>
      </w:r>
      <w:r>
        <w:rPr>
          <w:rFonts w:eastAsia="SimSun"/>
        </w:rPr>
        <w:t>D, mais aussi pour éviter tout chevauchement des activités entre les deux Sect</w:t>
      </w:r>
      <w:r w:rsidR="00654EA4">
        <w:rPr>
          <w:rFonts w:eastAsia="SimSun"/>
        </w:rPr>
        <w:t>eurs, afin de veiller à ce que</w:t>
      </w:r>
      <w:r>
        <w:rPr>
          <w:rFonts w:eastAsia="SimSun"/>
        </w:rPr>
        <w:t xml:space="preserve"> le rapport qu’il est prévu de soumet</w:t>
      </w:r>
      <w:r w:rsidR="00881CFA">
        <w:rPr>
          <w:rFonts w:eastAsia="SimSun"/>
        </w:rPr>
        <w:t>tre à la prochaine CMDT sur la R</w:t>
      </w:r>
      <w:r>
        <w:rPr>
          <w:rFonts w:eastAsia="SimSun"/>
        </w:rPr>
        <w:t>ésolutio</w:t>
      </w:r>
      <w:r w:rsidR="00654EA4">
        <w:rPr>
          <w:rFonts w:eastAsia="SimSun"/>
        </w:rPr>
        <w:t xml:space="preserve">n 9 </w:t>
      </w:r>
      <w:r w:rsidR="00881CFA">
        <w:rPr>
          <w:rFonts w:eastAsia="SimSun"/>
        </w:rPr>
        <w:t>ne soit pas contraire aux R</w:t>
      </w:r>
      <w:r>
        <w:rPr>
          <w:rFonts w:eastAsia="SimSun"/>
        </w:rPr>
        <w:t xml:space="preserve">ecommandations et </w:t>
      </w:r>
      <w:r w:rsidR="00881CFA">
        <w:rPr>
          <w:rFonts w:eastAsia="SimSun"/>
        </w:rPr>
        <w:t>R</w:t>
      </w:r>
      <w:r>
        <w:rPr>
          <w:rFonts w:eastAsia="SimSun"/>
        </w:rPr>
        <w:t>apports pertinents de l’UIT-R</w:t>
      </w:r>
      <w:r w:rsidR="00654EA4">
        <w:rPr>
          <w:rFonts w:eastAsia="SimSun"/>
        </w:rPr>
        <w:t>.</w:t>
      </w:r>
    </w:p>
    <w:p w:rsidR="00902933" w:rsidRDefault="00902933" w:rsidP="00902933">
      <w:pPr>
        <w:pStyle w:val="Heading2"/>
        <w:rPr>
          <w:lang w:val="fr-CH"/>
        </w:rPr>
      </w:pPr>
      <w:r>
        <w:rPr>
          <w:lang w:val="fr-CH"/>
        </w:rPr>
        <w:t>9.2</w:t>
      </w:r>
      <w:r>
        <w:rPr>
          <w:lang w:val="fr-CH"/>
        </w:rPr>
        <w:tab/>
        <w:t xml:space="preserve">Secteur de la normalisation des </w:t>
      </w:r>
      <w:r w:rsidRPr="002A68E8">
        <w:rPr>
          <w:lang w:val="fr-CH"/>
        </w:rPr>
        <w:t>télécommunication</w:t>
      </w:r>
      <w:r>
        <w:rPr>
          <w:lang w:val="fr-CH"/>
        </w:rPr>
        <w:t>s (UIT</w:t>
      </w:r>
      <w:r>
        <w:rPr>
          <w:lang w:val="fr-CH"/>
        </w:rPr>
        <w:noBreakHyphen/>
        <w:t>T)</w:t>
      </w:r>
    </w:p>
    <w:p w:rsidR="00902933" w:rsidRDefault="00902933" w:rsidP="00902933">
      <w:pPr>
        <w:rPr>
          <w:lang w:val="fr-CH"/>
        </w:rPr>
      </w:pPr>
      <w:r>
        <w:rPr>
          <w:lang w:val="fr-CH"/>
        </w:rPr>
        <w:t>La Commission d’études 1 continue de coopérer avec différents groupes de l'UIT-T concernant plusieurs questions:</w:t>
      </w:r>
    </w:p>
    <w:p w:rsidR="00902933" w:rsidRDefault="00902933" w:rsidP="00902933">
      <w:pPr>
        <w:pStyle w:val="enumlev1"/>
        <w:rPr>
          <w:lang w:val="fr-CH"/>
        </w:rPr>
      </w:pPr>
      <w:r w:rsidRPr="004C4436">
        <w:rPr>
          <w:lang w:val="fr-CH"/>
        </w:rPr>
        <w:lastRenderedPageBreak/>
        <w:t>•</w:t>
      </w:r>
      <w:r>
        <w:rPr>
          <w:lang w:val="fr-CH"/>
        </w:rPr>
        <w:tab/>
        <w:t>collaboration avec la Commission d'études 15 de l'UIT-T sur les recommandations concernant le niveau des rayonnements des appareils CPL</w:t>
      </w:r>
      <w:r w:rsidRPr="00AB7361">
        <w:rPr>
          <w:color w:val="000000"/>
        </w:rPr>
        <w:t xml:space="preserve"> </w:t>
      </w:r>
      <w:r>
        <w:rPr>
          <w:color w:val="000000"/>
        </w:rPr>
        <w:t>et</w:t>
      </w:r>
      <w:r w:rsidR="00881CFA">
        <w:rPr>
          <w:color w:val="000000"/>
        </w:rPr>
        <w:t xml:space="preserve"> de</w:t>
      </w:r>
      <w:r>
        <w:rPr>
          <w:color w:val="000000"/>
        </w:rPr>
        <w:t xml:space="preserve"> différents systèmes en câble</w:t>
      </w:r>
      <w:r>
        <w:rPr>
          <w:lang w:val="fr-CH"/>
        </w:rPr>
        <w:t>;</w:t>
      </w:r>
    </w:p>
    <w:p w:rsidR="00902933" w:rsidRDefault="00902933" w:rsidP="00902933">
      <w:pPr>
        <w:pStyle w:val="enumlev1"/>
        <w:rPr>
          <w:lang w:val="fr-CH"/>
        </w:rPr>
      </w:pPr>
      <w:r w:rsidRPr="004C4436">
        <w:rPr>
          <w:lang w:val="fr-CH"/>
        </w:rPr>
        <w:t>•</w:t>
      </w:r>
      <w:r w:rsidR="00881CFA">
        <w:rPr>
          <w:lang w:val="fr-CH"/>
        </w:rPr>
        <w:tab/>
        <w:t>R</w:t>
      </w:r>
      <w:r>
        <w:rPr>
          <w:lang w:val="fr-CH"/>
        </w:rPr>
        <w:t>ecommandations relatives aux bandes de fréquences à utiliser pour les</w:t>
      </w:r>
      <w:r w:rsidR="00881CFA">
        <w:rPr>
          <w:lang w:val="fr-CH"/>
        </w:rPr>
        <w:t xml:space="preserve"> réseaux domestiques hertziens</w:t>
      </w:r>
      <w:r>
        <w:rPr>
          <w:lang w:val="fr-CH"/>
        </w:rPr>
        <w:t xml:space="preserve">; </w:t>
      </w:r>
    </w:p>
    <w:p w:rsidR="00902933" w:rsidRDefault="00902933" w:rsidP="00902933">
      <w:pPr>
        <w:pStyle w:val="enumlev1"/>
        <w:rPr>
          <w:lang w:val="fr-CH"/>
        </w:rPr>
      </w:pPr>
      <w:r w:rsidRPr="004C4436">
        <w:rPr>
          <w:lang w:val="fr-CH"/>
        </w:rPr>
        <w:t>•</w:t>
      </w:r>
      <w:r w:rsidR="00654EA4">
        <w:rPr>
          <w:lang w:val="fr-CH"/>
        </w:rPr>
        <w:tab/>
      </w:r>
      <w:r>
        <w:rPr>
          <w:lang w:val="fr-CH"/>
        </w:rPr>
        <w:t>questions relatives à la mesure de l'exposition des personnes aux champs électromagnétiques;</w:t>
      </w:r>
    </w:p>
    <w:p w:rsidR="00902933" w:rsidRDefault="00902933" w:rsidP="00654EA4">
      <w:pPr>
        <w:pStyle w:val="enumlev1"/>
        <w:rPr>
          <w:lang w:val="fr-CH"/>
        </w:rPr>
      </w:pPr>
      <w:r w:rsidRPr="004C4436">
        <w:rPr>
          <w:lang w:val="fr-CH"/>
        </w:rPr>
        <w:t>•</w:t>
      </w:r>
      <w:r>
        <w:rPr>
          <w:lang w:val="fr-CH"/>
        </w:rPr>
        <w:tab/>
        <w:t>réponse à une demande d'information sur l'incidence des technologies de radiocommunication émanant du Groupe spécialisé de l'UIT-T sur les changements climatiques;</w:t>
      </w:r>
    </w:p>
    <w:p w:rsidR="00902933" w:rsidRPr="002A68E8" w:rsidRDefault="00881CFA" w:rsidP="00902933">
      <w:pPr>
        <w:pStyle w:val="Heading2"/>
        <w:rPr>
          <w:lang w:val="fr-CH"/>
        </w:rPr>
      </w:pPr>
      <w:r>
        <w:rPr>
          <w:lang w:val="fr-CH"/>
        </w:rPr>
        <w:t>9</w:t>
      </w:r>
      <w:r w:rsidR="00902933">
        <w:rPr>
          <w:lang w:val="fr-CH"/>
        </w:rPr>
        <w:t>.3</w:t>
      </w:r>
      <w:r w:rsidR="00902933">
        <w:rPr>
          <w:lang w:val="fr-CH"/>
        </w:rPr>
        <w:tab/>
        <w:t>Comité international spécial des perturbations radioélectriques (CISPR)</w:t>
      </w:r>
    </w:p>
    <w:p w:rsidR="00902933" w:rsidRDefault="00902933" w:rsidP="00902933">
      <w:pPr>
        <w:rPr>
          <w:lang w:val="fr-CH"/>
        </w:rPr>
      </w:pPr>
      <w:r>
        <w:rPr>
          <w:lang w:val="fr-CH"/>
        </w:rPr>
        <w:t>Par l'intermédiaire</w:t>
      </w:r>
      <w:r w:rsidR="00654EA4">
        <w:rPr>
          <w:lang w:val="fr-CH"/>
        </w:rPr>
        <w:t xml:space="preserve"> de son Rapporteur, M. Ollivier</w:t>
      </w:r>
      <w:r w:rsidRPr="00CA79AF">
        <w:rPr>
          <w:lang w:val="fr-CH"/>
        </w:rPr>
        <w:t xml:space="preserve"> </w:t>
      </w:r>
      <w:r w:rsidRPr="00A4472B">
        <w:rPr>
          <w:lang w:val="fr-CH"/>
        </w:rPr>
        <w:t>(France)</w:t>
      </w:r>
      <w:r w:rsidR="00881CFA">
        <w:rPr>
          <w:lang w:val="fr-CH"/>
        </w:rPr>
        <w:t>,</w:t>
      </w:r>
      <w:r>
        <w:t xml:space="preserve"> puis de </w:t>
      </w:r>
      <w:r w:rsidRPr="00F97073">
        <w:t>M</w:t>
      </w:r>
      <w:r>
        <w:t>me</w:t>
      </w:r>
      <w:r w:rsidRPr="00F97073">
        <w:t xml:space="preserve"> Mendel</w:t>
      </w:r>
      <w:r w:rsidRPr="00A4472B">
        <w:t xml:space="preserve"> (</w:t>
      </w:r>
      <w:r>
        <w:rPr>
          <w:color w:val="000000"/>
        </w:rPr>
        <w:t>Allemagne (République fédérale d'</w:t>
      </w:r>
      <w:r w:rsidR="00DE368B">
        <w:rPr>
          <w:color w:val="000000"/>
        </w:rPr>
        <w:t>)</w:t>
      </w:r>
      <w:r w:rsidRPr="00A4472B">
        <w:rPr>
          <w:rFonts w:asciiTheme="majorBidi" w:hAnsiTheme="majorBidi" w:cstheme="majorBidi"/>
          <w:iCs/>
          <w:szCs w:val="24"/>
        </w:rPr>
        <w:t>)</w:t>
      </w:r>
      <w:r w:rsidRPr="00F97073">
        <w:t xml:space="preserve">, </w:t>
      </w:r>
      <w:r>
        <w:rPr>
          <w:lang w:val="fr-CH"/>
        </w:rPr>
        <w:t>la Commission d’études 1 continue de collaborer étroitement avec le CISPR sur les limites et les méthodes de mesure des rayonnements des appareils industriels, scientifi</w:t>
      </w:r>
      <w:r w:rsidR="00654EA4">
        <w:rPr>
          <w:lang w:val="fr-CH"/>
        </w:rPr>
        <w:t xml:space="preserve">ques et médicaux (ISM) et sur </w:t>
      </w:r>
      <w:r>
        <w:rPr>
          <w:lang w:val="fr-CH"/>
        </w:rPr>
        <w:t>l’harmonisation des fréquences pour</w:t>
      </w:r>
      <w:r w:rsidRPr="00A60743">
        <w:rPr>
          <w:color w:val="000000"/>
        </w:rPr>
        <w:t xml:space="preserve"> </w:t>
      </w:r>
      <w:r>
        <w:rPr>
          <w:color w:val="000000"/>
        </w:rPr>
        <w:t>la transmission d'énergie sans fil (TESF)</w:t>
      </w:r>
      <w:r>
        <w:rPr>
          <w:lang w:val="fr-CH"/>
        </w:rPr>
        <w:t>.</w:t>
      </w:r>
      <w:r w:rsidR="00654EA4">
        <w:rPr>
          <w:lang w:val="fr-CH"/>
        </w:rPr>
        <w:t xml:space="preserve"> La CE</w:t>
      </w:r>
      <w:r w:rsidR="00DE368B">
        <w:rPr>
          <w:lang w:val="fr-CH"/>
        </w:rPr>
        <w:t xml:space="preserve"> </w:t>
      </w:r>
      <w:r w:rsidR="00654EA4">
        <w:rPr>
          <w:lang w:val="fr-CH"/>
        </w:rPr>
        <w:t xml:space="preserve">1 a également travaillé </w:t>
      </w:r>
      <w:r>
        <w:rPr>
          <w:lang w:val="fr-CH"/>
        </w:rPr>
        <w:t>avec le CISPR pour recueillir des données relatives aux caractéristiques des services de radiocommunication qui seront utilisées pour fixer des limites pour les rayonnements des appareils ISM, dans l’optique de l’élaboration de la base de données du</w:t>
      </w:r>
      <w:r w:rsidRPr="00A60743">
        <w:rPr>
          <w:lang w:val="fr-CH"/>
        </w:rPr>
        <w:t xml:space="preserve"> </w:t>
      </w:r>
      <w:r>
        <w:rPr>
          <w:lang w:val="fr-CH"/>
        </w:rPr>
        <w:t>CISPR.</w:t>
      </w:r>
    </w:p>
    <w:p w:rsidR="00902933" w:rsidRPr="00F97073" w:rsidRDefault="00902933" w:rsidP="00902933">
      <w:pPr>
        <w:pStyle w:val="Heading1"/>
      </w:pPr>
      <w:r w:rsidRPr="00F97073">
        <w:t>10</w:t>
      </w:r>
      <w:r w:rsidRPr="00F97073">
        <w:tab/>
        <w:t>Objecti</w:t>
      </w:r>
      <w:r>
        <w:t xml:space="preserve">fs pour la période </w:t>
      </w:r>
      <w:r w:rsidRPr="00F97073">
        <w:t>2016-2019</w:t>
      </w:r>
    </w:p>
    <w:p w:rsidR="00902933" w:rsidRPr="00F97073" w:rsidRDefault="00902933" w:rsidP="00DE368B">
      <w:r>
        <w:t>Conformé</w:t>
      </w:r>
      <w:r w:rsidR="000D6566">
        <w:t xml:space="preserve">ment au </w:t>
      </w:r>
      <w:r>
        <w:t>Plan opérationnel quadriennal glissant de l'UIT-R</w:t>
      </w:r>
      <w:r w:rsidRPr="00255993">
        <w:t xml:space="preserve"> </w:t>
      </w:r>
      <w:r>
        <w:t xml:space="preserve">pour la période </w:t>
      </w:r>
      <w:r w:rsidRPr="00F97073">
        <w:t xml:space="preserve">2016-2019, </w:t>
      </w:r>
      <w:r>
        <w:t xml:space="preserve">l’une des </w:t>
      </w:r>
      <w:r w:rsidR="00802EBF">
        <w:t xml:space="preserve">priorités essentielles du </w:t>
      </w:r>
      <w:r>
        <w:t>Secteur de l'UIT-R est d’élaborer une réglementation internationale relative à l'utilisation du spectre des fréquences radioélectriques et des orbites de satellites et de la mettre à jour,</w:t>
      </w:r>
      <w:r w:rsidR="00802EBF">
        <w:t xml:space="preserve"> et</w:t>
      </w:r>
      <w:r>
        <w:t xml:space="preserve"> d’établir des Recommandations, des rapports et des Manuels de portée mondiale, afin d'optimiser l'utilisation du spectre des fréquences radioélectriques et d</w:t>
      </w:r>
      <w:r w:rsidR="00802EBF">
        <w:t xml:space="preserve">es orbites de satellites et de </w:t>
      </w:r>
      <w:r>
        <w:t>les mettre à jour.</w:t>
      </w:r>
    </w:p>
    <w:p w:rsidR="00902933" w:rsidRPr="00A4472B" w:rsidRDefault="00902933" w:rsidP="00DE368B">
      <w:pPr>
        <w:rPr>
          <w:highlight w:val="yellow"/>
        </w:rPr>
      </w:pPr>
      <w:r>
        <w:t>Les exigences particulières des</w:t>
      </w:r>
      <w:r w:rsidRPr="0012237E">
        <w:t xml:space="preserve"> </w:t>
      </w:r>
      <w:r>
        <w:t xml:space="preserve">nouvelles techniques d’accès au spectre telles que les </w:t>
      </w:r>
      <w:r w:rsidR="00802EBF">
        <w:rPr>
          <w:color w:val="000000"/>
        </w:rPr>
        <w:t>techniques CRS</w:t>
      </w:r>
      <w:r>
        <w:rPr>
          <w:color w:val="000000"/>
        </w:rPr>
        <w:t xml:space="preserve">, les </w:t>
      </w:r>
      <w:r w:rsidRPr="00F97073">
        <w:t xml:space="preserve">IMT-2020, </w:t>
      </w:r>
      <w:r>
        <w:t>l’</w:t>
      </w:r>
      <w:r w:rsidRPr="00F97073">
        <w:t>IoT,</w:t>
      </w:r>
      <w:r w:rsidR="00802EBF">
        <w:t xml:space="preserve"> </w:t>
      </w:r>
      <w:r>
        <w:t xml:space="preserve">les communications </w:t>
      </w:r>
      <w:r w:rsidRPr="00F97073">
        <w:t xml:space="preserve">M2M, </w:t>
      </w:r>
      <w:r>
        <w:t xml:space="preserve">les dispositifs </w:t>
      </w:r>
      <w:r w:rsidRPr="00F97073">
        <w:t>RFID,</w:t>
      </w:r>
      <w:r w:rsidR="00802EBF">
        <w:t xml:space="preserve"> les</w:t>
      </w:r>
      <w:r w:rsidRPr="00F97073">
        <w:t xml:space="preserve"> nanosatellite</w:t>
      </w:r>
      <w:r>
        <w:t>s</w:t>
      </w:r>
      <w:r w:rsidRPr="00F97073">
        <w:t xml:space="preserve"> </w:t>
      </w:r>
      <w:r>
        <w:t xml:space="preserve">et les </w:t>
      </w:r>
      <w:r w:rsidRPr="00F97073">
        <w:t>picosatellite</w:t>
      </w:r>
      <w:r>
        <w:t xml:space="preserve">s </w:t>
      </w:r>
      <w:r w:rsidR="00881CFA">
        <w:t>posent</w:t>
      </w:r>
      <w:r>
        <w:t xml:space="preserve"> de nouveaux problèmes sur le plan de l’efficacité de la gestion du spectre</w:t>
      </w:r>
      <w:r w:rsidR="00802EBF">
        <w:t xml:space="preserve">, tant au niveau </w:t>
      </w:r>
      <w:r w:rsidR="00881CFA">
        <w:t xml:space="preserve">international qu'au niveau </w:t>
      </w:r>
      <w:r w:rsidR="00802EBF">
        <w:t>national</w:t>
      </w:r>
      <w:r>
        <w:t>. La gestion du spectre devrait permettre de répondre dans les meilleurs délais aux besoins de spectre</w:t>
      </w:r>
      <w:r w:rsidRPr="00F97073">
        <w:t xml:space="preserve"> </w:t>
      </w:r>
      <w:r>
        <w:t xml:space="preserve">des </w:t>
      </w:r>
      <w:r w:rsidR="00802EBF">
        <w:t xml:space="preserve">techniques nouvelles, garantir </w:t>
      </w:r>
      <w:r>
        <w:rPr>
          <w:color w:val="000000"/>
        </w:rPr>
        <w:t>un environnement exempt de brouillage pour les sy</w:t>
      </w:r>
      <w:r w:rsidR="00802EBF">
        <w:rPr>
          <w:color w:val="000000"/>
        </w:rPr>
        <w:t xml:space="preserve">stèmes, existants ou nouveaux, </w:t>
      </w:r>
      <w:r>
        <w:rPr>
          <w:color w:val="000000"/>
        </w:rPr>
        <w:t>et encourager une utilisation du spectre efficace et innovante</w:t>
      </w:r>
      <w:r w:rsidR="00802EBF">
        <w:rPr>
          <w:color w:val="000000"/>
        </w:rPr>
        <w:t>.</w:t>
      </w:r>
    </w:p>
    <w:p w:rsidR="00902933" w:rsidRPr="00A4472B" w:rsidRDefault="00902933" w:rsidP="00DE368B">
      <w:pPr>
        <w:rPr>
          <w:b/>
          <w:bCs/>
          <w:i/>
          <w:iCs/>
          <w:highlight w:val="yellow"/>
        </w:rPr>
      </w:pPr>
      <w:r>
        <w:t>La CE</w:t>
      </w:r>
      <w:r w:rsidRPr="00F97073">
        <w:t xml:space="preserve"> 1 </w:t>
      </w:r>
      <w:r>
        <w:t xml:space="preserve">de l’UIT-R contribuera à cette activité durant la période </w:t>
      </w:r>
      <w:r w:rsidRPr="00A105BB">
        <w:t>2016-2019</w:t>
      </w:r>
      <w:r>
        <w:t>, en é</w:t>
      </w:r>
      <w:r w:rsidR="00DE368B">
        <w:t xml:space="preserve">laborant les </w:t>
      </w:r>
      <w:r w:rsidR="00950F9A">
        <w:t>nouveaux produits</w:t>
      </w:r>
      <w:r>
        <w:t xml:space="preserve"> UIT-R demandés par l’AR</w:t>
      </w:r>
      <w:r w:rsidRPr="00F97073">
        <w:t xml:space="preserve">-15 </w:t>
      </w:r>
      <w:r w:rsidR="00802EBF">
        <w:t>et l</w:t>
      </w:r>
      <w:r>
        <w:t>a CMR</w:t>
      </w:r>
      <w:r w:rsidR="00881CFA">
        <w:t>-</w:t>
      </w:r>
      <w:r w:rsidR="00802EBF">
        <w:t xml:space="preserve">15, </w:t>
      </w:r>
      <w:r>
        <w:t>en mettant en évidence de bonnes</w:t>
      </w:r>
      <w:r w:rsidR="00881CFA">
        <w:t xml:space="preserve"> pratiques et en examinant les Recommandations et R</w:t>
      </w:r>
      <w:r>
        <w:t xml:space="preserve">apports existants de l’UIT-R s’agissant des techniques d’ingénierie du spectre, des méthodes de gestion du spectre et du contrôle </w:t>
      </w:r>
      <w:r w:rsidR="00802EBF">
        <w:t>des émissions radioélectriques.</w:t>
      </w:r>
    </w:p>
    <w:p w:rsidR="00902933" w:rsidRPr="00F97073" w:rsidRDefault="00902933" w:rsidP="00DE368B">
      <w:r>
        <w:t>En ce qui concerne les techn</w:t>
      </w:r>
      <w:r w:rsidR="00802EBF">
        <w:t xml:space="preserve">iques d’ingénierie du spectre, </w:t>
      </w:r>
      <w:r>
        <w:t>les principaux ob</w:t>
      </w:r>
      <w:r w:rsidR="00881CFA">
        <w:t>jectifs, durant la période 2016-2019, consisteront à</w:t>
      </w:r>
      <w:r w:rsidRPr="00F97073">
        <w:t>:</w:t>
      </w:r>
    </w:p>
    <w:p w:rsidR="00902933" w:rsidRPr="00CA79AF" w:rsidRDefault="00DE368B" w:rsidP="00902933">
      <w:pPr>
        <w:pStyle w:val="enumlev1"/>
        <w:rPr>
          <w:szCs w:val="24"/>
          <w:lang w:val="fr-CH" w:eastAsia="ru-RU"/>
        </w:rPr>
      </w:pPr>
      <w:r>
        <w:t>–</w:t>
      </w:r>
      <w:r w:rsidR="00902933" w:rsidRPr="00DA17A2">
        <w:tab/>
      </w:r>
      <w:r w:rsidR="00902933">
        <w:t>étudier les produits concernant les principes généraux et les méthodes de partage en</w:t>
      </w:r>
      <w:r w:rsidR="00802EBF">
        <w:t xml:space="preserve">tre </w:t>
      </w:r>
      <w:r w:rsidR="00902933">
        <w:t>services</w:t>
      </w:r>
      <w:r w:rsidR="00802EBF">
        <w:t xml:space="preserve"> de radiocommunication ou entre stations de radiocommunication</w:t>
      </w:r>
      <w:r w:rsidR="00902933" w:rsidRPr="00F97073">
        <w:t>;</w:t>
      </w:r>
    </w:p>
    <w:p w:rsidR="00902933" w:rsidRPr="00F97073" w:rsidRDefault="00DE368B" w:rsidP="00902933">
      <w:pPr>
        <w:pStyle w:val="enumlev1"/>
      </w:pPr>
      <w:r>
        <w:t>–</w:t>
      </w:r>
      <w:r w:rsidR="00902933" w:rsidRPr="00F97073">
        <w:tab/>
      </w:r>
      <w:r w:rsidR="00902933">
        <w:t>étudier les outils permettant d’évaluer les brouillages causés par les systèmes en câble, notamment</w:t>
      </w:r>
      <w:r w:rsidR="00902933" w:rsidRPr="00A105BB">
        <w:rPr>
          <w:color w:val="000000"/>
        </w:rPr>
        <w:t xml:space="preserve"> </w:t>
      </w:r>
      <w:r w:rsidR="00902933">
        <w:rPr>
          <w:color w:val="000000"/>
        </w:rPr>
        <w:t>les effets cumulés</w:t>
      </w:r>
      <w:r w:rsidR="00902933">
        <w:t xml:space="preserve"> et les</w:t>
      </w:r>
      <w:r w:rsidR="00902933" w:rsidRPr="00A105BB">
        <w:rPr>
          <w:color w:val="000000"/>
        </w:rPr>
        <w:t xml:space="preserve"> </w:t>
      </w:r>
      <w:r w:rsidR="00902933">
        <w:rPr>
          <w:color w:val="000000"/>
        </w:rPr>
        <w:t>rayonnements parasites</w:t>
      </w:r>
      <w:r w:rsidR="00802EBF">
        <w:t xml:space="preserve"> </w:t>
      </w:r>
      <w:r w:rsidR="00902933">
        <w:t xml:space="preserve">en sortie provenant </w:t>
      </w:r>
      <w:r w:rsidR="00802EBF">
        <w:t>des bâtiments</w:t>
      </w:r>
      <w:r w:rsidR="00902933" w:rsidRPr="00F97073">
        <w:t>;</w:t>
      </w:r>
    </w:p>
    <w:p w:rsidR="00902933" w:rsidRPr="00F97073" w:rsidRDefault="00DE368B" w:rsidP="00902933">
      <w:pPr>
        <w:pStyle w:val="enumlev1"/>
      </w:pPr>
      <w:r>
        <w:lastRenderedPageBreak/>
        <w:t>–</w:t>
      </w:r>
      <w:r w:rsidR="00902933" w:rsidRPr="00F97073">
        <w:tab/>
      </w:r>
      <w:r w:rsidR="00902933">
        <w:t>faire progresser les études sur les systèmes de gestion énergétique des ré</w:t>
      </w:r>
      <w:r w:rsidR="00802EBF">
        <w:t>seaux électriques intelligents</w:t>
      </w:r>
      <w:r w:rsidR="00902933" w:rsidRPr="00F97073">
        <w:t>;</w:t>
      </w:r>
    </w:p>
    <w:p w:rsidR="00902933" w:rsidRPr="00F97073" w:rsidRDefault="00DE368B" w:rsidP="00881CFA">
      <w:pPr>
        <w:pStyle w:val="enumlev1"/>
      </w:pPr>
      <w:r>
        <w:t>–</w:t>
      </w:r>
      <w:r w:rsidR="00902933" w:rsidRPr="00F97073">
        <w:tab/>
      </w:r>
      <w:r w:rsidR="00902933">
        <w:t xml:space="preserve">achever les études relatives aux systèmes de transmission </w:t>
      </w:r>
      <w:r w:rsidR="00902933">
        <w:rPr>
          <w:color w:val="000000"/>
        </w:rPr>
        <w:t>d'énergie</w:t>
      </w:r>
      <w:r w:rsidR="00902933">
        <w:t xml:space="preserve"> </w:t>
      </w:r>
      <w:r w:rsidR="00881CFA">
        <w:t>sans fil</w:t>
      </w:r>
      <w:r w:rsidR="00902933" w:rsidRPr="00F97073">
        <w:t>;</w:t>
      </w:r>
    </w:p>
    <w:p w:rsidR="00902933" w:rsidRPr="00F97073" w:rsidRDefault="00DE368B" w:rsidP="00902933">
      <w:pPr>
        <w:pStyle w:val="enumlev1"/>
      </w:pPr>
      <w:r>
        <w:t>–</w:t>
      </w:r>
      <w:r w:rsidR="00902933" w:rsidRPr="00F97073">
        <w:tab/>
      </w:r>
      <w:r w:rsidR="00902933">
        <w:t>faire avancer les études sur les caractéristiques techniques et opérationnelles des services act</w:t>
      </w:r>
      <w:r w:rsidR="00802EBF">
        <w:t xml:space="preserve">ifs fonctionnant dans la gamme </w:t>
      </w:r>
      <w:r w:rsidR="00902933" w:rsidRPr="00F97073">
        <w:t>275-1 000 GHz;</w:t>
      </w:r>
    </w:p>
    <w:p w:rsidR="00902933" w:rsidRPr="00F97073" w:rsidRDefault="00DE368B" w:rsidP="00902933">
      <w:pPr>
        <w:pStyle w:val="enumlev1"/>
      </w:pPr>
      <w:r>
        <w:t>–</w:t>
      </w:r>
      <w:r w:rsidR="00902933" w:rsidRPr="00F97073">
        <w:tab/>
      </w:r>
      <w:r w:rsidR="00902933">
        <w:t xml:space="preserve">achever les études relatives aux caractéristiques des </w:t>
      </w:r>
      <w:r w:rsidR="00902933">
        <w:rPr>
          <w:color w:val="000000"/>
        </w:rPr>
        <w:t>rayonnements non désirés dans le domaine des émissions hors bande et dans le domaine des rayonnements non essentiels</w:t>
      </w:r>
      <w:r w:rsidR="00902933" w:rsidRPr="00F97073">
        <w:t xml:space="preserve"> </w:t>
      </w:r>
      <w:r w:rsidR="00902933">
        <w:t>pour les techniques de modulation numérique utilisée</w:t>
      </w:r>
      <w:r w:rsidR="00881CFA">
        <w:t>s</w:t>
      </w:r>
      <w:r w:rsidR="00902933">
        <w:t xml:space="preserve"> dans le</w:t>
      </w:r>
      <w:r w:rsidR="00881CFA">
        <w:t>s</w:t>
      </w:r>
      <w:r w:rsidR="00902933">
        <w:t xml:space="preserve"> système</w:t>
      </w:r>
      <w:r w:rsidR="00881CFA">
        <w:t>s</w:t>
      </w:r>
      <w:r w:rsidR="00802EBF">
        <w:t xml:space="preserve"> de communication large bande</w:t>
      </w:r>
      <w:r w:rsidR="00902933" w:rsidRPr="00F97073">
        <w:t xml:space="preserve">; </w:t>
      </w:r>
    </w:p>
    <w:p w:rsidR="00902933" w:rsidRPr="00F97073" w:rsidRDefault="00DE368B" w:rsidP="00902933">
      <w:pPr>
        <w:pStyle w:val="enumlev1"/>
      </w:pPr>
      <w:r>
        <w:t>–</w:t>
      </w:r>
      <w:r w:rsidR="00902933" w:rsidRPr="00F97073">
        <w:tab/>
      </w:r>
      <w:r w:rsidR="00902933">
        <w:t>poursuivre les échanges d’informations et de vues entre les parties in</w:t>
      </w:r>
      <w:r w:rsidR="00881CFA">
        <w:t>téressées des Secteurs de l’UIT-</w:t>
      </w:r>
      <w:r w:rsidR="00802EBF">
        <w:t xml:space="preserve">T et </w:t>
      </w:r>
      <w:r w:rsidR="00902933">
        <w:t>de l’UIT-R et d’autres organismes de normalisation sur les questions d’intérêt mutuel, en particulier en ce qui concerne la coexistence des systèmes de télécommunications filaires et des</w:t>
      </w:r>
      <w:r w:rsidR="00902933" w:rsidRPr="001D2B0B">
        <w:rPr>
          <w:color w:val="000000"/>
        </w:rPr>
        <w:t xml:space="preserve"> </w:t>
      </w:r>
      <w:r w:rsidR="00902933">
        <w:rPr>
          <w:color w:val="000000"/>
        </w:rPr>
        <w:t>systèmes de communication radioélectrique.</w:t>
      </w:r>
    </w:p>
    <w:p w:rsidR="00902933" w:rsidRPr="00F97073" w:rsidRDefault="00902933" w:rsidP="00881CFA">
      <w:r>
        <w:t xml:space="preserve">S’agissant des méthodes </w:t>
      </w:r>
      <w:r>
        <w:rPr>
          <w:color w:val="000000"/>
        </w:rPr>
        <w:t>de gestion du spectre et des stratégies économiques, les travaux se poursuivront conformément aux Résolutions et Questions de l’UIT-R (notamment celles établies p</w:t>
      </w:r>
      <w:r w:rsidR="00DE368B">
        <w:rPr>
          <w:color w:val="000000"/>
        </w:rPr>
        <w:t>endant la période d’études 2016</w:t>
      </w:r>
      <w:r>
        <w:rPr>
          <w:color w:val="000000"/>
        </w:rPr>
        <w:t>-2019),</w:t>
      </w:r>
      <w:r w:rsidR="00802EBF">
        <w:rPr>
          <w:color w:val="000000"/>
        </w:rPr>
        <w:t xml:space="preserve"> et consisteront</w:t>
      </w:r>
      <w:r>
        <w:rPr>
          <w:color w:val="000000"/>
        </w:rPr>
        <w:t xml:space="preserve"> par exemple</w:t>
      </w:r>
      <w:r w:rsidRPr="00F97073">
        <w:t xml:space="preserve"> </w:t>
      </w:r>
      <w:r w:rsidR="00881CFA">
        <w:t>à</w:t>
      </w:r>
      <w:r w:rsidRPr="00F97073">
        <w:t xml:space="preserve">: </w:t>
      </w:r>
    </w:p>
    <w:p w:rsidR="00902933" w:rsidRPr="00F97073" w:rsidRDefault="00902933" w:rsidP="00902933">
      <w:pPr>
        <w:pStyle w:val="enumlev1"/>
      </w:pPr>
      <w:r w:rsidRPr="00F97073">
        <w:t>–</w:t>
      </w:r>
      <w:r w:rsidRPr="00F97073">
        <w:tab/>
      </w:r>
      <w:r>
        <w:t xml:space="preserve">examiner les produits concernant la stratégie de </w:t>
      </w:r>
      <w:r w:rsidR="00DE368B">
        <w:t>gestion du spectre à long terme;</w:t>
      </w:r>
    </w:p>
    <w:p w:rsidR="00902933" w:rsidRPr="00F97073" w:rsidRDefault="00DE368B" w:rsidP="00902933">
      <w:pPr>
        <w:pStyle w:val="enumlev1"/>
      </w:pPr>
      <w:r>
        <w:t>–</w:t>
      </w:r>
      <w:r w:rsidR="00902933" w:rsidRPr="00F97073">
        <w:tab/>
      </w:r>
      <w:r w:rsidR="00902933">
        <w:t xml:space="preserve">concevoir </w:t>
      </w:r>
      <w:r w:rsidR="00802EBF">
        <w:t xml:space="preserve">des produits sur des méthodes </w:t>
      </w:r>
      <w:r w:rsidR="00902933">
        <w:t>de régulation du spectre innovantes en matière de partage du spe</w:t>
      </w:r>
      <w:r w:rsidR="00802EBF">
        <w:t>ctre entre différents services</w:t>
      </w:r>
      <w:r w:rsidR="00902933" w:rsidRPr="00F97073">
        <w:t xml:space="preserve">; </w:t>
      </w:r>
    </w:p>
    <w:p w:rsidR="00902933" w:rsidRPr="00F97073" w:rsidRDefault="00DE368B" w:rsidP="00902933">
      <w:pPr>
        <w:pStyle w:val="enumlev1"/>
      </w:pPr>
      <w:r>
        <w:t>–</w:t>
      </w:r>
      <w:r w:rsidR="00902933" w:rsidRPr="00F97073">
        <w:tab/>
      </w:r>
      <w:r w:rsidR="00902933">
        <w:t>concevoir des pro</w:t>
      </w:r>
      <w:r w:rsidR="00802EBF">
        <w:t xml:space="preserve">duits sur la mise en œuvre de </w:t>
      </w:r>
      <w:r w:rsidR="00902933">
        <w:t>l’accès dynamiqu</w:t>
      </w:r>
      <w:r w:rsidR="00802EBF">
        <w:t>e au spectre</w:t>
      </w:r>
      <w:r w:rsidR="00902933" w:rsidRPr="00F97073">
        <w:t xml:space="preserve">; </w:t>
      </w:r>
    </w:p>
    <w:p w:rsidR="00902933" w:rsidRPr="00F97073" w:rsidRDefault="00DE368B" w:rsidP="00902933">
      <w:pPr>
        <w:pStyle w:val="enumlev1"/>
      </w:pPr>
      <w:r>
        <w:t>–</w:t>
      </w:r>
      <w:r w:rsidR="00902933" w:rsidRPr="00F97073">
        <w:tab/>
      </w:r>
      <w:r w:rsidR="00902933">
        <w:t>concevoir des produits relatifs à l’harmonisation des fréquences et à d’autres aspects de la gestion du spectre pour différentes applications radioélectri</w:t>
      </w:r>
      <w:r w:rsidR="00802EBF">
        <w:t xml:space="preserve">ques (par exemple, dispositifs </w:t>
      </w:r>
      <w:r w:rsidR="00902933" w:rsidRPr="00F97073">
        <w:t xml:space="preserve">SRD, </w:t>
      </w:r>
      <w:r w:rsidR="00902933" w:rsidRPr="00A4472B">
        <w:t xml:space="preserve">RFID, </w:t>
      </w:r>
      <w:r w:rsidR="00902933">
        <w:t>t</w:t>
      </w:r>
      <w:r w:rsidR="00802EBF">
        <w:t>ransmission d’énergie sans fil</w:t>
      </w:r>
      <w:r w:rsidR="00902933" w:rsidRPr="00A4472B">
        <w:t>, IoT</w:t>
      </w:r>
      <w:r w:rsidR="00902933" w:rsidRPr="00F97073">
        <w:t>);</w:t>
      </w:r>
    </w:p>
    <w:p w:rsidR="00902933" w:rsidRPr="00F97073" w:rsidRDefault="00DE368B" w:rsidP="00DE368B">
      <w:pPr>
        <w:pStyle w:val="enumlev1"/>
      </w:pPr>
      <w:r>
        <w:t>–</w:t>
      </w:r>
      <w:r w:rsidR="00902933" w:rsidRPr="00F97073">
        <w:tab/>
      </w:r>
      <w:r w:rsidR="00902933">
        <w:t>examiner les produits relatifs aux questions économiques liées au spectre, notamment</w:t>
      </w:r>
      <w:r w:rsidR="00902933" w:rsidRPr="008A0E27">
        <w:rPr>
          <w:color w:val="000000"/>
        </w:rPr>
        <w:t xml:space="preserve"> </w:t>
      </w:r>
      <w:r w:rsidR="00902933">
        <w:rPr>
          <w:color w:val="000000"/>
        </w:rPr>
        <w:t>la fixation de prix pour l'utilisation du spectre</w:t>
      </w:r>
      <w:r w:rsidR="00802EBF">
        <w:t>, la</w:t>
      </w:r>
      <w:r w:rsidR="00902933">
        <w:rPr>
          <w:color w:val="000000"/>
        </w:rPr>
        <w:t xml:space="preserve"> mise aux enchères de fréquences</w:t>
      </w:r>
      <w:r>
        <w:rPr>
          <w:color w:val="000000"/>
        </w:rPr>
        <w:t xml:space="preserve"> </w:t>
      </w:r>
      <w:r w:rsidR="00902933">
        <w:t xml:space="preserve">et </w:t>
      </w:r>
      <w:r w:rsidR="00902933">
        <w:rPr>
          <w:color w:val="000000"/>
        </w:rPr>
        <w:t>le redéploiement du spectre</w:t>
      </w:r>
      <w:r w:rsidR="00902933" w:rsidRPr="00F97073">
        <w:t>.</w:t>
      </w:r>
    </w:p>
    <w:p w:rsidR="00902933" w:rsidRPr="00F97073" w:rsidRDefault="00902933" w:rsidP="005859FB">
      <w:r>
        <w:t>Pour ce qui est du contrôle des émissions radioélectriques, les prin</w:t>
      </w:r>
      <w:r w:rsidR="005859FB">
        <w:t>cipaux objectifs consisteront à</w:t>
      </w:r>
      <w:r>
        <w:t>:</w:t>
      </w:r>
    </w:p>
    <w:p w:rsidR="00902933" w:rsidRPr="00F97073" w:rsidRDefault="00DE368B" w:rsidP="00902933">
      <w:pPr>
        <w:pStyle w:val="enumlev1"/>
      </w:pPr>
      <w:r>
        <w:t>–</w:t>
      </w:r>
      <w:r w:rsidR="00902933" w:rsidRPr="00F97073">
        <w:tab/>
      </w:r>
      <w:r w:rsidR="00902933">
        <w:t>concevoir des produits concernant le co</w:t>
      </w:r>
      <w:r w:rsidR="005859FB">
        <w:t>ntrôle des réseaux à satellite;</w:t>
      </w:r>
    </w:p>
    <w:p w:rsidR="00902933" w:rsidRPr="00F97073" w:rsidRDefault="00DE368B" w:rsidP="00DE368B">
      <w:pPr>
        <w:pStyle w:val="enumlev1"/>
      </w:pPr>
      <w:r>
        <w:t>–</w:t>
      </w:r>
      <w:r w:rsidR="00902933" w:rsidRPr="00F97073">
        <w:tab/>
      </w:r>
      <w:r w:rsidR="00902933">
        <w:t>concevoir des produits sur l’identification technique des signaux numériques pour compléter les renseignements figu</w:t>
      </w:r>
      <w:r w:rsidR="005859FB">
        <w:t>rant dans la Recommandation UIT</w:t>
      </w:r>
      <w:r w:rsidR="00902933" w:rsidRPr="00F97073">
        <w:t>-R SM.1600</w:t>
      </w:r>
      <w:r>
        <w:t xml:space="preserve"> -</w:t>
      </w:r>
      <w:r w:rsidR="00881CFA">
        <w:t xml:space="preserve"> </w:t>
      </w:r>
      <w:r w:rsidR="00902933">
        <w:rPr>
          <w:color w:val="000000"/>
        </w:rPr>
        <w:t>Identification technique des signaux numériques</w:t>
      </w:r>
      <w:r w:rsidR="00902933" w:rsidRPr="00F97073">
        <w:t>;</w:t>
      </w:r>
    </w:p>
    <w:p w:rsidR="00902933" w:rsidRPr="00F97073" w:rsidRDefault="00DE368B" w:rsidP="00902933">
      <w:pPr>
        <w:pStyle w:val="enumlev1"/>
      </w:pPr>
      <w:r>
        <w:t>–</w:t>
      </w:r>
      <w:r w:rsidR="00902933" w:rsidRPr="00F97073">
        <w:tab/>
      </w:r>
      <w:r w:rsidR="00902933">
        <w:t>concevoir des produits sur le contrôle de la zone de service</w:t>
      </w:r>
      <w:r w:rsidR="005859FB">
        <w:t xml:space="preserve"> pour les systèmes numériques;</w:t>
      </w:r>
    </w:p>
    <w:p w:rsidR="00902933" w:rsidRPr="00F97073" w:rsidRDefault="00DE368B" w:rsidP="00902933">
      <w:pPr>
        <w:pStyle w:val="enumlev1"/>
      </w:pPr>
      <w:r>
        <w:t>–</w:t>
      </w:r>
      <w:r w:rsidR="00902933" w:rsidRPr="00F97073">
        <w:tab/>
      </w:r>
      <w:r w:rsidR="00902933">
        <w:t xml:space="preserve">concevoir des produits sur la </w:t>
      </w:r>
      <w:r w:rsidR="005859FB">
        <w:rPr>
          <w:color w:val="000000"/>
        </w:rPr>
        <w:t xml:space="preserve">précision et la </w:t>
      </w:r>
      <w:r w:rsidR="00902933">
        <w:rPr>
          <w:color w:val="000000"/>
        </w:rPr>
        <w:t>sensibilité radiogoniométriques</w:t>
      </w:r>
      <w:r w:rsidR="005859FB">
        <w:t>;</w:t>
      </w:r>
    </w:p>
    <w:p w:rsidR="00902933" w:rsidRPr="00F97073" w:rsidRDefault="00DE368B" w:rsidP="00902933">
      <w:pPr>
        <w:pStyle w:val="enumlev1"/>
      </w:pPr>
      <w:r>
        <w:t>–</w:t>
      </w:r>
      <w:r w:rsidR="00902933" w:rsidRPr="00F97073">
        <w:tab/>
      </w:r>
      <w:r w:rsidR="00902933">
        <w:t xml:space="preserve">concevoir des produits sur le stockage des </w:t>
      </w:r>
      <w:r w:rsidR="00902933">
        <w:rPr>
          <w:color w:val="000000"/>
        </w:rPr>
        <w:t>données I/Q</w:t>
      </w:r>
      <w:r w:rsidR="00902933" w:rsidRPr="00F97073">
        <w:t>.</w:t>
      </w:r>
    </w:p>
    <w:p w:rsidR="00902933" w:rsidRPr="00F97073" w:rsidRDefault="00902933" w:rsidP="00902933">
      <w:r>
        <w:t>Au cou</w:t>
      </w:r>
      <w:r w:rsidR="00881CFA">
        <w:t>rs de la période 2016–2019, la C</w:t>
      </w:r>
      <w:r>
        <w:t>ommission d’études 1 s’attachera également à poursuivre l’examen des produits UIT</w:t>
      </w:r>
      <w:r w:rsidRPr="008A0E27">
        <w:t>-R</w:t>
      </w:r>
      <w:r>
        <w:t xml:space="preserve"> existants, compte tenu des besoins qui se font jour dans le domaine du contrôle et de l’évolution des systèmes radioélectriques, </w:t>
      </w:r>
      <w:r w:rsidR="005859FB">
        <w:t>et s’efforcera en particulier:</w:t>
      </w:r>
    </w:p>
    <w:p w:rsidR="00902933" w:rsidRPr="00F97073" w:rsidRDefault="00DE368B" w:rsidP="00902933">
      <w:pPr>
        <w:pStyle w:val="enumlev1"/>
      </w:pPr>
      <w:r>
        <w:t>–</w:t>
      </w:r>
      <w:r w:rsidR="00902933" w:rsidRPr="00F97073">
        <w:tab/>
      </w:r>
      <w:r w:rsidR="00902933">
        <w:t>d’examiner les pr</w:t>
      </w:r>
      <w:r>
        <w:t xml:space="preserve">oduits relatifs à l’inspection </w:t>
      </w:r>
      <w:r w:rsidR="00902933">
        <w:t>des st</w:t>
      </w:r>
      <w:r>
        <w:t>ations de radiocommunication</w:t>
      </w:r>
      <w:r w:rsidR="005859FB">
        <w:t>;</w:t>
      </w:r>
    </w:p>
    <w:p w:rsidR="00902933" w:rsidRPr="00F97073" w:rsidRDefault="00DE368B" w:rsidP="00902933">
      <w:pPr>
        <w:pStyle w:val="enumlev1"/>
      </w:pPr>
      <w:r>
        <w:t>–</w:t>
      </w:r>
      <w:r w:rsidR="00902933" w:rsidRPr="00F97073">
        <w:tab/>
      </w:r>
      <w:r w:rsidR="00902933">
        <w:t>d’examiner</w:t>
      </w:r>
      <w:r w:rsidR="005859FB">
        <w:t xml:space="preserve"> la technique de contrôle pour</w:t>
      </w:r>
      <w:r w:rsidR="00902933">
        <w:t xml:space="preserve"> </w:t>
      </w:r>
      <w:r w:rsidR="00902933">
        <w:rPr>
          <w:color w:val="000000"/>
        </w:rPr>
        <w:t>la mesure de</w:t>
      </w:r>
      <w:r>
        <w:t xml:space="preserve"> l’occupation du spectre</w:t>
      </w:r>
      <w:r w:rsidR="00902933" w:rsidRPr="00F97073">
        <w:t>.</w:t>
      </w:r>
    </w:p>
    <w:p w:rsidR="00902933" w:rsidRPr="000D661A" w:rsidRDefault="00902933" w:rsidP="00902933">
      <w:r>
        <w:t>En outre, étant donné que les ateliers organisé</w:t>
      </w:r>
      <w:r w:rsidR="005859FB">
        <w:t xml:space="preserve">s pendant la période d’études </w:t>
      </w:r>
      <w:r>
        <w:t>conjointement avec la CE</w:t>
      </w:r>
      <w:r w:rsidRPr="006D30A3">
        <w:t xml:space="preserve"> 1 </w:t>
      </w:r>
      <w:r w:rsidR="00DE368B">
        <w:t>et</w:t>
      </w:r>
      <w:r w:rsidR="00881CFA">
        <w:t xml:space="preserve">/ou ses Groupes de travail </w:t>
      </w:r>
      <w:r w:rsidR="005859FB">
        <w:t xml:space="preserve">ont été un succès, la </w:t>
      </w:r>
      <w:r>
        <w:t>CE</w:t>
      </w:r>
      <w:r w:rsidRPr="006D30A3">
        <w:t xml:space="preserve"> 1 </w:t>
      </w:r>
      <w:r w:rsidR="005859FB">
        <w:t>et</w:t>
      </w:r>
      <w:r w:rsidR="00881CFA">
        <w:t>/ou ses G</w:t>
      </w:r>
      <w:r w:rsidR="005859FB">
        <w:t xml:space="preserve">roupes de travail </w:t>
      </w:r>
      <w:r>
        <w:t>pourront organiser à nouveau des ateliers en vue de faciliter l’échange d’informations sur des questions importantes rele</w:t>
      </w:r>
      <w:r w:rsidR="00881CFA">
        <w:t>vant de la compétence de cette C</w:t>
      </w:r>
      <w:r w:rsidR="005859FB">
        <w:t>ommission d’études.</w:t>
      </w:r>
    </w:p>
    <w:p w:rsidR="00902933" w:rsidRDefault="00881CFA" w:rsidP="00902933">
      <w:pPr>
        <w:pStyle w:val="Heading1"/>
        <w:rPr>
          <w:lang w:val="fr-CH"/>
        </w:rPr>
      </w:pPr>
      <w:r>
        <w:rPr>
          <w:lang w:val="fr-CH"/>
        </w:rPr>
        <w:lastRenderedPageBreak/>
        <w:t>11</w:t>
      </w:r>
      <w:r w:rsidR="00902933">
        <w:rPr>
          <w:lang w:val="fr-CH"/>
        </w:rPr>
        <w:tab/>
        <w:t>Conclusions</w:t>
      </w:r>
    </w:p>
    <w:p w:rsidR="00902933" w:rsidRDefault="00902933" w:rsidP="005859FB">
      <w:pPr>
        <w:rPr>
          <w:lang w:val="fr-CH"/>
        </w:rPr>
      </w:pPr>
      <w:r>
        <w:rPr>
          <w:lang w:val="fr-CH"/>
        </w:rPr>
        <w:t>Je tiens à remercier sincèrement les Vice-Présidents de la C</w:t>
      </w:r>
      <w:r w:rsidR="00881CFA">
        <w:rPr>
          <w:lang w:val="fr-CH"/>
        </w:rPr>
        <w:t>ommission d'études</w:t>
      </w:r>
      <w:r>
        <w:rPr>
          <w:lang w:val="fr-CH"/>
        </w:rPr>
        <w:t xml:space="preserve"> 1 et les Présidents et Vic</w:t>
      </w:r>
      <w:r w:rsidR="00881CFA">
        <w:rPr>
          <w:lang w:val="fr-CH"/>
        </w:rPr>
        <w:t>e-Présidents des G</w:t>
      </w:r>
      <w:r>
        <w:rPr>
          <w:lang w:val="fr-CH"/>
        </w:rPr>
        <w:t>roupes de travail. Je r</w:t>
      </w:r>
      <w:r w:rsidR="005859FB">
        <w:rPr>
          <w:lang w:val="fr-CH"/>
        </w:rPr>
        <w:t>emercie aussi les Rapporteurs</w:t>
      </w:r>
      <w:r w:rsidR="00F53FBF">
        <w:rPr>
          <w:lang w:val="fr-CH"/>
        </w:rPr>
        <w:t>,</w:t>
      </w:r>
      <w:r w:rsidR="005859FB">
        <w:rPr>
          <w:lang w:val="fr-CH"/>
        </w:rPr>
        <w:t xml:space="preserve"> les Groupes de Rapporteur</w:t>
      </w:r>
      <w:r>
        <w:rPr>
          <w:lang w:val="fr-CH"/>
        </w:rPr>
        <w:t xml:space="preserve">, ou </w:t>
      </w:r>
      <w:r>
        <w:rPr>
          <w:color w:val="000000"/>
        </w:rPr>
        <w:t>ceux qui ont assumé les fonctions de Président</w:t>
      </w:r>
      <w:r>
        <w:rPr>
          <w:lang w:val="fr-CH"/>
        </w:rPr>
        <w:t xml:space="preserve"> des </w:t>
      </w:r>
      <w:r w:rsidR="00881CFA">
        <w:rPr>
          <w:lang w:val="fr-CH"/>
        </w:rPr>
        <w:t>G</w:t>
      </w:r>
      <w:r>
        <w:rPr>
          <w:lang w:val="fr-CH"/>
        </w:rPr>
        <w:t>roupes de travail par correspondance, ainsi que les membres de ces</w:t>
      </w:r>
      <w:r w:rsidR="00881CFA">
        <w:rPr>
          <w:lang w:val="fr-CH"/>
        </w:rPr>
        <w:t xml:space="preserve"> groupes et les Présidents des Groupes de travail, des G</w:t>
      </w:r>
      <w:r w:rsidR="005859FB">
        <w:rPr>
          <w:lang w:val="fr-CH"/>
        </w:rPr>
        <w:t xml:space="preserve">roupes de rédaction </w:t>
      </w:r>
      <w:r>
        <w:rPr>
          <w:lang w:val="fr-CH"/>
        </w:rPr>
        <w:t>ou d’autres sous-</w:t>
      </w:r>
      <w:r w:rsidR="005859FB">
        <w:rPr>
          <w:lang w:val="fr-CH"/>
        </w:rPr>
        <w:t xml:space="preserve">groupes pendant les réunions. </w:t>
      </w:r>
      <w:r>
        <w:rPr>
          <w:lang w:val="fr-CH"/>
        </w:rPr>
        <w:t xml:space="preserve">Nous apprécions tous le soutien constant apporté par le Bureau des radiocommunications et son Département des commissions d'études, en particulier par le </w:t>
      </w:r>
      <w:r w:rsidR="005859FB">
        <w:rPr>
          <w:lang w:val="fr-CH"/>
        </w:rPr>
        <w:t>Conseiller</w:t>
      </w:r>
      <w:r>
        <w:rPr>
          <w:lang w:val="fr-CH"/>
        </w:rPr>
        <w:t xml:space="preserve"> et le personnel du Secrétariat.</w:t>
      </w:r>
    </w:p>
    <w:p w:rsidR="00881CFA" w:rsidRDefault="00881CFA" w:rsidP="00BD6917">
      <w:pPr>
        <w:pStyle w:val="Reasons"/>
      </w:pPr>
    </w:p>
    <w:p w:rsidR="00902933" w:rsidRDefault="00881CFA" w:rsidP="005859FB">
      <w:pPr>
        <w:jc w:val="center"/>
      </w:pPr>
      <w:r>
        <w:t>______________</w:t>
      </w:r>
    </w:p>
    <w:sectPr w:rsidR="00902933">
      <w:headerReference w:type="default" r:id="rId23"/>
      <w:footerReference w:type="even" r:id="rId24"/>
      <w:footerReference w:type="default" r:id="rId25"/>
      <w:footerReference w:type="first" r:id="rId2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7F" w:rsidRDefault="00F6597F">
      <w:r>
        <w:separator/>
      </w:r>
    </w:p>
  </w:endnote>
  <w:endnote w:type="continuationSeparator" w:id="0">
    <w:p w:rsidR="00F6597F" w:rsidRDefault="00F6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7F" w:rsidRDefault="00F6597F">
    <w:pPr>
      <w:rPr>
        <w:lang w:val="en-US"/>
      </w:rPr>
    </w:pPr>
    <w:r>
      <w:fldChar w:fldCharType="begin"/>
    </w:r>
    <w:r>
      <w:rPr>
        <w:lang w:val="en-US"/>
      </w:rPr>
      <w:instrText xml:space="preserve"> FILENAME \p  \* MERGEFORMAT </w:instrText>
    </w:r>
    <w:r>
      <w:fldChar w:fldCharType="separate"/>
    </w:r>
    <w:r w:rsidR="00C10013">
      <w:rPr>
        <w:noProof/>
        <w:lang w:val="en-US"/>
      </w:rPr>
      <w:t>P:\FRA\ITU-R\SG-R\SG01\1000\1001F.docx</w:t>
    </w:r>
    <w:r>
      <w:fldChar w:fldCharType="end"/>
    </w:r>
    <w:r>
      <w:rPr>
        <w:lang w:val="en-US"/>
      </w:rPr>
      <w:tab/>
    </w:r>
    <w:r>
      <w:fldChar w:fldCharType="begin"/>
    </w:r>
    <w:r>
      <w:instrText xml:space="preserve"> SAVEDATE \@ DD.MM.YY </w:instrText>
    </w:r>
    <w:r>
      <w:fldChar w:fldCharType="separate"/>
    </w:r>
    <w:r w:rsidR="00C10013">
      <w:rPr>
        <w:noProof/>
      </w:rPr>
      <w:t>16.10.15</w:t>
    </w:r>
    <w:r>
      <w:fldChar w:fldCharType="end"/>
    </w:r>
    <w:r>
      <w:rPr>
        <w:lang w:val="en-US"/>
      </w:rPr>
      <w:tab/>
    </w:r>
    <w:r>
      <w:fldChar w:fldCharType="begin"/>
    </w:r>
    <w:r>
      <w:instrText xml:space="preserve"> PRINTDATE \@ DD.MM.YY </w:instrText>
    </w:r>
    <w:r>
      <w:fldChar w:fldCharType="separate"/>
    </w:r>
    <w:r w:rsidR="00C10013">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7F" w:rsidRPr="00881CFA" w:rsidRDefault="00F6597F" w:rsidP="00403A63">
    <w:pPr>
      <w:pStyle w:val="Footer"/>
      <w:rPr>
        <w:lang w:val="es-ES_tradnl"/>
      </w:rPr>
    </w:pPr>
    <w:r>
      <w:fldChar w:fldCharType="begin"/>
    </w:r>
    <w:r w:rsidRPr="00881CFA">
      <w:rPr>
        <w:lang w:val="es-ES_tradnl"/>
      </w:rPr>
      <w:instrText xml:space="preserve"> FILENAME \p  \* MERGEFORMAT </w:instrText>
    </w:r>
    <w:r>
      <w:fldChar w:fldCharType="separate"/>
    </w:r>
    <w:r w:rsidR="00C10013">
      <w:rPr>
        <w:lang w:val="es-ES_tradnl"/>
      </w:rPr>
      <w:t>P:\FRA\ITU-R\SG-R\SG01\1000\1001F.docx</w:t>
    </w:r>
    <w:r>
      <w:fldChar w:fldCharType="end"/>
    </w:r>
    <w:r>
      <w:t xml:space="preserve"> (382209)</w:t>
    </w:r>
    <w:r w:rsidRPr="00881CFA">
      <w:rPr>
        <w:lang w:val="es-ES_tradnl"/>
      </w:rPr>
      <w:tab/>
    </w:r>
    <w:r>
      <w:fldChar w:fldCharType="begin"/>
    </w:r>
    <w:r>
      <w:instrText xml:space="preserve"> SAVEDATE \@ DD.MM.YY </w:instrText>
    </w:r>
    <w:r>
      <w:fldChar w:fldCharType="separate"/>
    </w:r>
    <w:r w:rsidR="00C10013">
      <w:t>16.10.15</w:t>
    </w:r>
    <w:r>
      <w:fldChar w:fldCharType="end"/>
    </w:r>
    <w:r w:rsidRPr="00881CFA">
      <w:rPr>
        <w:lang w:val="es-ES_tradnl"/>
      </w:rPr>
      <w:tab/>
    </w:r>
    <w:r>
      <w:fldChar w:fldCharType="begin"/>
    </w:r>
    <w:r>
      <w:instrText xml:space="preserve"> PRINTDATE \@ DD.MM.YY </w:instrText>
    </w:r>
    <w:r>
      <w:fldChar w:fldCharType="separate"/>
    </w:r>
    <w:r w:rsidR="00C10013">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7F" w:rsidRPr="00F6597F" w:rsidRDefault="00C10013" w:rsidP="00F6597F">
    <w:pPr>
      <w:pStyle w:val="Footer"/>
    </w:pPr>
    <w:r>
      <w:fldChar w:fldCharType="begin"/>
    </w:r>
    <w:r>
      <w:instrText xml:space="preserve"> FILENAME \p  \* MERGEFORMAT </w:instrText>
    </w:r>
    <w:r>
      <w:fldChar w:fldCharType="separate"/>
    </w:r>
    <w:r>
      <w:t>P:\FRA\ITU-R\SG-R\SG01\1000\1001F.docx</w:t>
    </w:r>
    <w:r>
      <w:fldChar w:fldCharType="end"/>
    </w:r>
    <w:r w:rsidR="00F6597F">
      <w:t xml:space="preserve"> (382209)</w:t>
    </w:r>
    <w:r w:rsidR="00F6597F">
      <w:tab/>
    </w:r>
    <w:r w:rsidR="00F6597F">
      <w:fldChar w:fldCharType="begin"/>
    </w:r>
    <w:r w:rsidR="00F6597F">
      <w:instrText xml:space="preserve"> SAVEDATE \@ DD.MM.YY </w:instrText>
    </w:r>
    <w:r w:rsidR="00F6597F">
      <w:fldChar w:fldCharType="separate"/>
    </w:r>
    <w:r>
      <w:t>16.10.15</w:t>
    </w:r>
    <w:r w:rsidR="00F6597F">
      <w:fldChar w:fldCharType="end"/>
    </w:r>
    <w:r w:rsidR="00F6597F">
      <w:tab/>
    </w:r>
    <w:r w:rsidR="00F6597F">
      <w:fldChar w:fldCharType="begin"/>
    </w:r>
    <w:r w:rsidR="00F6597F">
      <w:instrText xml:space="preserve"> PRINTDATE \@ DD.MM.YY </w:instrText>
    </w:r>
    <w:r w:rsidR="00F6597F">
      <w:fldChar w:fldCharType="separate"/>
    </w:r>
    <w:r>
      <w:t>16.10.15</w:t>
    </w:r>
    <w:r w:rsidR="00F6597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7F" w:rsidRDefault="00F6597F">
      <w:r>
        <w:rPr>
          <w:b/>
        </w:rPr>
        <w:t>_______________</w:t>
      </w:r>
    </w:p>
  </w:footnote>
  <w:footnote w:type="continuationSeparator" w:id="0">
    <w:p w:rsidR="00F6597F" w:rsidRDefault="00F65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7F" w:rsidRDefault="00F6597F">
    <w:pPr>
      <w:pStyle w:val="Header"/>
    </w:pPr>
    <w:r>
      <w:fldChar w:fldCharType="begin"/>
    </w:r>
    <w:r>
      <w:instrText xml:space="preserve"> PAGE  \* MERGEFORMAT </w:instrText>
    </w:r>
    <w:r>
      <w:fldChar w:fldCharType="separate"/>
    </w:r>
    <w:r w:rsidR="00C10013">
      <w:rPr>
        <w:noProof/>
      </w:rPr>
      <w:t>13</w:t>
    </w:r>
    <w:r>
      <w:fldChar w:fldCharType="end"/>
    </w:r>
  </w:p>
  <w:p w:rsidR="00F6597F" w:rsidRDefault="00F6597F">
    <w:pPr>
      <w:pStyle w:val="Header"/>
    </w:pPr>
    <w:r>
      <w:t>1/1001-F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BF77E2"/>
    <w:multiLevelType w:val="hybridMultilevel"/>
    <w:tmpl w:val="275EB74E"/>
    <w:lvl w:ilvl="0" w:tplc="9A88FFC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33"/>
    <w:rsid w:val="00006711"/>
    <w:rsid w:val="000B1F11"/>
    <w:rsid w:val="000D6566"/>
    <w:rsid w:val="000E2890"/>
    <w:rsid w:val="0013523C"/>
    <w:rsid w:val="00160694"/>
    <w:rsid w:val="00190EA0"/>
    <w:rsid w:val="001D7633"/>
    <w:rsid w:val="00223DF9"/>
    <w:rsid w:val="00312771"/>
    <w:rsid w:val="0031437E"/>
    <w:rsid w:val="003644F8"/>
    <w:rsid w:val="003A6801"/>
    <w:rsid w:val="003D3E92"/>
    <w:rsid w:val="00403A63"/>
    <w:rsid w:val="00452311"/>
    <w:rsid w:val="00456FD6"/>
    <w:rsid w:val="00485C6C"/>
    <w:rsid w:val="004B3076"/>
    <w:rsid w:val="004F2C83"/>
    <w:rsid w:val="00530E6D"/>
    <w:rsid w:val="00553090"/>
    <w:rsid w:val="005859FB"/>
    <w:rsid w:val="005A46FB"/>
    <w:rsid w:val="006525E4"/>
    <w:rsid w:val="00654EA4"/>
    <w:rsid w:val="006B7103"/>
    <w:rsid w:val="006F73A7"/>
    <w:rsid w:val="0071781A"/>
    <w:rsid w:val="007D5428"/>
    <w:rsid w:val="00802EBF"/>
    <w:rsid w:val="00813083"/>
    <w:rsid w:val="00840A51"/>
    <w:rsid w:val="00851359"/>
    <w:rsid w:val="00852305"/>
    <w:rsid w:val="00881CFA"/>
    <w:rsid w:val="008962EE"/>
    <w:rsid w:val="008A2DBF"/>
    <w:rsid w:val="008C5FD1"/>
    <w:rsid w:val="00902933"/>
    <w:rsid w:val="00950F9A"/>
    <w:rsid w:val="00A237DA"/>
    <w:rsid w:val="00A4472B"/>
    <w:rsid w:val="00A56906"/>
    <w:rsid w:val="00A769F2"/>
    <w:rsid w:val="00AB7A70"/>
    <w:rsid w:val="00AD26C8"/>
    <w:rsid w:val="00B219C9"/>
    <w:rsid w:val="00B82926"/>
    <w:rsid w:val="00BC2E38"/>
    <w:rsid w:val="00BD6917"/>
    <w:rsid w:val="00C04221"/>
    <w:rsid w:val="00C10013"/>
    <w:rsid w:val="00C4409C"/>
    <w:rsid w:val="00CB463B"/>
    <w:rsid w:val="00CF6C20"/>
    <w:rsid w:val="00D278A9"/>
    <w:rsid w:val="00D32DD4"/>
    <w:rsid w:val="00D54910"/>
    <w:rsid w:val="00D642A1"/>
    <w:rsid w:val="00DC4CBD"/>
    <w:rsid w:val="00DE368B"/>
    <w:rsid w:val="00E71D00"/>
    <w:rsid w:val="00EC0EB4"/>
    <w:rsid w:val="00EE5486"/>
    <w:rsid w:val="00F046CB"/>
    <w:rsid w:val="00F53FBF"/>
    <w:rsid w:val="00F6597F"/>
    <w:rsid w:val="00FB022F"/>
    <w:rsid w:val="00FB5341"/>
    <w:rsid w:val="00FB596A"/>
    <w:rsid w:val="00FE4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1625AD9-1993-4817-9572-60C1FFD8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uiPriority w:val="99"/>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TableText0">
    <w:name w:val="Table_Text"/>
    <w:basedOn w:val="Normal"/>
    <w:rsid w:val="0090293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style>
  <w:style w:type="table" w:styleId="TableGrid">
    <w:name w:val="Table Grid"/>
    <w:basedOn w:val="TableNormal"/>
    <w:rsid w:val="00902933"/>
    <w:pPr>
      <w:tabs>
        <w:tab w:val="left" w:pos="794"/>
        <w:tab w:val="left" w:pos="1191"/>
        <w:tab w:val="left" w:pos="1588"/>
        <w:tab w:val="left" w:pos="1985"/>
      </w:tabs>
      <w:overflowPunct w:val="0"/>
      <w:autoSpaceDE w:val="0"/>
      <w:autoSpaceDN w:val="0"/>
      <w:adjustRightInd w:val="0"/>
      <w:spacing w:before="120"/>
      <w:textAlignment w:val="baseline"/>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2933"/>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styleId="BalloonText">
    <w:name w:val="Balloon Text"/>
    <w:basedOn w:val="Normal"/>
    <w:link w:val="BalloonTextChar"/>
    <w:rsid w:val="00902933"/>
    <w:pPr>
      <w:spacing w:before="0"/>
    </w:pPr>
    <w:rPr>
      <w:rFonts w:ascii="Tahoma" w:hAnsi="Tahoma" w:cs="Tahoma"/>
      <w:sz w:val="16"/>
      <w:szCs w:val="16"/>
    </w:rPr>
  </w:style>
  <w:style w:type="character" w:customStyle="1" w:styleId="BalloonTextChar">
    <w:name w:val="Balloon Text Char"/>
    <w:basedOn w:val="DefaultParagraphFont"/>
    <w:link w:val="BalloonText"/>
    <w:rsid w:val="00902933"/>
    <w:rPr>
      <w:rFonts w:ascii="Tahoma" w:hAnsi="Tahoma" w:cs="Tahoma"/>
      <w:sz w:val="16"/>
      <w:szCs w:val="16"/>
      <w:lang w:val="fr-FR" w:eastAsia="en-US"/>
    </w:rPr>
  </w:style>
  <w:style w:type="character" w:styleId="CommentReference">
    <w:name w:val="annotation reference"/>
    <w:basedOn w:val="DefaultParagraphFont"/>
    <w:rsid w:val="00902933"/>
    <w:rPr>
      <w:sz w:val="16"/>
      <w:szCs w:val="16"/>
    </w:rPr>
  </w:style>
  <w:style w:type="paragraph" w:styleId="CommentText">
    <w:name w:val="annotation text"/>
    <w:basedOn w:val="Normal"/>
    <w:link w:val="CommentTextChar"/>
    <w:rsid w:val="00902933"/>
    <w:rPr>
      <w:sz w:val="20"/>
    </w:rPr>
  </w:style>
  <w:style w:type="character" w:customStyle="1" w:styleId="CommentTextChar">
    <w:name w:val="Comment Text Char"/>
    <w:basedOn w:val="DefaultParagraphFont"/>
    <w:link w:val="CommentText"/>
    <w:rsid w:val="00902933"/>
    <w:rPr>
      <w:rFonts w:ascii="Times New Roman" w:hAnsi="Times New Roman"/>
      <w:lang w:val="fr-FR" w:eastAsia="en-US"/>
    </w:rPr>
  </w:style>
  <w:style w:type="paragraph" w:styleId="CommentSubject">
    <w:name w:val="annotation subject"/>
    <w:basedOn w:val="CommentText"/>
    <w:next w:val="CommentText"/>
    <w:link w:val="CommentSubjectChar"/>
    <w:rsid w:val="00902933"/>
    <w:rPr>
      <w:b/>
      <w:bCs/>
    </w:rPr>
  </w:style>
  <w:style w:type="character" w:customStyle="1" w:styleId="CommentSubjectChar">
    <w:name w:val="Comment Subject Char"/>
    <w:basedOn w:val="CommentTextChar"/>
    <w:link w:val="CommentSubject"/>
    <w:rsid w:val="00902933"/>
    <w:rPr>
      <w:rFonts w:ascii="Times New Roman" w:hAnsi="Times New Roman"/>
      <w:b/>
      <w:bCs/>
      <w:lang w:val="fr-FR" w:eastAsia="en-US"/>
    </w:rPr>
  </w:style>
  <w:style w:type="character" w:customStyle="1" w:styleId="TabletextChar">
    <w:name w:val="Table_text Char"/>
    <w:basedOn w:val="DefaultParagraphFont"/>
    <w:link w:val="Tabletext"/>
    <w:rsid w:val="00902933"/>
    <w:rPr>
      <w:rFonts w:ascii="Times New Roman" w:hAnsi="Times New Roman"/>
      <w:lang w:val="fr-FR" w:eastAsia="en-US"/>
    </w:rPr>
  </w:style>
  <w:style w:type="character" w:customStyle="1" w:styleId="enumlev1Char">
    <w:name w:val="enumlev1 Char"/>
    <w:link w:val="enumlev1"/>
    <w:uiPriority w:val="99"/>
    <w:locked/>
    <w:rsid w:val="00902933"/>
    <w:rPr>
      <w:rFonts w:ascii="Times New Roman" w:hAnsi="Times New Roman"/>
      <w:sz w:val="24"/>
      <w:lang w:val="fr-FR" w:eastAsia="en-US"/>
    </w:rPr>
  </w:style>
  <w:style w:type="character" w:styleId="Hyperlink">
    <w:name w:val="Hyperlink"/>
    <w:basedOn w:val="DefaultParagraphFont"/>
    <w:rsid w:val="00902933"/>
    <w:rPr>
      <w:color w:val="0000FF" w:themeColor="hyperlink"/>
      <w:u w:val="single"/>
    </w:rPr>
  </w:style>
  <w:style w:type="character" w:styleId="Emphasis">
    <w:name w:val="Emphasis"/>
    <w:basedOn w:val="DefaultParagraphFont"/>
    <w:qFormat/>
    <w:rsid w:val="00902933"/>
    <w:rPr>
      <w:i/>
      <w:iCs/>
    </w:rPr>
  </w:style>
  <w:style w:type="character" w:styleId="FollowedHyperlink">
    <w:name w:val="FollowedHyperlink"/>
    <w:basedOn w:val="DefaultParagraphFont"/>
    <w:semiHidden/>
    <w:unhideWhenUsed/>
    <w:rsid w:val="008513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R-REP-SM.2182/fr" TargetMode="External"/><Relationship Id="rId18" Type="http://schemas.openxmlformats.org/officeDocument/2006/relationships/hyperlink" Target="http://www.itu.int/en/ITU-R/study-groups/workshops/RWP1B-SMWSCRS-14/Pages/default.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md/R12-SG01-INF-0004/fr" TargetMode="External"/><Relationship Id="rId7" Type="http://schemas.openxmlformats.org/officeDocument/2006/relationships/endnotes" Target="endnotes.xml"/><Relationship Id="rId12" Type="http://schemas.openxmlformats.org/officeDocument/2006/relationships/hyperlink" Target="http://www.itu.int/pub/R-REP-SM.2012/fr" TargetMode="External"/><Relationship Id="rId17" Type="http://schemas.openxmlformats.org/officeDocument/2006/relationships/hyperlink" Target="http://www.itu.int/en/ITU-R/study-groups/workshops/RWP1B-SRD-UWB-14/Pages/default.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pub/R-REP-SM.2255/fr" TargetMode="External"/><Relationship Id="rId20" Type="http://schemas.openxmlformats.org/officeDocument/2006/relationships/hyperlink" Target="http://www.itu.int/go/ITU-R/RWP1B-SMWSCRS-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SM.1603/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pub/R-REP-SM.2153/f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rec/R-REC-SM.1047/fr" TargetMode="External"/><Relationship Id="rId19" Type="http://schemas.openxmlformats.org/officeDocument/2006/relationships/hyperlink" Target="http://www.itu.int/rec/R-REC-SM.2039/fr" TargetMode="External"/><Relationship Id="rId4" Type="http://schemas.openxmlformats.org/officeDocument/2006/relationships/settings" Target="settings.xml"/><Relationship Id="rId9" Type="http://schemas.openxmlformats.org/officeDocument/2006/relationships/hyperlink" Target="http://www.itu.int/rec/R-REC-SM.1370/fr" TargetMode="External"/><Relationship Id="rId14" Type="http://schemas.openxmlformats.org/officeDocument/2006/relationships/hyperlink" Target="http://www.itu.int/rec/R-REC-SM.1896/fr" TargetMode="External"/><Relationship Id="rId22" Type="http://schemas.openxmlformats.org/officeDocument/2006/relationships/hyperlink" Target="http://www.itu.int/go/ITU-R/RWP1B-SRD-UWB-1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A54D-0980-44CB-BD2F-8C71833E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214</TotalTime>
  <Pages>1</Pages>
  <Words>5150</Words>
  <Characters>29024</Characters>
  <Application>Microsoft Office Word</Application>
  <DocSecurity>0</DocSecurity>
  <Lines>715</Lines>
  <Paragraphs>348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Acien, Clara</dc:creator>
  <cp:keywords/>
  <dc:description>PF_RA07.dot  Pour: _x000d_Date du document: _x000d_Enregistré par MM-43480 à 16:09:12 le 16.10.07</dc:description>
  <cp:lastModifiedBy>Jones, Jacqueline</cp:lastModifiedBy>
  <cp:revision>32</cp:revision>
  <cp:lastPrinted>2015-10-16T16:17:00Z</cp:lastPrinted>
  <dcterms:created xsi:type="dcterms:W3CDTF">2015-10-12T20:28:00Z</dcterms:created>
  <dcterms:modified xsi:type="dcterms:W3CDTF">2015-10-16T16:19:00Z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