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125" w:type="dxa"/>
        <w:tblLayout w:type="fixed"/>
        <w:tblLook w:val="0000" w:firstRow="0" w:lastRow="0" w:firstColumn="0" w:lastColumn="0" w:noHBand="0" w:noVBand="0"/>
      </w:tblPr>
      <w:tblGrid>
        <w:gridCol w:w="5495"/>
        <w:gridCol w:w="992"/>
        <w:gridCol w:w="2977"/>
        <w:gridCol w:w="425"/>
        <w:gridCol w:w="236"/>
      </w:tblGrid>
      <w:tr w:rsidR="00FB765B" w:rsidRPr="00335AA0" w:rsidTr="00FB765B">
        <w:trPr>
          <w:cantSplit/>
        </w:trPr>
        <w:tc>
          <w:tcPr>
            <w:tcW w:w="6487" w:type="dxa"/>
            <w:gridSpan w:val="2"/>
            <w:vAlign w:val="center"/>
          </w:tcPr>
          <w:p w:rsidR="00FB765B" w:rsidRPr="00335AA0" w:rsidRDefault="008B72F9" w:rsidP="00FB765B">
            <w:pPr>
              <w:shd w:val="solid" w:color="FFFFFF" w:fill="FFFFFF"/>
              <w:spacing w:before="0"/>
              <w:rPr>
                <w:rFonts w:ascii="Verdana" w:hAnsi="Verdana" w:cs="Times New Roman Bold"/>
                <w:b/>
                <w:bCs/>
                <w:sz w:val="26"/>
                <w:szCs w:val="26"/>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Pr>
                <w:rFonts w:ascii="Verdana" w:hAnsi="Verdana" w:cs="Times New Roman Bold"/>
                <w:b/>
                <w:bCs/>
                <w:sz w:val="20"/>
              </w:rPr>
              <w:t>8-10</w:t>
            </w:r>
            <w:r w:rsidRPr="00D872CB">
              <w:rPr>
                <w:rFonts w:ascii="Verdana" w:hAnsi="Verdana" w:cs="Times New Roman Bold"/>
                <w:b/>
                <w:bCs/>
                <w:sz w:val="20"/>
              </w:rPr>
              <w:t xml:space="preserve"> </w:t>
            </w:r>
            <w:r>
              <w:rPr>
                <w:rFonts w:ascii="Verdana" w:hAnsi="Verdana" w:cs="Times New Roman Bold"/>
                <w:b/>
                <w:bCs/>
                <w:sz w:val="20"/>
              </w:rPr>
              <w:t>June</w:t>
            </w:r>
            <w:r w:rsidRPr="00D872CB">
              <w:rPr>
                <w:rFonts w:ascii="Verdana" w:hAnsi="Verdana" w:cs="Times New Roman Bold"/>
                <w:b/>
                <w:bCs/>
                <w:sz w:val="20"/>
              </w:rPr>
              <w:t xml:space="preserve"> 20</w:t>
            </w:r>
            <w:r>
              <w:rPr>
                <w:rFonts w:ascii="Verdana" w:hAnsi="Verdana" w:cs="Times New Roman Bold"/>
                <w:b/>
                <w:bCs/>
                <w:sz w:val="20"/>
              </w:rPr>
              <w:t>11</w:t>
            </w:r>
          </w:p>
        </w:tc>
        <w:tc>
          <w:tcPr>
            <w:tcW w:w="3638" w:type="dxa"/>
            <w:gridSpan w:val="3"/>
          </w:tcPr>
          <w:p w:rsidR="00FB765B" w:rsidRPr="00335AA0" w:rsidRDefault="00FB765B" w:rsidP="00FB765B">
            <w:pPr>
              <w:shd w:val="solid" w:color="FFFFFF" w:fill="FFFFFF"/>
              <w:spacing w:before="0" w:line="240" w:lineRule="atLeast"/>
            </w:pPr>
            <w:r>
              <w:rPr>
                <w:noProof/>
                <w:lang w:val="en-US" w:eastAsia="zh-CN"/>
              </w:rPr>
              <w:drawing>
                <wp:inline distT="0" distB="0" distL="0" distR="0" wp14:anchorId="3DAA1A80" wp14:editId="41C77C7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E2E18" w:rsidRPr="005C20F1" w:rsidTr="00FB765B">
        <w:trPr>
          <w:gridAfter w:val="1"/>
          <w:wAfter w:w="236" w:type="dxa"/>
          <w:cantSplit/>
        </w:trPr>
        <w:tc>
          <w:tcPr>
            <w:tcW w:w="6487" w:type="dxa"/>
            <w:gridSpan w:val="2"/>
            <w:tcBorders>
              <w:bottom w:val="single" w:sz="12" w:space="0" w:color="auto"/>
            </w:tcBorders>
          </w:tcPr>
          <w:p w:rsidR="002E2E18" w:rsidRPr="005C20F1" w:rsidRDefault="002E2E18" w:rsidP="002E2E18">
            <w:pPr>
              <w:shd w:val="solid" w:color="FFFFFF" w:fill="FFFFFF"/>
              <w:spacing w:before="0" w:after="48"/>
              <w:rPr>
                <w:rFonts w:ascii="Verdana" w:hAnsi="Verdana" w:cs="Times New Roman Bold"/>
                <w:b/>
                <w:sz w:val="20"/>
              </w:rPr>
            </w:pPr>
          </w:p>
        </w:tc>
        <w:tc>
          <w:tcPr>
            <w:tcW w:w="3402" w:type="dxa"/>
            <w:gridSpan w:val="2"/>
            <w:tcBorders>
              <w:bottom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5C20F1" w:rsidTr="00FB765B">
        <w:trPr>
          <w:gridAfter w:val="1"/>
          <w:wAfter w:w="236" w:type="dxa"/>
          <w:cantSplit/>
        </w:trPr>
        <w:tc>
          <w:tcPr>
            <w:tcW w:w="6487" w:type="dxa"/>
            <w:gridSpan w:val="2"/>
            <w:tcBorders>
              <w:top w:val="single" w:sz="12" w:space="0" w:color="auto"/>
            </w:tcBorders>
          </w:tcPr>
          <w:p w:rsidR="002E2E18" w:rsidRPr="005C20F1" w:rsidRDefault="002E2E18" w:rsidP="002E2E18">
            <w:pPr>
              <w:shd w:val="solid" w:color="FFFFFF" w:fill="FFFFFF"/>
              <w:spacing w:before="0" w:after="48"/>
              <w:rPr>
                <w:rFonts w:ascii="Verdana" w:hAnsi="Verdana" w:cs="Times New Roman Bold"/>
                <w:bCs/>
                <w:sz w:val="20"/>
              </w:rPr>
            </w:pPr>
          </w:p>
        </w:tc>
        <w:tc>
          <w:tcPr>
            <w:tcW w:w="3402" w:type="dxa"/>
            <w:gridSpan w:val="2"/>
            <w:tcBorders>
              <w:top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AC61EC" w:rsidTr="009F3861">
        <w:trPr>
          <w:gridAfter w:val="2"/>
          <w:wAfter w:w="661" w:type="dxa"/>
          <w:cantSplit/>
        </w:trPr>
        <w:tc>
          <w:tcPr>
            <w:tcW w:w="5495" w:type="dxa"/>
            <w:vMerge w:val="restart"/>
          </w:tcPr>
          <w:p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0" w:name="recibido"/>
            <w:bookmarkStart w:id="1" w:name="dnum" w:colFirst="1" w:colLast="1"/>
            <w:bookmarkEnd w:id="0"/>
          </w:p>
        </w:tc>
        <w:tc>
          <w:tcPr>
            <w:tcW w:w="3969" w:type="dxa"/>
            <w:gridSpan w:val="2"/>
          </w:tcPr>
          <w:p w:rsidR="002E2E18" w:rsidRPr="003E37DA" w:rsidRDefault="001B7D11" w:rsidP="00C37C2E">
            <w:pPr>
              <w:shd w:val="solid" w:color="FFFFFF" w:fill="FFFFFF"/>
              <w:spacing w:before="0" w:line="240" w:lineRule="atLeast"/>
              <w:ind w:firstLine="34"/>
              <w:rPr>
                <w:rFonts w:ascii="Verdana" w:hAnsi="Verdana"/>
                <w:sz w:val="20"/>
                <w:lang w:val="fr-CH" w:eastAsia="zh-CN"/>
              </w:rPr>
            </w:pPr>
            <w:r w:rsidRPr="003E37DA">
              <w:rPr>
                <w:rFonts w:ascii="Verdana" w:hAnsi="Verdana"/>
                <w:b/>
                <w:sz w:val="20"/>
                <w:lang w:val="fr-CH" w:eastAsia="zh-CN"/>
              </w:rPr>
              <w:t xml:space="preserve">Document </w:t>
            </w:r>
            <w:r w:rsidR="008B72F9" w:rsidRPr="003E37DA">
              <w:rPr>
                <w:rFonts w:ascii="Verdana" w:hAnsi="Verdana"/>
                <w:b/>
                <w:sz w:val="20"/>
                <w:lang w:val="fr-CH"/>
              </w:rPr>
              <w:t xml:space="preserve"> RAG11</w:t>
            </w:r>
            <w:r w:rsidR="009F3861" w:rsidRPr="003E37DA">
              <w:rPr>
                <w:rFonts w:ascii="Verdana" w:hAnsi="Verdana"/>
                <w:b/>
                <w:sz w:val="20"/>
                <w:lang w:val="fr-CH"/>
              </w:rPr>
              <w:noBreakHyphen/>
            </w:r>
            <w:r w:rsidR="008B72F9" w:rsidRPr="003E37DA">
              <w:rPr>
                <w:rFonts w:ascii="Verdana" w:hAnsi="Verdana"/>
                <w:b/>
                <w:sz w:val="20"/>
                <w:lang w:val="fr-CH"/>
              </w:rPr>
              <w:t>1/TEMP/</w:t>
            </w:r>
            <w:r w:rsidR="00C37C2E" w:rsidRPr="003E37DA">
              <w:rPr>
                <w:rFonts w:ascii="Verdana" w:hAnsi="Verdana"/>
                <w:b/>
                <w:sz w:val="20"/>
                <w:lang w:val="fr-CH"/>
              </w:rPr>
              <w:t>4</w:t>
            </w:r>
            <w:r w:rsidR="008B72F9" w:rsidRPr="003E37DA">
              <w:rPr>
                <w:rFonts w:ascii="Verdana" w:hAnsi="Verdana"/>
                <w:b/>
                <w:sz w:val="20"/>
                <w:lang w:val="fr-CH"/>
              </w:rPr>
              <w:t>-E</w:t>
            </w:r>
          </w:p>
        </w:tc>
      </w:tr>
      <w:tr w:rsidR="002E2E18" w:rsidTr="009F3861">
        <w:trPr>
          <w:gridAfter w:val="2"/>
          <w:wAfter w:w="661" w:type="dxa"/>
          <w:cantSplit/>
        </w:trPr>
        <w:tc>
          <w:tcPr>
            <w:tcW w:w="5495" w:type="dxa"/>
            <w:vMerge/>
          </w:tcPr>
          <w:p w:rsidR="002E2E18" w:rsidRPr="003E37DA" w:rsidRDefault="002E2E18" w:rsidP="002E2E18">
            <w:pPr>
              <w:spacing w:before="60"/>
              <w:jc w:val="center"/>
              <w:rPr>
                <w:b/>
                <w:smallCaps/>
                <w:sz w:val="32"/>
                <w:lang w:val="fr-CH" w:eastAsia="zh-CN"/>
              </w:rPr>
            </w:pPr>
            <w:bookmarkStart w:id="2" w:name="ddate" w:colFirst="1" w:colLast="1"/>
            <w:bookmarkEnd w:id="1"/>
          </w:p>
        </w:tc>
        <w:tc>
          <w:tcPr>
            <w:tcW w:w="3969" w:type="dxa"/>
            <w:gridSpan w:val="2"/>
          </w:tcPr>
          <w:p w:rsidR="002E2E18" w:rsidRPr="001B7D11" w:rsidRDefault="00FB765B" w:rsidP="009F3861">
            <w:pPr>
              <w:shd w:val="solid" w:color="FFFFFF" w:fill="FFFFFF"/>
              <w:spacing w:before="0" w:line="240" w:lineRule="atLeast"/>
              <w:ind w:firstLine="34"/>
              <w:rPr>
                <w:rFonts w:ascii="Verdana" w:hAnsi="Verdana"/>
                <w:sz w:val="20"/>
                <w:lang w:eastAsia="zh-CN"/>
              </w:rPr>
            </w:pPr>
            <w:r>
              <w:rPr>
                <w:rFonts w:ascii="Verdana" w:hAnsi="Verdana"/>
                <w:b/>
                <w:sz w:val="20"/>
                <w:lang w:eastAsia="zh-CN"/>
              </w:rPr>
              <w:t>1</w:t>
            </w:r>
            <w:r w:rsidR="007805DD">
              <w:rPr>
                <w:rFonts w:ascii="Verdana" w:hAnsi="Verdana"/>
                <w:b/>
                <w:sz w:val="20"/>
                <w:lang w:eastAsia="zh-CN"/>
              </w:rPr>
              <w:t>0</w:t>
            </w:r>
            <w:r>
              <w:rPr>
                <w:rFonts w:ascii="Verdana" w:hAnsi="Verdana"/>
                <w:b/>
                <w:sz w:val="20"/>
                <w:lang w:eastAsia="zh-CN"/>
              </w:rPr>
              <w:t xml:space="preserve"> </w:t>
            </w:r>
            <w:r w:rsidR="009F3861">
              <w:rPr>
                <w:rFonts w:ascii="Verdana" w:hAnsi="Verdana"/>
                <w:b/>
                <w:sz w:val="20"/>
                <w:lang w:eastAsia="zh-CN"/>
              </w:rPr>
              <w:t>June</w:t>
            </w:r>
            <w:r w:rsidR="007805DD">
              <w:rPr>
                <w:rFonts w:ascii="Verdana" w:hAnsi="Verdana"/>
                <w:b/>
                <w:sz w:val="20"/>
                <w:lang w:eastAsia="zh-CN"/>
              </w:rPr>
              <w:t xml:space="preserve"> </w:t>
            </w:r>
            <w:r>
              <w:rPr>
                <w:rFonts w:ascii="Verdana" w:hAnsi="Verdana"/>
                <w:b/>
                <w:sz w:val="20"/>
                <w:lang w:eastAsia="zh-CN"/>
              </w:rPr>
              <w:t>2011</w:t>
            </w:r>
          </w:p>
        </w:tc>
      </w:tr>
      <w:tr w:rsidR="002E2E18" w:rsidTr="009F3861">
        <w:trPr>
          <w:gridAfter w:val="2"/>
          <w:wAfter w:w="661" w:type="dxa"/>
          <w:cantSplit/>
        </w:trPr>
        <w:tc>
          <w:tcPr>
            <w:tcW w:w="5495" w:type="dxa"/>
            <w:vMerge/>
          </w:tcPr>
          <w:p w:rsidR="002E2E18" w:rsidRDefault="002E2E18" w:rsidP="002E2E18">
            <w:pPr>
              <w:spacing w:before="60"/>
              <w:jc w:val="center"/>
              <w:rPr>
                <w:b/>
                <w:smallCaps/>
                <w:sz w:val="32"/>
                <w:lang w:eastAsia="zh-CN"/>
              </w:rPr>
            </w:pPr>
            <w:bookmarkStart w:id="3" w:name="dorlang" w:colFirst="1" w:colLast="1"/>
            <w:bookmarkEnd w:id="2"/>
          </w:p>
        </w:tc>
        <w:tc>
          <w:tcPr>
            <w:tcW w:w="3969" w:type="dxa"/>
            <w:gridSpan w:val="2"/>
          </w:tcPr>
          <w:p w:rsidR="002E2E18" w:rsidRPr="001B7D11" w:rsidRDefault="001B7D11" w:rsidP="009F3861">
            <w:pPr>
              <w:shd w:val="solid" w:color="FFFFFF" w:fill="FFFFFF"/>
              <w:spacing w:before="0" w:line="240" w:lineRule="atLeast"/>
              <w:ind w:firstLine="34"/>
              <w:rPr>
                <w:rFonts w:ascii="Verdana" w:eastAsia="SimSun" w:hAnsi="Verdana"/>
                <w:sz w:val="20"/>
                <w:lang w:eastAsia="zh-CN"/>
              </w:rPr>
            </w:pPr>
            <w:r>
              <w:rPr>
                <w:rFonts w:ascii="Verdana" w:eastAsia="SimSun" w:hAnsi="Verdana"/>
                <w:b/>
                <w:sz w:val="20"/>
                <w:lang w:eastAsia="zh-CN"/>
              </w:rPr>
              <w:t>Original: English</w:t>
            </w:r>
            <w:r w:rsidR="009F3861">
              <w:rPr>
                <w:rFonts w:ascii="Verdana" w:eastAsia="SimSun" w:hAnsi="Verdana"/>
                <w:b/>
                <w:sz w:val="20"/>
                <w:lang w:eastAsia="zh-CN"/>
              </w:rPr>
              <w:t xml:space="preserve"> only</w:t>
            </w:r>
          </w:p>
        </w:tc>
      </w:tr>
      <w:tr w:rsidR="002E2E18" w:rsidTr="00FB765B">
        <w:trPr>
          <w:gridAfter w:val="1"/>
          <w:wAfter w:w="236" w:type="dxa"/>
          <w:cantSplit/>
        </w:trPr>
        <w:tc>
          <w:tcPr>
            <w:tcW w:w="9889" w:type="dxa"/>
            <w:gridSpan w:val="4"/>
          </w:tcPr>
          <w:p w:rsidR="002E2E18" w:rsidRPr="001D0F18" w:rsidRDefault="002E2E18" w:rsidP="001D0F18">
            <w:pPr>
              <w:pStyle w:val="Source"/>
              <w:spacing w:before="240"/>
              <w:rPr>
                <w:b w:val="0"/>
                <w:caps/>
                <w:lang w:val="en-US"/>
              </w:rPr>
            </w:pPr>
            <w:bookmarkStart w:id="4" w:name="dsource" w:colFirst="0" w:colLast="0"/>
            <w:bookmarkEnd w:id="3"/>
          </w:p>
        </w:tc>
      </w:tr>
    </w:tbl>
    <w:p w:rsidR="00344F92" w:rsidRDefault="00344F92" w:rsidP="008B72F9">
      <w:pPr>
        <w:pStyle w:val="Normalaftertitle"/>
        <w:spacing w:before="0"/>
        <w:jc w:val="center"/>
        <w:rPr>
          <w:bCs/>
          <w:sz w:val="28"/>
          <w:szCs w:val="28"/>
          <w:lang w:eastAsia="zh-CN"/>
        </w:rPr>
      </w:pPr>
      <w:bookmarkStart w:id="5" w:name="_GoBack"/>
      <w:bookmarkEnd w:id="4"/>
      <w:bookmarkEnd w:id="5"/>
    </w:p>
    <w:p w:rsidR="008B72F9" w:rsidRPr="00516222" w:rsidRDefault="008B72F9" w:rsidP="008B72F9">
      <w:pPr>
        <w:pStyle w:val="Normalaftertitle"/>
        <w:spacing w:before="0"/>
        <w:jc w:val="center"/>
        <w:rPr>
          <w:bCs/>
          <w:sz w:val="28"/>
          <w:szCs w:val="28"/>
          <w:lang w:eastAsia="zh-CN"/>
        </w:rPr>
      </w:pPr>
      <w:r>
        <w:rPr>
          <w:bCs/>
          <w:sz w:val="28"/>
          <w:szCs w:val="28"/>
          <w:lang w:eastAsia="zh-CN"/>
        </w:rPr>
        <w:t>EIGTH</w:t>
      </w:r>
      <w:r w:rsidRPr="00516222">
        <w:rPr>
          <w:bCs/>
          <w:sz w:val="28"/>
          <w:szCs w:val="28"/>
          <w:lang w:eastAsia="zh-CN"/>
        </w:rPr>
        <w:t>TEENTH MEETING OF THE</w:t>
      </w:r>
      <w:r w:rsidRPr="00516222">
        <w:rPr>
          <w:bCs/>
          <w:sz w:val="28"/>
          <w:szCs w:val="28"/>
          <w:lang w:eastAsia="zh-CN"/>
        </w:rPr>
        <w:br/>
        <w:t>RADIOCOMMUNICATION ADVISORY GROUP</w:t>
      </w:r>
    </w:p>
    <w:p w:rsidR="008B72F9" w:rsidRDefault="008B72F9" w:rsidP="008B72F9">
      <w:pPr>
        <w:ind w:left="1588" w:hanging="1588"/>
        <w:jc w:val="center"/>
        <w:rPr>
          <w:sz w:val="28"/>
          <w:szCs w:val="28"/>
          <w:lang w:eastAsia="zh-CN"/>
        </w:rPr>
      </w:pPr>
    </w:p>
    <w:p w:rsidR="00344F92" w:rsidRDefault="00344F92" w:rsidP="008B72F9">
      <w:pPr>
        <w:ind w:left="1588" w:hanging="1588"/>
        <w:jc w:val="center"/>
        <w:rPr>
          <w:sz w:val="28"/>
          <w:szCs w:val="28"/>
          <w:lang w:eastAsia="zh-CN"/>
        </w:rPr>
      </w:pPr>
    </w:p>
    <w:p w:rsidR="00344F92" w:rsidRPr="00344F92" w:rsidRDefault="00344F92" w:rsidP="008B72F9">
      <w:pPr>
        <w:ind w:left="1588" w:hanging="1588"/>
        <w:jc w:val="center"/>
        <w:rPr>
          <w:b/>
          <w:bCs/>
          <w:sz w:val="28"/>
          <w:szCs w:val="28"/>
          <w:lang w:eastAsia="zh-CN"/>
        </w:rPr>
      </w:pPr>
      <w:r w:rsidRPr="00344F92">
        <w:rPr>
          <w:b/>
          <w:bCs/>
          <w:sz w:val="28"/>
          <w:szCs w:val="28"/>
          <w:lang w:eastAsia="zh-CN"/>
        </w:rPr>
        <w:t>DRAFT</w:t>
      </w:r>
    </w:p>
    <w:p w:rsidR="001D0F18" w:rsidRDefault="008B72F9" w:rsidP="008B72F9">
      <w:pPr>
        <w:ind w:left="1588" w:hanging="1588"/>
        <w:jc w:val="center"/>
        <w:rPr>
          <w:u w:val="single"/>
          <w:lang w:val="en-US"/>
        </w:rPr>
      </w:pPr>
      <w:r w:rsidRPr="003B580F">
        <w:rPr>
          <w:sz w:val="28"/>
          <w:szCs w:val="28"/>
          <w:lang w:eastAsia="zh-CN"/>
        </w:rPr>
        <w:t>SUMMARY OF CONCLUSIONS</w:t>
      </w:r>
    </w:p>
    <w:p w:rsidR="00D35569" w:rsidRDefault="00D35569" w:rsidP="001D0F18">
      <w:pPr>
        <w:ind w:left="1588" w:hanging="1588"/>
        <w:rPr>
          <w:u w:val="single"/>
          <w:lang w:val="en-US"/>
        </w:rPr>
      </w:pPr>
    </w:p>
    <w:p w:rsidR="001B7D11" w:rsidRPr="004C6A55" w:rsidRDefault="001B7D11">
      <w:pPr>
        <w:rPr>
          <w:lang w:val="en-US" w:eastAsia="zh-CN"/>
        </w:rPr>
      </w:pPr>
    </w:p>
    <w:p w:rsidR="001B7D11" w:rsidRPr="004C6A55" w:rsidRDefault="001B7D11">
      <w:pPr>
        <w:rPr>
          <w:lang w:val="en-US" w:eastAsia="zh-CN"/>
        </w:rPr>
        <w:sectPr w:rsidR="001B7D11" w:rsidRPr="004C6A55" w:rsidSect="00784284">
          <w:headerReference w:type="default" r:id="rId10"/>
          <w:footerReference w:type="default" r:id="rId11"/>
          <w:pgSz w:w="11907" w:h="16834" w:code="9"/>
          <w:pgMar w:top="1418" w:right="1134" w:bottom="1418" w:left="1134" w:header="720" w:footer="720" w:gutter="0"/>
          <w:paperSrc w:first="15" w:other="15"/>
          <w:cols w:space="720"/>
          <w:titlePg/>
        </w:sect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539"/>
        <w:gridCol w:w="9502"/>
      </w:tblGrid>
      <w:tr w:rsidR="007805DD" w:rsidRPr="004C6A55" w:rsidTr="006D3A99">
        <w:trPr>
          <w:cantSplit/>
          <w:tblHeader/>
          <w:jc w:val="center"/>
        </w:trPr>
        <w:tc>
          <w:tcPr>
            <w:tcW w:w="1037" w:type="dxa"/>
            <w:tcBorders>
              <w:top w:val="single" w:sz="6" w:space="0" w:color="auto"/>
            </w:tcBorders>
            <w:vAlign w:val="center"/>
          </w:tcPr>
          <w:p w:rsidR="007805DD" w:rsidRPr="004C6A55" w:rsidRDefault="007805DD" w:rsidP="00784284">
            <w:pPr>
              <w:pStyle w:val="Tablehead"/>
              <w:rPr>
                <w:szCs w:val="22"/>
                <w:lang w:val="en-US"/>
              </w:rPr>
            </w:pPr>
            <w:r w:rsidRPr="004C6A55">
              <w:rPr>
                <w:szCs w:val="22"/>
                <w:lang w:val="en-US"/>
              </w:rPr>
              <w:br w:type="page"/>
            </w:r>
            <w:r w:rsidR="00344F92">
              <w:rPr>
                <w:szCs w:val="22"/>
                <w:lang w:val="en-US"/>
              </w:rPr>
              <w:t xml:space="preserve">Agenda </w:t>
            </w:r>
            <w:r w:rsidRPr="004C6A55">
              <w:rPr>
                <w:szCs w:val="22"/>
                <w:lang w:val="en-US"/>
              </w:rPr>
              <w:t>Item</w:t>
            </w:r>
            <w:r w:rsidRPr="004C6A55">
              <w:rPr>
                <w:szCs w:val="22"/>
                <w:lang w:val="en-US"/>
              </w:rPr>
              <w:br/>
              <w:t>No.</w:t>
            </w:r>
          </w:p>
        </w:tc>
        <w:tc>
          <w:tcPr>
            <w:tcW w:w="3539" w:type="dxa"/>
            <w:tcBorders>
              <w:top w:val="single" w:sz="6" w:space="0" w:color="auto"/>
            </w:tcBorders>
            <w:vAlign w:val="center"/>
          </w:tcPr>
          <w:p w:rsidR="007805DD" w:rsidRPr="004C6A55" w:rsidRDefault="007805DD" w:rsidP="00784284">
            <w:pPr>
              <w:pStyle w:val="Tablehead"/>
              <w:rPr>
                <w:szCs w:val="22"/>
                <w:lang w:val="en-US"/>
              </w:rPr>
            </w:pPr>
            <w:r w:rsidRPr="004C6A55">
              <w:rPr>
                <w:szCs w:val="22"/>
                <w:lang w:val="en-US"/>
              </w:rPr>
              <w:t>Subject</w:t>
            </w:r>
          </w:p>
        </w:tc>
        <w:tc>
          <w:tcPr>
            <w:tcW w:w="9502" w:type="dxa"/>
            <w:tcBorders>
              <w:top w:val="single" w:sz="6" w:space="0" w:color="auto"/>
            </w:tcBorders>
            <w:vAlign w:val="center"/>
          </w:tcPr>
          <w:p w:rsidR="007805DD" w:rsidRPr="004C6A55" w:rsidRDefault="00150B05" w:rsidP="00784284">
            <w:pPr>
              <w:pStyle w:val="Tablehead"/>
              <w:rPr>
                <w:szCs w:val="22"/>
                <w:lang w:val="en-US"/>
              </w:rPr>
            </w:pPr>
            <w:r>
              <w:rPr>
                <w:szCs w:val="22"/>
                <w:lang w:val="en-US"/>
              </w:rPr>
              <w:t>Conclusions</w:t>
            </w:r>
          </w:p>
        </w:tc>
      </w:tr>
      <w:tr w:rsidR="007805DD" w:rsidRPr="004C6A55" w:rsidTr="000015EF">
        <w:trPr>
          <w:cantSplit/>
          <w:jc w:val="center"/>
        </w:trPr>
        <w:tc>
          <w:tcPr>
            <w:tcW w:w="1037" w:type="dxa"/>
            <w:tcBorders>
              <w:bottom w:val="single" w:sz="6" w:space="0" w:color="auto"/>
            </w:tcBorders>
          </w:tcPr>
          <w:p w:rsidR="007805DD" w:rsidRPr="004C6A55" w:rsidRDefault="007805DD" w:rsidP="009F7D6E">
            <w:pPr>
              <w:pStyle w:val="Tabletext"/>
              <w:spacing w:before="60" w:after="60"/>
              <w:jc w:val="center"/>
              <w:rPr>
                <w:szCs w:val="22"/>
                <w:lang w:val="en-US"/>
              </w:rPr>
            </w:pPr>
            <w:r>
              <w:rPr>
                <w:szCs w:val="22"/>
                <w:lang w:val="en-US"/>
              </w:rPr>
              <w:t>3.1</w:t>
            </w:r>
          </w:p>
        </w:tc>
        <w:tc>
          <w:tcPr>
            <w:tcW w:w="3539" w:type="dxa"/>
          </w:tcPr>
          <w:p w:rsidR="007805DD" w:rsidRDefault="007805DD" w:rsidP="009F7D6E">
            <w:pPr>
              <w:pStyle w:val="Tabletext"/>
              <w:spacing w:before="60" w:after="60"/>
              <w:rPr>
                <w:szCs w:val="22"/>
                <w:lang w:val="en-US"/>
              </w:rPr>
            </w:pPr>
            <w:r>
              <w:rPr>
                <w:szCs w:val="22"/>
                <w:lang w:val="en-US"/>
              </w:rPr>
              <w:t xml:space="preserve">Council issues – </w:t>
            </w:r>
            <w:r w:rsidR="00DC0835">
              <w:rPr>
                <w:szCs w:val="22"/>
                <w:lang w:val="en-US"/>
              </w:rPr>
              <w:t>C</w:t>
            </w:r>
            <w:r>
              <w:rPr>
                <w:szCs w:val="22"/>
                <w:lang w:val="en-US"/>
              </w:rPr>
              <w:t xml:space="preserve">ost </w:t>
            </w:r>
            <w:r w:rsidR="002745E8">
              <w:rPr>
                <w:szCs w:val="22"/>
                <w:lang w:val="en-US"/>
              </w:rPr>
              <w:t xml:space="preserve">recovery </w:t>
            </w:r>
            <w:r w:rsidR="002745E8" w:rsidRPr="006329EF">
              <w:rPr>
                <w:szCs w:val="24"/>
              </w:rPr>
              <w:t xml:space="preserve">for the maintenance of </w:t>
            </w:r>
            <w:r w:rsidR="002745E8">
              <w:rPr>
                <w:szCs w:val="22"/>
                <w:lang w:val="en-US"/>
              </w:rPr>
              <w:t xml:space="preserve">satellite assignments </w:t>
            </w:r>
            <w:r w:rsidR="005E4886">
              <w:rPr>
                <w:szCs w:val="22"/>
                <w:lang w:val="en-US"/>
              </w:rPr>
              <w:t xml:space="preserve">recorded </w:t>
            </w:r>
            <w:r w:rsidR="002745E8" w:rsidRPr="006329EF">
              <w:rPr>
                <w:szCs w:val="24"/>
              </w:rPr>
              <w:t>in the MIFR</w:t>
            </w:r>
          </w:p>
          <w:p w:rsidR="002745E8" w:rsidRPr="004C6A55" w:rsidRDefault="002745E8" w:rsidP="004E1B3C">
            <w:pPr>
              <w:pStyle w:val="Tabletext"/>
              <w:spacing w:before="60" w:after="60"/>
              <w:rPr>
                <w:szCs w:val="22"/>
                <w:lang w:val="en-US"/>
              </w:rPr>
            </w:pPr>
            <w:r w:rsidRPr="004C6A55">
              <w:rPr>
                <w:i/>
                <w:szCs w:val="22"/>
                <w:lang w:val="en-US"/>
              </w:rPr>
              <w:t>(Doc</w:t>
            </w:r>
            <w:r w:rsidR="00B44AD1">
              <w:rPr>
                <w:i/>
                <w:szCs w:val="22"/>
                <w:lang w:val="en-US"/>
              </w:rPr>
              <w:t>s</w:t>
            </w:r>
            <w:r>
              <w:rPr>
                <w:i/>
                <w:szCs w:val="22"/>
                <w:lang w:val="en-US"/>
              </w:rPr>
              <w:t>. RAG</w:t>
            </w:r>
            <w:r w:rsidRPr="004C6A55">
              <w:rPr>
                <w:i/>
                <w:szCs w:val="22"/>
                <w:lang w:val="en-US"/>
              </w:rPr>
              <w:t>1</w:t>
            </w:r>
            <w:r>
              <w:rPr>
                <w:i/>
                <w:szCs w:val="22"/>
                <w:lang w:val="en-US"/>
              </w:rPr>
              <w:t>1-1/1</w:t>
            </w:r>
            <w:r w:rsidR="008C11A0">
              <w:rPr>
                <w:i/>
                <w:szCs w:val="22"/>
                <w:lang w:val="en-US"/>
              </w:rPr>
              <w:t xml:space="preserve"> (</w:t>
            </w:r>
            <w:r>
              <w:rPr>
                <w:i/>
                <w:szCs w:val="22"/>
                <w:lang w:val="en-US"/>
              </w:rPr>
              <w:t>R</w:t>
            </w:r>
            <w:r w:rsidR="008C11A0">
              <w:rPr>
                <w:i/>
                <w:szCs w:val="22"/>
                <w:lang w:val="en-US"/>
              </w:rPr>
              <w:t>ev.1)</w:t>
            </w:r>
            <w:r w:rsidR="00B44AD1">
              <w:rPr>
                <w:i/>
                <w:szCs w:val="22"/>
                <w:lang w:val="en-US"/>
              </w:rPr>
              <w:t xml:space="preserve"> </w:t>
            </w:r>
            <w:r w:rsidR="008C11A0">
              <w:rPr>
                <w:i/>
                <w:szCs w:val="22"/>
                <w:lang w:val="en-US"/>
              </w:rPr>
              <w:t>(</w:t>
            </w:r>
            <w:r>
              <w:rPr>
                <w:i/>
                <w:szCs w:val="22"/>
                <w:lang w:val="en-US"/>
              </w:rPr>
              <w:t>§2.1</w:t>
            </w:r>
            <w:r w:rsidR="008C11A0">
              <w:rPr>
                <w:i/>
                <w:szCs w:val="22"/>
                <w:lang w:val="en-US"/>
              </w:rPr>
              <w:t xml:space="preserve">) </w:t>
            </w:r>
            <w:r w:rsidR="00B44AD1">
              <w:rPr>
                <w:i/>
                <w:szCs w:val="22"/>
                <w:lang w:val="en-US"/>
              </w:rPr>
              <w:t>+ Add.4 and RAG</w:t>
            </w:r>
            <w:r w:rsidR="00B44AD1" w:rsidRPr="004C6A55">
              <w:rPr>
                <w:i/>
                <w:szCs w:val="22"/>
                <w:lang w:val="en-US"/>
              </w:rPr>
              <w:t>1</w:t>
            </w:r>
            <w:r w:rsidR="00B44AD1">
              <w:rPr>
                <w:i/>
                <w:szCs w:val="22"/>
                <w:lang w:val="en-US"/>
              </w:rPr>
              <w:t xml:space="preserve">1-1/15 </w:t>
            </w:r>
            <w:r w:rsidR="008C11A0">
              <w:rPr>
                <w:i/>
                <w:szCs w:val="22"/>
                <w:lang w:val="en-US"/>
              </w:rPr>
              <w:t>(</w:t>
            </w:r>
            <w:r w:rsidR="00B44AD1">
              <w:rPr>
                <w:i/>
                <w:szCs w:val="22"/>
                <w:lang w:val="en-US"/>
              </w:rPr>
              <w:t>§3</w:t>
            </w:r>
            <w:r w:rsidR="008C11A0">
              <w:rPr>
                <w:i/>
                <w:szCs w:val="22"/>
                <w:lang w:val="en-US"/>
              </w:rPr>
              <w:t>)</w:t>
            </w:r>
            <w:r>
              <w:rPr>
                <w:i/>
                <w:szCs w:val="22"/>
                <w:lang w:val="en-US"/>
              </w:rPr>
              <w:t>)</w:t>
            </w:r>
          </w:p>
        </w:tc>
        <w:tc>
          <w:tcPr>
            <w:tcW w:w="9502" w:type="dxa"/>
          </w:tcPr>
          <w:p w:rsidR="00205613" w:rsidRPr="00DC48E0" w:rsidRDefault="00B44AD1" w:rsidP="009F7D6E">
            <w:pPr>
              <w:pStyle w:val="Tabletext"/>
              <w:spacing w:before="60" w:after="60"/>
              <w:rPr>
                <w:rFonts w:asciiTheme="majorBidi" w:hAnsiTheme="majorBidi" w:cstheme="majorBidi"/>
                <w:szCs w:val="22"/>
                <w:lang w:val="en-US"/>
              </w:rPr>
            </w:pPr>
            <w:r w:rsidRPr="00DC48E0">
              <w:rPr>
                <w:rFonts w:asciiTheme="majorBidi" w:hAnsiTheme="majorBidi" w:cstheme="majorBidi"/>
                <w:szCs w:val="22"/>
                <w:lang w:val="en-US"/>
              </w:rPr>
              <w:t xml:space="preserve">RAG noted the </w:t>
            </w:r>
            <w:r w:rsidR="005E4886" w:rsidRPr="00DC48E0">
              <w:rPr>
                <w:rFonts w:asciiTheme="majorBidi" w:hAnsiTheme="majorBidi" w:cstheme="majorBidi"/>
                <w:szCs w:val="22"/>
                <w:lang w:val="en-US"/>
              </w:rPr>
              <w:t>information</w:t>
            </w:r>
            <w:r w:rsidRPr="00DC48E0">
              <w:rPr>
                <w:rFonts w:asciiTheme="majorBidi" w:hAnsiTheme="majorBidi" w:cstheme="majorBidi"/>
                <w:szCs w:val="22"/>
                <w:lang w:val="en-US"/>
              </w:rPr>
              <w:t xml:space="preserve"> contained in the Director’s Report</w:t>
            </w:r>
            <w:r w:rsidR="00205613" w:rsidRPr="00DC48E0">
              <w:rPr>
                <w:rFonts w:asciiTheme="majorBidi" w:hAnsiTheme="majorBidi" w:cstheme="majorBidi"/>
                <w:szCs w:val="22"/>
                <w:lang w:val="en-US"/>
              </w:rPr>
              <w:t>.</w:t>
            </w:r>
          </w:p>
          <w:p w:rsidR="00205613" w:rsidRPr="004C6A55" w:rsidRDefault="00205613" w:rsidP="009F7D6E">
            <w:pPr>
              <w:pStyle w:val="PlainText"/>
              <w:spacing w:before="60" w:after="60"/>
              <w:rPr>
                <w:szCs w:val="22"/>
              </w:rPr>
            </w:pPr>
            <w:r w:rsidRPr="00DC48E0">
              <w:rPr>
                <w:rFonts w:asciiTheme="majorBidi" w:hAnsiTheme="majorBidi" w:cstheme="majorBidi"/>
              </w:rPr>
              <w:t>Taking into account that this is an issue of policy nature and quite</w:t>
            </w:r>
            <w:r w:rsidR="00B44AD1" w:rsidRPr="00DC48E0">
              <w:rPr>
                <w:rFonts w:asciiTheme="majorBidi" w:hAnsiTheme="majorBidi" w:cstheme="majorBidi"/>
                <w:szCs w:val="22"/>
              </w:rPr>
              <w:t xml:space="preserve"> complex and </w:t>
            </w:r>
            <w:r w:rsidRPr="00DC48E0">
              <w:rPr>
                <w:rFonts w:asciiTheme="majorBidi" w:hAnsiTheme="majorBidi" w:cstheme="majorBidi"/>
                <w:szCs w:val="22"/>
              </w:rPr>
              <w:t xml:space="preserve">very </w:t>
            </w:r>
            <w:r w:rsidR="00B44AD1" w:rsidRPr="00DC48E0">
              <w:rPr>
                <w:rFonts w:asciiTheme="majorBidi" w:hAnsiTheme="majorBidi" w:cstheme="majorBidi"/>
                <w:szCs w:val="22"/>
              </w:rPr>
              <w:t xml:space="preserve">sensitive, </w:t>
            </w:r>
            <w:r w:rsidR="00DC48E0">
              <w:rPr>
                <w:rFonts w:asciiTheme="majorBidi" w:hAnsiTheme="majorBidi" w:cstheme="majorBidi"/>
                <w:szCs w:val="22"/>
              </w:rPr>
              <w:t>[</w:t>
            </w:r>
            <w:r w:rsidR="00522A08" w:rsidRPr="00DC48E0">
              <w:rPr>
                <w:rFonts w:asciiTheme="majorBidi" w:hAnsiTheme="majorBidi" w:cstheme="majorBidi"/>
              </w:rPr>
              <w:t>and outside the terms of reference of RAG as stipulated in Article 11A of the Convention,</w:t>
            </w:r>
            <w:r w:rsidR="00DC48E0">
              <w:rPr>
                <w:rFonts w:asciiTheme="majorBidi" w:hAnsiTheme="majorBidi" w:cstheme="majorBidi"/>
              </w:rPr>
              <w:t>]</w:t>
            </w:r>
            <w:r w:rsidR="00522A08" w:rsidRPr="00DC48E0">
              <w:rPr>
                <w:rFonts w:asciiTheme="majorBidi" w:hAnsiTheme="majorBidi" w:cstheme="majorBidi"/>
              </w:rPr>
              <w:t xml:space="preserve"> RAG concluded that it is not in a position to consider the matter</w:t>
            </w:r>
            <w:r w:rsidR="00B44AD1" w:rsidRPr="00DC48E0">
              <w:rPr>
                <w:rFonts w:asciiTheme="majorBidi" w:hAnsiTheme="majorBidi" w:cstheme="majorBidi"/>
                <w:szCs w:val="22"/>
              </w:rPr>
              <w:t xml:space="preserve">. </w:t>
            </w:r>
            <w:r w:rsidR="00396EAA" w:rsidRPr="00DC48E0">
              <w:rPr>
                <w:rFonts w:asciiTheme="majorBidi" w:hAnsiTheme="majorBidi" w:cstheme="majorBidi"/>
              </w:rPr>
              <w:t xml:space="preserve">RAG noted, however, </w:t>
            </w:r>
            <w:r w:rsidR="00195F8A" w:rsidRPr="00DC48E0">
              <w:rPr>
                <w:rFonts w:asciiTheme="majorBidi" w:hAnsiTheme="majorBidi" w:cstheme="majorBidi"/>
              </w:rPr>
              <w:t>that the</w:t>
            </w:r>
            <w:r w:rsidR="00396EAA" w:rsidRPr="00DC48E0">
              <w:rPr>
                <w:rFonts w:asciiTheme="majorBidi" w:hAnsiTheme="majorBidi" w:cstheme="majorBidi"/>
              </w:rPr>
              <w:t xml:space="preserve"> objectives of satellite cost recovery are neither to generate revenue for the Union nor to ensure the application of the principle of equitable access for the use of the spectrum/orbit utilization; the objectives are also not to deal with satellite backlog and paper satellites. Consequently</w:t>
            </w:r>
            <w:r w:rsidR="00A867E7" w:rsidRPr="00DC48E0">
              <w:rPr>
                <w:rFonts w:asciiTheme="majorBidi" w:hAnsiTheme="majorBidi" w:cstheme="majorBidi"/>
                <w:szCs w:val="22"/>
              </w:rPr>
              <w:t>,</w:t>
            </w:r>
            <w:r w:rsidR="00B44AD1" w:rsidRPr="00DC48E0">
              <w:rPr>
                <w:rFonts w:asciiTheme="majorBidi" w:hAnsiTheme="majorBidi" w:cstheme="majorBidi"/>
                <w:szCs w:val="22"/>
              </w:rPr>
              <w:t xml:space="preserve"> </w:t>
            </w:r>
            <w:r w:rsidR="00A867E7" w:rsidRPr="00DC48E0">
              <w:rPr>
                <w:rFonts w:asciiTheme="majorBidi" w:hAnsiTheme="majorBidi" w:cstheme="majorBidi"/>
                <w:szCs w:val="22"/>
              </w:rPr>
              <w:t xml:space="preserve">in any further development of the issue, </w:t>
            </w:r>
            <w:r w:rsidR="00396EAA" w:rsidRPr="00DC48E0">
              <w:rPr>
                <w:rFonts w:asciiTheme="majorBidi" w:hAnsiTheme="majorBidi" w:cstheme="majorBidi"/>
              </w:rPr>
              <w:t>the above mentioned points together with</w:t>
            </w:r>
            <w:r w:rsidR="005E4886" w:rsidRPr="00DC48E0">
              <w:rPr>
                <w:rFonts w:asciiTheme="majorBidi" w:hAnsiTheme="majorBidi" w:cstheme="majorBidi"/>
                <w:szCs w:val="22"/>
              </w:rPr>
              <w:t xml:space="preserve"> various arguments put forward</w:t>
            </w:r>
            <w:r w:rsidR="00B44AD1" w:rsidRPr="00DC48E0">
              <w:rPr>
                <w:rFonts w:asciiTheme="majorBidi" w:hAnsiTheme="majorBidi" w:cstheme="majorBidi"/>
                <w:szCs w:val="22"/>
              </w:rPr>
              <w:t xml:space="preserve"> during the discussion</w:t>
            </w:r>
            <w:r w:rsidR="00150B05" w:rsidRPr="00DC48E0">
              <w:rPr>
                <w:rFonts w:asciiTheme="majorBidi" w:hAnsiTheme="majorBidi" w:cstheme="majorBidi"/>
                <w:szCs w:val="22"/>
              </w:rPr>
              <w:t xml:space="preserve"> related to the </w:t>
            </w:r>
            <w:r w:rsidR="00396EAA" w:rsidRPr="00DC48E0">
              <w:rPr>
                <w:rFonts w:asciiTheme="majorBidi" w:hAnsiTheme="majorBidi" w:cstheme="majorBidi"/>
                <w:szCs w:val="22"/>
              </w:rPr>
              <w:t xml:space="preserve">matter, including the </w:t>
            </w:r>
            <w:r w:rsidR="00150B05" w:rsidRPr="00DC48E0">
              <w:rPr>
                <w:rFonts w:asciiTheme="majorBidi" w:hAnsiTheme="majorBidi" w:cstheme="majorBidi"/>
                <w:szCs w:val="22"/>
              </w:rPr>
              <w:t xml:space="preserve">timeliness </w:t>
            </w:r>
            <w:r w:rsidR="00A867E7" w:rsidRPr="00DC48E0">
              <w:rPr>
                <w:rFonts w:asciiTheme="majorBidi" w:hAnsiTheme="majorBidi" w:cstheme="majorBidi"/>
                <w:szCs w:val="22"/>
              </w:rPr>
              <w:t xml:space="preserve">and appropriateness of the proposed </w:t>
            </w:r>
            <w:r w:rsidR="005E4886" w:rsidRPr="00DC48E0">
              <w:rPr>
                <w:rFonts w:asciiTheme="majorBidi" w:hAnsiTheme="majorBidi" w:cstheme="majorBidi"/>
                <w:szCs w:val="22"/>
              </w:rPr>
              <w:t>approach</w:t>
            </w:r>
            <w:r w:rsidR="00A867E7" w:rsidRPr="00DC48E0">
              <w:rPr>
                <w:rFonts w:asciiTheme="majorBidi" w:hAnsiTheme="majorBidi" w:cstheme="majorBidi"/>
                <w:szCs w:val="22"/>
              </w:rPr>
              <w:t xml:space="preserve">, especially the strong concerns expressed </w:t>
            </w:r>
            <w:r w:rsidR="00F7169E" w:rsidRPr="00DC48E0">
              <w:rPr>
                <w:rFonts w:asciiTheme="majorBidi" w:hAnsiTheme="majorBidi" w:cstheme="majorBidi"/>
                <w:szCs w:val="22"/>
              </w:rPr>
              <w:t>on</w:t>
            </w:r>
            <w:r w:rsidR="00A867E7" w:rsidRPr="00DC48E0">
              <w:rPr>
                <w:rFonts w:asciiTheme="majorBidi" w:hAnsiTheme="majorBidi" w:cstheme="majorBidi"/>
                <w:szCs w:val="22"/>
              </w:rPr>
              <w:t xml:space="preserve"> </w:t>
            </w:r>
            <w:r w:rsidR="00F7169E" w:rsidRPr="00DC48E0">
              <w:rPr>
                <w:rFonts w:asciiTheme="majorBidi" w:hAnsiTheme="majorBidi" w:cstheme="majorBidi"/>
                <w:szCs w:val="22"/>
              </w:rPr>
              <w:t>any possible revision to</w:t>
            </w:r>
            <w:r w:rsidR="00A867E7" w:rsidRPr="00DC48E0">
              <w:rPr>
                <w:rFonts w:asciiTheme="majorBidi" w:hAnsiTheme="majorBidi" w:cstheme="majorBidi"/>
                <w:szCs w:val="22"/>
              </w:rPr>
              <w:t xml:space="preserve"> Council Decision 482 (</w:t>
            </w:r>
            <w:r w:rsidR="00A867E7" w:rsidRPr="00DC48E0">
              <w:rPr>
                <w:rFonts w:asciiTheme="majorBidi" w:hAnsiTheme="majorBidi" w:cstheme="majorBidi"/>
                <w:szCs w:val="24"/>
              </w:rPr>
              <w:t>modified 2008)</w:t>
            </w:r>
            <w:r w:rsidR="00396EAA" w:rsidRPr="00DC48E0">
              <w:rPr>
                <w:rFonts w:asciiTheme="majorBidi" w:hAnsiTheme="majorBidi" w:cstheme="majorBidi"/>
                <w:szCs w:val="24"/>
              </w:rPr>
              <w:t xml:space="preserve"> </w:t>
            </w:r>
            <w:r w:rsidR="00396EAA" w:rsidRPr="00DC48E0">
              <w:rPr>
                <w:rFonts w:asciiTheme="majorBidi" w:hAnsiTheme="majorBidi" w:cstheme="majorBidi"/>
              </w:rPr>
              <w:t xml:space="preserve">need to be considered by competent entities such as </w:t>
            </w:r>
            <w:r w:rsidR="00067340" w:rsidRPr="00DC48E0">
              <w:rPr>
                <w:rFonts w:asciiTheme="majorBidi" w:hAnsiTheme="majorBidi" w:cstheme="majorBidi"/>
              </w:rPr>
              <w:t xml:space="preserve">the </w:t>
            </w:r>
            <w:r w:rsidR="00396EAA" w:rsidRPr="00DC48E0">
              <w:rPr>
                <w:rFonts w:asciiTheme="majorBidi" w:hAnsiTheme="majorBidi" w:cstheme="majorBidi"/>
              </w:rPr>
              <w:t xml:space="preserve">Council </w:t>
            </w:r>
            <w:r w:rsidR="00067340" w:rsidRPr="00DC48E0">
              <w:rPr>
                <w:rFonts w:asciiTheme="majorBidi" w:hAnsiTheme="majorBidi" w:cstheme="majorBidi"/>
              </w:rPr>
              <w:t xml:space="preserve">and the </w:t>
            </w:r>
            <w:r w:rsidR="00396EAA" w:rsidRPr="00DC48E0">
              <w:rPr>
                <w:rFonts w:asciiTheme="majorBidi" w:hAnsiTheme="majorBidi" w:cstheme="majorBidi"/>
              </w:rPr>
              <w:t xml:space="preserve">Plenipotentiary Conference from </w:t>
            </w:r>
            <w:r w:rsidR="00067340" w:rsidRPr="00DC48E0">
              <w:rPr>
                <w:rFonts w:asciiTheme="majorBidi" w:hAnsiTheme="majorBidi" w:cstheme="majorBidi"/>
              </w:rPr>
              <w:t xml:space="preserve">the </w:t>
            </w:r>
            <w:r w:rsidR="00396EAA" w:rsidRPr="00DC48E0">
              <w:rPr>
                <w:rFonts w:asciiTheme="majorBidi" w:hAnsiTheme="majorBidi" w:cstheme="majorBidi"/>
              </w:rPr>
              <w:t xml:space="preserve">policy and financial aspects and a competent WRC from </w:t>
            </w:r>
            <w:r w:rsidR="00067340" w:rsidRPr="00DC48E0">
              <w:rPr>
                <w:rFonts w:asciiTheme="majorBidi" w:hAnsiTheme="majorBidi" w:cstheme="majorBidi"/>
              </w:rPr>
              <w:t xml:space="preserve">the </w:t>
            </w:r>
            <w:r w:rsidR="00396EAA" w:rsidRPr="00DC48E0">
              <w:rPr>
                <w:rFonts w:asciiTheme="majorBidi" w:hAnsiTheme="majorBidi" w:cstheme="majorBidi"/>
              </w:rPr>
              <w:t>regulatory aspects</w:t>
            </w:r>
            <w:r w:rsidR="00A867E7" w:rsidRPr="00DC48E0">
              <w:rPr>
                <w:rFonts w:asciiTheme="majorBidi" w:hAnsiTheme="majorBidi" w:cstheme="majorBidi"/>
                <w:szCs w:val="24"/>
              </w:rPr>
              <w:t>.</w:t>
            </w:r>
            <w:r w:rsidR="00A867E7" w:rsidRPr="00DC48E0">
              <w:rPr>
                <w:rFonts w:asciiTheme="majorBidi" w:hAnsiTheme="majorBidi" w:cstheme="majorBidi"/>
              </w:rPr>
              <w:t xml:space="preserve"> </w:t>
            </w:r>
            <w:r w:rsidR="00150B05">
              <w:rPr>
                <w:szCs w:val="22"/>
              </w:rPr>
              <w:t xml:space="preserve">   </w:t>
            </w:r>
          </w:p>
        </w:tc>
      </w:tr>
      <w:tr w:rsidR="005B602E" w:rsidRPr="004C6A55" w:rsidTr="000015EF">
        <w:trPr>
          <w:cantSplit/>
          <w:jc w:val="center"/>
        </w:trPr>
        <w:tc>
          <w:tcPr>
            <w:tcW w:w="1037" w:type="dxa"/>
            <w:tcBorders>
              <w:top w:val="single" w:sz="6" w:space="0" w:color="auto"/>
              <w:bottom w:val="nil"/>
            </w:tcBorders>
          </w:tcPr>
          <w:p w:rsidR="005B602E" w:rsidRDefault="008B7B72" w:rsidP="009F7D6E">
            <w:pPr>
              <w:pStyle w:val="Tabletext"/>
              <w:spacing w:before="60" w:after="60"/>
              <w:jc w:val="center"/>
              <w:rPr>
                <w:szCs w:val="22"/>
                <w:lang w:val="en-US"/>
              </w:rPr>
            </w:pPr>
            <w:r>
              <w:rPr>
                <w:szCs w:val="22"/>
                <w:lang w:val="en-US"/>
              </w:rPr>
              <w:t>3.2</w:t>
            </w:r>
          </w:p>
        </w:tc>
        <w:tc>
          <w:tcPr>
            <w:tcW w:w="3539" w:type="dxa"/>
            <w:tcBorders>
              <w:bottom w:val="single" w:sz="6" w:space="0" w:color="auto"/>
            </w:tcBorders>
          </w:tcPr>
          <w:p w:rsidR="005B602E" w:rsidRDefault="006911A6" w:rsidP="009F7D6E">
            <w:pPr>
              <w:pStyle w:val="Tabletext"/>
              <w:spacing w:before="60" w:after="60"/>
              <w:rPr>
                <w:szCs w:val="22"/>
                <w:lang w:val="en-US"/>
              </w:rPr>
            </w:pPr>
            <w:r>
              <w:rPr>
                <w:szCs w:val="22"/>
                <w:lang w:val="en-US"/>
              </w:rPr>
              <w:t xml:space="preserve">PP issues – ITU-R publications </w:t>
            </w:r>
            <w:r w:rsidRPr="00484678">
              <w:rPr>
                <w:bCs/>
                <w:szCs w:val="24"/>
              </w:rPr>
              <w:t>(</w:t>
            </w:r>
            <w:hyperlink r:id="rId12" w:anchor="dec12A" w:history="1">
              <w:r>
                <w:rPr>
                  <w:rStyle w:val="Hyperlink"/>
                  <w:bCs/>
                  <w:szCs w:val="24"/>
                </w:rPr>
                <w:t>Decision 12 (Guadalajara, 2010)</w:t>
              </w:r>
            </w:hyperlink>
            <w:r>
              <w:t xml:space="preserve"> and </w:t>
            </w:r>
            <w:hyperlink r:id="rId13" w:anchor="res66" w:history="1">
              <w:r>
                <w:rPr>
                  <w:rStyle w:val="Hyperlink"/>
                </w:rPr>
                <w:t>Resolution 66 (Rev. Guadalajara, 2010)</w:t>
              </w:r>
            </w:hyperlink>
            <w:r>
              <w:t>)</w:t>
            </w:r>
            <w:r>
              <w:rPr>
                <w:szCs w:val="22"/>
                <w:lang w:val="en-US"/>
              </w:rPr>
              <w:t xml:space="preserve"> </w:t>
            </w:r>
          </w:p>
          <w:p w:rsidR="006911A6" w:rsidRDefault="006911A6" w:rsidP="008C11A0">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1-1/1 (Rev.1)</w:t>
            </w:r>
            <w:r w:rsidR="008C11A0">
              <w:rPr>
                <w:i/>
                <w:szCs w:val="22"/>
                <w:lang w:val="en-US"/>
              </w:rPr>
              <w:t xml:space="preserve"> (</w:t>
            </w:r>
            <w:r>
              <w:rPr>
                <w:i/>
                <w:szCs w:val="22"/>
                <w:lang w:val="en-US"/>
              </w:rPr>
              <w:t>§§3.5, 3.6</w:t>
            </w:r>
            <w:r w:rsidR="00C14A06">
              <w:rPr>
                <w:i/>
                <w:szCs w:val="22"/>
                <w:lang w:val="en-US"/>
              </w:rPr>
              <w:t xml:space="preserve"> and Add.1)</w:t>
            </w:r>
            <w:r w:rsidR="008C11A0">
              <w:rPr>
                <w:i/>
                <w:szCs w:val="22"/>
                <w:lang w:val="en-US"/>
              </w:rPr>
              <w:t>)</w:t>
            </w:r>
          </w:p>
        </w:tc>
        <w:tc>
          <w:tcPr>
            <w:tcW w:w="9502" w:type="dxa"/>
            <w:tcBorders>
              <w:bottom w:val="single" w:sz="6" w:space="0" w:color="auto"/>
            </w:tcBorders>
          </w:tcPr>
          <w:p w:rsidR="00A82C01" w:rsidRDefault="00C14A06" w:rsidP="009F7D6E">
            <w:pPr>
              <w:spacing w:before="60" w:after="60"/>
              <w:rPr>
                <w:sz w:val="22"/>
                <w:szCs w:val="18"/>
                <w:lang w:val="en-US"/>
              </w:rPr>
            </w:pPr>
            <w:r>
              <w:rPr>
                <w:sz w:val="22"/>
                <w:szCs w:val="18"/>
                <w:lang w:val="en-US"/>
              </w:rPr>
              <w:t>RAG noted the big increase of downloads of ITU-R Recommendations since their access was made free online.</w:t>
            </w:r>
            <w:r w:rsidR="00A82C01">
              <w:rPr>
                <w:sz w:val="22"/>
                <w:szCs w:val="18"/>
                <w:lang w:val="en-US"/>
              </w:rPr>
              <w:t xml:space="preserve"> </w:t>
            </w:r>
          </w:p>
          <w:p w:rsidR="00C14A06" w:rsidRDefault="00A82C01" w:rsidP="00A82C01">
            <w:pPr>
              <w:spacing w:before="60" w:after="60"/>
              <w:rPr>
                <w:sz w:val="22"/>
                <w:szCs w:val="18"/>
                <w:lang w:val="en-US"/>
              </w:rPr>
            </w:pPr>
            <w:r>
              <w:rPr>
                <w:sz w:val="22"/>
                <w:szCs w:val="18"/>
                <w:lang w:val="en-US"/>
              </w:rPr>
              <w:t xml:space="preserve">During the discussions, a request was made for the Secretariat to provide an estimation of the loss of revenue that could result from the free online access to the Radio Regulations, as mentioned in </w:t>
            </w:r>
            <w:r w:rsidRPr="00A82C01">
              <w:rPr>
                <w:i/>
                <w:iCs/>
                <w:sz w:val="22"/>
                <w:szCs w:val="18"/>
                <w:lang w:val="en-US"/>
              </w:rPr>
              <w:t>recognizing h)</w:t>
            </w:r>
            <w:r>
              <w:rPr>
                <w:sz w:val="22"/>
                <w:szCs w:val="18"/>
                <w:lang w:val="en-US"/>
              </w:rPr>
              <w:t xml:space="preserve">  of PP-10 Decision 12.</w:t>
            </w:r>
          </w:p>
          <w:p w:rsidR="00AC61EC" w:rsidRDefault="00131E9B" w:rsidP="00AC61EC">
            <w:pPr>
              <w:spacing w:before="60" w:after="60"/>
              <w:rPr>
                <w:sz w:val="22"/>
                <w:szCs w:val="18"/>
                <w:lang w:val="en-US"/>
              </w:rPr>
            </w:pPr>
            <w:r>
              <w:rPr>
                <w:sz w:val="22"/>
                <w:szCs w:val="18"/>
                <w:lang w:val="en-US"/>
              </w:rPr>
              <w:t xml:space="preserve">RAG noted the application </w:t>
            </w:r>
            <w:r w:rsidR="009756BF">
              <w:rPr>
                <w:sz w:val="22"/>
                <w:szCs w:val="18"/>
                <w:lang w:val="en-US"/>
              </w:rPr>
              <w:t xml:space="preserve">of </w:t>
            </w:r>
            <w:r>
              <w:rPr>
                <w:sz w:val="22"/>
                <w:szCs w:val="18"/>
                <w:lang w:val="en-US"/>
              </w:rPr>
              <w:t>market price</w:t>
            </w:r>
            <w:r w:rsidR="00571F01">
              <w:rPr>
                <w:sz w:val="22"/>
                <w:szCs w:val="18"/>
                <w:lang w:val="en-US"/>
              </w:rPr>
              <w:t>s to ITU-R publications since 1.1.2011 in accordance with</w:t>
            </w:r>
            <w:r>
              <w:rPr>
                <w:sz w:val="22"/>
                <w:szCs w:val="18"/>
                <w:lang w:val="en-US"/>
              </w:rPr>
              <w:t xml:space="preserve"> </w:t>
            </w:r>
            <w:r w:rsidR="00571F01">
              <w:rPr>
                <w:sz w:val="22"/>
                <w:szCs w:val="18"/>
                <w:lang w:val="en-US"/>
              </w:rPr>
              <w:t xml:space="preserve">the new ITU </w:t>
            </w:r>
            <w:r w:rsidR="009756BF">
              <w:rPr>
                <w:sz w:val="22"/>
                <w:szCs w:val="18"/>
                <w:lang w:val="en-US"/>
              </w:rPr>
              <w:t>Publication P</w:t>
            </w:r>
            <w:r w:rsidR="00571F01">
              <w:rPr>
                <w:sz w:val="22"/>
                <w:szCs w:val="18"/>
                <w:lang w:val="en-US"/>
              </w:rPr>
              <w:t xml:space="preserve">ricing </w:t>
            </w:r>
            <w:r w:rsidR="009756BF">
              <w:rPr>
                <w:sz w:val="22"/>
                <w:szCs w:val="18"/>
                <w:lang w:val="en-US"/>
              </w:rPr>
              <w:t>and Sales P</w:t>
            </w:r>
            <w:r w:rsidR="00571F01">
              <w:rPr>
                <w:sz w:val="22"/>
                <w:szCs w:val="18"/>
                <w:lang w:val="en-US"/>
              </w:rPr>
              <w:t xml:space="preserve">olicy resulting from the implementation of </w:t>
            </w:r>
            <w:r>
              <w:rPr>
                <w:sz w:val="22"/>
                <w:szCs w:val="18"/>
                <w:lang w:val="en-US"/>
              </w:rPr>
              <w:t>PP-10 Resolution 66.</w:t>
            </w:r>
            <w:r w:rsidR="00934834">
              <w:rPr>
                <w:sz w:val="22"/>
                <w:szCs w:val="18"/>
                <w:lang w:val="en-US"/>
              </w:rPr>
              <w:t xml:space="preserve"> RAG noted the information provided by the Chief of ITU Conference and Publications Department on the good results obtained so far from the sales of the new List V of ship stations far (20 % increase in revenue with respect to 2010 figures) and on comments received regarding its new format. RAG expressed concern with the application of market prices to publications which are mandatory according to the Radio Regulations.</w:t>
            </w:r>
          </w:p>
          <w:p w:rsidR="00AC61EC" w:rsidRPr="006911A6" w:rsidRDefault="008B2F90" w:rsidP="00A82C01">
            <w:pPr>
              <w:spacing w:before="60" w:after="60"/>
              <w:rPr>
                <w:sz w:val="22"/>
                <w:szCs w:val="18"/>
                <w:lang w:val="en-US"/>
              </w:rPr>
            </w:pPr>
            <w:r>
              <w:rPr>
                <w:sz w:val="22"/>
                <w:szCs w:val="18"/>
                <w:lang w:val="en-US"/>
              </w:rPr>
              <w:t xml:space="preserve">During the discussions, a request was made for the </w:t>
            </w:r>
            <w:r w:rsidR="00A82C01">
              <w:rPr>
                <w:sz w:val="22"/>
                <w:szCs w:val="18"/>
                <w:lang w:val="en-US"/>
              </w:rPr>
              <w:t>S</w:t>
            </w:r>
            <w:r>
              <w:rPr>
                <w:sz w:val="22"/>
                <w:szCs w:val="18"/>
                <w:lang w:val="en-US"/>
              </w:rPr>
              <w:t>ecretariat to make the ITU Publication Pricing and Sales Policy available as an information document.</w:t>
            </w:r>
          </w:p>
        </w:tc>
      </w:tr>
      <w:tr w:rsidR="003E37DA" w:rsidRPr="004C6A55" w:rsidTr="003E37DA">
        <w:trPr>
          <w:cantSplit/>
          <w:jc w:val="center"/>
        </w:trPr>
        <w:tc>
          <w:tcPr>
            <w:tcW w:w="1037" w:type="dxa"/>
            <w:tcBorders>
              <w:top w:val="nil"/>
              <w:bottom w:val="single" w:sz="6" w:space="0" w:color="auto"/>
            </w:tcBorders>
          </w:tcPr>
          <w:p w:rsidR="003E37DA" w:rsidRDefault="003E37DA" w:rsidP="009F7D6E">
            <w:pPr>
              <w:pStyle w:val="Tabletext"/>
              <w:spacing w:before="60" w:after="60"/>
              <w:jc w:val="center"/>
              <w:rPr>
                <w:szCs w:val="22"/>
                <w:lang w:val="en-US"/>
              </w:rPr>
            </w:pPr>
          </w:p>
        </w:tc>
        <w:tc>
          <w:tcPr>
            <w:tcW w:w="3539" w:type="dxa"/>
            <w:tcBorders>
              <w:top w:val="single" w:sz="6" w:space="0" w:color="auto"/>
              <w:bottom w:val="single" w:sz="6" w:space="0" w:color="auto"/>
            </w:tcBorders>
          </w:tcPr>
          <w:p w:rsidR="003E37DA" w:rsidRDefault="003E37DA" w:rsidP="009F7D6E">
            <w:pPr>
              <w:pStyle w:val="Tabletext"/>
              <w:spacing w:before="60" w:after="60"/>
              <w:rPr>
                <w:szCs w:val="22"/>
                <w:lang w:val="en-US"/>
              </w:rPr>
            </w:pPr>
            <w:r>
              <w:rPr>
                <w:szCs w:val="22"/>
                <w:lang w:val="en-US"/>
              </w:rPr>
              <w:t>PP issues – Date of CPM15-1</w:t>
            </w:r>
          </w:p>
          <w:p w:rsidR="003E37DA" w:rsidRDefault="003E37DA" w:rsidP="004E1B3C">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 xml:space="preserve">1-1/1 (Rev.1) </w:t>
            </w:r>
            <w:r w:rsidR="004E1B3C">
              <w:rPr>
                <w:i/>
                <w:szCs w:val="22"/>
                <w:lang w:val="en-US"/>
              </w:rPr>
              <w:t>(</w:t>
            </w:r>
            <w:r>
              <w:rPr>
                <w:i/>
                <w:szCs w:val="22"/>
                <w:lang w:val="en-US"/>
              </w:rPr>
              <w:t>§3.2.1)</w:t>
            </w:r>
            <w:r w:rsidR="004E1B3C">
              <w:rPr>
                <w:i/>
                <w:szCs w:val="22"/>
                <w:lang w:val="en-US"/>
              </w:rPr>
              <w:t>)</w:t>
            </w:r>
          </w:p>
        </w:tc>
        <w:tc>
          <w:tcPr>
            <w:tcW w:w="9502" w:type="dxa"/>
            <w:tcBorders>
              <w:top w:val="single" w:sz="6" w:space="0" w:color="auto"/>
              <w:bottom w:val="single" w:sz="6" w:space="0" w:color="auto"/>
            </w:tcBorders>
          </w:tcPr>
          <w:p w:rsidR="00366CB9" w:rsidRDefault="003E37DA" w:rsidP="009F7D6E">
            <w:pPr>
              <w:spacing w:before="60" w:after="60"/>
              <w:rPr>
                <w:sz w:val="22"/>
                <w:szCs w:val="18"/>
              </w:rPr>
            </w:pPr>
            <w:r>
              <w:rPr>
                <w:sz w:val="22"/>
                <w:szCs w:val="18"/>
              </w:rPr>
              <w:t>RAG discussed the options presented in the Director’s Report and concluded that the first session of the CPM (CPM15-1) should take place immediately after the WRC-12.</w:t>
            </w:r>
          </w:p>
          <w:p w:rsidR="003E37DA" w:rsidRPr="00366CB9" w:rsidRDefault="003E37DA" w:rsidP="00366CB9">
            <w:pPr>
              <w:tabs>
                <w:tab w:val="clear" w:pos="794"/>
                <w:tab w:val="clear" w:pos="1191"/>
                <w:tab w:val="clear" w:pos="1588"/>
                <w:tab w:val="clear" w:pos="1985"/>
                <w:tab w:val="left" w:pos="2608"/>
              </w:tabs>
              <w:rPr>
                <w:sz w:val="22"/>
                <w:szCs w:val="18"/>
              </w:rPr>
            </w:pPr>
          </w:p>
        </w:tc>
      </w:tr>
      <w:tr w:rsidR="008B7B72" w:rsidRPr="004C6A55" w:rsidTr="003E37DA">
        <w:trPr>
          <w:cantSplit/>
          <w:jc w:val="center"/>
        </w:trPr>
        <w:tc>
          <w:tcPr>
            <w:tcW w:w="1037" w:type="dxa"/>
            <w:tcBorders>
              <w:top w:val="single" w:sz="6" w:space="0" w:color="auto"/>
              <w:bottom w:val="nil"/>
            </w:tcBorders>
          </w:tcPr>
          <w:p w:rsidR="008B7B72" w:rsidRPr="004C6A55" w:rsidRDefault="008B7B72" w:rsidP="00FF74CC">
            <w:pPr>
              <w:pStyle w:val="Tabletext"/>
              <w:spacing w:before="60" w:after="60"/>
              <w:jc w:val="center"/>
              <w:rPr>
                <w:szCs w:val="22"/>
                <w:lang w:val="en-US"/>
              </w:rPr>
            </w:pPr>
            <w:r>
              <w:rPr>
                <w:szCs w:val="22"/>
                <w:lang w:val="en-US"/>
              </w:rPr>
              <w:lastRenderedPageBreak/>
              <w:t>3.2.1</w:t>
            </w:r>
          </w:p>
        </w:tc>
        <w:tc>
          <w:tcPr>
            <w:tcW w:w="3539" w:type="dxa"/>
            <w:tcBorders>
              <w:top w:val="single" w:sz="6" w:space="0" w:color="auto"/>
            </w:tcBorders>
          </w:tcPr>
          <w:p w:rsidR="008B7B72" w:rsidRDefault="008B7B72" w:rsidP="00FF74CC">
            <w:pPr>
              <w:pStyle w:val="Tabletext"/>
              <w:spacing w:before="60" w:after="60"/>
            </w:pPr>
            <w:r>
              <w:rPr>
                <w:szCs w:val="22"/>
                <w:lang w:val="en-US"/>
              </w:rPr>
              <w:t xml:space="preserve">PP issues - </w:t>
            </w:r>
            <w:r>
              <w:rPr>
                <w:szCs w:val="24"/>
              </w:rPr>
              <w:t>Contributions and registration</w:t>
            </w:r>
            <w:r>
              <w:t xml:space="preserve"> (</w:t>
            </w:r>
            <w:hyperlink r:id="rId14" w:anchor="res165" w:history="1">
              <w:r>
                <w:rPr>
                  <w:rStyle w:val="Hyperlink"/>
                  <w:bCs/>
                  <w:lang w:val="en-US"/>
                </w:rPr>
                <w:t>Resolution 165 (Guadalajara, 2010)</w:t>
              </w:r>
            </w:hyperlink>
            <w:r>
              <w:t>)</w:t>
            </w:r>
          </w:p>
          <w:p w:rsidR="008B7B72" w:rsidRPr="004C6A55" w:rsidRDefault="008B7B72" w:rsidP="004E1B3C">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 xml:space="preserve">1-1/1 (Rev.1) </w:t>
            </w:r>
            <w:r w:rsidR="004E1B3C">
              <w:rPr>
                <w:i/>
                <w:szCs w:val="22"/>
                <w:lang w:val="en-US"/>
              </w:rPr>
              <w:t>(</w:t>
            </w:r>
            <w:r>
              <w:rPr>
                <w:i/>
                <w:szCs w:val="22"/>
                <w:lang w:val="en-US"/>
              </w:rPr>
              <w:t>§3.8</w:t>
            </w:r>
            <w:r w:rsidR="004E1B3C">
              <w:rPr>
                <w:i/>
                <w:szCs w:val="22"/>
                <w:lang w:val="en-US"/>
              </w:rPr>
              <w:t>)</w:t>
            </w:r>
            <w:r>
              <w:rPr>
                <w:i/>
                <w:szCs w:val="22"/>
                <w:lang w:val="en-US"/>
              </w:rPr>
              <w:t xml:space="preserve"> and RAG11-1/8)</w:t>
            </w:r>
          </w:p>
        </w:tc>
        <w:tc>
          <w:tcPr>
            <w:tcW w:w="9502" w:type="dxa"/>
            <w:tcBorders>
              <w:top w:val="single" w:sz="6" w:space="0" w:color="auto"/>
            </w:tcBorders>
          </w:tcPr>
          <w:p w:rsidR="008B7B72" w:rsidRDefault="008B7B72" w:rsidP="00FF74CC">
            <w:pPr>
              <w:spacing w:before="60" w:after="60"/>
              <w:rPr>
                <w:szCs w:val="22"/>
              </w:rPr>
            </w:pPr>
            <w:r>
              <w:rPr>
                <w:sz w:val="22"/>
                <w:szCs w:val="22"/>
                <w:lang w:val="en-US"/>
              </w:rPr>
              <w:t xml:space="preserve">During the discussions, </w:t>
            </w:r>
            <w:r>
              <w:rPr>
                <w:sz w:val="22"/>
                <w:szCs w:val="22"/>
              </w:rPr>
              <w:t>some administrations considered that the deadline harmonization would be useful and it would be necessary to have deadlines not only for membership contributions but for the Secretariat to post all documents, including documents from the Secretariat in advance to give reasonable time to the members to analyse them before the meetings.</w:t>
            </w:r>
          </w:p>
          <w:p w:rsidR="008B7B72" w:rsidRPr="00DC48E0" w:rsidRDefault="008B7B72" w:rsidP="00FF74CC">
            <w:pPr>
              <w:spacing w:before="60" w:after="60"/>
              <w:rPr>
                <w:sz w:val="22"/>
                <w:szCs w:val="22"/>
              </w:rPr>
            </w:pPr>
            <w:r>
              <w:rPr>
                <w:sz w:val="22"/>
                <w:szCs w:val="22"/>
                <w:lang w:val="en-US"/>
              </w:rPr>
              <w:t>RAG</w:t>
            </w:r>
            <w:r w:rsidRPr="00DC48E0">
              <w:rPr>
                <w:sz w:val="22"/>
                <w:szCs w:val="22"/>
              </w:rPr>
              <w:t xml:space="preserve"> expressed </w:t>
            </w:r>
            <w:r>
              <w:rPr>
                <w:sz w:val="22"/>
                <w:szCs w:val="22"/>
              </w:rPr>
              <w:t xml:space="preserve">general </w:t>
            </w:r>
            <w:r w:rsidRPr="00DC48E0">
              <w:rPr>
                <w:sz w:val="22"/>
                <w:szCs w:val="22"/>
              </w:rPr>
              <w:t xml:space="preserve">support </w:t>
            </w:r>
            <w:r>
              <w:rPr>
                <w:sz w:val="22"/>
                <w:szCs w:val="22"/>
              </w:rPr>
              <w:t xml:space="preserve">for the need for deadlines and </w:t>
            </w:r>
            <w:r w:rsidRPr="00DC48E0">
              <w:rPr>
                <w:sz w:val="22"/>
                <w:szCs w:val="22"/>
              </w:rPr>
              <w:t xml:space="preserve">satisfaction with the implementation of the current deadline contained in Resolution ITU-R 1-5. </w:t>
            </w:r>
          </w:p>
          <w:p w:rsidR="008B7B72" w:rsidRDefault="008B7B72" w:rsidP="00FF74CC">
            <w:pPr>
              <w:spacing w:before="60" w:after="60"/>
              <w:rPr>
                <w:sz w:val="22"/>
                <w:szCs w:val="22"/>
              </w:rPr>
            </w:pPr>
            <w:r w:rsidRPr="00DC48E0">
              <w:rPr>
                <w:sz w:val="22"/>
                <w:szCs w:val="22"/>
              </w:rPr>
              <w:t xml:space="preserve">While acknowledging the desirability of harmonizing deadlines across the ITU Sectors, </w:t>
            </w:r>
            <w:r>
              <w:rPr>
                <w:sz w:val="22"/>
                <w:szCs w:val="22"/>
              </w:rPr>
              <w:t>RAG</w:t>
            </w:r>
            <w:r w:rsidRPr="00DC48E0">
              <w:rPr>
                <w:sz w:val="22"/>
                <w:szCs w:val="22"/>
              </w:rPr>
              <w:t xml:space="preserve"> recognized that due to the different working methods and requirements of the Study Groups in each Sector</w:t>
            </w:r>
            <w:r>
              <w:rPr>
                <w:sz w:val="22"/>
                <w:szCs w:val="22"/>
              </w:rPr>
              <w:t>,</w:t>
            </w:r>
            <w:r w:rsidRPr="00DC48E0">
              <w:rPr>
                <w:sz w:val="22"/>
                <w:szCs w:val="22"/>
              </w:rPr>
              <w:t xml:space="preserve"> harmonization may be difficult to implement and that each Sector should determine appropriate deadlines to meet their requirements.</w:t>
            </w:r>
            <w:r>
              <w:rPr>
                <w:sz w:val="22"/>
                <w:szCs w:val="22"/>
              </w:rPr>
              <w:t xml:space="preserve"> </w:t>
            </w:r>
          </w:p>
          <w:p w:rsidR="008B7B72" w:rsidRPr="00DC48E0" w:rsidRDefault="008B7B72" w:rsidP="00FF74CC">
            <w:pPr>
              <w:spacing w:before="60" w:after="60"/>
            </w:pPr>
            <w:r>
              <w:rPr>
                <w:sz w:val="22"/>
                <w:szCs w:val="22"/>
              </w:rPr>
              <w:t>In order to expedite the Secretariat’s preparation of meeting documents, RAG noted that members should be encouraged to submit their contributions using the applicable ITU templates.</w:t>
            </w:r>
          </w:p>
        </w:tc>
      </w:tr>
      <w:tr w:rsidR="007805DD" w:rsidRPr="004C6A55" w:rsidTr="003E37DA">
        <w:trPr>
          <w:cantSplit/>
          <w:jc w:val="center"/>
        </w:trPr>
        <w:tc>
          <w:tcPr>
            <w:tcW w:w="1037" w:type="dxa"/>
            <w:tcBorders>
              <w:top w:val="single" w:sz="6" w:space="0" w:color="auto"/>
              <w:bottom w:val="nil"/>
            </w:tcBorders>
          </w:tcPr>
          <w:p w:rsidR="007805DD" w:rsidRPr="004C6A55" w:rsidRDefault="00363ED5" w:rsidP="009F7D6E">
            <w:pPr>
              <w:pStyle w:val="Tabletext"/>
              <w:spacing w:before="60" w:after="60"/>
              <w:jc w:val="center"/>
              <w:rPr>
                <w:szCs w:val="22"/>
                <w:lang w:val="en-US"/>
              </w:rPr>
            </w:pPr>
            <w:r>
              <w:rPr>
                <w:szCs w:val="22"/>
                <w:lang w:val="en-US"/>
              </w:rPr>
              <w:t>4.1</w:t>
            </w:r>
          </w:p>
        </w:tc>
        <w:tc>
          <w:tcPr>
            <w:tcW w:w="3539" w:type="dxa"/>
            <w:tcBorders>
              <w:top w:val="single" w:sz="6" w:space="0" w:color="auto"/>
            </w:tcBorders>
          </w:tcPr>
          <w:p w:rsidR="007805DD" w:rsidRDefault="00363ED5" w:rsidP="009F7D6E">
            <w:pPr>
              <w:pStyle w:val="Tabletext"/>
              <w:spacing w:before="60" w:after="60"/>
              <w:rPr>
                <w:szCs w:val="22"/>
                <w:lang w:val="en-US"/>
              </w:rPr>
            </w:pPr>
            <w:r>
              <w:rPr>
                <w:szCs w:val="22"/>
                <w:lang w:val="en-US"/>
              </w:rPr>
              <w:t>Study Group issues</w:t>
            </w:r>
          </w:p>
          <w:p w:rsidR="00F66F07" w:rsidRPr="004C6A55" w:rsidRDefault="00F66F07" w:rsidP="0073739E">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Pr>
                <w:i/>
                <w:szCs w:val="22"/>
                <w:lang w:val="en-US"/>
              </w:rPr>
              <w:t>1-1/6)</w:t>
            </w:r>
          </w:p>
        </w:tc>
        <w:tc>
          <w:tcPr>
            <w:tcW w:w="9502" w:type="dxa"/>
            <w:tcBorders>
              <w:top w:val="single" w:sz="6" w:space="0" w:color="auto"/>
            </w:tcBorders>
          </w:tcPr>
          <w:p w:rsidR="007805DD" w:rsidRPr="00F66F07" w:rsidRDefault="00B63AF8" w:rsidP="009F7D6E">
            <w:pPr>
              <w:spacing w:before="60" w:after="60"/>
              <w:rPr>
                <w:sz w:val="22"/>
                <w:szCs w:val="22"/>
                <w:lang w:eastAsia="zh-CN"/>
              </w:rPr>
            </w:pPr>
            <w:r w:rsidRPr="00B63AF8">
              <w:rPr>
                <w:sz w:val="22"/>
                <w:szCs w:val="18"/>
              </w:rPr>
              <w:t xml:space="preserve">RAG noted the document and concluded that Study Groups should be encouraged to continue to study the matter towards facilitating the roaming of radio and broadcasting equipment taking into account the use of different standards. As </w:t>
            </w:r>
            <w:r w:rsidR="00BD0F23">
              <w:rPr>
                <w:sz w:val="22"/>
                <w:szCs w:val="18"/>
              </w:rPr>
              <w:t xml:space="preserve">a </w:t>
            </w:r>
            <w:r w:rsidRPr="00B63AF8">
              <w:rPr>
                <w:sz w:val="22"/>
                <w:szCs w:val="18"/>
              </w:rPr>
              <w:t>general principle of guidance, the Study Groups should strive for single world-wide standards.</w:t>
            </w:r>
          </w:p>
        </w:tc>
      </w:tr>
      <w:tr w:rsidR="00F66F07" w:rsidRPr="004C6A55" w:rsidTr="006D3BDE">
        <w:trPr>
          <w:cantSplit/>
          <w:jc w:val="center"/>
        </w:trPr>
        <w:tc>
          <w:tcPr>
            <w:tcW w:w="1037" w:type="dxa"/>
            <w:tcBorders>
              <w:top w:val="nil"/>
              <w:bottom w:val="nil"/>
            </w:tcBorders>
          </w:tcPr>
          <w:p w:rsidR="00F66F07" w:rsidRDefault="00F66F07" w:rsidP="009F7D6E">
            <w:pPr>
              <w:pStyle w:val="Tabletext"/>
              <w:spacing w:before="60" w:after="60"/>
              <w:jc w:val="center"/>
              <w:rPr>
                <w:szCs w:val="22"/>
                <w:lang w:val="en-US"/>
              </w:rPr>
            </w:pPr>
          </w:p>
        </w:tc>
        <w:tc>
          <w:tcPr>
            <w:tcW w:w="3539" w:type="dxa"/>
          </w:tcPr>
          <w:p w:rsidR="00F66F07" w:rsidRDefault="00213805" w:rsidP="0073739E">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sidR="0073739E">
              <w:rPr>
                <w:i/>
                <w:szCs w:val="22"/>
                <w:lang w:val="en-US"/>
              </w:rPr>
              <w:t>1-1/15 (</w:t>
            </w:r>
            <w:r>
              <w:rPr>
                <w:i/>
                <w:szCs w:val="22"/>
                <w:lang w:val="en-US"/>
              </w:rPr>
              <w:t>§3)</w:t>
            </w:r>
            <w:r w:rsidR="004E1B3C">
              <w:rPr>
                <w:i/>
                <w:szCs w:val="22"/>
                <w:lang w:val="en-US"/>
              </w:rPr>
              <w:t>)</w:t>
            </w:r>
          </w:p>
        </w:tc>
        <w:tc>
          <w:tcPr>
            <w:tcW w:w="9502" w:type="dxa"/>
          </w:tcPr>
          <w:p w:rsidR="00F66F07" w:rsidRDefault="00213805" w:rsidP="009F7D6E">
            <w:pPr>
              <w:pStyle w:val="Tabletext"/>
              <w:spacing w:before="60" w:after="60"/>
              <w:rPr>
                <w:szCs w:val="22"/>
                <w:lang w:val="en-US"/>
              </w:rPr>
            </w:pPr>
            <w:r w:rsidRPr="00213805">
              <w:rPr>
                <w:szCs w:val="24"/>
                <w:lang w:val="en-US"/>
              </w:rPr>
              <w:t>RAG concluded that, in developing Recommendations, Study Groups should be invited to fully respect the letter and spirit of the Radio Regulations, such that references to provisions of the RR should be factual and avoid any interpretation or qualifications</w:t>
            </w:r>
            <w:r w:rsidR="00F3219A">
              <w:rPr>
                <w:szCs w:val="24"/>
                <w:lang w:val="en-US"/>
              </w:rPr>
              <w:t>, or any eventual changes of the status of allocations.</w:t>
            </w:r>
          </w:p>
        </w:tc>
      </w:tr>
      <w:tr w:rsidR="008F1E12" w:rsidRPr="004C6A55" w:rsidTr="00041349">
        <w:trPr>
          <w:cantSplit/>
          <w:jc w:val="center"/>
        </w:trPr>
        <w:tc>
          <w:tcPr>
            <w:tcW w:w="1037" w:type="dxa"/>
            <w:tcBorders>
              <w:top w:val="nil"/>
              <w:bottom w:val="single" w:sz="6" w:space="0" w:color="auto"/>
            </w:tcBorders>
          </w:tcPr>
          <w:p w:rsidR="008F1E12" w:rsidRDefault="008F1E12" w:rsidP="009F7D6E">
            <w:pPr>
              <w:pStyle w:val="Tabletext"/>
              <w:spacing w:before="60" w:after="60"/>
              <w:jc w:val="center"/>
              <w:rPr>
                <w:szCs w:val="22"/>
                <w:lang w:val="en-US"/>
              </w:rPr>
            </w:pPr>
          </w:p>
        </w:tc>
        <w:tc>
          <w:tcPr>
            <w:tcW w:w="3539" w:type="dxa"/>
            <w:tcBorders>
              <w:bottom w:val="single" w:sz="6" w:space="0" w:color="auto"/>
            </w:tcBorders>
          </w:tcPr>
          <w:p w:rsidR="008F1E12" w:rsidRDefault="008F1E12" w:rsidP="004E1B3C">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Pr>
                <w:i/>
                <w:szCs w:val="22"/>
                <w:lang w:val="en-US"/>
              </w:rPr>
              <w:t>1-1/17)</w:t>
            </w:r>
          </w:p>
        </w:tc>
        <w:tc>
          <w:tcPr>
            <w:tcW w:w="9502" w:type="dxa"/>
            <w:tcBorders>
              <w:bottom w:val="single" w:sz="6" w:space="0" w:color="auto"/>
            </w:tcBorders>
          </w:tcPr>
          <w:p w:rsidR="00470176" w:rsidRPr="003C1AD9" w:rsidRDefault="008F1E12" w:rsidP="00BD0F23">
            <w:pPr>
              <w:spacing w:before="60" w:after="60"/>
              <w:rPr>
                <w:rFonts w:asciiTheme="majorBidi" w:hAnsiTheme="majorBidi" w:cstheme="majorBidi"/>
                <w:sz w:val="22"/>
                <w:szCs w:val="18"/>
              </w:rPr>
            </w:pPr>
            <w:r w:rsidRPr="003C1AD9">
              <w:rPr>
                <w:rFonts w:asciiTheme="majorBidi" w:hAnsiTheme="majorBidi" w:cstheme="majorBidi"/>
                <w:sz w:val="22"/>
                <w:szCs w:val="18"/>
              </w:rPr>
              <w:t>RAG noted the views of delegations that there seem</w:t>
            </w:r>
            <w:r w:rsidR="00BD0F23" w:rsidRPr="003C1AD9">
              <w:rPr>
                <w:rFonts w:asciiTheme="majorBidi" w:hAnsiTheme="majorBidi" w:cstheme="majorBidi"/>
                <w:sz w:val="22"/>
                <w:szCs w:val="18"/>
              </w:rPr>
              <w:t>s</w:t>
            </w:r>
            <w:r w:rsidRPr="003C1AD9">
              <w:rPr>
                <w:rFonts w:asciiTheme="majorBidi" w:hAnsiTheme="majorBidi" w:cstheme="majorBidi"/>
                <w:sz w:val="22"/>
                <w:szCs w:val="18"/>
              </w:rPr>
              <w:t xml:space="preserve"> to be </w:t>
            </w:r>
            <w:r w:rsidR="00BD0F23" w:rsidRPr="003C1AD9">
              <w:rPr>
                <w:rFonts w:asciiTheme="majorBidi" w:hAnsiTheme="majorBidi" w:cstheme="majorBidi"/>
                <w:sz w:val="22"/>
                <w:szCs w:val="18"/>
              </w:rPr>
              <w:t>no</w:t>
            </w:r>
            <w:r w:rsidRPr="003C1AD9">
              <w:rPr>
                <w:rFonts w:asciiTheme="majorBidi" w:hAnsiTheme="majorBidi" w:cstheme="majorBidi"/>
                <w:sz w:val="22"/>
                <w:szCs w:val="18"/>
              </w:rPr>
              <w:t xml:space="preserve"> practical problem in the study</w:t>
            </w:r>
            <w:r w:rsidR="00BD0F23" w:rsidRPr="003C1AD9">
              <w:rPr>
                <w:rFonts w:asciiTheme="majorBidi" w:hAnsiTheme="majorBidi" w:cstheme="majorBidi"/>
                <w:sz w:val="22"/>
                <w:szCs w:val="18"/>
              </w:rPr>
              <w:t xml:space="preserve"> of</w:t>
            </w:r>
            <w:r w:rsidRPr="003C1AD9">
              <w:rPr>
                <w:rFonts w:asciiTheme="majorBidi" w:hAnsiTheme="majorBidi" w:cstheme="majorBidi"/>
                <w:sz w:val="22"/>
                <w:szCs w:val="18"/>
              </w:rPr>
              <w:t xml:space="preserve"> regulatory/procedural matters by Study Groups and Working Parties</w:t>
            </w:r>
            <w:r w:rsidR="006A4C11" w:rsidRPr="003C1AD9">
              <w:rPr>
                <w:rFonts w:asciiTheme="majorBidi" w:hAnsiTheme="majorBidi" w:cstheme="majorBidi"/>
                <w:sz w:val="22"/>
                <w:szCs w:val="18"/>
              </w:rPr>
              <w:t>.</w:t>
            </w:r>
            <w:r w:rsidRPr="003C1AD9">
              <w:rPr>
                <w:rFonts w:asciiTheme="majorBidi" w:hAnsiTheme="majorBidi" w:cstheme="majorBidi"/>
                <w:sz w:val="22"/>
                <w:szCs w:val="18"/>
              </w:rPr>
              <w:t xml:space="preserve"> </w:t>
            </w:r>
            <w:r w:rsidR="006A4C11" w:rsidRPr="003C1AD9">
              <w:rPr>
                <w:rFonts w:asciiTheme="majorBidi" w:hAnsiTheme="majorBidi" w:cstheme="majorBidi"/>
                <w:sz w:val="22"/>
                <w:szCs w:val="18"/>
              </w:rPr>
              <w:t>A view was expressed that Resolution ITU-R 2 already provide</w:t>
            </w:r>
            <w:r w:rsidR="007660B3" w:rsidRPr="003C1AD9">
              <w:rPr>
                <w:rFonts w:asciiTheme="majorBidi" w:hAnsiTheme="majorBidi" w:cstheme="majorBidi"/>
                <w:sz w:val="22"/>
                <w:szCs w:val="18"/>
              </w:rPr>
              <w:t>s</w:t>
            </w:r>
            <w:r w:rsidR="006A4C11" w:rsidRPr="003C1AD9">
              <w:rPr>
                <w:rFonts w:asciiTheme="majorBidi" w:hAnsiTheme="majorBidi" w:cstheme="majorBidi"/>
                <w:sz w:val="22"/>
                <w:szCs w:val="18"/>
              </w:rPr>
              <w:t xml:space="preserve"> adequate provision for SGs/WPs to study regulatory/procedure matters to be used in support of the work of </w:t>
            </w:r>
            <w:proofErr w:type="spellStart"/>
            <w:r w:rsidR="006A4C11" w:rsidRPr="003C1AD9">
              <w:rPr>
                <w:rFonts w:asciiTheme="majorBidi" w:hAnsiTheme="majorBidi" w:cstheme="majorBidi"/>
                <w:sz w:val="22"/>
                <w:szCs w:val="18"/>
              </w:rPr>
              <w:t>Radiocommunication</w:t>
            </w:r>
            <w:proofErr w:type="spellEnd"/>
            <w:r w:rsidR="006A4C11" w:rsidRPr="003C1AD9">
              <w:rPr>
                <w:rFonts w:asciiTheme="majorBidi" w:hAnsiTheme="majorBidi" w:cstheme="majorBidi"/>
                <w:sz w:val="22"/>
                <w:szCs w:val="18"/>
              </w:rPr>
              <w:t xml:space="preserve"> Conferences. O</w:t>
            </w:r>
            <w:r w:rsidRPr="003C1AD9">
              <w:rPr>
                <w:rFonts w:asciiTheme="majorBidi" w:hAnsiTheme="majorBidi" w:cstheme="majorBidi"/>
                <w:sz w:val="22"/>
                <w:szCs w:val="18"/>
              </w:rPr>
              <w:t xml:space="preserve">ther views </w:t>
            </w:r>
            <w:r w:rsidR="002D072D" w:rsidRPr="003C1AD9">
              <w:rPr>
                <w:rFonts w:asciiTheme="majorBidi" w:hAnsiTheme="majorBidi" w:cstheme="majorBidi"/>
                <w:sz w:val="22"/>
                <w:szCs w:val="18"/>
              </w:rPr>
              <w:t>supported proposals</w:t>
            </w:r>
            <w:r w:rsidRPr="003C1AD9">
              <w:rPr>
                <w:rFonts w:asciiTheme="majorBidi" w:hAnsiTheme="majorBidi" w:cstheme="majorBidi"/>
                <w:sz w:val="22"/>
                <w:szCs w:val="18"/>
              </w:rPr>
              <w:t xml:space="preserve"> to clarify the matter (</w:t>
            </w:r>
            <w:proofErr w:type="spellStart"/>
            <w:r w:rsidRPr="003C1AD9">
              <w:rPr>
                <w:rFonts w:asciiTheme="majorBidi" w:hAnsiTheme="majorBidi" w:cstheme="majorBidi"/>
                <w:sz w:val="22"/>
                <w:szCs w:val="18"/>
              </w:rPr>
              <w:t>e.g</w:t>
            </w:r>
            <w:proofErr w:type="spellEnd"/>
            <w:r w:rsidRPr="003C1AD9">
              <w:rPr>
                <w:rFonts w:asciiTheme="majorBidi" w:hAnsiTheme="majorBidi" w:cstheme="majorBidi"/>
                <w:sz w:val="22"/>
                <w:szCs w:val="18"/>
              </w:rPr>
              <w:t>, modifications to Resolution ITU-R 38 or other options).</w:t>
            </w:r>
          </w:p>
          <w:p w:rsidR="008F1E12" w:rsidRPr="003C1AD9" w:rsidRDefault="008F1E12" w:rsidP="009F7D6E">
            <w:pPr>
              <w:spacing w:before="60" w:after="60"/>
              <w:rPr>
                <w:rFonts w:asciiTheme="majorBidi" w:hAnsiTheme="majorBidi" w:cstheme="majorBidi"/>
                <w:sz w:val="22"/>
                <w:szCs w:val="18"/>
              </w:rPr>
            </w:pPr>
            <w:r w:rsidRPr="003C1AD9">
              <w:rPr>
                <w:rFonts w:asciiTheme="majorBidi" w:hAnsiTheme="majorBidi" w:cstheme="majorBidi"/>
                <w:sz w:val="22"/>
                <w:szCs w:val="18"/>
              </w:rPr>
              <w:t xml:space="preserve">RAG concluded that the issue should be referred to the </w:t>
            </w:r>
            <w:proofErr w:type="spellStart"/>
            <w:r w:rsidRPr="003C1AD9">
              <w:rPr>
                <w:rFonts w:asciiTheme="majorBidi" w:hAnsiTheme="majorBidi" w:cstheme="majorBidi"/>
                <w:sz w:val="22"/>
                <w:szCs w:val="18"/>
              </w:rPr>
              <w:t>Radiocommunication</w:t>
            </w:r>
            <w:proofErr w:type="spellEnd"/>
            <w:r w:rsidRPr="003C1AD9">
              <w:rPr>
                <w:rFonts w:asciiTheme="majorBidi" w:hAnsiTheme="majorBidi" w:cstheme="majorBidi"/>
                <w:sz w:val="22"/>
                <w:szCs w:val="18"/>
              </w:rPr>
              <w:t xml:space="preserve"> Assembly for further discussion.</w:t>
            </w:r>
          </w:p>
        </w:tc>
      </w:tr>
      <w:tr w:rsidR="00041349" w:rsidRPr="00041349" w:rsidTr="00041349">
        <w:trPr>
          <w:cantSplit/>
          <w:jc w:val="center"/>
        </w:trPr>
        <w:tc>
          <w:tcPr>
            <w:tcW w:w="1037" w:type="dxa"/>
            <w:tcBorders>
              <w:top w:val="single" w:sz="6" w:space="0" w:color="auto"/>
              <w:left w:val="nil"/>
              <w:bottom w:val="nil"/>
              <w:right w:val="nil"/>
            </w:tcBorders>
          </w:tcPr>
          <w:p w:rsidR="00041349" w:rsidRPr="00041349" w:rsidRDefault="00041349" w:rsidP="009F7D6E">
            <w:pPr>
              <w:pStyle w:val="Tabletext"/>
              <w:spacing w:before="60" w:after="60"/>
              <w:jc w:val="center"/>
              <w:rPr>
                <w:sz w:val="10"/>
                <w:szCs w:val="10"/>
                <w:lang w:val="en-US"/>
              </w:rPr>
            </w:pPr>
          </w:p>
        </w:tc>
        <w:tc>
          <w:tcPr>
            <w:tcW w:w="3539" w:type="dxa"/>
            <w:tcBorders>
              <w:top w:val="single" w:sz="6" w:space="0" w:color="auto"/>
              <w:left w:val="nil"/>
              <w:bottom w:val="nil"/>
              <w:right w:val="nil"/>
            </w:tcBorders>
          </w:tcPr>
          <w:p w:rsidR="00041349" w:rsidRPr="00041349" w:rsidRDefault="00041349" w:rsidP="009F7D6E">
            <w:pPr>
              <w:pStyle w:val="Tabletext"/>
              <w:spacing w:before="60" w:after="60"/>
              <w:rPr>
                <w:i/>
                <w:sz w:val="10"/>
                <w:szCs w:val="10"/>
                <w:lang w:val="en-US"/>
              </w:rPr>
            </w:pPr>
          </w:p>
        </w:tc>
        <w:tc>
          <w:tcPr>
            <w:tcW w:w="9502" w:type="dxa"/>
            <w:tcBorders>
              <w:top w:val="single" w:sz="6" w:space="0" w:color="auto"/>
              <w:left w:val="nil"/>
              <w:bottom w:val="nil"/>
              <w:right w:val="nil"/>
            </w:tcBorders>
          </w:tcPr>
          <w:p w:rsidR="00041349" w:rsidRPr="00041349" w:rsidRDefault="00041349" w:rsidP="00BD0F23">
            <w:pPr>
              <w:spacing w:before="60" w:after="60"/>
              <w:rPr>
                <w:rFonts w:asciiTheme="majorBidi" w:hAnsiTheme="majorBidi" w:cstheme="majorBidi"/>
                <w:sz w:val="10"/>
                <w:szCs w:val="10"/>
              </w:rPr>
            </w:pPr>
          </w:p>
        </w:tc>
      </w:tr>
      <w:tr w:rsidR="00920DAC" w:rsidRPr="004C6A55" w:rsidTr="00041349">
        <w:trPr>
          <w:cantSplit/>
          <w:jc w:val="center"/>
        </w:trPr>
        <w:tc>
          <w:tcPr>
            <w:tcW w:w="1037" w:type="dxa"/>
            <w:tcBorders>
              <w:top w:val="nil"/>
            </w:tcBorders>
          </w:tcPr>
          <w:p w:rsidR="00920DAC" w:rsidRPr="00246E6C" w:rsidRDefault="00920DAC" w:rsidP="00784284">
            <w:pPr>
              <w:pStyle w:val="Tabletext"/>
              <w:spacing w:before="60" w:after="60"/>
              <w:jc w:val="center"/>
              <w:rPr>
                <w:rFonts w:asciiTheme="majorBidi" w:hAnsiTheme="majorBidi" w:cstheme="majorBidi"/>
                <w:szCs w:val="22"/>
                <w:lang w:val="en-US"/>
              </w:rPr>
            </w:pPr>
          </w:p>
        </w:tc>
        <w:tc>
          <w:tcPr>
            <w:tcW w:w="3539" w:type="dxa"/>
            <w:tcBorders>
              <w:top w:val="nil"/>
            </w:tcBorders>
          </w:tcPr>
          <w:p w:rsidR="00920DAC" w:rsidRPr="00246E6C" w:rsidRDefault="00920DAC" w:rsidP="004E1B3C">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 RAG11-1/15</w:t>
            </w:r>
            <w:r w:rsidR="004E1B3C">
              <w:rPr>
                <w:rFonts w:asciiTheme="majorBidi" w:hAnsiTheme="majorBidi" w:cstheme="majorBidi"/>
                <w:i/>
                <w:szCs w:val="22"/>
                <w:lang w:val="en-US"/>
              </w:rPr>
              <w:t xml:space="preserve"> (</w:t>
            </w:r>
            <w:r w:rsidRPr="00246E6C">
              <w:rPr>
                <w:rFonts w:asciiTheme="majorBidi" w:hAnsiTheme="majorBidi" w:cstheme="majorBidi"/>
                <w:i/>
                <w:szCs w:val="22"/>
                <w:lang w:val="en-US"/>
              </w:rPr>
              <w:t>§9)</w:t>
            </w:r>
            <w:r w:rsidR="004E1B3C">
              <w:rPr>
                <w:rFonts w:asciiTheme="majorBidi" w:hAnsiTheme="majorBidi" w:cstheme="majorBidi"/>
                <w:i/>
                <w:szCs w:val="22"/>
                <w:lang w:val="en-US"/>
              </w:rPr>
              <w:t>)</w:t>
            </w:r>
          </w:p>
        </w:tc>
        <w:tc>
          <w:tcPr>
            <w:tcW w:w="9502" w:type="dxa"/>
            <w:tcBorders>
              <w:top w:val="nil"/>
            </w:tcBorders>
          </w:tcPr>
          <w:p w:rsidR="00920DAC" w:rsidRPr="003C1AD9" w:rsidRDefault="003C1AD9" w:rsidP="00F3219A">
            <w:pPr>
              <w:pStyle w:val="PlainText"/>
              <w:spacing w:before="60" w:after="60"/>
              <w:rPr>
                <w:rFonts w:asciiTheme="majorBidi" w:hAnsiTheme="majorBidi" w:cstheme="majorBidi"/>
                <w:szCs w:val="22"/>
              </w:rPr>
            </w:pPr>
            <w:r w:rsidRPr="003C1AD9">
              <w:rPr>
                <w:rFonts w:asciiTheme="majorBidi" w:hAnsiTheme="majorBidi" w:cstheme="majorBidi"/>
              </w:rPr>
              <w:t xml:space="preserve">RAG noted the points </w:t>
            </w:r>
            <w:proofErr w:type="gramStart"/>
            <w:r w:rsidRPr="003C1AD9">
              <w:rPr>
                <w:rFonts w:asciiTheme="majorBidi" w:hAnsiTheme="majorBidi" w:cstheme="majorBidi"/>
              </w:rPr>
              <w:t>raised</w:t>
            </w:r>
            <w:proofErr w:type="gramEnd"/>
            <w:r w:rsidRPr="003C1AD9">
              <w:rPr>
                <w:rFonts w:asciiTheme="majorBidi" w:hAnsiTheme="majorBidi" w:cstheme="majorBidi"/>
              </w:rPr>
              <w:t xml:space="preserve"> in the document and agreed that the workload during SG and WP meetings should be properly coordinated and smoothly distributed. In particular, scheduling of the meeting during the week-end and beyond working hours should normally be avoided unless absolutely necessary. </w:t>
            </w:r>
          </w:p>
        </w:tc>
      </w:tr>
      <w:tr w:rsidR="006D3BDE" w:rsidRPr="004C6A55" w:rsidTr="007805DD">
        <w:trPr>
          <w:cantSplit/>
          <w:jc w:val="center"/>
        </w:trPr>
        <w:tc>
          <w:tcPr>
            <w:tcW w:w="1037" w:type="dxa"/>
          </w:tcPr>
          <w:p w:rsidR="006D3BDE" w:rsidRPr="00246E6C" w:rsidRDefault="00F96FFA" w:rsidP="009F7D6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4.3</w:t>
            </w:r>
          </w:p>
        </w:tc>
        <w:tc>
          <w:tcPr>
            <w:tcW w:w="3539" w:type="dxa"/>
          </w:tcPr>
          <w:p w:rsidR="006D3BDE" w:rsidRPr="00246E6C" w:rsidRDefault="00F96FFA" w:rsidP="009F7D6E">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Study Group issues – Electronic </w:t>
            </w:r>
            <w:r w:rsidR="0087699E" w:rsidRPr="00246E6C">
              <w:rPr>
                <w:rFonts w:asciiTheme="majorBidi" w:hAnsiTheme="majorBidi" w:cstheme="majorBidi"/>
                <w:szCs w:val="22"/>
                <w:lang w:val="en-US"/>
              </w:rPr>
              <w:t>W</w:t>
            </w:r>
            <w:r w:rsidRPr="00246E6C">
              <w:rPr>
                <w:rFonts w:asciiTheme="majorBidi" w:hAnsiTheme="majorBidi" w:cstheme="majorBidi"/>
                <w:szCs w:val="22"/>
                <w:lang w:val="en-US"/>
              </w:rPr>
              <w:t xml:space="preserve">orking </w:t>
            </w:r>
            <w:r w:rsidR="0087699E" w:rsidRPr="00246E6C">
              <w:rPr>
                <w:rFonts w:asciiTheme="majorBidi" w:hAnsiTheme="majorBidi" w:cstheme="majorBidi"/>
                <w:szCs w:val="22"/>
                <w:lang w:val="en-US"/>
              </w:rPr>
              <w:t>M</w:t>
            </w:r>
            <w:r w:rsidRPr="00246E6C">
              <w:rPr>
                <w:rFonts w:asciiTheme="majorBidi" w:hAnsiTheme="majorBidi" w:cstheme="majorBidi"/>
                <w:szCs w:val="22"/>
                <w:lang w:val="en-US"/>
              </w:rPr>
              <w:t>ethods</w:t>
            </w:r>
            <w:r w:rsidR="0087699E" w:rsidRPr="00246E6C">
              <w:rPr>
                <w:rFonts w:asciiTheme="majorBidi" w:hAnsiTheme="majorBidi" w:cstheme="majorBidi"/>
                <w:szCs w:val="22"/>
                <w:lang w:val="en-US"/>
              </w:rPr>
              <w:t xml:space="preserve"> (EDH)</w:t>
            </w:r>
          </w:p>
          <w:p w:rsidR="00F96FFA" w:rsidRPr="00246E6C" w:rsidRDefault="00F96FFA" w:rsidP="009F7D6E">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(Docs. RAG11-1/5, 15 (§10), 18)</w:t>
            </w:r>
          </w:p>
        </w:tc>
        <w:tc>
          <w:tcPr>
            <w:tcW w:w="9502" w:type="dxa"/>
          </w:tcPr>
          <w:p w:rsidR="006D3BDE" w:rsidRPr="00246E6C" w:rsidRDefault="00F96FFA" w:rsidP="009F7D6E">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discussed the report of the </w:t>
            </w:r>
            <w:r w:rsidR="0087699E" w:rsidRPr="00246E6C">
              <w:rPr>
                <w:rFonts w:asciiTheme="majorBidi" w:hAnsiTheme="majorBidi" w:cstheme="majorBidi"/>
                <w:sz w:val="22"/>
                <w:szCs w:val="22"/>
              </w:rPr>
              <w:t>C</w:t>
            </w:r>
            <w:r w:rsidRPr="00246E6C">
              <w:rPr>
                <w:rFonts w:asciiTheme="majorBidi" w:hAnsiTheme="majorBidi" w:cstheme="majorBidi"/>
                <w:sz w:val="22"/>
                <w:szCs w:val="22"/>
              </w:rPr>
              <w:t xml:space="preserve">oordinator of CG-EDH and noted that SGs, when preparing Recommendations containing hyperlinks, should </w:t>
            </w:r>
            <w:r w:rsidR="0087699E" w:rsidRPr="00246E6C">
              <w:rPr>
                <w:rFonts w:asciiTheme="majorBidi" w:hAnsiTheme="majorBidi" w:cstheme="majorBidi"/>
                <w:sz w:val="22"/>
                <w:szCs w:val="22"/>
              </w:rPr>
              <w:t>find</w:t>
            </w:r>
            <w:r w:rsidRPr="00246E6C">
              <w:rPr>
                <w:rFonts w:asciiTheme="majorBidi" w:hAnsiTheme="majorBidi" w:cstheme="majorBidi"/>
                <w:sz w:val="22"/>
                <w:szCs w:val="22"/>
              </w:rPr>
              <w:t xml:space="preserve"> solutions </w:t>
            </w:r>
            <w:r w:rsidR="0087699E" w:rsidRPr="00246E6C">
              <w:rPr>
                <w:rFonts w:asciiTheme="majorBidi" w:hAnsiTheme="majorBidi" w:cstheme="majorBidi"/>
                <w:sz w:val="22"/>
                <w:szCs w:val="22"/>
              </w:rPr>
              <w:t xml:space="preserve">for making the linked information available </w:t>
            </w:r>
            <w:r w:rsidRPr="00246E6C">
              <w:rPr>
                <w:rFonts w:asciiTheme="majorBidi" w:hAnsiTheme="majorBidi" w:cstheme="majorBidi"/>
                <w:sz w:val="22"/>
                <w:szCs w:val="22"/>
              </w:rPr>
              <w:t>if the Recommendation is to be incorporated by reference into the RR.</w:t>
            </w:r>
          </w:p>
          <w:p w:rsidR="00F96FFA" w:rsidRPr="00246E6C" w:rsidRDefault="00F96FFA" w:rsidP="009F7D6E">
            <w:pPr>
              <w:spacing w:before="60" w:after="60"/>
              <w:rPr>
                <w:rFonts w:asciiTheme="majorBidi" w:hAnsiTheme="majorBidi" w:cstheme="majorBidi"/>
                <w:sz w:val="22"/>
                <w:szCs w:val="22"/>
              </w:rPr>
            </w:pPr>
            <w:r w:rsidRPr="00246E6C">
              <w:rPr>
                <w:rFonts w:asciiTheme="majorBidi" w:hAnsiTheme="majorBidi" w:cstheme="majorBidi"/>
                <w:sz w:val="22"/>
                <w:szCs w:val="22"/>
              </w:rPr>
              <w:t>RAG expressed satisfaction with the efforts made by the Secretariat to work paperless in ITU-R meetings. RAG noted the suggestions mad</w:t>
            </w:r>
            <w:r w:rsidR="0087699E" w:rsidRPr="00246E6C">
              <w:rPr>
                <w:rFonts w:asciiTheme="majorBidi" w:hAnsiTheme="majorBidi" w:cstheme="majorBidi"/>
                <w:sz w:val="22"/>
                <w:szCs w:val="22"/>
              </w:rPr>
              <w:t>e</w:t>
            </w:r>
            <w:r w:rsidRPr="00246E6C">
              <w:rPr>
                <w:rFonts w:asciiTheme="majorBidi" w:hAnsiTheme="majorBidi" w:cstheme="majorBidi"/>
                <w:sz w:val="22"/>
                <w:szCs w:val="22"/>
              </w:rPr>
              <w:t xml:space="preserve"> at this meeting and advised </w:t>
            </w:r>
            <w:r w:rsidR="0087699E" w:rsidRPr="00246E6C">
              <w:rPr>
                <w:rFonts w:asciiTheme="majorBidi" w:hAnsiTheme="majorBidi" w:cstheme="majorBidi"/>
                <w:sz w:val="22"/>
                <w:szCs w:val="22"/>
              </w:rPr>
              <w:t>the Director to continue to investigate</w:t>
            </w:r>
            <w:r w:rsidRPr="00246E6C">
              <w:rPr>
                <w:rFonts w:asciiTheme="majorBidi" w:hAnsiTheme="majorBidi" w:cstheme="majorBidi"/>
                <w:sz w:val="22"/>
                <w:szCs w:val="22"/>
              </w:rPr>
              <w:t xml:space="preserve"> methods and tools to improve capabilities for electronic meetings as called upon in Resolution 167 (Guadalajara, 2010).</w:t>
            </w:r>
          </w:p>
        </w:tc>
      </w:tr>
      <w:tr w:rsidR="00804DA9" w:rsidRPr="004C6A55" w:rsidTr="007805DD">
        <w:trPr>
          <w:cantSplit/>
          <w:jc w:val="center"/>
        </w:trPr>
        <w:tc>
          <w:tcPr>
            <w:tcW w:w="1037" w:type="dxa"/>
          </w:tcPr>
          <w:p w:rsidR="00804DA9" w:rsidRPr="00804DA9" w:rsidRDefault="00804DA9">
            <w:pPr>
              <w:pStyle w:val="Tabletext"/>
              <w:spacing w:before="60" w:after="60"/>
              <w:jc w:val="center"/>
              <w:rPr>
                <w:szCs w:val="22"/>
              </w:rPr>
            </w:pPr>
            <w:r w:rsidRPr="00804DA9">
              <w:rPr>
                <w:szCs w:val="22"/>
              </w:rPr>
              <w:t>5</w:t>
            </w:r>
          </w:p>
        </w:tc>
        <w:tc>
          <w:tcPr>
            <w:tcW w:w="3539" w:type="dxa"/>
          </w:tcPr>
          <w:p w:rsidR="00804DA9" w:rsidRPr="00804DA9" w:rsidRDefault="00804DA9">
            <w:pPr>
              <w:pStyle w:val="Tabletext"/>
              <w:spacing w:before="60" w:after="60"/>
              <w:rPr>
                <w:rFonts w:eastAsiaTheme="minorEastAsia"/>
                <w:szCs w:val="22"/>
              </w:rPr>
            </w:pPr>
            <w:r w:rsidRPr="00804DA9">
              <w:rPr>
                <w:szCs w:val="22"/>
              </w:rPr>
              <w:t>BR Information System</w:t>
            </w:r>
            <w:r w:rsidR="00F9301F">
              <w:rPr>
                <w:szCs w:val="22"/>
              </w:rPr>
              <w:t>s</w:t>
            </w:r>
          </w:p>
          <w:p w:rsidR="00804DA9" w:rsidRPr="00804DA9" w:rsidRDefault="00804DA9" w:rsidP="00187AC3">
            <w:pPr>
              <w:pStyle w:val="Tabletext"/>
              <w:spacing w:before="60" w:after="60"/>
              <w:rPr>
                <w:szCs w:val="22"/>
              </w:rPr>
            </w:pPr>
            <w:r w:rsidRPr="00804DA9">
              <w:rPr>
                <w:i/>
                <w:iCs/>
                <w:szCs w:val="22"/>
              </w:rPr>
              <w:t>(Doc. RAG11-1/14 (Rev.1))</w:t>
            </w:r>
          </w:p>
        </w:tc>
        <w:tc>
          <w:tcPr>
            <w:tcW w:w="9502" w:type="dxa"/>
          </w:tcPr>
          <w:p w:rsidR="00804DA9" w:rsidRPr="00804DA9" w:rsidRDefault="00804DA9" w:rsidP="00687CA4">
            <w:pPr>
              <w:spacing w:before="60" w:after="60"/>
              <w:rPr>
                <w:rFonts w:eastAsiaTheme="minorEastAsia"/>
                <w:sz w:val="22"/>
                <w:szCs w:val="22"/>
              </w:rPr>
            </w:pPr>
            <w:r w:rsidRPr="00804DA9">
              <w:rPr>
                <w:sz w:val="22"/>
                <w:szCs w:val="22"/>
              </w:rPr>
              <w:t xml:space="preserve">RAG agreed to establish a Correspondence Group to review and define requirements for a consolidated and integrated BR information system for the treatment of space and terrestrial notices, largely shared with the membership, and establish a roadmap for its implementation, together with a </w:t>
            </w:r>
            <w:proofErr w:type="spellStart"/>
            <w:r w:rsidRPr="00804DA9">
              <w:rPr>
                <w:sz w:val="22"/>
                <w:szCs w:val="22"/>
              </w:rPr>
              <w:t>workplan</w:t>
            </w:r>
            <w:proofErr w:type="spellEnd"/>
            <w:r w:rsidRPr="00804DA9">
              <w:rPr>
                <w:sz w:val="22"/>
                <w:szCs w:val="22"/>
              </w:rPr>
              <w:t xml:space="preserve"> and costs involved. The issue of whether or not to opt for a full or partial outsourcing of the project together with its advantages and drawbacks needs to be clearly and comprehensively described and documented. The matter should be timely reported to the Council. The mandate of</w:t>
            </w:r>
            <w:r w:rsidR="00687CA4">
              <w:rPr>
                <w:sz w:val="22"/>
                <w:szCs w:val="22"/>
              </w:rPr>
              <w:t xml:space="preserve"> the group is contained in Doc. R</w:t>
            </w:r>
            <w:r w:rsidRPr="00804DA9">
              <w:rPr>
                <w:sz w:val="22"/>
                <w:szCs w:val="22"/>
              </w:rPr>
              <w:t>AG11</w:t>
            </w:r>
            <w:r w:rsidR="00687CA4">
              <w:rPr>
                <w:sz w:val="22"/>
                <w:szCs w:val="22"/>
              </w:rPr>
              <w:noBreakHyphen/>
            </w:r>
            <w:r w:rsidRPr="00804DA9">
              <w:rPr>
                <w:sz w:val="22"/>
                <w:szCs w:val="22"/>
              </w:rPr>
              <w:t xml:space="preserve">1/TEMP/1. </w:t>
            </w:r>
          </w:p>
          <w:p w:rsidR="00804DA9" w:rsidRPr="00804DA9" w:rsidRDefault="00804DA9" w:rsidP="00EB758E">
            <w:pPr>
              <w:spacing w:before="60" w:after="60"/>
              <w:rPr>
                <w:sz w:val="22"/>
                <w:szCs w:val="22"/>
              </w:rPr>
            </w:pPr>
            <w:r w:rsidRPr="00804DA9">
              <w:rPr>
                <w:sz w:val="22"/>
                <w:szCs w:val="22"/>
              </w:rPr>
              <w:t xml:space="preserve">RAG, while establishing the Correspondence Group recalls that the Bureau in developing and operating its spectrum management information systems, has the obligation and responsibility to: implement relevant decisions and resolutions of  plenipotentiary conferences, Council, world and regional </w:t>
            </w:r>
            <w:proofErr w:type="spellStart"/>
            <w:r w:rsidRPr="00804DA9">
              <w:rPr>
                <w:sz w:val="22"/>
                <w:szCs w:val="22"/>
              </w:rPr>
              <w:t>radiocommunication</w:t>
            </w:r>
            <w:proofErr w:type="spellEnd"/>
            <w:r w:rsidRPr="00804DA9">
              <w:rPr>
                <w:sz w:val="22"/>
                <w:szCs w:val="22"/>
              </w:rPr>
              <w:t xml:space="preserve"> conferences related to the Radio Regulations and Regional Agreements; provide uninterrupted service to the membership by assuring the security and stability of its ICT systems and applications; and ensure that the service provided corresponds to the requirements and expectations of the membership and those of the service departments of the Bureau. The development and implementation</w:t>
            </w:r>
            <w:r w:rsidR="00EB758E">
              <w:rPr>
                <w:sz w:val="22"/>
                <w:szCs w:val="22"/>
              </w:rPr>
              <w:t xml:space="preserve"> </w:t>
            </w:r>
            <w:r w:rsidRPr="00804DA9">
              <w:rPr>
                <w:sz w:val="22"/>
                <w:szCs w:val="22"/>
              </w:rPr>
              <w:t xml:space="preserve">of such integrated information </w:t>
            </w:r>
            <w:r w:rsidR="003C0934" w:rsidRPr="00804DA9">
              <w:rPr>
                <w:sz w:val="22"/>
                <w:szCs w:val="22"/>
              </w:rPr>
              <w:t>system</w:t>
            </w:r>
            <w:r w:rsidR="00EB758E">
              <w:rPr>
                <w:sz w:val="22"/>
                <w:szCs w:val="22"/>
              </w:rPr>
              <w:t xml:space="preserve"> </w:t>
            </w:r>
            <w:r w:rsidRPr="00804DA9">
              <w:rPr>
                <w:sz w:val="22"/>
                <w:szCs w:val="22"/>
              </w:rPr>
              <w:t>shall in no way result in any backlog,</w:t>
            </w:r>
            <w:r w:rsidR="00EB758E">
              <w:rPr>
                <w:sz w:val="22"/>
                <w:szCs w:val="22"/>
              </w:rPr>
              <w:t xml:space="preserve"> </w:t>
            </w:r>
            <w:r w:rsidRPr="00804DA9">
              <w:rPr>
                <w:sz w:val="22"/>
                <w:szCs w:val="22"/>
              </w:rPr>
              <w:t xml:space="preserve">in particular, during the migration from the current information system to the planned integrated system. It should also be emphasized that once the  planned integrated system reaches its final stage , all </w:t>
            </w:r>
            <w:r w:rsidR="00EB758E" w:rsidRPr="00804DA9">
              <w:rPr>
                <w:sz w:val="22"/>
                <w:szCs w:val="22"/>
              </w:rPr>
              <w:t>intellectual</w:t>
            </w:r>
            <w:r w:rsidRPr="00804DA9">
              <w:rPr>
                <w:sz w:val="22"/>
                <w:szCs w:val="22"/>
              </w:rPr>
              <w:t xml:space="preserve"> </w:t>
            </w:r>
            <w:r w:rsidR="00EB758E" w:rsidRPr="00804DA9">
              <w:rPr>
                <w:sz w:val="22"/>
                <w:szCs w:val="22"/>
              </w:rPr>
              <w:t>properties</w:t>
            </w:r>
            <w:r w:rsidRPr="00804DA9">
              <w:rPr>
                <w:sz w:val="22"/>
                <w:szCs w:val="22"/>
              </w:rPr>
              <w:t xml:space="preserve"> and  software source codes should be transferred to the Bureau and remain as the </w:t>
            </w:r>
            <w:r w:rsidR="00EB758E" w:rsidRPr="00804DA9">
              <w:rPr>
                <w:sz w:val="22"/>
                <w:szCs w:val="22"/>
              </w:rPr>
              <w:t>exclusive</w:t>
            </w:r>
            <w:r w:rsidRPr="00804DA9">
              <w:rPr>
                <w:sz w:val="22"/>
                <w:szCs w:val="22"/>
              </w:rPr>
              <w:t xml:space="preserve"> property of the Bureau with all associated rights.</w:t>
            </w:r>
          </w:p>
          <w:p w:rsidR="00804DA9" w:rsidRPr="00804DA9" w:rsidRDefault="00804DA9">
            <w:pPr>
              <w:spacing w:before="60" w:after="60"/>
              <w:rPr>
                <w:rFonts w:eastAsiaTheme="minorEastAsia"/>
                <w:sz w:val="22"/>
                <w:szCs w:val="22"/>
              </w:rPr>
            </w:pPr>
            <w:r w:rsidRPr="00804DA9">
              <w:rPr>
                <w:sz w:val="22"/>
                <w:szCs w:val="22"/>
              </w:rPr>
              <w:t>These obligations and responsibilities should be embedded in the outcomes of the work of the group.</w:t>
            </w:r>
          </w:p>
        </w:tc>
      </w:tr>
      <w:tr w:rsidR="00363ED5" w:rsidRPr="004C6A55" w:rsidTr="007805DD">
        <w:trPr>
          <w:cantSplit/>
          <w:jc w:val="center"/>
        </w:trPr>
        <w:tc>
          <w:tcPr>
            <w:tcW w:w="1037" w:type="dxa"/>
          </w:tcPr>
          <w:p w:rsidR="00363ED5" w:rsidRPr="00246E6C" w:rsidRDefault="00363ED5" w:rsidP="009F7D6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w:t>
            </w:r>
            <w:r w:rsidR="003E25E6" w:rsidRPr="00246E6C">
              <w:rPr>
                <w:rFonts w:asciiTheme="majorBidi" w:hAnsiTheme="majorBidi" w:cstheme="majorBidi"/>
                <w:szCs w:val="22"/>
                <w:lang w:val="en-US"/>
              </w:rPr>
              <w:t>.1</w:t>
            </w:r>
          </w:p>
        </w:tc>
        <w:tc>
          <w:tcPr>
            <w:tcW w:w="3539" w:type="dxa"/>
          </w:tcPr>
          <w:p w:rsidR="00363ED5" w:rsidRPr="00246E6C" w:rsidRDefault="00363ED5" w:rsidP="009F7D6E">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RA-12 </w:t>
            </w:r>
            <w:r w:rsidR="002D072D" w:rsidRPr="00246E6C">
              <w:rPr>
                <w:rFonts w:asciiTheme="majorBidi" w:hAnsiTheme="majorBidi" w:cstheme="majorBidi"/>
                <w:szCs w:val="22"/>
                <w:lang w:val="en-US"/>
              </w:rPr>
              <w:t xml:space="preserve">preparations </w:t>
            </w:r>
            <w:r w:rsidR="00847BAB">
              <w:rPr>
                <w:rFonts w:asciiTheme="majorBidi" w:hAnsiTheme="majorBidi" w:cstheme="majorBidi"/>
                <w:szCs w:val="22"/>
                <w:lang w:val="en-US"/>
              </w:rPr>
              <w:t>– Resolution ITU-R 1</w:t>
            </w:r>
            <w:r w:rsidR="00FF7B7E" w:rsidRPr="00246E6C">
              <w:rPr>
                <w:rFonts w:asciiTheme="majorBidi" w:hAnsiTheme="majorBidi" w:cstheme="majorBidi"/>
                <w:szCs w:val="22"/>
                <w:lang w:val="en-US"/>
              </w:rPr>
              <w:br/>
            </w:r>
            <w:r w:rsidR="00FF7B7E" w:rsidRPr="00847BAB">
              <w:rPr>
                <w:rFonts w:asciiTheme="majorBidi" w:hAnsiTheme="majorBidi" w:cstheme="majorBidi"/>
                <w:i/>
                <w:szCs w:val="22"/>
                <w:lang w:val="en-US"/>
              </w:rPr>
              <w:t xml:space="preserve">(Docs. </w:t>
            </w:r>
            <w:r w:rsidR="00FF7B7E" w:rsidRPr="00246E6C">
              <w:rPr>
                <w:rFonts w:asciiTheme="majorBidi" w:hAnsiTheme="majorBidi" w:cstheme="majorBidi"/>
                <w:i/>
                <w:szCs w:val="22"/>
                <w:lang w:val="en-US"/>
              </w:rPr>
              <w:t>RAG11-1/3, 15 (§8), 20,</w:t>
            </w:r>
            <w:r w:rsidR="00134CDC">
              <w:rPr>
                <w:rFonts w:asciiTheme="majorBidi" w:hAnsiTheme="majorBidi" w:cstheme="majorBidi"/>
                <w:i/>
                <w:szCs w:val="22"/>
                <w:lang w:val="en-US"/>
              </w:rPr>
              <w:t xml:space="preserve"> </w:t>
            </w:r>
            <w:r w:rsidR="00FF7B7E" w:rsidRPr="00246E6C">
              <w:rPr>
                <w:rFonts w:asciiTheme="majorBidi" w:hAnsiTheme="majorBidi" w:cstheme="majorBidi"/>
                <w:i/>
                <w:szCs w:val="22"/>
                <w:lang w:val="en-US"/>
              </w:rPr>
              <w:t>24)</w:t>
            </w:r>
          </w:p>
        </w:tc>
        <w:tc>
          <w:tcPr>
            <w:tcW w:w="9502" w:type="dxa"/>
          </w:tcPr>
          <w:p w:rsidR="00363ED5" w:rsidRPr="00246E6C" w:rsidRDefault="00363ED5" w:rsidP="009F7D6E">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RAG </w:t>
            </w:r>
            <w:r w:rsidR="00774F64" w:rsidRPr="00246E6C">
              <w:rPr>
                <w:rFonts w:asciiTheme="majorBidi" w:hAnsiTheme="majorBidi" w:cstheme="majorBidi"/>
                <w:szCs w:val="22"/>
                <w:lang w:val="en-US"/>
              </w:rPr>
              <w:t>considered the various proposals relating to working methods and other relevant Resolutions/Opinions and decided to establish a Correspondence Group to address these matters. The terms of reference of the C</w:t>
            </w:r>
            <w:r w:rsidR="0051779F" w:rsidRPr="00246E6C">
              <w:rPr>
                <w:rFonts w:asciiTheme="majorBidi" w:hAnsiTheme="majorBidi" w:cstheme="majorBidi"/>
                <w:szCs w:val="22"/>
                <w:lang w:val="en-US"/>
              </w:rPr>
              <w:t xml:space="preserve">orrespondence </w:t>
            </w:r>
            <w:r w:rsidR="00774F64" w:rsidRPr="00246E6C">
              <w:rPr>
                <w:rFonts w:asciiTheme="majorBidi" w:hAnsiTheme="majorBidi" w:cstheme="majorBidi"/>
                <w:szCs w:val="22"/>
                <w:lang w:val="en-US"/>
              </w:rPr>
              <w:t>G</w:t>
            </w:r>
            <w:r w:rsidR="0051779F" w:rsidRPr="00246E6C">
              <w:rPr>
                <w:rFonts w:asciiTheme="majorBidi" w:hAnsiTheme="majorBidi" w:cstheme="majorBidi"/>
                <w:szCs w:val="22"/>
                <w:lang w:val="en-US"/>
              </w:rPr>
              <w:t>roup</w:t>
            </w:r>
            <w:r w:rsidR="00774F64" w:rsidRPr="00246E6C">
              <w:rPr>
                <w:rFonts w:asciiTheme="majorBidi" w:hAnsiTheme="majorBidi" w:cstheme="majorBidi"/>
                <w:szCs w:val="22"/>
                <w:lang w:val="en-US"/>
              </w:rPr>
              <w:t xml:space="preserve"> is contained in Doc. RAG-11-1/TEMP/2.</w:t>
            </w:r>
          </w:p>
        </w:tc>
      </w:tr>
      <w:tr w:rsidR="001421D6" w:rsidRPr="004C6A55" w:rsidTr="007805DD">
        <w:trPr>
          <w:cantSplit/>
          <w:jc w:val="center"/>
        </w:trPr>
        <w:tc>
          <w:tcPr>
            <w:tcW w:w="1037" w:type="dxa"/>
          </w:tcPr>
          <w:p w:rsidR="001421D6" w:rsidRPr="00246E6C" w:rsidRDefault="00000DB2" w:rsidP="009F7D6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6.2</w:t>
            </w:r>
            <w:r w:rsidR="001421D6" w:rsidRPr="00246E6C">
              <w:rPr>
                <w:rFonts w:asciiTheme="majorBidi" w:hAnsiTheme="majorBidi" w:cstheme="majorBidi"/>
                <w:szCs w:val="22"/>
              </w:rPr>
              <w:t> </w:t>
            </w:r>
          </w:p>
        </w:tc>
        <w:tc>
          <w:tcPr>
            <w:tcW w:w="3539" w:type="dxa"/>
          </w:tcPr>
          <w:p w:rsidR="001421D6" w:rsidRPr="00246E6C" w:rsidRDefault="00847BAB" w:rsidP="009F7D6E">
            <w:pPr>
              <w:pStyle w:val="Tabletext"/>
              <w:spacing w:before="60" w:after="60"/>
              <w:rPr>
                <w:rFonts w:asciiTheme="majorBidi" w:hAnsiTheme="majorBidi" w:cstheme="majorBidi"/>
                <w:szCs w:val="22"/>
              </w:rPr>
            </w:pPr>
            <w:r>
              <w:rPr>
                <w:rFonts w:asciiTheme="majorBidi" w:hAnsiTheme="majorBidi" w:cstheme="majorBidi"/>
                <w:szCs w:val="22"/>
              </w:rPr>
              <w:t xml:space="preserve">RA-12 preparations - </w:t>
            </w:r>
            <w:r w:rsidR="001421D6" w:rsidRPr="00246E6C">
              <w:rPr>
                <w:rFonts w:asciiTheme="majorBidi" w:hAnsiTheme="majorBidi" w:cstheme="majorBidi"/>
                <w:szCs w:val="22"/>
              </w:rPr>
              <w:t>Conformance and interoperability of radio equipment - Resolution 177 (Guadalajara, 2010)</w:t>
            </w:r>
          </w:p>
          <w:p w:rsidR="001421D6" w:rsidRPr="00246E6C" w:rsidRDefault="001421D6" w:rsidP="009F7D6E">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(Docs. </w:t>
            </w:r>
            <w:r w:rsidRPr="00246E6C">
              <w:rPr>
                <w:rFonts w:asciiTheme="majorBidi" w:hAnsiTheme="majorBidi" w:cstheme="majorBidi"/>
                <w:i/>
                <w:szCs w:val="22"/>
                <w:lang w:val="en-US"/>
              </w:rPr>
              <w:t>RAG11-1/1(Rev.1) (§3.</w:t>
            </w:r>
            <w:r w:rsidR="00101592" w:rsidRPr="00246E6C">
              <w:rPr>
                <w:rFonts w:asciiTheme="majorBidi" w:hAnsiTheme="majorBidi" w:cstheme="majorBidi"/>
                <w:i/>
                <w:szCs w:val="22"/>
                <w:lang w:val="en-US"/>
              </w:rPr>
              <w:t>10</w:t>
            </w:r>
            <w:r w:rsidRPr="00246E6C">
              <w:rPr>
                <w:rFonts w:asciiTheme="majorBidi" w:hAnsiTheme="majorBidi" w:cstheme="majorBidi"/>
                <w:i/>
                <w:szCs w:val="22"/>
                <w:lang w:val="en-US"/>
              </w:rPr>
              <w:t>)</w:t>
            </w:r>
            <w:r w:rsidR="00000DB2" w:rsidRPr="00246E6C">
              <w:rPr>
                <w:rFonts w:asciiTheme="majorBidi" w:hAnsiTheme="majorBidi" w:cstheme="majorBidi"/>
                <w:i/>
                <w:szCs w:val="22"/>
                <w:lang w:val="en-US"/>
              </w:rPr>
              <w:t>, 4, 10</w:t>
            </w:r>
            <w:r w:rsidR="00187AC3">
              <w:rPr>
                <w:rFonts w:asciiTheme="majorBidi" w:hAnsiTheme="majorBidi" w:cstheme="majorBidi"/>
                <w:i/>
                <w:szCs w:val="22"/>
                <w:lang w:val="en-US"/>
              </w:rPr>
              <w:t>)</w:t>
            </w:r>
          </w:p>
        </w:tc>
        <w:tc>
          <w:tcPr>
            <w:tcW w:w="9502" w:type="dxa"/>
          </w:tcPr>
          <w:p w:rsidR="001421D6" w:rsidRPr="00246E6C" w:rsidRDefault="001421D6" w:rsidP="009F7D6E">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noted the matters </w:t>
            </w:r>
            <w:proofErr w:type="gramStart"/>
            <w:r w:rsidRPr="00246E6C">
              <w:rPr>
                <w:rFonts w:asciiTheme="majorBidi" w:hAnsiTheme="majorBidi" w:cstheme="majorBidi"/>
                <w:sz w:val="22"/>
                <w:szCs w:val="22"/>
              </w:rPr>
              <w:t>raised</w:t>
            </w:r>
            <w:proofErr w:type="gramEnd"/>
            <w:r w:rsidRPr="00246E6C">
              <w:rPr>
                <w:rFonts w:asciiTheme="majorBidi" w:hAnsiTheme="majorBidi" w:cstheme="majorBidi"/>
                <w:sz w:val="22"/>
                <w:szCs w:val="22"/>
              </w:rPr>
              <w:t xml:space="preserve"> in Documents 1</w:t>
            </w:r>
            <w:r w:rsidR="000D551B" w:rsidRPr="00246E6C">
              <w:rPr>
                <w:rFonts w:asciiTheme="majorBidi" w:hAnsiTheme="majorBidi" w:cstheme="majorBidi"/>
                <w:sz w:val="22"/>
                <w:szCs w:val="22"/>
              </w:rPr>
              <w:t>R</w:t>
            </w:r>
            <w:r w:rsidRPr="00246E6C">
              <w:rPr>
                <w:rFonts w:asciiTheme="majorBidi" w:hAnsiTheme="majorBidi" w:cstheme="majorBidi"/>
                <w:sz w:val="22"/>
                <w:szCs w:val="22"/>
              </w:rPr>
              <w:t xml:space="preserve">1 (§ 3.10), 4, 10 and was of the view that it is premature to take any firm position on this matter. ITU-R should </w:t>
            </w:r>
            <w:r w:rsidR="00101592" w:rsidRPr="00246E6C">
              <w:rPr>
                <w:rFonts w:asciiTheme="majorBidi" w:hAnsiTheme="majorBidi" w:cstheme="majorBidi"/>
                <w:sz w:val="22"/>
                <w:szCs w:val="22"/>
              </w:rPr>
              <w:t xml:space="preserve">monitor the outcome of the internal ITU </w:t>
            </w:r>
            <w:proofErr w:type="spellStart"/>
            <w:r w:rsidRPr="00246E6C">
              <w:rPr>
                <w:rFonts w:asciiTheme="majorBidi" w:hAnsiTheme="majorBidi" w:cstheme="majorBidi"/>
                <w:sz w:val="22"/>
                <w:szCs w:val="22"/>
              </w:rPr>
              <w:t>Intersector</w:t>
            </w:r>
            <w:proofErr w:type="spellEnd"/>
            <w:r w:rsidRPr="00246E6C">
              <w:rPr>
                <w:rFonts w:asciiTheme="majorBidi" w:hAnsiTheme="majorBidi" w:cstheme="majorBidi"/>
                <w:sz w:val="22"/>
                <w:szCs w:val="22"/>
              </w:rPr>
              <w:t xml:space="preserve"> Task Force and the consideration of the business plan that will be presented in the TSB Director’s Report to </w:t>
            </w:r>
            <w:r w:rsidR="00101592" w:rsidRPr="00246E6C">
              <w:rPr>
                <w:rFonts w:asciiTheme="majorBidi" w:hAnsiTheme="majorBidi" w:cstheme="majorBidi"/>
                <w:sz w:val="22"/>
                <w:szCs w:val="22"/>
              </w:rPr>
              <w:t xml:space="preserve">the </w:t>
            </w:r>
            <w:r w:rsidRPr="00246E6C">
              <w:rPr>
                <w:rFonts w:asciiTheme="majorBidi" w:hAnsiTheme="majorBidi" w:cstheme="majorBidi"/>
                <w:sz w:val="22"/>
                <w:szCs w:val="22"/>
              </w:rPr>
              <w:t>Council.</w:t>
            </w:r>
          </w:p>
          <w:p w:rsidR="001421D6" w:rsidRPr="00246E6C" w:rsidRDefault="001421D6" w:rsidP="009F7D6E">
            <w:pPr>
              <w:pStyle w:val="Tabletext"/>
              <w:spacing w:before="60" w:after="60"/>
              <w:rPr>
                <w:rFonts w:asciiTheme="majorBidi" w:hAnsiTheme="majorBidi" w:cstheme="majorBidi"/>
                <w:szCs w:val="22"/>
              </w:rPr>
            </w:pPr>
          </w:p>
        </w:tc>
      </w:tr>
      <w:tr w:rsidR="001421D6" w:rsidRPr="004C6A55" w:rsidTr="007805DD">
        <w:trPr>
          <w:cantSplit/>
          <w:jc w:val="center"/>
        </w:trPr>
        <w:tc>
          <w:tcPr>
            <w:tcW w:w="1037" w:type="dxa"/>
          </w:tcPr>
          <w:p w:rsidR="001421D6" w:rsidRPr="00246E6C" w:rsidRDefault="00470176" w:rsidP="00242BEA">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 xml:space="preserve">    6.3</w:t>
            </w:r>
            <w:r w:rsidR="00357CD4" w:rsidRPr="00246E6C">
              <w:rPr>
                <w:rFonts w:asciiTheme="majorBidi" w:hAnsiTheme="majorBidi" w:cstheme="majorBidi"/>
                <w:szCs w:val="22"/>
              </w:rPr>
              <w:t>    </w:t>
            </w:r>
          </w:p>
        </w:tc>
        <w:tc>
          <w:tcPr>
            <w:tcW w:w="3539" w:type="dxa"/>
          </w:tcPr>
          <w:p w:rsidR="001421D6" w:rsidRPr="00246E6C" w:rsidRDefault="00847BAB" w:rsidP="00242BEA">
            <w:pPr>
              <w:pStyle w:val="Tabletext"/>
              <w:spacing w:before="60" w:after="60"/>
              <w:rPr>
                <w:rFonts w:asciiTheme="majorBidi" w:hAnsiTheme="majorBidi" w:cstheme="majorBidi"/>
                <w:szCs w:val="22"/>
              </w:rPr>
            </w:pPr>
            <w:r>
              <w:rPr>
                <w:rFonts w:asciiTheme="majorBidi" w:hAnsiTheme="majorBidi" w:cstheme="majorBidi"/>
                <w:szCs w:val="22"/>
              </w:rPr>
              <w:t xml:space="preserve">RA-12 preparations - </w:t>
            </w:r>
            <w:r w:rsidR="00357CD4" w:rsidRPr="00246E6C">
              <w:rPr>
                <w:rFonts w:asciiTheme="majorBidi" w:hAnsiTheme="majorBidi" w:cstheme="majorBidi"/>
                <w:szCs w:val="22"/>
              </w:rPr>
              <w:t>Number of Vice-Chairmen – Resolution 166 (Guadalajara, 2010)</w:t>
            </w:r>
          </w:p>
          <w:p w:rsidR="00357CD4" w:rsidRPr="00246E6C" w:rsidRDefault="00357CD4" w:rsidP="00357CD4">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(Docs. </w:t>
            </w:r>
            <w:r w:rsidRPr="00246E6C">
              <w:rPr>
                <w:rFonts w:asciiTheme="majorBidi" w:hAnsiTheme="majorBidi" w:cstheme="majorBidi"/>
                <w:i/>
                <w:szCs w:val="22"/>
                <w:lang w:val="en-US"/>
              </w:rPr>
              <w:t>RAG11-1/1(Rev.1) (§3.9), 9, 15 (§5), 16</w:t>
            </w:r>
            <w:r w:rsidR="00A40885" w:rsidRPr="00246E6C">
              <w:rPr>
                <w:rFonts w:asciiTheme="majorBidi" w:hAnsiTheme="majorBidi" w:cstheme="majorBidi"/>
                <w:i/>
                <w:szCs w:val="22"/>
                <w:lang w:val="en-US"/>
              </w:rPr>
              <w:t>)</w:t>
            </w:r>
          </w:p>
        </w:tc>
        <w:tc>
          <w:tcPr>
            <w:tcW w:w="9502" w:type="dxa"/>
          </w:tcPr>
          <w:p w:rsidR="00357CD4" w:rsidRPr="00246E6C" w:rsidRDefault="00357CD4" w:rsidP="00380D99">
            <w:pPr>
              <w:spacing w:before="60" w:after="60"/>
              <w:rPr>
                <w:rFonts w:asciiTheme="majorBidi" w:hAnsiTheme="majorBidi" w:cstheme="majorBidi"/>
                <w:sz w:val="22"/>
                <w:szCs w:val="22"/>
              </w:rPr>
            </w:pPr>
            <w:r w:rsidRPr="00246E6C">
              <w:rPr>
                <w:rFonts w:asciiTheme="majorBidi" w:hAnsiTheme="majorBidi" w:cstheme="majorBidi"/>
                <w:sz w:val="22"/>
                <w:szCs w:val="22"/>
              </w:rPr>
              <w:t>RAG recognized the need to develop criteria for the selection of Vice-Chairmen in response to Resolution 166, and decided to establish a Correspondence Group.</w:t>
            </w:r>
          </w:p>
          <w:p w:rsidR="001421D6" w:rsidRPr="00246E6C" w:rsidRDefault="00357CD4" w:rsidP="00C363AD">
            <w:pPr>
              <w:spacing w:before="60" w:after="60"/>
              <w:rPr>
                <w:rFonts w:asciiTheme="majorBidi" w:hAnsiTheme="majorBidi" w:cstheme="majorBidi"/>
                <w:sz w:val="22"/>
                <w:szCs w:val="22"/>
              </w:rPr>
            </w:pPr>
            <w:r w:rsidRPr="00246E6C">
              <w:rPr>
                <w:rFonts w:asciiTheme="majorBidi" w:hAnsiTheme="majorBidi" w:cstheme="majorBidi"/>
                <w:sz w:val="22"/>
                <w:szCs w:val="22"/>
              </w:rPr>
              <w:t>The terms of reference of the Correspondence Group on Res</w:t>
            </w:r>
            <w:r w:rsidR="006E1CA2" w:rsidRPr="00246E6C">
              <w:rPr>
                <w:rFonts w:asciiTheme="majorBidi" w:hAnsiTheme="majorBidi" w:cstheme="majorBidi"/>
                <w:sz w:val="22"/>
                <w:szCs w:val="22"/>
              </w:rPr>
              <w:t>olution</w:t>
            </w:r>
            <w:r w:rsidRPr="00246E6C">
              <w:rPr>
                <w:rFonts w:asciiTheme="majorBidi" w:hAnsiTheme="majorBidi" w:cstheme="majorBidi"/>
                <w:sz w:val="22"/>
                <w:szCs w:val="22"/>
              </w:rPr>
              <w:t xml:space="preserve"> 166</w:t>
            </w:r>
            <w:r w:rsidR="006E1CA2" w:rsidRPr="00246E6C">
              <w:rPr>
                <w:rFonts w:asciiTheme="majorBidi" w:hAnsiTheme="majorBidi" w:cstheme="majorBidi"/>
                <w:sz w:val="22"/>
                <w:szCs w:val="22"/>
              </w:rPr>
              <w:t xml:space="preserve"> (Guadalajara, 2010)</w:t>
            </w:r>
            <w:r w:rsidR="00E12438" w:rsidRPr="00246E6C">
              <w:rPr>
                <w:rFonts w:asciiTheme="majorBidi" w:hAnsiTheme="majorBidi" w:cstheme="majorBidi"/>
                <w:sz w:val="22"/>
                <w:szCs w:val="22"/>
              </w:rPr>
              <w:t xml:space="preserve"> is contained in Doc.</w:t>
            </w:r>
            <w:r w:rsidR="006E1CA2" w:rsidRPr="00246E6C">
              <w:rPr>
                <w:rFonts w:asciiTheme="majorBidi" w:hAnsiTheme="majorBidi" w:cstheme="majorBidi"/>
                <w:sz w:val="22"/>
                <w:szCs w:val="22"/>
              </w:rPr>
              <w:t> </w:t>
            </w:r>
            <w:r w:rsidR="00E12438" w:rsidRPr="00246E6C">
              <w:rPr>
                <w:rFonts w:asciiTheme="majorBidi" w:hAnsiTheme="majorBidi" w:cstheme="majorBidi"/>
                <w:sz w:val="22"/>
                <w:szCs w:val="22"/>
              </w:rPr>
              <w:t>RAG11-1/TEMP/3</w:t>
            </w:r>
            <w:r w:rsidR="006E1CA2" w:rsidRPr="00246E6C">
              <w:rPr>
                <w:rFonts w:asciiTheme="majorBidi" w:hAnsiTheme="majorBidi" w:cstheme="majorBidi"/>
                <w:sz w:val="22"/>
                <w:szCs w:val="22"/>
              </w:rPr>
              <w:t>.</w:t>
            </w:r>
          </w:p>
        </w:tc>
      </w:tr>
      <w:tr w:rsidR="00242BEA" w:rsidRPr="004C6A55" w:rsidTr="007805DD">
        <w:trPr>
          <w:cantSplit/>
          <w:jc w:val="center"/>
        </w:trPr>
        <w:tc>
          <w:tcPr>
            <w:tcW w:w="1037" w:type="dxa"/>
          </w:tcPr>
          <w:p w:rsidR="00242BEA" w:rsidRPr="00246E6C" w:rsidRDefault="00242BEA" w:rsidP="00242BEA">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6.4</w:t>
            </w:r>
          </w:p>
        </w:tc>
        <w:tc>
          <w:tcPr>
            <w:tcW w:w="3539" w:type="dxa"/>
          </w:tcPr>
          <w:p w:rsidR="00242BEA" w:rsidRPr="00246E6C" w:rsidRDefault="00242BEA" w:rsidP="00242BEA">
            <w:pPr>
              <w:pStyle w:val="Tabletext"/>
              <w:spacing w:before="60" w:after="60"/>
              <w:rPr>
                <w:rFonts w:asciiTheme="majorBidi" w:hAnsiTheme="majorBidi" w:cstheme="majorBidi"/>
                <w:szCs w:val="22"/>
                <w:lang w:val="fr-CH"/>
              </w:rPr>
            </w:pPr>
            <w:r w:rsidRPr="00246E6C">
              <w:rPr>
                <w:rFonts w:asciiTheme="majorBidi" w:hAnsiTheme="majorBidi" w:cstheme="majorBidi"/>
                <w:szCs w:val="22"/>
                <w:lang w:val="fr-CH"/>
              </w:rPr>
              <w:t xml:space="preserve">RA-12 </w:t>
            </w:r>
            <w:proofErr w:type="spellStart"/>
            <w:r w:rsidRPr="00246E6C">
              <w:rPr>
                <w:rFonts w:asciiTheme="majorBidi" w:hAnsiTheme="majorBidi" w:cstheme="majorBidi"/>
                <w:szCs w:val="22"/>
                <w:lang w:val="fr-CH"/>
              </w:rPr>
              <w:t>preparations</w:t>
            </w:r>
            <w:proofErr w:type="spellEnd"/>
            <w:r w:rsidRPr="00246E6C">
              <w:rPr>
                <w:rFonts w:asciiTheme="majorBidi" w:hAnsiTheme="majorBidi" w:cstheme="majorBidi"/>
                <w:szCs w:val="22"/>
                <w:lang w:val="fr-CH"/>
              </w:rPr>
              <w:t xml:space="preserve"> - </w:t>
            </w:r>
            <w:proofErr w:type="spellStart"/>
            <w:r w:rsidRPr="00246E6C">
              <w:rPr>
                <w:rFonts w:asciiTheme="majorBidi" w:hAnsiTheme="majorBidi" w:cstheme="majorBidi"/>
                <w:szCs w:val="22"/>
                <w:lang w:val="fr-CH"/>
              </w:rPr>
              <w:t>Intersector</w:t>
            </w:r>
            <w:proofErr w:type="spellEnd"/>
            <w:r w:rsidRPr="00246E6C">
              <w:rPr>
                <w:rFonts w:asciiTheme="majorBidi" w:hAnsiTheme="majorBidi" w:cstheme="majorBidi"/>
                <w:szCs w:val="22"/>
                <w:lang w:val="fr-CH"/>
              </w:rPr>
              <w:t xml:space="preserve"> Rapporteur Groups</w:t>
            </w:r>
          </w:p>
          <w:p w:rsidR="00242BEA" w:rsidRPr="00246E6C" w:rsidRDefault="008A3B34" w:rsidP="00134CDC">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RAG11-1/2 + Add.1)</w:t>
            </w:r>
          </w:p>
        </w:tc>
        <w:tc>
          <w:tcPr>
            <w:tcW w:w="9502" w:type="dxa"/>
          </w:tcPr>
          <w:p w:rsidR="00242BEA" w:rsidRPr="00246E6C" w:rsidRDefault="008A3B34" w:rsidP="004940B1">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RAG consider</w:t>
            </w:r>
            <w:r w:rsidR="003E25E6" w:rsidRPr="00246E6C">
              <w:rPr>
                <w:rFonts w:asciiTheme="majorBidi" w:hAnsiTheme="majorBidi" w:cstheme="majorBidi"/>
                <w:szCs w:val="22"/>
                <w:lang w:val="en-US"/>
              </w:rPr>
              <w:t>ed</w:t>
            </w:r>
            <w:r w:rsidRPr="00246E6C">
              <w:rPr>
                <w:rFonts w:asciiTheme="majorBidi" w:hAnsiTheme="majorBidi" w:cstheme="majorBidi"/>
                <w:szCs w:val="22"/>
                <w:lang w:val="en-US"/>
              </w:rPr>
              <w:t xml:space="preserve"> the proposal to revise Resolution ITU-R 6 to establish the procedures for setting up IRGs, noting that TSAG had agreed with a similar proposal (re Resolution ITU-T 18). RAG </w:t>
            </w:r>
            <w:r w:rsidR="007729D9">
              <w:rPr>
                <w:rFonts w:asciiTheme="majorBidi" w:hAnsiTheme="majorBidi" w:cstheme="majorBidi"/>
                <w:szCs w:val="22"/>
                <w:lang w:val="en-US"/>
              </w:rPr>
              <w:t xml:space="preserve">requested the Director to consult with the Directors of the other </w:t>
            </w:r>
            <w:proofErr w:type="spellStart"/>
            <w:r w:rsidR="007729D9">
              <w:rPr>
                <w:rFonts w:asciiTheme="majorBidi" w:hAnsiTheme="majorBidi" w:cstheme="majorBidi"/>
                <w:szCs w:val="22"/>
                <w:lang w:val="en-US"/>
              </w:rPr>
              <w:t>Bureau</w:t>
            </w:r>
            <w:r w:rsidR="004940B1">
              <w:rPr>
                <w:rFonts w:asciiTheme="majorBidi" w:hAnsiTheme="majorBidi" w:cstheme="majorBidi"/>
                <w:szCs w:val="22"/>
                <w:lang w:val="en-US"/>
              </w:rPr>
              <w:t>x</w:t>
            </w:r>
            <w:proofErr w:type="spellEnd"/>
            <w:r w:rsidR="004940B1">
              <w:rPr>
                <w:rFonts w:asciiTheme="majorBidi" w:hAnsiTheme="majorBidi" w:cstheme="majorBidi"/>
                <w:szCs w:val="22"/>
                <w:lang w:val="en-US"/>
              </w:rPr>
              <w:t xml:space="preserve"> </w:t>
            </w:r>
            <w:r w:rsidR="007729D9">
              <w:rPr>
                <w:rFonts w:asciiTheme="majorBidi" w:hAnsiTheme="majorBidi" w:cstheme="majorBidi"/>
                <w:szCs w:val="22"/>
                <w:lang w:val="en-US"/>
              </w:rPr>
              <w:t>on the mechanisms and merits of establishing these groups</w:t>
            </w:r>
            <w:r w:rsidR="003E25E6" w:rsidRPr="00246E6C">
              <w:rPr>
                <w:rFonts w:asciiTheme="majorBidi" w:hAnsiTheme="majorBidi" w:cstheme="majorBidi"/>
                <w:szCs w:val="22"/>
                <w:lang w:val="en-US"/>
              </w:rPr>
              <w:t>.</w:t>
            </w:r>
          </w:p>
        </w:tc>
      </w:tr>
      <w:tr w:rsidR="00847BAB" w:rsidRPr="004C6A55" w:rsidTr="00691A6A">
        <w:trPr>
          <w:cantSplit/>
          <w:jc w:val="center"/>
        </w:trPr>
        <w:tc>
          <w:tcPr>
            <w:tcW w:w="1037" w:type="dxa"/>
            <w:tcBorders>
              <w:bottom w:val="single" w:sz="6" w:space="0" w:color="auto"/>
            </w:tcBorders>
          </w:tcPr>
          <w:p w:rsidR="00847BAB" w:rsidRPr="00246E6C" w:rsidRDefault="00847BAB"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6.5</w:t>
            </w:r>
          </w:p>
        </w:tc>
        <w:tc>
          <w:tcPr>
            <w:tcW w:w="3539" w:type="dxa"/>
            <w:tcBorders>
              <w:bottom w:val="single" w:sz="6" w:space="0" w:color="auto"/>
            </w:tcBorders>
          </w:tcPr>
          <w:p w:rsidR="00847BAB" w:rsidRDefault="00847BAB" w:rsidP="00847BAB">
            <w:pPr>
              <w:pStyle w:val="Tabletext"/>
              <w:spacing w:before="60" w:after="60"/>
              <w:rPr>
                <w:rFonts w:asciiTheme="majorBidi" w:hAnsiTheme="majorBidi" w:cstheme="majorBidi"/>
                <w:szCs w:val="22"/>
              </w:rPr>
            </w:pPr>
            <w:r>
              <w:rPr>
                <w:rFonts w:asciiTheme="majorBidi" w:hAnsiTheme="majorBidi" w:cstheme="majorBidi"/>
                <w:szCs w:val="22"/>
              </w:rPr>
              <w:t>RA-12 preparations – Climate change</w:t>
            </w:r>
          </w:p>
          <w:p w:rsidR="00847BAB" w:rsidRPr="00246E6C" w:rsidRDefault="00847BAB" w:rsidP="003E36C6">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12</w:t>
            </w:r>
            <w:r w:rsidRPr="00246E6C">
              <w:rPr>
                <w:rFonts w:asciiTheme="majorBidi" w:hAnsiTheme="majorBidi" w:cstheme="majorBidi"/>
                <w:i/>
                <w:szCs w:val="22"/>
                <w:lang w:val="en-US"/>
              </w:rPr>
              <w:t>)</w:t>
            </w:r>
          </w:p>
        </w:tc>
        <w:tc>
          <w:tcPr>
            <w:tcW w:w="9502" w:type="dxa"/>
            <w:tcBorders>
              <w:bottom w:val="single" w:sz="6" w:space="0" w:color="auto"/>
            </w:tcBorders>
          </w:tcPr>
          <w:p w:rsidR="00847BAB" w:rsidRPr="00364F08" w:rsidRDefault="00364F08" w:rsidP="00364F08">
            <w:pPr>
              <w:spacing w:before="60" w:after="60"/>
              <w:rPr>
                <w:sz w:val="22"/>
                <w:szCs w:val="22"/>
              </w:rPr>
            </w:pPr>
            <w:r w:rsidRPr="00364F08">
              <w:rPr>
                <w:sz w:val="22"/>
                <w:szCs w:val="22"/>
              </w:rPr>
              <w:t>RAG noted the proposal to adopt a new Resolution ITU-R on the use of wireless technologies and radio systems for environment protection and mitigation of the effect of climate change that will determine the main activities</w:t>
            </w:r>
            <w:r>
              <w:rPr>
                <w:sz w:val="22"/>
                <w:szCs w:val="22"/>
              </w:rPr>
              <w:t xml:space="preserve"> </w:t>
            </w:r>
            <w:r w:rsidRPr="00364F08">
              <w:rPr>
                <w:sz w:val="22"/>
                <w:szCs w:val="22"/>
              </w:rPr>
              <w:t xml:space="preserve">of ITU-R on the use of </w:t>
            </w:r>
            <w:proofErr w:type="spellStart"/>
            <w:r w:rsidRPr="00364F08">
              <w:rPr>
                <w:sz w:val="22"/>
                <w:szCs w:val="22"/>
              </w:rPr>
              <w:t>radiocommunications</w:t>
            </w:r>
            <w:proofErr w:type="spellEnd"/>
            <w:r w:rsidRPr="00364F08">
              <w:rPr>
                <w:sz w:val="22"/>
                <w:szCs w:val="22"/>
              </w:rPr>
              <w:t xml:space="preserve"> for combating climate change, including the use of innovative wireless technologies, and taking into account the work being carried out in the other Sectors of ITU.  </w:t>
            </w:r>
          </w:p>
        </w:tc>
      </w:tr>
      <w:tr w:rsidR="009D529A" w:rsidRPr="004C6A55" w:rsidTr="00691A6A">
        <w:trPr>
          <w:cantSplit/>
          <w:jc w:val="center"/>
        </w:trPr>
        <w:tc>
          <w:tcPr>
            <w:tcW w:w="1037" w:type="dxa"/>
            <w:tcBorders>
              <w:bottom w:val="single" w:sz="6" w:space="0" w:color="auto"/>
            </w:tcBorders>
          </w:tcPr>
          <w:p w:rsidR="009D529A" w:rsidRDefault="009D529A"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7.2</w:t>
            </w:r>
          </w:p>
        </w:tc>
        <w:tc>
          <w:tcPr>
            <w:tcW w:w="3539" w:type="dxa"/>
            <w:tcBorders>
              <w:bottom w:val="single" w:sz="6" w:space="0" w:color="auto"/>
            </w:tcBorders>
          </w:tcPr>
          <w:p w:rsidR="009D529A" w:rsidRDefault="009D529A"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WRC-12 preparations – BR and regional activities</w:t>
            </w:r>
          </w:p>
          <w:p w:rsidR="009D529A" w:rsidRDefault="009D529A" w:rsidP="00134CDC">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R</w:t>
            </w:r>
            <w:r w:rsidR="00134CDC">
              <w:rPr>
                <w:rFonts w:asciiTheme="majorBidi" w:hAnsiTheme="majorBidi" w:cstheme="majorBidi"/>
                <w:i/>
                <w:szCs w:val="22"/>
                <w:lang w:val="en-US"/>
              </w:rPr>
              <w:t>ev.1)</w:t>
            </w:r>
            <w:r>
              <w:rPr>
                <w:rFonts w:asciiTheme="majorBidi" w:hAnsiTheme="majorBidi" w:cstheme="majorBidi"/>
                <w:i/>
                <w:szCs w:val="22"/>
                <w:lang w:val="en-US"/>
              </w:rPr>
              <w:t xml:space="preserve"> </w:t>
            </w:r>
            <w:r w:rsidRPr="00246E6C">
              <w:rPr>
                <w:rFonts w:asciiTheme="majorBidi" w:hAnsiTheme="majorBidi" w:cstheme="majorBidi"/>
                <w:i/>
                <w:szCs w:val="22"/>
                <w:lang w:val="en-US"/>
              </w:rPr>
              <w:t>(§</w:t>
            </w:r>
            <w:r>
              <w:rPr>
                <w:rFonts w:asciiTheme="majorBidi" w:hAnsiTheme="majorBidi" w:cstheme="majorBidi"/>
                <w:i/>
                <w:szCs w:val="22"/>
                <w:lang w:val="en-US"/>
              </w:rPr>
              <w:t>6.2))</w:t>
            </w:r>
          </w:p>
        </w:tc>
        <w:tc>
          <w:tcPr>
            <w:tcW w:w="9502" w:type="dxa"/>
            <w:tcBorders>
              <w:bottom w:val="single" w:sz="6" w:space="0" w:color="auto"/>
            </w:tcBorders>
          </w:tcPr>
          <w:p w:rsidR="009D529A" w:rsidRDefault="000E4AE9" w:rsidP="000406CD">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discussed the need for holding the third</w:t>
            </w:r>
            <w:r w:rsidR="000406CD">
              <w:rPr>
                <w:rFonts w:asciiTheme="majorBidi" w:hAnsiTheme="majorBidi" w:cstheme="majorBidi"/>
                <w:szCs w:val="22"/>
                <w:lang w:val="en-US"/>
              </w:rPr>
              <w:t xml:space="preserve"> Information Meeting on WRC-12 preparation planned for 7-8 November 2011.</w:t>
            </w:r>
          </w:p>
          <w:p w:rsidR="000406CD" w:rsidRDefault="000406CD" w:rsidP="000406CD">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invited the Director to pursue consultations with the regional groups and other members on this issue.</w:t>
            </w:r>
          </w:p>
        </w:tc>
      </w:tr>
      <w:tr w:rsidR="003E36C6" w:rsidRPr="004C6A55" w:rsidTr="00691A6A">
        <w:trPr>
          <w:cantSplit/>
          <w:jc w:val="center"/>
        </w:trPr>
        <w:tc>
          <w:tcPr>
            <w:tcW w:w="1037" w:type="dxa"/>
            <w:tcBorders>
              <w:bottom w:val="single" w:sz="6" w:space="0" w:color="auto"/>
            </w:tcBorders>
          </w:tcPr>
          <w:p w:rsidR="003E36C6" w:rsidRPr="00246E6C" w:rsidRDefault="003E36C6"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8.2</w:t>
            </w:r>
          </w:p>
        </w:tc>
        <w:tc>
          <w:tcPr>
            <w:tcW w:w="3539" w:type="dxa"/>
            <w:tcBorders>
              <w:bottom w:val="single" w:sz="6" w:space="0" w:color="auto"/>
            </w:tcBorders>
          </w:tcPr>
          <w:p w:rsidR="003E36C6" w:rsidRDefault="003E36C6"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Operational Plan</w:t>
            </w:r>
          </w:p>
          <w:p w:rsidR="003E36C6" w:rsidRPr="00246E6C" w:rsidRDefault="003E36C6" w:rsidP="00134CDC">
            <w:pPr>
              <w:pStyle w:val="Tabletext"/>
              <w:spacing w:before="60" w:after="60"/>
              <w:rPr>
                <w:rFonts w:asciiTheme="majorBidi" w:hAnsiTheme="majorBidi" w:cstheme="majorBidi"/>
                <w:szCs w:val="22"/>
                <w:lang w:val="en-US"/>
              </w:rPr>
            </w:pPr>
            <w:r w:rsidRPr="00366CB9">
              <w:rPr>
                <w:rFonts w:asciiTheme="majorBidi" w:hAnsiTheme="majorBidi" w:cstheme="majorBidi"/>
                <w:i/>
                <w:szCs w:val="22"/>
                <w:lang w:val="en-US"/>
              </w:rPr>
              <w:t xml:space="preserve">(Docs. </w:t>
            </w:r>
            <w:r w:rsidRPr="00246E6C">
              <w:rPr>
                <w:rFonts w:asciiTheme="majorBidi" w:hAnsiTheme="majorBidi" w:cstheme="majorBidi"/>
                <w:i/>
                <w:szCs w:val="22"/>
                <w:lang w:val="en-US"/>
              </w:rPr>
              <w:t>RAG11-1/</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R</w:t>
            </w:r>
            <w:r w:rsidR="00134CDC">
              <w:rPr>
                <w:rFonts w:asciiTheme="majorBidi" w:hAnsiTheme="majorBidi" w:cstheme="majorBidi"/>
                <w:i/>
                <w:szCs w:val="22"/>
                <w:lang w:val="en-US"/>
              </w:rPr>
              <w:t>ev.</w:t>
            </w:r>
            <w:r>
              <w:rPr>
                <w:rFonts w:asciiTheme="majorBidi" w:hAnsiTheme="majorBidi" w:cstheme="majorBidi"/>
                <w:i/>
                <w:szCs w:val="22"/>
                <w:lang w:val="en-US"/>
              </w:rPr>
              <w:t>1</w:t>
            </w:r>
            <w:r w:rsidR="00134CDC">
              <w:rPr>
                <w:rFonts w:asciiTheme="majorBidi" w:hAnsiTheme="majorBidi" w:cstheme="majorBidi"/>
                <w:i/>
                <w:szCs w:val="22"/>
                <w:lang w:val="en-US"/>
              </w:rPr>
              <w:t>)</w:t>
            </w:r>
            <w:r w:rsidRPr="00246E6C">
              <w:rPr>
                <w:rFonts w:asciiTheme="majorBidi" w:hAnsiTheme="majorBidi" w:cstheme="majorBidi"/>
                <w:i/>
                <w:szCs w:val="22"/>
                <w:lang w:val="en-US"/>
              </w:rPr>
              <w:t xml:space="preserve"> </w:t>
            </w:r>
            <w:r>
              <w:rPr>
                <w:rFonts w:asciiTheme="majorBidi" w:hAnsiTheme="majorBidi" w:cstheme="majorBidi"/>
                <w:i/>
                <w:szCs w:val="22"/>
                <w:lang w:val="en-US"/>
              </w:rPr>
              <w:t xml:space="preserve">(§7), 15 </w:t>
            </w:r>
            <w:r w:rsidRPr="00246E6C">
              <w:rPr>
                <w:rFonts w:asciiTheme="majorBidi" w:hAnsiTheme="majorBidi" w:cstheme="majorBidi"/>
                <w:i/>
                <w:szCs w:val="22"/>
                <w:lang w:val="en-US"/>
              </w:rPr>
              <w:t>(§</w:t>
            </w:r>
            <w:r>
              <w:rPr>
                <w:rFonts w:asciiTheme="majorBidi" w:hAnsiTheme="majorBidi" w:cstheme="majorBidi"/>
                <w:i/>
                <w:szCs w:val="22"/>
                <w:lang w:val="en-US"/>
              </w:rPr>
              <w:t>4))</w:t>
            </w:r>
          </w:p>
        </w:tc>
        <w:tc>
          <w:tcPr>
            <w:tcW w:w="9502" w:type="dxa"/>
            <w:tcBorders>
              <w:bottom w:val="single" w:sz="6" w:space="0" w:color="auto"/>
            </w:tcBorders>
          </w:tcPr>
          <w:p w:rsidR="003E36C6" w:rsidRPr="00246E6C" w:rsidRDefault="00763762" w:rsidP="00763762">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In considering the draft Operational Plan for 2012-2015, RAG requested the inclusion of activities related to Resolution 140 (Rev.Guadalajara, 2010) on WSIS. </w:t>
            </w:r>
          </w:p>
        </w:tc>
      </w:tr>
      <w:tr w:rsidR="00D43350" w:rsidRPr="004C6A55" w:rsidTr="00691A6A">
        <w:trPr>
          <w:cantSplit/>
          <w:jc w:val="center"/>
        </w:trPr>
        <w:tc>
          <w:tcPr>
            <w:tcW w:w="1037" w:type="dxa"/>
            <w:tcBorders>
              <w:bottom w:val="single" w:sz="6" w:space="0" w:color="auto"/>
            </w:tcBorders>
          </w:tcPr>
          <w:p w:rsidR="00D43350" w:rsidRPr="00246E6C" w:rsidRDefault="00D43350"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8.3</w:t>
            </w:r>
          </w:p>
        </w:tc>
        <w:tc>
          <w:tcPr>
            <w:tcW w:w="3539" w:type="dxa"/>
            <w:tcBorders>
              <w:bottom w:val="single" w:sz="6" w:space="0" w:color="auto"/>
            </w:tcBorders>
          </w:tcPr>
          <w:p w:rsidR="00D43350" w:rsidRDefault="00D43350"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Strategic Plan</w:t>
            </w:r>
          </w:p>
          <w:p w:rsidR="00D43350" w:rsidRPr="00246E6C" w:rsidRDefault="00D43350" w:rsidP="00D43350">
            <w:pPr>
              <w:pStyle w:val="Tabletext"/>
              <w:spacing w:before="60" w:after="60"/>
              <w:rPr>
                <w:rFonts w:asciiTheme="majorBidi" w:hAnsiTheme="majorBidi" w:cstheme="majorBidi"/>
                <w:szCs w:val="22"/>
                <w:lang w:val="en-US"/>
              </w:rPr>
            </w:pPr>
            <w:r w:rsidRPr="00D43350">
              <w:rPr>
                <w:rFonts w:asciiTheme="majorBidi" w:hAnsiTheme="majorBidi" w:cstheme="majorBidi"/>
                <w:i/>
                <w:szCs w:val="22"/>
                <w:lang w:val="en-US"/>
              </w:rPr>
              <w:t>(Doc</w:t>
            </w:r>
            <w:r>
              <w:rPr>
                <w:rFonts w:asciiTheme="majorBidi" w:hAnsiTheme="majorBidi" w:cstheme="majorBidi"/>
                <w:i/>
                <w:szCs w:val="22"/>
                <w:lang w:val="en-US"/>
              </w:rPr>
              <w:t>s</w:t>
            </w:r>
            <w:r w:rsidRPr="00D43350">
              <w:rPr>
                <w:rFonts w:asciiTheme="majorBidi" w:hAnsiTheme="majorBidi" w:cstheme="majorBidi"/>
                <w:i/>
                <w:szCs w:val="22"/>
                <w:lang w:val="en-US"/>
              </w:rPr>
              <w:t xml:space="preserve">. </w:t>
            </w:r>
            <w:r w:rsidRPr="00246E6C">
              <w:rPr>
                <w:rFonts w:asciiTheme="majorBidi" w:hAnsiTheme="majorBidi" w:cstheme="majorBidi"/>
                <w:i/>
                <w:szCs w:val="22"/>
                <w:lang w:val="en-US"/>
              </w:rPr>
              <w:t>RAG11-1/</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R</w:t>
            </w:r>
            <w:r w:rsidR="00134CDC">
              <w:rPr>
                <w:rFonts w:asciiTheme="majorBidi" w:hAnsiTheme="majorBidi" w:cstheme="majorBidi"/>
                <w:i/>
                <w:szCs w:val="22"/>
                <w:lang w:val="en-US"/>
              </w:rPr>
              <w:t>ev.</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 xml:space="preserve"> </w:t>
            </w:r>
            <w:r w:rsidRPr="00246E6C">
              <w:rPr>
                <w:rFonts w:asciiTheme="majorBidi" w:hAnsiTheme="majorBidi" w:cstheme="majorBidi"/>
                <w:i/>
                <w:szCs w:val="22"/>
                <w:lang w:val="en-US"/>
              </w:rPr>
              <w:t>(§</w:t>
            </w:r>
            <w:r>
              <w:rPr>
                <w:rFonts w:asciiTheme="majorBidi" w:hAnsiTheme="majorBidi" w:cstheme="majorBidi"/>
                <w:i/>
                <w:szCs w:val="22"/>
                <w:lang w:val="en-US"/>
              </w:rPr>
              <w:t>3.1), 7)</w:t>
            </w:r>
          </w:p>
        </w:tc>
        <w:tc>
          <w:tcPr>
            <w:tcW w:w="9502" w:type="dxa"/>
            <w:tcBorders>
              <w:bottom w:val="single" w:sz="6" w:space="0" w:color="auto"/>
            </w:tcBorders>
          </w:tcPr>
          <w:p w:rsidR="00D43350" w:rsidRPr="00246E6C" w:rsidRDefault="00D43350" w:rsidP="006A3168">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agreed to establish a Correspondence Group</w:t>
            </w:r>
            <w:r w:rsidR="000737EA">
              <w:rPr>
                <w:rFonts w:asciiTheme="majorBidi" w:hAnsiTheme="majorBidi" w:cstheme="majorBidi"/>
                <w:szCs w:val="22"/>
                <w:lang w:val="en-US"/>
              </w:rPr>
              <w:t xml:space="preserve"> on the ITU-R Strategic Plan with the terms of reference as contained in Document RAG11-1/TEMP/5.</w:t>
            </w:r>
          </w:p>
        </w:tc>
      </w:tr>
      <w:tr w:rsidR="001E7BF7" w:rsidRPr="004C6A55" w:rsidTr="00FF38EB">
        <w:trPr>
          <w:cantSplit/>
          <w:jc w:val="center"/>
        </w:trPr>
        <w:tc>
          <w:tcPr>
            <w:tcW w:w="1037" w:type="dxa"/>
            <w:tcBorders>
              <w:bottom w:val="single" w:sz="6" w:space="0" w:color="auto"/>
            </w:tcBorders>
          </w:tcPr>
          <w:p w:rsidR="001E7BF7" w:rsidRPr="00246E6C" w:rsidRDefault="001E7BF7"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11</w:t>
            </w:r>
          </w:p>
        </w:tc>
        <w:tc>
          <w:tcPr>
            <w:tcW w:w="3539" w:type="dxa"/>
            <w:tcBorders>
              <w:bottom w:val="single" w:sz="6" w:space="0" w:color="auto"/>
            </w:tcBorders>
          </w:tcPr>
          <w:p w:rsidR="001E7BF7" w:rsidRPr="00246E6C" w:rsidRDefault="001E7BF7"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Date of next meeting</w:t>
            </w:r>
          </w:p>
        </w:tc>
        <w:tc>
          <w:tcPr>
            <w:tcW w:w="9502" w:type="dxa"/>
            <w:tcBorders>
              <w:bottom w:val="single" w:sz="6" w:space="0" w:color="auto"/>
            </w:tcBorders>
          </w:tcPr>
          <w:p w:rsidR="001E7BF7" w:rsidRPr="00246E6C" w:rsidRDefault="001E7BF7" w:rsidP="001E7BF7">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took note of the proposed dates for its 19</w:t>
            </w:r>
            <w:r w:rsidRPr="001E7BF7">
              <w:rPr>
                <w:rFonts w:asciiTheme="majorBidi" w:hAnsiTheme="majorBidi" w:cstheme="majorBidi"/>
                <w:szCs w:val="22"/>
                <w:vertAlign w:val="superscript"/>
                <w:lang w:val="en-US"/>
              </w:rPr>
              <w:t>th</w:t>
            </w:r>
            <w:r>
              <w:rPr>
                <w:rFonts w:asciiTheme="majorBidi" w:hAnsiTheme="majorBidi" w:cstheme="majorBidi"/>
                <w:szCs w:val="22"/>
                <w:lang w:val="en-US"/>
              </w:rPr>
              <w:t xml:space="preserve"> Session planned for 25 to 27 June 2012 (2 ½ days), in conjunction with TSAG and TDAG meetings.</w:t>
            </w:r>
          </w:p>
        </w:tc>
      </w:tr>
      <w:tr w:rsidR="00FF38EB" w:rsidRPr="004C6A55" w:rsidTr="00FF38EB">
        <w:trPr>
          <w:cantSplit/>
          <w:jc w:val="center"/>
        </w:trPr>
        <w:tc>
          <w:tcPr>
            <w:tcW w:w="1037" w:type="dxa"/>
            <w:tcBorders>
              <w:bottom w:val="nil"/>
            </w:tcBorders>
          </w:tcPr>
          <w:p w:rsidR="00FF38EB" w:rsidRPr="00246E6C" w:rsidRDefault="00FF38EB"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12</w:t>
            </w:r>
          </w:p>
        </w:tc>
        <w:tc>
          <w:tcPr>
            <w:tcW w:w="3539" w:type="dxa"/>
            <w:tcBorders>
              <w:bottom w:val="single" w:sz="6" w:space="0" w:color="auto"/>
            </w:tcBorders>
          </w:tcPr>
          <w:p w:rsidR="00FF38EB" w:rsidRPr="00246E6C" w:rsidRDefault="00FF38EB"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Other business – WCIT-12</w:t>
            </w:r>
          </w:p>
        </w:tc>
        <w:tc>
          <w:tcPr>
            <w:tcW w:w="9502" w:type="dxa"/>
            <w:tcBorders>
              <w:bottom w:val="single" w:sz="6" w:space="0" w:color="auto"/>
            </w:tcBorders>
          </w:tcPr>
          <w:p w:rsidR="00FF38EB" w:rsidRPr="00246E6C" w:rsidRDefault="00FF38EB" w:rsidP="00FF38EB">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noted Council Decision 1312 which calls upon ITU-R Study Groups to carry out studies in preparation to WCIT-12. RAG requests the Director to include a link on the ITU-R website to the WCIT</w:t>
            </w:r>
            <w:r>
              <w:rPr>
                <w:rFonts w:asciiTheme="majorBidi" w:hAnsiTheme="majorBidi" w:cstheme="majorBidi"/>
                <w:szCs w:val="22"/>
                <w:lang w:val="en-US"/>
              </w:rPr>
              <w:noBreakHyphen/>
              <w:t>12 web pages.</w:t>
            </w:r>
          </w:p>
        </w:tc>
      </w:tr>
      <w:tr w:rsidR="00344F92" w:rsidRPr="004C6A55" w:rsidTr="00134CDC">
        <w:trPr>
          <w:cantSplit/>
          <w:jc w:val="center"/>
        </w:trPr>
        <w:tc>
          <w:tcPr>
            <w:tcW w:w="1037" w:type="dxa"/>
            <w:tcBorders>
              <w:top w:val="nil"/>
              <w:bottom w:val="single" w:sz="6" w:space="0" w:color="auto"/>
            </w:tcBorders>
          </w:tcPr>
          <w:p w:rsidR="00344F92" w:rsidRPr="00246E6C" w:rsidRDefault="00344F92" w:rsidP="00784284">
            <w:pPr>
              <w:pStyle w:val="Tabletext"/>
              <w:spacing w:before="60" w:after="60"/>
              <w:jc w:val="center"/>
              <w:rPr>
                <w:rFonts w:asciiTheme="majorBidi" w:hAnsiTheme="majorBidi" w:cstheme="majorBidi"/>
                <w:szCs w:val="22"/>
                <w:lang w:val="en-US"/>
              </w:rPr>
            </w:pPr>
          </w:p>
        </w:tc>
        <w:tc>
          <w:tcPr>
            <w:tcW w:w="3539" w:type="dxa"/>
            <w:tcBorders>
              <w:bottom w:val="single" w:sz="6" w:space="0" w:color="auto"/>
            </w:tcBorders>
          </w:tcPr>
          <w:p w:rsidR="00344F92" w:rsidRPr="00246E6C" w:rsidRDefault="00FF38EB"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Other business -  </w:t>
            </w:r>
            <w:r w:rsidR="00344F92" w:rsidRPr="00246E6C">
              <w:rPr>
                <w:rFonts w:asciiTheme="majorBidi" w:hAnsiTheme="majorBidi" w:cstheme="majorBidi"/>
                <w:szCs w:val="22"/>
                <w:lang w:val="en-US"/>
              </w:rPr>
              <w:t>Report of Resolution ITU-R 52</w:t>
            </w:r>
          </w:p>
        </w:tc>
        <w:tc>
          <w:tcPr>
            <w:tcW w:w="9502" w:type="dxa"/>
            <w:tcBorders>
              <w:bottom w:val="single" w:sz="6" w:space="0" w:color="auto"/>
            </w:tcBorders>
          </w:tcPr>
          <w:p w:rsidR="00344F92" w:rsidRPr="00246E6C" w:rsidRDefault="00344F92" w:rsidP="006A3168">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RAG has authorized the Chairman, in consultation with the Vice-Chairmen, to prepare the </w:t>
            </w:r>
            <w:r w:rsidRPr="00246E6C">
              <w:rPr>
                <w:rFonts w:asciiTheme="majorBidi" w:hAnsiTheme="majorBidi" w:cstheme="majorBidi"/>
                <w:szCs w:val="22"/>
              </w:rPr>
              <w:t xml:space="preserve">report to </w:t>
            </w:r>
            <w:r w:rsidR="005222F2" w:rsidRPr="00246E6C">
              <w:rPr>
                <w:rFonts w:asciiTheme="majorBidi" w:hAnsiTheme="majorBidi" w:cstheme="majorBidi"/>
                <w:szCs w:val="22"/>
              </w:rPr>
              <w:t>the 2012</w:t>
            </w:r>
            <w:r w:rsidRPr="00246E6C">
              <w:rPr>
                <w:rFonts w:asciiTheme="majorBidi" w:hAnsiTheme="majorBidi" w:cstheme="majorBidi"/>
                <w:szCs w:val="22"/>
              </w:rPr>
              <w:t xml:space="preserve"> </w:t>
            </w:r>
            <w:proofErr w:type="spellStart"/>
            <w:r w:rsidRPr="00246E6C">
              <w:rPr>
                <w:rFonts w:asciiTheme="majorBidi" w:hAnsiTheme="majorBidi" w:cstheme="majorBidi"/>
                <w:szCs w:val="22"/>
              </w:rPr>
              <w:t>Radiocommunication</w:t>
            </w:r>
            <w:proofErr w:type="spellEnd"/>
            <w:r w:rsidRPr="00246E6C">
              <w:rPr>
                <w:rFonts w:asciiTheme="majorBidi" w:hAnsiTheme="majorBidi" w:cstheme="majorBidi"/>
                <w:szCs w:val="22"/>
              </w:rPr>
              <w:t xml:space="preserve"> Assembly on the results of implementing Resolution ITU-R 52.</w:t>
            </w:r>
          </w:p>
        </w:tc>
      </w:tr>
    </w:tbl>
    <w:p w:rsidR="005222F2" w:rsidRDefault="005222F2" w:rsidP="00B4334A">
      <w:pPr>
        <w:pStyle w:val="Normalaftertitle"/>
        <w:jc w:val="center"/>
        <w:rPr>
          <w:lang w:val="en-US" w:eastAsia="zh-CN"/>
        </w:rPr>
      </w:pPr>
    </w:p>
    <w:p w:rsidR="002E2E18" w:rsidRPr="00BE1D71" w:rsidRDefault="001B7D11" w:rsidP="00B4334A">
      <w:pPr>
        <w:pStyle w:val="Normalaftertitle"/>
        <w:jc w:val="center"/>
        <w:rPr>
          <w:lang w:val="en-US" w:eastAsia="zh-CN"/>
        </w:rPr>
      </w:pPr>
      <w:r w:rsidRPr="004C6A55">
        <w:rPr>
          <w:lang w:val="en-US" w:eastAsia="zh-CN"/>
        </w:rPr>
        <w:t>______________</w:t>
      </w:r>
    </w:p>
    <w:sectPr w:rsidR="002E2E18" w:rsidRPr="00BE1D71" w:rsidSect="001D0F18">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FA" w:rsidRDefault="00F96FFA">
      <w:r>
        <w:separator/>
      </w:r>
    </w:p>
  </w:endnote>
  <w:endnote w:type="continuationSeparator" w:id="0">
    <w:p w:rsidR="00F96FFA" w:rsidRDefault="00F9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FA" w:rsidRPr="00EC6FD4" w:rsidRDefault="003B1EE6" w:rsidP="00784284">
    <w:pPr>
      <w:pStyle w:val="Footer"/>
    </w:pPr>
    <w:r>
      <w:fldChar w:fldCharType="begin"/>
    </w:r>
    <w:r>
      <w:instrText xml:space="preserve"> FILENAME \p \* MERGEFORMAT </w:instrText>
    </w:r>
    <w:r>
      <w:fldChar w:fldCharType="separate"/>
    </w:r>
    <w:r>
      <w:t>M:\BRIAP\STAFF\Millet\RAG\RAG11\TEMP\004E.docx</w:t>
    </w:r>
    <w:r>
      <w:fldChar w:fldCharType="end"/>
    </w:r>
    <w:r w:rsidR="00F96FFA">
      <w:t>(280534)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B9" w:rsidRDefault="00366CB9" w:rsidP="00366CB9">
    <w:pPr>
      <w:pStyle w:val="Footer"/>
      <w:rPr>
        <w:lang w:val="en-US"/>
      </w:rPr>
    </w:pPr>
    <w:r>
      <w:fldChar w:fldCharType="begin"/>
    </w:r>
    <w:r>
      <w:rPr>
        <w:lang w:val="en-US"/>
      </w:rPr>
      <w:instrText xml:space="preserve"> FILENAME \p \* MERGEFORMAT </w:instrText>
    </w:r>
    <w:r>
      <w:fldChar w:fldCharType="separate"/>
    </w:r>
    <w:r w:rsidR="003B1EE6">
      <w:rPr>
        <w:lang w:val="en-US"/>
      </w:rPr>
      <w:t>M:\BRIAP\STAFF\Millet\RAG\RAG11\TEMP\004E.docx</w:t>
    </w:r>
    <w:r>
      <w:rPr>
        <w:lang w:val="es-ES_tradnl"/>
      </w:rPr>
      <w:fldChar w:fldCharType="end"/>
    </w:r>
  </w:p>
  <w:p w:rsidR="00F96FFA" w:rsidRPr="00366CB9" w:rsidRDefault="00F96FFA" w:rsidP="00366CB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B9" w:rsidRDefault="00366CB9" w:rsidP="00366CB9">
    <w:pPr>
      <w:pStyle w:val="Footer"/>
      <w:rPr>
        <w:lang w:val="en-US"/>
      </w:rPr>
    </w:pPr>
    <w:r>
      <w:fldChar w:fldCharType="begin"/>
    </w:r>
    <w:r>
      <w:rPr>
        <w:lang w:val="en-US"/>
      </w:rPr>
      <w:instrText xml:space="preserve"> FILENAME \p \* MERGEFORMAT </w:instrText>
    </w:r>
    <w:r>
      <w:fldChar w:fldCharType="separate"/>
    </w:r>
    <w:r w:rsidR="003B1EE6">
      <w:rPr>
        <w:lang w:val="en-US"/>
      </w:rPr>
      <w:t>M:\BRIAP\STAFF\Millet\RAG\RAG11\TEMP\004E.docx</w:t>
    </w:r>
    <w:r>
      <w:rPr>
        <w:lang w:val="es-ES_tradnl"/>
      </w:rPr>
      <w:fldChar w:fldCharType="end"/>
    </w:r>
  </w:p>
  <w:p w:rsidR="00F96FFA" w:rsidRPr="00366CB9" w:rsidRDefault="00F96FFA" w:rsidP="00ED733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FA" w:rsidRDefault="00F96FFA">
      <w:r>
        <w:t>____________________</w:t>
      </w:r>
    </w:p>
  </w:footnote>
  <w:footnote w:type="continuationSeparator" w:id="0">
    <w:p w:rsidR="00F96FFA" w:rsidRDefault="00F9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FA" w:rsidRDefault="00F96FFA">
    <w:pPr>
      <w:pStyle w:val="Header"/>
    </w:pPr>
    <w:r>
      <w:t xml:space="preserve">- </w:t>
    </w:r>
    <w:r>
      <w:fldChar w:fldCharType="begin"/>
    </w:r>
    <w:r>
      <w:instrText xml:space="preserve"> PAGE </w:instrText>
    </w:r>
    <w:r>
      <w:fldChar w:fldCharType="separate"/>
    </w:r>
    <w:r>
      <w:rPr>
        <w:noProof/>
      </w:rPr>
      <w:t>2</w:t>
    </w:r>
    <w:r>
      <w:rPr>
        <w:noProof/>
      </w:rPr>
      <w:fldChar w:fldCharType="end"/>
    </w:r>
    <w:r>
      <w:t xml:space="preserve"> -</w:t>
    </w:r>
  </w:p>
  <w:p w:rsidR="00F96FFA" w:rsidRDefault="00F96FFA" w:rsidP="00E26CB8">
    <w:pPr>
      <w:pStyle w:val="Header"/>
    </w:pPr>
    <w:r>
      <w:t>RRB09-3/6-E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FA" w:rsidRDefault="00F96FFA">
    <w:pPr>
      <w:pStyle w:val="Header"/>
    </w:pPr>
    <w:r>
      <w:t xml:space="preserve">- </w:t>
    </w:r>
    <w:r>
      <w:fldChar w:fldCharType="begin"/>
    </w:r>
    <w:r>
      <w:instrText xml:space="preserve"> PAGE </w:instrText>
    </w:r>
    <w:r>
      <w:fldChar w:fldCharType="separate"/>
    </w:r>
    <w:r w:rsidR="003B1EE6">
      <w:rPr>
        <w:noProof/>
      </w:rPr>
      <w:t>7</w:t>
    </w:r>
    <w:r>
      <w:rPr>
        <w:noProof/>
      </w:rPr>
      <w:fldChar w:fldCharType="end"/>
    </w:r>
    <w:r>
      <w:t xml:space="preserve"> -</w:t>
    </w:r>
  </w:p>
  <w:p w:rsidR="00F96FFA" w:rsidRDefault="00F96FFA" w:rsidP="00C92BBA">
    <w:pPr>
      <w:pStyle w:val="Header"/>
      <w:rPr>
        <w:lang w:val="en-US"/>
      </w:rPr>
    </w:pPr>
    <w:r w:rsidRPr="00465F3E">
      <w:rPr>
        <w:lang w:val="en-US"/>
      </w:rPr>
      <w:t>RAG11-1/</w:t>
    </w:r>
    <w:r>
      <w:rPr>
        <w:lang w:val="en-US"/>
      </w:rPr>
      <w:t>TEMP/</w:t>
    </w:r>
    <w:r w:rsidR="00C92BBA">
      <w:rPr>
        <w:lang w:val="en-US"/>
      </w:rPr>
      <w:t>4</w:t>
    </w:r>
    <w:r w:rsidRPr="00465F3E">
      <w:rPr>
        <w:lang w:val="en-US"/>
      </w:rPr>
      <w:t>-E</w:t>
    </w:r>
  </w:p>
  <w:p w:rsidR="00C92BBA" w:rsidRDefault="00C92BBA" w:rsidP="00C92BBA">
    <w:pPr>
      <w:pStyle w:val="Header"/>
      <w:rPr>
        <w:lang w:val="en-US"/>
      </w:rPr>
    </w:pPr>
  </w:p>
  <w:p w:rsidR="00F96FFA" w:rsidRDefault="00F96FFA" w:rsidP="007805DD">
    <w:pPr>
      <w:pStyle w:val="Header"/>
      <w:rPr>
        <w:lang w:val="en-US"/>
      </w:rPr>
    </w:pPr>
  </w:p>
  <w:p w:rsidR="00F96FFA" w:rsidRDefault="00F96FFA" w:rsidP="0078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FA" w:rsidRDefault="00F96FFA">
    <w:pPr>
      <w:pStyle w:val="Header"/>
    </w:pPr>
    <w:r>
      <w:t xml:space="preserve">- </w:t>
    </w:r>
    <w:sdt>
      <w:sdtPr>
        <w:id w:val="15254704"/>
        <w:docPartObj>
          <w:docPartGallery w:val="Page Numbers (Top of Page)"/>
          <w:docPartUnique/>
        </w:docPartObj>
      </w:sdtPr>
      <w:sdtEndPr/>
      <w:sdtContent>
        <w:r>
          <w:fldChar w:fldCharType="begin"/>
        </w:r>
        <w:r>
          <w:instrText xml:space="preserve"> PAGE   \* MERGEFORMAT </w:instrText>
        </w:r>
        <w:r>
          <w:fldChar w:fldCharType="separate"/>
        </w:r>
        <w:r w:rsidR="003B1EE6">
          <w:rPr>
            <w:noProof/>
          </w:rPr>
          <w:t>2</w:t>
        </w:r>
        <w:r>
          <w:rPr>
            <w:noProof/>
          </w:rPr>
          <w:fldChar w:fldCharType="end"/>
        </w:r>
        <w:r>
          <w:t xml:space="preserve"> -</w:t>
        </w:r>
      </w:sdtContent>
    </w:sdt>
  </w:p>
  <w:p w:rsidR="00F96FFA" w:rsidRPr="00465F3E" w:rsidRDefault="00F96FFA" w:rsidP="008A7D1C">
    <w:pPr>
      <w:pStyle w:val="Header"/>
      <w:rPr>
        <w:lang w:val="en-US"/>
      </w:rPr>
    </w:pPr>
    <w:r w:rsidRPr="00465F3E">
      <w:rPr>
        <w:lang w:val="en-US"/>
      </w:rPr>
      <w:t>RAG11-1/</w:t>
    </w:r>
    <w:r>
      <w:rPr>
        <w:lang w:val="en-US"/>
      </w:rPr>
      <w:t>TEMP/</w:t>
    </w:r>
    <w:r w:rsidR="008A7D1C">
      <w:rPr>
        <w:lang w:val="en-US"/>
      </w:rPr>
      <w:t>4</w:t>
    </w:r>
    <w:r w:rsidRPr="00465F3E">
      <w:rPr>
        <w:lang w:val="en-US"/>
      </w:rPr>
      <w:t>-E</w:t>
    </w:r>
  </w:p>
  <w:p w:rsidR="00F96FFA" w:rsidRDefault="00F96FFA" w:rsidP="007805DD">
    <w:pPr>
      <w:pStyle w:val="Header"/>
      <w:jc w:val="left"/>
    </w:pPr>
  </w:p>
  <w:p w:rsidR="00F96FFA" w:rsidRPr="004600CD" w:rsidRDefault="00F96FF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C6C"/>
    <w:multiLevelType w:val="hybridMultilevel"/>
    <w:tmpl w:val="06E84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291208"/>
    <w:multiLevelType w:val="hybridMultilevel"/>
    <w:tmpl w:val="A7EEE6D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F54CE1"/>
    <w:multiLevelType w:val="hybridMultilevel"/>
    <w:tmpl w:val="534AA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911F30"/>
    <w:multiLevelType w:val="hybridMultilevel"/>
    <w:tmpl w:val="4F6C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417FC"/>
    <w:multiLevelType w:val="hybridMultilevel"/>
    <w:tmpl w:val="BD4A4D9A"/>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nsid w:val="150F2701"/>
    <w:multiLevelType w:val="hybridMultilevel"/>
    <w:tmpl w:val="9284453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nsid w:val="43C92AD7"/>
    <w:multiLevelType w:val="hybridMultilevel"/>
    <w:tmpl w:val="CAE66D88"/>
    <w:lvl w:ilvl="0" w:tplc="812AA09E">
      <w:start w:val="1"/>
      <w:numFmt w:val="decimal"/>
      <w:lvlText w:val="%1."/>
      <w:lvlJc w:val="left"/>
      <w:pPr>
        <w:ind w:left="1778" w:hanging="360"/>
      </w:pPr>
      <w:rPr>
        <w:sz w:val="24"/>
        <w:szCs w:val="24"/>
      </w:rPr>
    </w:lvl>
    <w:lvl w:ilvl="1" w:tplc="04090019">
      <w:start w:val="1"/>
      <w:numFmt w:val="lowerLetter"/>
      <w:lvlText w:val="%2."/>
      <w:lvlJc w:val="left"/>
      <w:pPr>
        <w:ind w:left="-165" w:hanging="360"/>
      </w:pPr>
    </w:lvl>
    <w:lvl w:ilvl="2" w:tplc="0409001B">
      <w:start w:val="1"/>
      <w:numFmt w:val="decimal"/>
      <w:lvlText w:val="%3."/>
      <w:lvlJc w:val="left"/>
      <w:pPr>
        <w:tabs>
          <w:tab w:val="num" w:pos="500"/>
        </w:tabs>
        <w:ind w:left="500" w:hanging="360"/>
      </w:pPr>
    </w:lvl>
    <w:lvl w:ilvl="3" w:tplc="0409000F">
      <w:start w:val="1"/>
      <w:numFmt w:val="decimal"/>
      <w:lvlText w:val="%4."/>
      <w:lvlJc w:val="left"/>
      <w:pPr>
        <w:tabs>
          <w:tab w:val="num" w:pos="1220"/>
        </w:tabs>
        <w:ind w:left="1220" w:hanging="360"/>
      </w:pPr>
    </w:lvl>
    <w:lvl w:ilvl="4" w:tplc="04090019">
      <w:start w:val="1"/>
      <w:numFmt w:val="decimal"/>
      <w:lvlText w:val="%5."/>
      <w:lvlJc w:val="left"/>
      <w:pPr>
        <w:tabs>
          <w:tab w:val="num" w:pos="1940"/>
        </w:tabs>
        <w:ind w:left="1940" w:hanging="360"/>
      </w:pPr>
    </w:lvl>
    <w:lvl w:ilvl="5" w:tplc="0409001B">
      <w:start w:val="1"/>
      <w:numFmt w:val="decimal"/>
      <w:lvlText w:val="%6."/>
      <w:lvlJc w:val="left"/>
      <w:pPr>
        <w:tabs>
          <w:tab w:val="num" w:pos="2660"/>
        </w:tabs>
        <w:ind w:left="2660" w:hanging="360"/>
      </w:pPr>
    </w:lvl>
    <w:lvl w:ilvl="6" w:tplc="0409000F">
      <w:start w:val="1"/>
      <w:numFmt w:val="decimal"/>
      <w:lvlText w:val="%7."/>
      <w:lvlJc w:val="left"/>
      <w:pPr>
        <w:tabs>
          <w:tab w:val="num" w:pos="3380"/>
        </w:tabs>
        <w:ind w:left="3380" w:hanging="360"/>
      </w:pPr>
    </w:lvl>
    <w:lvl w:ilvl="7" w:tplc="04090019">
      <w:start w:val="1"/>
      <w:numFmt w:val="decimal"/>
      <w:lvlText w:val="%8."/>
      <w:lvlJc w:val="left"/>
      <w:pPr>
        <w:tabs>
          <w:tab w:val="num" w:pos="4100"/>
        </w:tabs>
        <w:ind w:left="4100" w:hanging="360"/>
      </w:pPr>
    </w:lvl>
    <w:lvl w:ilvl="8" w:tplc="0409001B">
      <w:start w:val="1"/>
      <w:numFmt w:val="decimal"/>
      <w:lvlText w:val="%9."/>
      <w:lvlJc w:val="left"/>
      <w:pPr>
        <w:tabs>
          <w:tab w:val="num" w:pos="4820"/>
        </w:tabs>
        <w:ind w:left="4820" w:hanging="360"/>
      </w:pPr>
    </w:lvl>
  </w:abstractNum>
  <w:abstractNum w:abstractNumId="7">
    <w:nsid w:val="44C74153"/>
    <w:multiLevelType w:val="hybridMultilevel"/>
    <w:tmpl w:val="A6B05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18"/>
    <w:rsid w:val="00000DB2"/>
    <w:rsid w:val="000015EF"/>
    <w:rsid w:val="00010425"/>
    <w:rsid w:val="000335BA"/>
    <w:rsid w:val="000406CD"/>
    <w:rsid w:val="00041349"/>
    <w:rsid w:val="00041CD3"/>
    <w:rsid w:val="0004629F"/>
    <w:rsid w:val="00067340"/>
    <w:rsid w:val="000737EA"/>
    <w:rsid w:val="0008032C"/>
    <w:rsid w:val="000839B6"/>
    <w:rsid w:val="000B3E4A"/>
    <w:rsid w:val="000D551B"/>
    <w:rsid w:val="000E4AE9"/>
    <w:rsid w:val="00101592"/>
    <w:rsid w:val="00105BFA"/>
    <w:rsid w:val="00107301"/>
    <w:rsid w:val="001129BA"/>
    <w:rsid w:val="00114832"/>
    <w:rsid w:val="001215B7"/>
    <w:rsid w:val="00121718"/>
    <w:rsid w:val="00130586"/>
    <w:rsid w:val="00131E9B"/>
    <w:rsid w:val="00134CDC"/>
    <w:rsid w:val="001421D6"/>
    <w:rsid w:val="00143DE4"/>
    <w:rsid w:val="00150B05"/>
    <w:rsid w:val="0015341D"/>
    <w:rsid w:val="00155885"/>
    <w:rsid w:val="00187AC3"/>
    <w:rsid w:val="00195F8A"/>
    <w:rsid w:val="001A6CA8"/>
    <w:rsid w:val="001B4AA5"/>
    <w:rsid w:val="001B7D11"/>
    <w:rsid w:val="001D0F18"/>
    <w:rsid w:val="001E7BF7"/>
    <w:rsid w:val="00205613"/>
    <w:rsid w:val="00213805"/>
    <w:rsid w:val="00233421"/>
    <w:rsid w:val="00242BEA"/>
    <w:rsid w:val="00246E6C"/>
    <w:rsid w:val="002745E8"/>
    <w:rsid w:val="002A337A"/>
    <w:rsid w:val="002B0BA1"/>
    <w:rsid w:val="002B557F"/>
    <w:rsid w:val="002B5FC8"/>
    <w:rsid w:val="002C0248"/>
    <w:rsid w:val="002D072D"/>
    <w:rsid w:val="002E2E18"/>
    <w:rsid w:val="002E65B5"/>
    <w:rsid w:val="00323834"/>
    <w:rsid w:val="00337BD7"/>
    <w:rsid w:val="00344F92"/>
    <w:rsid w:val="00347172"/>
    <w:rsid w:val="00352C24"/>
    <w:rsid w:val="00357CD4"/>
    <w:rsid w:val="00363ED5"/>
    <w:rsid w:val="00364F08"/>
    <w:rsid w:val="00366CB9"/>
    <w:rsid w:val="00380D99"/>
    <w:rsid w:val="00396EAA"/>
    <w:rsid w:val="003B1EE6"/>
    <w:rsid w:val="003B396B"/>
    <w:rsid w:val="003C0934"/>
    <w:rsid w:val="003C1AD9"/>
    <w:rsid w:val="003D0C9D"/>
    <w:rsid w:val="003E25E6"/>
    <w:rsid w:val="003E36C6"/>
    <w:rsid w:val="003E37DA"/>
    <w:rsid w:val="004059BA"/>
    <w:rsid w:val="00432A9F"/>
    <w:rsid w:val="00445695"/>
    <w:rsid w:val="004600CD"/>
    <w:rsid w:val="00470176"/>
    <w:rsid w:val="004769D9"/>
    <w:rsid w:val="00477F65"/>
    <w:rsid w:val="00481961"/>
    <w:rsid w:val="004940B1"/>
    <w:rsid w:val="0049655A"/>
    <w:rsid w:val="004968B4"/>
    <w:rsid w:val="004A3F6E"/>
    <w:rsid w:val="004A4826"/>
    <w:rsid w:val="004B014A"/>
    <w:rsid w:val="004B144B"/>
    <w:rsid w:val="004C6229"/>
    <w:rsid w:val="004D30DD"/>
    <w:rsid w:val="004E1B3C"/>
    <w:rsid w:val="0050230D"/>
    <w:rsid w:val="005036C3"/>
    <w:rsid w:val="0051779F"/>
    <w:rsid w:val="005222F2"/>
    <w:rsid w:val="00522A08"/>
    <w:rsid w:val="00571F01"/>
    <w:rsid w:val="00573FFE"/>
    <w:rsid w:val="005A58C2"/>
    <w:rsid w:val="005B44AD"/>
    <w:rsid w:val="005B602E"/>
    <w:rsid w:val="005C20F1"/>
    <w:rsid w:val="005C5CA0"/>
    <w:rsid w:val="005E4886"/>
    <w:rsid w:val="005F1DA0"/>
    <w:rsid w:val="005F73FD"/>
    <w:rsid w:val="0063671D"/>
    <w:rsid w:val="00651993"/>
    <w:rsid w:val="00667078"/>
    <w:rsid w:val="00687CA4"/>
    <w:rsid w:val="006911A6"/>
    <w:rsid w:val="00691A6A"/>
    <w:rsid w:val="00693D07"/>
    <w:rsid w:val="006A3168"/>
    <w:rsid w:val="006A4C11"/>
    <w:rsid w:val="006D3A99"/>
    <w:rsid w:val="006D3BDE"/>
    <w:rsid w:val="006E1CA2"/>
    <w:rsid w:val="006F1268"/>
    <w:rsid w:val="006F2D11"/>
    <w:rsid w:val="0071358C"/>
    <w:rsid w:val="00727C8C"/>
    <w:rsid w:val="00730A64"/>
    <w:rsid w:val="00730B89"/>
    <w:rsid w:val="0073739E"/>
    <w:rsid w:val="00763762"/>
    <w:rsid w:val="007660B3"/>
    <w:rsid w:val="007729D9"/>
    <w:rsid w:val="00774F64"/>
    <w:rsid w:val="007805DD"/>
    <w:rsid w:val="00784284"/>
    <w:rsid w:val="00791AFF"/>
    <w:rsid w:val="007A37D4"/>
    <w:rsid w:val="007E0DCD"/>
    <w:rsid w:val="007E40AB"/>
    <w:rsid w:val="007E4692"/>
    <w:rsid w:val="00804DA9"/>
    <w:rsid w:val="00825FD4"/>
    <w:rsid w:val="00830C78"/>
    <w:rsid w:val="00847BAB"/>
    <w:rsid w:val="00855890"/>
    <w:rsid w:val="00855B4C"/>
    <w:rsid w:val="008619C9"/>
    <w:rsid w:val="00865B1C"/>
    <w:rsid w:val="008734C5"/>
    <w:rsid w:val="0087699E"/>
    <w:rsid w:val="0089470D"/>
    <w:rsid w:val="008A3B34"/>
    <w:rsid w:val="008A7329"/>
    <w:rsid w:val="008A7D1C"/>
    <w:rsid w:val="008B1296"/>
    <w:rsid w:val="008B2383"/>
    <w:rsid w:val="008B2F90"/>
    <w:rsid w:val="008B72F9"/>
    <w:rsid w:val="008B7B72"/>
    <w:rsid w:val="008C11A0"/>
    <w:rsid w:val="008C3C64"/>
    <w:rsid w:val="008D7E76"/>
    <w:rsid w:val="008D7E9B"/>
    <w:rsid w:val="008F1E12"/>
    <w:rsid w:val="008F78AB"/>
    <w:rsid w:val="008F7FB2"/>
    <w:rsid w:val="00920DAC"/>
    <w:rsid w:val="0093283C"/>
    <w:rsid w:val="00934834"/>
    <w:rsid w:val="00935927"/>
    <w:rsid w:val="009412FD"/>
    <w:rsid w:val="00945527"/>
    <w:rsid w:val="00946FFA"/>
    <w:rsid w:val="00956D62"/>
    <w:rsid w:val="0096512D"/>
    <w:rsid w:val="009746B9"/>
    <w:rsid w:val="009756BF"/>
    <w:rsid w:val="009802C9"/>
    <w:rsid w:val="00995E10"/>
    <w:rsid w:val="009B0A39"/>
    <w:rsid w:val="009B50DD"/>
    <w:rsid w:val="009C629C"/>
    <w:rsid w:val="009D529A"/>
    <w:rsid w:val="009F3861"/>
    <w:rsid w:val="009F7D6E"/>
    <w:rsid w:val="00A255E6"/>
    <w:rsid w:val="00A30883"/>
    <w:rsid w:val="00A328DD"/>
    <w:rsid w:val="00A40885"/>
    <w:rsid w:val="00A42A3B"/>
    <w:rsid w:val="00A50040"/>
    <w:rsid w:val="00A77CD6"/>
    <w:rsid w:val="00A77E49"/>
    <w:rsid w:val="00A80E2A"/>
    <w:rsid w:val="00A82C01"/>
    <w:rsid w:val="00A867E7"/>
    <w:rsid w:val="00AB7F9F"/>
    <w:rsid w:val="00AC61EC"/>
    <w:rsid w:val="00AD51B6"/>
    <w:rsid w:val="00B0180C"/>
    <w:rsid w:val="00B10BC0"/>
    <w:rsid w:val="00B4334A"/>
    <w:rsid w:val="00B44AD1"/>
    <w:rsid w:val="00B47216"/>
    <w:rsid w:val="00B54062"/>
    <w:rsid w:val="00B63AF8"/>
    <w:rsid w:val="00B74AEC"/>
    <w:rsid w:val="00BB2828"/>
    <w:rsid w:val="00BB6D73"/>
    <w:rsid w:val="00BD0F23"/>
    <w:rsid w:val="00BF3A63"/>
    <w:rsid w:val="00BF62F5"/>
    <w:rsid w:val="00C04764"/>
    <w:rsid w:val="00C07E62"/>
    <w:rsid w:val="00C14A06"/>
    <w:rsid w:val="00C26D98"/>
    <w:rsid w:val="00C363AD"/>
    <w:rsid w:val="00C37C2E"/>
    <w:rsid w:val="00C40008"/>
    <w:rsid w:val="00C454A5"/>
    <w:rsid w:val="00C47DA2"/>
    <w:rsid w:val="00C52E2D"/>
    <w:rsid w:val="00C65EDE"/>
    <w:rsid w:val="00C83AFC"/>
    <w:rsid w:val="00C8692B"/>
    <w:rsid w:val="00C92BBA"/>
    <w:rsid w:val="00CB404D"/>
    <w:rsid w:val="00CC4A02"/>
    <w:rsid w:val="00CE671F"/>
    <w:rsid w:val="00D10ABC"/>
    <w:rsid w:val="00D22195"/>
    <w:rsid w:val="00D26D8B"/>
    <w:rsid w:val="00D35569"/>
    <w:rsid w:val="00D3748B"/>
    <w:rsid w:val="00D37A7C"/>
    <w:rsid w:val="00D43350"/>
    <w:rsid w:val="00D47E53"/>
    <w:rsid w:val="00D60438"/>
    <w:rsid w:val="00DB395E"/>
    <w:rsid w:val="00DC0835"/>
    <w:rsid w:val="00DC48E0"/>
    <w:rsid w:val="00DC6AE5"/>
    <w:rsid w:val="00E066BD"/>
    <w:rsid w:val="00E1168F"/>
    <w:rsid w:val="00E12438"/>
    <w:rsid w:val="00E26CB8"/>
    <w:rsid w:val="00E32E01"/>
    <w:rsid w:val="00E435BD"/>
    <w:rsid w:val="00EB758E"/>
    <w:rsid w:val="00EC24DB"/>
    <w:rsid w:val="00ED1FFA"/>
    <w:rsid w:val="00ED3388"/>
    <w:rsid w:val="00ED7335"/>
    <w:rsid w:val="00F02EA7"/>
    <w:rsid w:val="00F0517D"/>
    <w:rsid w:val="00F07926"/>
    <w:rsid w:val="00F227B3"/>
    <w:rsid w:val="00F3219A"/>
    <w:rsid w:val="00F33A67"/>
    <w:rsid w:val="00F438BD"/>
    <w:rsid w:val="00F47275"/>
    <w:rsid w:val="00F658EA"/>
    <w:rsid w:val="00F66F07"/>
    <w:rsid w:val="00F70AE5"/>
    <w:rsid w:val="00F7169E"/>
    <w:rsid w:val="00F72C3C"/>
    <w:rsid w:val="00F771C3"/>
    <w:rsid w:val="00F867AB"/>
    <w:rsid w:val="00F9301F"/>
    <w:rsid w:val="00F96FFA"/>
    <w:rsid w:val="00FB1489"/>
    <w:rsid w:val="00FB765B"/>
    <w:rsid w:val="00FC5A6C"/>
    <w:rsid w:val="00FD5DD1"/>
    <w:rsid w:val="00FE2BFF"/>
    <w:rsid w:val="00FF38EB"/>
    <w:rsid w:val="00FF5363"/>
    <w:rsid w:val="00FF7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uiPriority w:val="99"/>
    <w:rsid w:val="00DC08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uiPriority w:val="99"/>
    <w:rsid w:val="00DC0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233">
      <w:bodyDiv w:val="1"/>
      <w:marLeft w:val="0"/>
      <w:marRight w:val="0"/>
      <w:marTop w:val="0"/>
      <w:marBottom w:val="0"/>
      <w:divBdr>
        <w:top w:val="none" w:sz="0" w:space="0" w:color="auto"/>
        <w:left w:val="none" w:sz="0" w:space="0" w:color="auto"/>
        <w:bottom w:val="none" w:sz="0" w:space="0" w:color="auto"/>
        <w:right w:val="none" w:sz="0" w:space="0" w:color="auto"/>
      </w:divBdr>
    </w:div>
    <w:div w:id="99686022">
      <w:bodyDiv w:val="1"/>
      <w:marLeft w:val="0"/>
      <w:marRight w:val="0"/>
      <w:marTop w:val="0"/>
      <w:marBottom w:val="0"/>
      <w:divBdr>
        <w:top w:val="none" w:sz="0" w:space="0" w:color="auto"/>
        <w:left w:val="none" w:sz="0" w:space="0" w:color="auto"/>
        <w:bottom w:val="none" w:sz="0" w:space="0" w:color="auto"/>
        <w:right w:val="none" w:sz="0" w:space="0" w:color="auto"/>
      </w:divBdr>
    </w:div>
    <w:div w:id="305277154">
      <w:bodyDiv w:val="1"/>
      <w:marLeft w:val="0"/>
      <w:marRight w:val="0"/>
      <w:marTop w:val="0"/>
      <w:marBottom w:val="0"/>
      <w:divBdr>
        <w:top w:val="none" w:sz="0" w:space="0" w:color="auto"/>
        <w:left w:val="none" w:sz="0" w:space="0" w:color="auto"/>
        <w:bottom w:val="none" w:sz="0" w:space="0" w:color="auto"/>
        <w:right w:val="none" w:sz="0" w:space="0" w:color="auto"/>
      </w:divBdr>
    </w:div>
    <w:div w:id="499930938">
      <w:bodyDiv w:val="1"/>
      <w:marLeft w:val="0"/>
      <w:marRight w:val="0"/>
      <w:marTop w:val="0"/>
      <w:marBottom w:val="0"/>
      <w:divBdr>
        <w:top w:val="none" w:sz="0" w:space="0" w:color="auto"/>
        <w:left w:val="none" w:sz="0" w:space="0" w:color="auto"/>
        <w:bottom w:val="none" w:sz="0" w:space="0" w:color="auto"/>
        <w:right w:val="none" w:sz="0" w:space="0" w:color="auto"/>
      </w:divBdr>
    </w:div>
    <w:div w:id="550650929">
      <w:bodyDiv w:val="1"/>
      <w:marLeft w:val="0"/>
      <w:marRight w:val="0"/>
      <w:marTop w:val="0"/>
      <w:marBottom w:val="0"/>
      <w:divBdr>
        <w:top w:val="none" w:sz="0" w:space="0" w:color="auto"/>
        <w:left w:val="none" w:sz="0" w:space="0" w:color="auto"/>
        <w:bottom w:val="none" w:sz="0" w:space="0" w:color="auto"/>
        <w:right w:val="none" w:sz="0" w:space="0" w:color="auto"/>
      </w:divBdr>
    </w:div>
    <w:div w:id="576936006">
      <w:bodyDiv w:val="1"/>
      <w:marLeft w:val="0"/>
      <w:marRight w:val="0"/>
      <w:marTop w:val="0"/>
      <w:marBottom w:val="0"/>
      <w:divBdr>
        <w:top w:val="none" w:sz="0" w:space="0" w:color="auto"/>
        <w:left w:val="none" w:sz="0" w:space="0" w:color="auto"/>
        <w:bottom w:val="none" w:sz="0" w:space="0" w:color="auto"/>
        <w:right w:val="none" w:sz="0" w:space="0" w:color="auto"/>
      </w:divBdr>
    </w:div>
    <w:div w:id="825630314">
      <w:bodyDiv w:val="1"/>
      <w:marLeft w:val="0"/>
      <w:marRight w:val="0"/>
      <w:marTop w:val="0"/>
      <w:marBottom w:val="0"/>
      <w:divBdr>
        <w:top w:val="none" w:sz="0" w:space="0" w:color="auto"/>
        <w:left w:val="none" w:sz="0" w:space="0" w:color="auto"/>
        <w:bottom w:val="none" w:sz="0" w:space="0" w:color="auto"/>
        <w:right w:val="none" w:sz="0" w:space="0" w:color="auto"/>
      </w:divBdr>
    </w:div>
    <w:div w:id="1013844259">
      <w:bodyDiv w:val="1"/>
      <w:marLeft w:val="0"/>
      <w:marRight w:val="0"/>
      <w:marTop w:val="0"/>
      <w:marBottom w:val="0"/>
      <w:divBdr>
        <w:top w:val="none" w:sz="0" w:space="0" w:color="auto"/>
        <w:left w:val="none" w:sz="0" w:space="0" w:color="auto"/>
        <w:bottom w:val="none" w:sz="0" w:space="0" w:color="auto"/>
        <w:right w:val="none" w:sz="0" w:space="0" w:color="auto"/>
      </w:divBdr>
    </w:div>
    <w:div w:id="1124808085">
      <w:bodyDiv w:val="1"/>
      <w:marLeft w:val="0"/>
      <w:marRight w:val="0"/>
      <w:marTop w:val="0"/>
      <w:marBottom w:val="0"/>
      <w:divBdr>
        <w:top w:val="none" w:sz="0" w:space="0" w:color="auto"/>
        <w:left w:val="none" w:sz="0" w:space="0" w:color="auto"/>
        <w:bottom w:val="none" w:sz="0" w:space="0" w:color="auto"/>
        <w:right w:val="none" w:sz="0" w:space="0" w:color="auto"/>
      </w:divBdr>
    </w:div>
    <w:div w:id="1135486206">
      <w:bodyDiv w:val="1"/>
      <w:marLeft w:val="0"/>
      <w:marRight w:val="0"/>
      <w:marTop w:val="0"/>
      <w:marBottom w:val="0"/>
      <w:divBdr>
        <w:top w:val="none" w:sz="0" w:space="0" w:color="auto"/>
        <w:left w:val="none" w:sz="0" w:space="0" w:color="auto"/>
        <w:bottom w:val="none" w:sz="0" w:space="0" w:color="auto"/>
        <w:right w:val="none" w:sz="0" w:space="0" w:color="auto"/>
      </w:divBdr>
    </w:div>
    <w:div w:id="1137143740">
      <w:bodyDiv w:val="1"/>
      <w:marLeft w:val="0"/>
      <w:marRight w:val="0"/>
      <w:marTop w:val="0"/>
      <w:marBottom w:val="0"/>
      <w:divBdr>
        <w:top w:val="none" w:sz="0" w:space="0" w:color="auto"/>
        <w:left w:val="none" w:sz="0" w:space="0" w:color="auto"/>
        <w:bottom w:val="none" w:sz="0" w:space="0" w:color="auto"/>
        <w:right w:val="none" w:sz="0" w:space="0" w:color="auto"/>
      </w:divBdr>
    </w:div>
    <w:div w:id="1174491384">
      <w:bodyDiv w:val="1"/>
      <w:marLeft w:val="0"/>
      <w:marRight w:val="0"/>
      <w:marTop w:val="0"/>
      <w:marBottom w:val="0"/>
      <w:divBdr>
        <w:top w:val="none" w:sz="0" w:space="0" w:color="auto"/>
        <w:left w:val="none" w:sz="0" w:space="0" w:color="auto"/>
        <w:bottom w:val="none" w:sz="0" w:space="0" w:color="auto"/>
        <w:right w:val="none" w:sz="0" w:space="0" w:color="auto"/>
      </w:divBdr>
    </w:div>
    <w:div w:id="1437091025">
      <w:bodyDiv w:val="1"/>
      <w:marLeft w:val="0"/>
      <w:marRight w:val="0"/>
      <w:marTop w:val="0"/>
      <w:marBottom w:val="0"/>
      <w:divBdr>
        <w:top w:val="none" w:sz="0" w:space="0" w:color="auto"/>
        <w:left w:val="none" w:sz="0" w:space="0" w:color="auto"/>
        <w:bottom w:val="none" w:sz="0" w:space="0" w:color="auto"/>
        <w:right w:val="none" w:sz="0" w:space="0" w:color="auto"/>
      </w:divBdr>
    </w:div>
    <w:div w:id="1480655105">
      <w:bodyDiv w:val="1"/>
      <w:marLeft w:val="0"/>
      <w:marRight w:val="0"/>
      <w:marTop w:val="0"/>
      <w:marBottom w:val="0"/>
      <w:divBdr>
        <w:top w:val="none" w:sz="0" w:space="0" w:color="auto"/>
        <w:left w:val="none" w:sz="0" w:space="0" w:color="auto"/>
        <w:bottom w:val="none" w:sz="0" w:space="0" w:color="auto"/>
        <w:right w:val="none" w:sz="0" w:space="0" w:color="auto"/>
      </w:divBdr>
    </w:div>
    <w:div w:id="1680348040">
      <w:bodyDiv w:val="1"/>
      <w:marLeft w:val="0"/>
      <w:marRight w:val="0"/>
      <w:marTop w:val="0"/>
      <w:marBottom w:val="0"/>
      <w:divBdr>
        <w:top w:val="none" w:sz="0" w:space="0" w:color="auto"/>
        <w:left w:val="none" w:sz="0" w:space="0" w:color="auto"/>
        <w:bottom w:val="none" w:sz="0" w:space="0" w:color="auto"/>
        <w:right w:val="none" w:sz="0" w:space="0" w:color="auto"/>
      </w:divBdr>
    </w:div>
    <w:div w:id="1685014133">
      <w:bodyDiv w:val="1"/>
      <w:marLeft w:val="0"/>
      <w:marRight w:val="0"/>
      <w:marTop w:val="0"/>
      <w:marBottom w:val="0"/>
      <w:divBdr>
        <w:top w:val="none" w:sz="0" w:space="0" w:color="auto"/>
        <w:left w:val="none" w:sz="0" w:space="0" w:color="auto"/>
        <w:bottom w:val="none" w:sz="0" w:space="0" w:color="auto"/>
        <w:right w:val="none" w:sz="0" w:space="0" w:color="auto"/>
      </w:divBdr>
    </w:div>
    <w:div w:id="1781953302">
      <w:bodyDiv w:val="1"/>
      <w:marLeft w:val="0"/>
      <w:marRight w:val="0"/>
      <w:marTop w:val="0"/>
      <w:marBottom w:val="0"/>
      <w:divBdr>
        <w:top w:val="none" w:sz="0" w:space="0" w:color="auto"/>
        <w:left w:val="none" w:sz="0" w:space="0" w:color="auto"/>
        <w:bottom w:val="none" w:sz="0" w:space="0" w:color="auto"/>
        <w:right w:val="none" w:sz="0" w:space="0" w:color="auto"/>
      </w:divBdr>
    </w:div>
    <w:div w:id="1790857566">
      <w:bodyDiv w:val="1"/>
      <w:marLeft w:val="0"/>
      <w:marRight w:val="0"/>
      <w:marTop w:val="0"/>
      <w:marBottom w:val="0"/>
      <w:divBdr>
        <w:top w:val="none" w:sz="0" w:space="0" w:color="auto"/>
        <w:left w:val="none" w:sz="0" w:space="0" w:color="auto"/>
        <w:bottom w:val="none" w:sz="0" w:space="0" w:color="auto"/>
        <w:right w:val="none" w:sz="0" w:space="0" w:color="auto"/>
      </w:divBdr>
    </w:div>
    <w:div w:id="20405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Basic-Texts/ResDecRec-PP10-e.doc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council/Basic-Texts/ResDecRec-PP10-e.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council/Basic-Texts/ResDecRec-PP10-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RRB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11A6-46E5-4EFB-99A9-F0716AF9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PE_RRB10</Template>
  <TotalTime>135</TotalTime>
  <Pages>7</Pages>
  <Words>1813</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smitha</dc:creator>
  <cp:lastModifiedBy>millet</cp:lastModifiedBy>
  <cp:revision>98</cp:revision>
  <cp:lastPrinted>2011-06-10T11:42:00Z</cp:lastPrinted>
  <dcterms:created xsi:type="dcterms:W3CDTF">2011-06-09T18:07:00Z</dcterms:created>
  <dcterms:modified xsi:type="dcterms:W3CDTF">2011-06-10T11:42:00Z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