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284"/>
      </w:tblGrid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</w:tcPr>
          <w:p w:rsidR="0051782D" w:rsidRPr="00966F31" w:rsidRDefault="0051782D" w:rsidP="001E41A0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966F31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966F3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D3BF8" w:rsidRPr="00966F31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0</w:t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 w:rsidRPr="00966F31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 w:rsidRPr="00966F31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1E41A0" w:rsidRPr="00966F31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402" w:type="dxa"/>
          </w:tcPr>
          <w:p w:rsidR="0051782D" w:rsidRPr="00966F31" w:rsidRDefault="00FC1E29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 w:rsidRPr="00966F31">
              <w:rPr>
                <w:noProof/>
                <w:lang w:val="en-US" w:eastAsia="zh-CN"/>
              </w:rPr>
              <w:drawing>
                <wp:inline distT="0" distB="0" distL="0" distR="0" wp14:anchorId="61FE2EA7" wp14:editId="6F509D66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51782D" w:rsidRPr="00966F31" w:rsidTr="00966F31">
        <w:trPr>
          <w:cantSplit/>
        </w:trPr>
        <w:tc>
          <w:tcPr>
            <w:tcW w:w="6487" w:type="dxa"/>
            <w:vMerge w:val="restart"/>
          </w:tcPr>
          <w:p w:rsidR="0051782D" w:rsidRPr="00966F31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686" w:type="dxa"/>
            <w:gridSpan w:val="2"/>
          </w:tcPr>
          <w:p w:rsidR="0051782D" w:rsidRPr="00966F31" w:rsidRDefault="005E1B18" w:rsidP="005E1B18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966F31">
              <w:rPr>
                <w:rFonts w:ascii="Verdana" w:hAnsi="Verdana"/>
                <w:b/>
                <w:sz w:val="20"/>
              </w:rPr>
              <w:t>Document RAG11-1/TEMP/1-E</w:t>
            </w: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vMerge/>
          </w:tcPr>
          <w:p w:rsidR="0051782D" w:rsidRPr="00966F31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966F31" w:rsidRDefault="005E1B18" w:rsidP="005E1B18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966F31">
              <w:rPr>
                <w:rFonts w:ascii="Verdana" w:hAnsi="Verdana"/>
                <w:b/>
                <w:sz w:val="20"/>
              </w:rPr>
              <w:t>9 June 2011</w:t>
            </w:r>
          </w:p>
        </w:tc>
      </w:tr>
      <w:tr w:rsidR="0051782D" w:rsidRPr="00966F31" w:rsidTr="00966F31">
        <w:trPr>
          <w:gridAfter w:val="1"/>
          <w:wAfter w:w="284" w:type="dxa"/>
          <w:cantSplit/>
        </w:trPr>
        <w:tc>
          <w:tcPr>
            <w:tcW w:w="6487" w:type="dxa"/>
            <w:vMerge/>
          </w:tcPr>
          <w:p w:rsidR="0051782D" w:rsidRPr="00966F31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966F31" w:rsidRDefault="005E1B18" w:rsidP="005E1B18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966F31">
              <w:rPr>
                <w:rFonts w:ascii="Verdana" w:hAnsi="Verdana"/>
                <w:b/>
                <w:sz w:val="20"/>
              </w:rPr>
              <w:t>English</w:t>
            </w:r>
            <w:r w:rsidR="00E72F32">
              <w:rPr>
                <w:rFonts w:ascii="Verdana" w:hAnsi="Verdana"/>
                <w:b/>
                <w:sz w:val="20"/>
              </w:rPr>
              <w:t xml:space="preserve"> only</w:t>
            </w:r>
            <w:bookmarkStart w:id="3" w:name="_GoBack"/>
            <w:bookmarkEnd w:id="3"/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 w:rsidRPr="00966F31">
        <w:trPr>
          <w:cantSplit/>
        </w:trPr>
        <w:tc>
          <w:tcPr>
            <w:tcW w:w="9889" w:type="dxa"/>
          </w:tcPr>
          <w:p w:rsidR="00093C73" w:rsidRPr="00966F31" w:rsidRDefault="005E1B18" w:rsidP="005E1B18">
            <w:pPr>
              <w:pStyle w:val="Source"/>
            </w:pPr>
            <w:bookmarkStart w:id="4" w:name="dsource" w:colFirst="0" w:colLast="0"/>
            <w:bookmarkEnd w:id="2"/>
            <w:r w:rsidRPr="00966F31">
              <w:t>Chairman, RAG</w:t>
            </w:r>
          </w:p>
        </w:tc>
      </w:tr>
      <w:tr w:rsidR="00093C73" w:rsidRPr="00966F31">
        <w:trPr>
          <w:cantSplit/>
        </w:trPr>
        <w:tc>
          <w:tcPr>
            <w:tcW w:w="9889" w:type="dxa"/>
          </w:tcPr>
          <w:p w:rsidR="00093C73" w:rsidRPr="00966F31" w:rsidRDefault="00966F31" w:rsidP="00966F31">
            <w:pPr>
              <w:pStyle w:val="Title1"/>
            </w:pPr>
            <w:bookmarkStart w:id="5" w:name="dtitle1" w:colFirst="0" w:colLast="0"/>
            <w:bookmarkEnd w:id="4"/>
            <w:r w:rsidRPr="00966F31">
              <w:t xml:space="preserve">Draft Terms of reference of the Correspondence Group </w:t>
            </w:r>
            <w:r w:rsidRPr="00966F31">
              <w:br/>
              <w:t>on BR Information Systems</w:t>
            </w:r>
          </w:p>
        </w:tc>
      </w:tr>
    </w:tbl>
    <w:bookmarkEnd w:id="5"/>
    <w:p w:rsidR="00966F31" w:rsidRPr="00966F31" w:rsidRDefault="00966F31" w:rsidP="00966F31">
      <w:pPr>
        <w:pStyle w:val="Heading1"/>
      </w:pPr>
      <w:r w:rsidRPr="00966F31">
        <w:t>1</w:t>
      </w:r>
      <w:r w:rsidRPr="00966F31">
        <w:tab/>
        <w:t>Scope of work</w:t>
      </w:r>
    </w:p>
    <w:p w:rsidR="00966F31" w:rsidRPr="00966F31" w:rsidRDefault="00966F31" w:rsidP="00966F31">
      <w:pPr>
        <w:rPr>
          <w:u w:val="single"/>
        </w:rPr>
      </w:pPr>
      <w:r w:rsidRPr="00966F31">
        <w:t>The Correspondence Group shall prepare a report intended to provide advice to the Director, BR, on the following aspects:</w:t>
      </w:r>
    </w:p>
    <w:p w:rsidR="00966F31" w:rsidRPr="00966F31" w:rsidRDefault="00966F31" w:rsidP="00966F31">
      <w:pPr>
        <w:pStyle w:val="enumlev1"/>
      </w:pPr>
      <w:r w:rsidRPr="00966F31">
        <w:t>•</w:t>
      </w:r>
      <w:r w:rsidRPr="00966F31">
        <w:tab/>
        <w:t>review existing software and databases</w:t>
      </w:r>
      <w:r w:rsidR="00380E25">
        <w:t>;</w:t>
      </w:r>
    </w:p>
    <w:p w:rsidR="00966F31" w:rsidRPr="00966F31" w:rsidRDefault="00966F31" w:rsidP="00966F31">
      <w:pPr>
        <w:pStyle w:val="enumlev1"/>
      </w:pPr>
      <w:r w:rsidRPr="00966F31">
        <w:t>•</w:t>
      </w:r>
      <w:r w:rsidRPr="00966F31">
        <w:tab/>
        <w:t>review notice processing workflows</w:t>
      </w:r>
      <w:r w:rsidR="00380E25">
        <w:t>;</w:t>
      </w:r>
    </w:p>
    <w:p w:rsidR="00966F31" w:rsidRPr="00966F31" w:rsidRDefault="00966F31" w:rsidP="00966F31">
      <w:pPr>
        <w:pStyle w:val="enumlev1"/>
      </w:pPr>
      <w:r w:rsidRPr="00966F31">
        <w:t>•</w:t>
      </w:r>
      <w:r w:rsidRPr="00966F31">
        <w:tab/>
        <w:t xml:space="preserve">review the means to ensure the security and integrity of the software </w:t>
      </w:r>
      <w:r w:rsidR="00380E25">
        <w:t>and databases;</w:t>
      </w:r>
    </w:p>
    <w:p w:rsidR="00966F31" w:rsidRPr="00966F31" w:rsidRDefault="00966F31" w:rsidP="00966F31">
      <w:pPr>
        <w:pStyle w:val="enumlev1"/>
      </w:pPr>
      <w:r w:rsidRPr="00966F31">
        <w:t>•</w:t>
      </w:r>
      <w:r w:rsidRPr="00966F31">
        <w:tab/>
        <w:t>evaluate existing platforms</w:t>
      </w:r>
      <w:r w:rsidR="00380E25">
        <w:t>;</w:t>
      </w:r>
    </w:p>
    <w:p w:rsidR="00966F31" w:rsidRPr="00966F31" w:rsidRDefault="00966F31" w:rsidP="00966F31">
      <w:pPr>
        <w:pStyle w:val="enumlev1"/>
      </w:pPr>
      <w:r w:rsidRPr="00966F31">
        <w:t>•</w:t>
      </w:r>
      <w:r w:rsidRPr="00966F31">
        <w:tab/>
        <w:t>evaluate cost/benefit implications and give recommendations</w:t>
      </w:r>
      <w:r w:rsidR="00380E25">
        <w:t>;</w:t>
      </w:r>
    </w:p>
    <w:p w:rsidR="00966F31" w:rsidRPr="00966F31" w:rsidRDefault="00966F31" w:rsidP="00966F31">
      <w:pPr>
        <w:pStyle w:val="enumlev1"/>
      </w:pPr>
      <w:r w:rsidRPr="00966F31">
        <w:t>•</w:t>
      </w:r>
      <w:r w:rsidRPr="00966F31">
        <w:tab/>
        <w:t>prioritize recommendations</w:t>
      </w:r>
      <w:r w:rsidR="00380E25">
        <w:t>;</w:t>
      </w:r>
    </w:p>
    <w:p w:rsidR="00966F31" w:rsidRPr="00966F31" w:rsidRDefault="00966F31" w:rsidP="00966F31">
      <w:pPr>
        <w:pStyle w:val="enumlev1"/>
      </w:pPr>
      <w:r w:rsidRPr="00966F31">
        <w:t>•</w:t>
      </w:r>
      <w:r w:rsidRPr="00966F31">
        <w:tab/>
        <w:t>establish target dates and roadmap based on the recommendations</w:t>
      </w:r>
      <w:r>
        <w:t>.</w:t>
      </w:r>
    </w:p>
    <w:p w:rsidR="00966F31" w:rsidRPr="00966F31" w:rsidRDefault="00966F31" w:rsidP="00966F31">
      <w:pPr>
        <w:pStyle w:val="Heading1"/>
      </w:pPr>
      <w:r>
        <w:t>2</w:t>
      </w:r>
      <w:r>
        <w:tab/>
      </w:r>
      <w:r w:rsidRPr="00966F31">
        <w:t xml:space="preserve">Form of work </w:t>
      </w:r>
    </w:p>
    <w:p w:rsidR="00966F31" w:rsidRDefault="00966F31" w:rsidP="00966F31">
      <w:r w:rsidRPr="00966F31">
        <w:t>The Correspondence Group shall work by correspondence. Some physical meetings of the members of the Correspondence Group may be foreseen, if strictly necessary.</w:t>
      </w:r>
    </w:p>
    <w:p w:rsidR="00966F31" w:rsidRDefault="00966F31" w:rsidP="00966F31">
      <w:pPr>
        <w:pStyle w:val="Heading1"/>
      </w:pPr>
      <w:r>
        <w:t>3</w:t>
      </w:r>
      <w:r>
        <w:tab/>
      </w:r>
      <w:r w:rsidRPr="00966F31">
        <w:t xml:space="preserve">Working methods </w:t>
      </w:r>
    </w:p>
    <w:p w:rsidR="00966F31" w:rsidRPr="00966F31" w:rsidRDefault="00966F31" w:rsidP="00966F31">
      <w:pPr>
        <w:rPr>
          <w:u w:val="single"/>
        </w:rPr>
      </w:pPr>
      <w:r w:rsidRPr="00966F31">
        <w:t xml:space="preserve">The members of the Correspondence Group should have access </w:t>
      </w:r>
      <w:r>
        <w:t xml:space="preserve">to all available documentation </w:t>
      </w:r>
      <w:r w:rsidRPr="00966F31">
        <w:t>from the Bureau</w:t>
      </w:r>
      <w:r>
        <w:t>,</w:t>
      </w:r>
      <w:r w:rsidRPr="00966F31">
        <w:t xml:space="preserve"> and may conduct interviews, surveys, use que</w:t>
      </w:r>
      <w:r>
        <w:t xml:space="preserve">stionnaires or any other means </w:t>
      </w:r>
      <w:r w:rsidRPr="00966F31">
        <w:t xml:space="preserve">appropriate to achieve </w:t>
      </w:r>
      <w:r w:rsidR="00380E25">
        <w:t xml:space="preserve">the </w:t>
      </w:r>
      <w:r w:rsidRPr="00966F31">
        <w:t>targets described above.</w:t>
      </w:r>
      <w:r w:rsidRPr="00966F31">
        <w:rPr>
          <w:u w:val="single"/>
        </w:rPr>
        <w:t xml:space="preserve"> </w:t>
      </w:r>
    </w:p>
    <w:p w:rsidR="00966F31" w:rsidRPr="00966F31" w:rsidRDefault="00B4789F" w:rsidP="00966F31">
      <w:pPr>
        <w:pStyle w:val="Heading1"/>
      </w:pPr>
      <w:r>
        <w:t>4</w:t>
      </w:r>
      <w:r w:rsidR="00966F31">
        <w:tab/>
      </w:r>
      <w:r w:rsidR="00966F31" w:rsidRPr="00966F31">
        <w:t>Composition</w:t>
      </w:r>
      <w:r w:rsidR="00966F31" w:rsidRPr="00966F31" w:rsidDel="00ED4958">
        <w:t xml:space="preserve"> </w:t>
      </w:r>
    </w:p>
    <w:p w:rsidR="00966F31" w:rsidRDefault="00966F31" w:rsidP="00966F31">
      <w:r w:rsidRPr="00966F31">
        <w:t xml:space="preserve">The Correspondence Group shall be composed of members from the membership; the Radiocommunication Bureau and the ITU Information Services Department. </w:t>
      </w:r>
    </w:p>
    <w:p w:rsidR="00966F31" w:rsidRDefault="00966F31" w:rsidP="00966F31">
      <w:r w:rsidRPr="00966F31">
        <w:t>The Correspondence Group will be chaired by: [TBD].</w:t>
      </w:r>
    </w:p>
    <w:p w:rsidR="00DF7377" w:rsidRDefault="00966F31" w:rsidP="00966F31">
      <w:r w:rsidRPr="00966F31">
        <w:t>BR will provide the secretariat support for the Correspondence Group.</w:t>
      </w:r>
    </w:p>
    <w:p w:rsidR="00DF7377" w:rsidRPr="00DF7377" w:rsidRDefault="00B4789F" w:rsidP="00DF7377">
      <w:pPr>
        <w:pStyle w:val="Heading1"/>
      </w:pPr>
      <w:r>
        <w:lastRenderedPageBreak/>
        <w:t>5</w:t>
      </w:r>
      <w:r w:rsidR="00DF7377">
        <w:tab/>
      </w:r>
      <w:r w:rsidR="00966F31" w:rsidRPr="00966F31">
        <w:t>Time</w:t>
      </w:r>
      <w:r w:rsidR="00DF7377">
        <w:t>-</w:t>
      </w:r>
      <w:r w:rsidR="00966F31" w:rsidRPr="00966F31">
        <w:t>frame</w:t>
      </w:r>
    </w:p>
    <w:p w:rsidR="00966F31" w:rsidRPr="00966F31" w:rsidRDefault="00966F31" w:rsidP="00DF7377">
      <w:r w:rsidRPr="00966F31">
        <w:t xml:space="preserve">The Correspondence Group shall start its work as of 1 July 2011. Its chairperson shall submit the Group’s report to the RAG on completion of </w:t>
      </w:r>
      <w:r w:rsidR="00DF7377">
        <w:t xml:space="preserve">the </w:t>
      </w:r>
      <w:r w:rsidRPr="00966F31">
        <w:t xml:space="preserve">Correspondence Group’s mandate by the 2012 session of the RAG. </w:t>
      </w:r>
    </w:p>
    <w:p w:rsidR="00966F31" w:rsidRPr="00966F31" w:rsidRDefault="00966F31" w:rsidP="00DF7377"/>
    <w:p w:rsidR="00966F31" w:rsidRPr="00966F31" w:rsidRDefault="00966F31" w:rsidP="00DF7377"/>
    <w:p w:rsidR="00966F31" w:rsidRPr="00966F31" w:rsidRDefault="00966F31" w:rsidP="00DF7377">
      <w:pPr>
        <w:jc w:val="center"/>
      </w:pPr>
      <w:r w:rsidRPr="00966F31">
        <w:t>____________</w:t>
      </w:r>
      <w:r w:rsidR="00DF7377">
        <w:t>__</w:t>
      </w:r>
    </w:p>
    <w:sectPr w:rsidR="00966F31" w:rsidRPr="00966F31" w:rsidSect="00F749FF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31" w:rsidRDefault="00966F31">
      <w:r>
        <w:separator/>
      </w:r>
    </w:p>
  </w:endnote>
  <w:endnote w:type="continuationSeparator" w:id="0">
    <w:p w:rsidR="00966F31" w:rsidRDefault="0096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25" w:rsidRPr="001E41A0" w:rsidRDefault="00380E25" w:rsidP="00380E25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E476E8">
      <w:rPr>
        <w:lang w:val="en-US"/>
      </w:rPr>
      <w:t>P:\ENG\ITU-R\AG\RAG11\RAG-1\DT\001E.docx</w:t>
    </w:r>
    <w:r>
      <w:rPr>
        <w:lang w:val="es-ES_tradnl"/>
      </w:rPr>
      <w:fldChar w:fldCharType="end"/>
    </w:r>
    <w:r w:rsidRPr="00966F31">
      <w:rPr>
        <w:lang w:val="en-US"/>
      </w:rPr>
      <w:t xml:space="preserve"> (309459)</w:t>
    </w:r>
    <w:r w:rsidRPr="001E41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76E8">
      <w:t>09.06.11</w:t>
    </w:r>
    <w:r>
      <w:fldChar w:fldCharType="end"/>
    </w:r>
    <w:r w:rsidRPr="001E41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76E8">
      <w:t>09.06.11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31" w:rsidRPr="001E41A0" w:rsidRDefault="00966F31" w:rsidP="001E41A0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E476E8">
      <w:rPr>
        <w:lang w:val="en-US"/>
      </w:rPr>
      <w:t>P:\ENG\ITU-R\AG\RAG11\RAG-1\DT\001E.docx</w:t>
    </w:r>
    <w:r>
      <w:rPr>
        <w:lang w:val="es-ES_tradnl"/>
      </w:rPr>
      <w:fldChar w:fldCharType="end"/>
    </w:r>
    <w:r w:rsidRPr="00966F31">
      <w:rPr>
        <w:lang w:val="en-US"/>
      </w:rPr>
      <w:t xml:space="preserve"> (309459)</w:t>
    </w:r>
    <w:r w:rsidRPr="001E41A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76E8">
      <w:t>09.06.11</w:t>
    </w:r>
    <w:r>
      <w:fldChar w:fldCharType="end"/>
    </w:r>
    <w:r w:rsidRPr="001E41A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76E8">
      <w:t>09.06.11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31" w:rsidRDefault="00966F31">
      <w:r>
        <w:t>____________________</w:t>
      </w:r>
    </w:p>
  </w:footnote>
  <w:footnote w:type="continuationSeparator" w:id="0">
    <w:p w:rsidR="00966F31" w:rsidRDefault="00966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31" w:rsidRDefault="00966F3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E476E8">
      <w:rPr>
        <w:noProof/>
      </w:rPr>
      <w:t>2</w:t>
    </w:r>
    <w:r>
      <w:rPr>
        <w:noProof/>
      </w:rPr>
      <w:fldChar w:fldCharType="end"/>
    </w:r>
  </w:p>
  <w:p w:rsidR="00966F31" w:rsidRDefault="00966F31" w:rsidP="00380E25">
    <w:pPr>
      <w:pStyle w:val="Header"/>
      <w:rPr>
        <w:lang w:val="es-ES"/>
      </w:rPr>
    </w:pPr>
    <w:r>
      <w:rPr>
        <w:lang w:val="es-ES"/>
      </w:rPr>
      <w:t>RAG11-1/</w:t>
    </w:r>
    <w:r w:rsidR="00380E25">
      <w:rPr>
        <w:lang w:val="es-ES"/>
      </w:rPr>
      <w:t>TEMP/1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67F80"/>
    <w:multiLevelType w:val="hybridMultilevel"/>
    <w:tmpl w:val="53184C8C"/>
    <w:lvl w:ilvl="0" w:tplc="10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150F2701"/>
    <w:multiLevelType w:val="hybridMultilevel"/>
    <w:tmpl w:val="928445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18"/>
    <w:rsid w:val="00093C73"/>
    <w:rsid w:val="001377D6"/>
    <w:rsid w:val="001B7872"/>
    <w:rsid w:val="001E41A0"/>
    <w:rsid w:val="002774E4"/>
    <w:rsid w:val="00380E25"/>
    <w:rsid w:val="003D068D"/>
    <w:rsid w:val="003E5EEC"/>
    <w:rsid w:val="00507DA3"/>
    <w:rsid w:val="0051782D"/>
    <w:rsid w:val="00597657"/>
    <w:rsid w:val="005E1B18"/>
    <w:rsid w:val="00746923"/>
    <w:rsid w:val="00806E63"/>
    <w:rsid w:val="008B3F50"/>
    <w:rsid w:val="0095426A"/>
    <w:rsid w:val="00966F31"/>
    <w:rsid w:val="00A16CB2"/>
    <w:rsid w:val="00B4789F"/>
    <w:rsid w:val="00B52992"/>
    <w:rsid w:val="00CC1D49"/>
    <w:rsid w:val="00CD4D80"/>
    <w:rsid w:val="00DD3BF8"/>
    <w:rsid w:val="00DF7377"/>
    <w:rsid w:val="00E20E4B"/>
    <w:rsid w:val="00E476E8"/>
    <w:rsid w:val="00E72F32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966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CD4D80"/>
    <w:rPr>
      <w:vertAlign w:val="superscript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ListParagraph">
    <w:name w:val="List Paragraph"/>
    <w:basedOn w:val="Normal"/>
    <w:uiPriority w:val="34"/>
    <w:qFormat/>
    <w:rsid w:val="00966F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rnbulk\Application%20Data\Microsoft\Templates\POOL%20E%20-%20ITU\PE_RAG1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PE_RAG11.dotm</Template>
  <TotalTime>15</TotalTime>
  <Pages>2</Pages>
  <Words>237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1	Scope of work</vt:lpstr>
      <vt:lpstr>2	Form of work </vt:lpstr>
      <vt:lpstr>3	Working methods </vt:lpstr>
      <vt:lpstr>3	Composition </vt:lpstr>
    </vt:vector>
  </TitlesOfParts>
  <Manager>General Secretariat - Pool</Manager>
  <Company>International Telecommunication Union (ITU)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</dc:creator>
  <cp:keywords/>
  <dc:description>PE_RAG10.dotm  For: _x000d_Document date: _x000d_Saved by TRA44246 at 12:32:17 on 12.02.2010</dc:description>
  <cp:lastModifiedBy>bobby</cp:lastModifiedBy>
  <cp:revision>9</cp:revision>
  <cp:lastPrinted>2011-06-09T18:39:00Z</cp:lastPrinted>
  <dcterms:created xsi:type="dcterms:W3CDTF">2011-06-09T18:20:00Z</dcterms:created>
  <dcterms:modified xsi:type="dcterms:W3CDTF">2011-06-09T18:40:00Z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