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C4779" w:rsidTr="00306452">
        <w:trPr>
          <w:jc w:val="center"/>
        </w:trPr>
        <w:tc>
          <w:tcPr>
            <w:tcW w:w="9889" w:type="dxa"/>
            <w:gridSpan w:val="3"/>
            <w:shd w:val="clear" w:color="auto" w:fill="auto"/>
          </w:tcPr>
          <w:p w:rsidR="00E53DCE" w:rsidRPr="00DC4779" w:rsidRDefault="00A96D3A" w:rsidP="006160CB">
            <w:pPr>
              <w:spacing w:before="0"/>
              <w:jc w:val="left"/>
              <w:rPr>
                <w:rFonts w:cstheme="minorHAnsi"/>
                <w:b/>
                <w:bCs/>
                <w:color w:val="808080"/>
                <w:sz w:val="28"/>
                <w:szCs w:val="28"/>
                <w:lang w:val="es-ES_tradnl"/>
              </w:rPr>
            </w:pPr>
            <w:r w:rsidRPr="00DC4779">
              <w:rPr>
                <w:rFonts w:cstheme="minorHAnsi"/>
                <w:b/>
                <w:bCs/>
                <w:color w:val="808080"/>
                <w:sz w:val="28"/>
                <w:szCs w:val="28"/>
                <w:lang w:val="es-ES_tradnl"/>
              </w:rPr>
              <w:t>Oficina de Radiocomunicaciones (BR)</w:t>
            </w:r>
          </w:p>
          <w:p w:rsidR="00E53DCE" w:rsidRPr="00DC4779" w:rsidRDefault="00E53DCE" w:rsidP="006160CB">
            <w:pPr>
              <w:spacing w:before="0"/>
              <w:jc w:val="left"/>
              <w:rPr>
                <w:rFonts w:cstheme="minorHAnsi"/>
                <w:b/>
                <w:bCs/>
                <w:color w:val="808080"/>
                <w:sz w:val="28"/>
                <w:szCs w:val="28"/>
                <w:lang w:val="es-ES_tradnl"/>
              </w:rPr>
            </w:pPr>
          </w:p>
          <w:p w:rsidR="00E53DCE" w:rsidRPr="00DC4779" w:rsidRDefault="00E53DCE" w:rsidP="006160CB">
            <w:pPr>
              <w:spacing w:before="0"/>
              <w:jc w:val="left"/>
              <w:rPr>
                <w:rFonts w:cs="Times New Roman Bold"/>
                <w:b/>
                <w:bCs/>
                <w:color w:val="808080"/>
                <w:sz w:val="28"/>
                <w:szCs w:val="28"/>
                <w:lang w:val="es-ES_tradnl"/>
              </w:rPr>
            </w:pPr>
          </w:p>
        </w:tc>
      </w:tr>
      <w:tr w:rsidR="00E53DCE" w:rsidRPr="00DC4779" w:rsidTr="00306452">
        <w:trPr>
          <w:jc w:val="center"/>
        </w:trPr>
        <w:tc>
          <w:tcPr>
            <w:tcW w:w="7054" w:type="dxa"/>
            <w:gridSpan w:val="2"/>
            <w:shd w:val="clear" w:color="auto" w:fill="auto"/>
          </w:tcPr>
          <w:p w:rsidR="00E53DCE" w:rsidRPr="00DC4779" w:rsidRDefault="00A96D3A" w:rsidP="006160CB">
            <w:pPr>
              <w:spacing w:before="0"/>
              <w:jc w:val="left"/>
              <w:rPr>
                <w:szCs w:val="24"/>
                <w:lang w:val="es-ES_tradnl"/>
              </w:rPr>
            </w:pPr>
            <w:r w:rsidRPr="00DC4779">
              <w:rPr>
                <w:szCs w:val="24"/>
                <w:lang w:val="es-ES_tradnl"/>
              </w:rPr>
              <w:t>Circular Administrativa</w:t>
            </w:r>
          </w:p>
          <w:p w:rsidR="00E53DCE" w:rsidRPr="00DC4779" w:rsidRDefault="00E53DCE" w:rsidP="005A4C18">
            <w:pPr>
              <w:spacing w:before="0"/>
              <w:jc w:val="left"/>
              <w:rPr>
                <w:b/>
                <w:bCs/>
                <w:szCs w:val="24"/>
                <w:lang w:val="es-ES_tradnl"/>
              </w:rPr>
            </w:pPr>
            <w:r w:rsidRPr="00DC4779">
              <w:rPr>
                <w:b/>
                <w:bCs/>
                <w:szCs w:val="24"/>
                <w:lang w:val="es-ES_tradnl"/>
              </w:rPr>
              <w:t>C</w:t>
            </w:r>
            <w:r w:rsidR="005A4C18" w:rsidRPr="00DC4779">
              <w:rPr>
                <w:b/>
                <w:bCs/>
                <w:szCs w:val="24"/>
                <w:lang w:val="es-ES_tradnl"/>
              </w:rPr>
              <w:t>R</w:t>
            </w:r>
            <w:r w:rsidRPr="00DC4779">
              <w:rPr>
                <w:b/>
                <w:bCs/>
                <w:szCs w:val="24"/>
                <w:lang w:val="es-ES_tradnl"/>
              </w:rPr>
              <w:t>/</w:t>
            </w:r>
            <w:r w:rsidR="005A4C18" w:rsidRPr="00DC4779">
              <w:rPr>
                <w:b/>
                <w:bCs/>
                <w:szCs w:val="24"/>
                <w:lang w:val="es-ES_tradnl"/>
              </w:rPr>
              <w:t>405</w:t>
            </w:r>
          </w:p>
        </w:tc>
        <w:tc>
          <w:tcPr>
            <w:tcW w:w="2835" w:type="dxa"/>
            <w:shd w:val="clear" w:color="auto" w:fill="auto"/>
          </w:tcPr>
          <w:p w:rsidR="00E53DCE" w:rsidRPr="00DC4779" w:rsidRDefault="00245FE4" w:rsidP="006160CB">
            <w:pPr>
              <w:spacing w:before="0"/>
              <w:jc w:val="right"/>
              <w:rPr>
                <w:szCs w:val="24"/>
                <w:lang w:val="es-ES_tradnl"/>
              </w:rPr>
            </w:pPr>
            <w:r>
              <w:rPr>
                <w:bCs/>
                <w:szCs w:val="24"/>
                <w:lang w:val="es-ES_tradnl"/>
              </w:rPr>
              <w:t>3</w:t>
            </w:r>
            <w:r w:rsidR="005A4C18" w:rsidRPr="00DC4779">
              <w:rPr>
                <w:bCs/>
                <w:szCs w:val="24"/>
                <w:lang w:val="es-ES_tradnl"/>
              </w:rPr>
              <w:t xml:space="preserve"> de junio de 2016</w:t>
            </w:r>
          </w:p>
        </w:tc>
      </w:tr>
      <w:tr w:rsidR="00E53DCE" w:rsidRPr="00DC4779" w:rsidTr="00306452">
        <w:trPr>
          <w:jc w:val="center"/>
        </w:trPr>
        <w:tc>
          <w:tcPr>
            <w:tcW w:w="9889" w:type="dxa"/>
            <w:gridSpan w:val="3"/>
            <w:shd w:val="clear" w:color="auto" w:fill="auto"/>
          </w:tcPr>
          <w:p w:rsidR="00E53DCE" w:rsidRPr="00DC4779" w:rsidRDefault="00E53DCE" w:rsidP="006160CB">
            <w:pPr>
              <w:spacing w:before="0"/>
              <w:jc w:val="left"/>
              <w:rPr>
                <w:rFonts w:cs="Arial"/>
                <w:szCs w:val="24"/>
                <w:lang w:val="es-ES_tradnl"/>
              </w:rPr>
            </w:pPr>
          </w:p>
        </w:tc>
      </w:tr>
      <w:tr w:rsidR="00E53DCE" w:rsidRPr="00DC4779" w:rsidTr="00306452">
        <w:trPr>
          <w:jc w:val="center"/>
        </w:trPr>
        <w:tc>
          <w:tcPr>
            <w:tcW w:w="9889" w:type="dxa"/>
            <w:gridSpan w:val="3"/>
            <w:shd w:val="clear" w:color="auto" w:fill="auto"/>
          </w:tcPr>
          <w:p w:rsidR="00E53DCE" w:rsidRPr="00DC4779" w:rsidRDefault="00E53DCE" w:rsidP="006160CB">
            <w:pPr>
              <w:spacing w:before="0"/>
              <w:jc w:val="left"/>
              <w:rPr>
                <w:szCs w:val="24"/>
                <w:lang w:val="es-ES_tradnl"/>
              </w:rPr>
            </w:pPr>
          </w:p>
        </w:tc>
      </w:tr>
      <w:tr w:rsidR="00E53DCE" w:rsidRPr="00245FE4" w:rsidTr="00306452">
        <w:trPr>
          <w:jc w:val="center"/>
        </w:trPr>
        <w:tc>
          <w:tcPr>
            <w:tcW w:w="9889" w:type="dxa"/>
            <w:gridSpan w:val="3"/>
            <w:shd w:val="clear" w:color="auto" w:fill="auto"/>
          </w:tcPr>
          <w:p w:rsidR="00E53DCE" w:rsidRPr="00DC4779" w:rsidRDefault="00FE4822" w:rsidP="006160CB">
            <w:pPr>
              <w:spacing w:before="0"/>
              <w:jc w:val="left"/>
              <w:rPr>
                <w:b/>
                <w:bCs/>
                <w:szCs w:val="24"/>
                <w:lang w:val="es-ES_tradnl"/>
              </w:rPr>
            </w:pPr>
            <w:r w:rsidRPr="00DC4779">
              <w:rPr>
                <w:b/>
                <w:szCs w:val="24"/>
                <w:lang w:val="es-ES_tradnl"/>
              </w:rPr>
              <w:t>A las Administraciones de los Estados Miembros de la UIT</w:t>
            </w:r>
          </w:p>
          <w:p w:rsidR="00E53DCE" w:rsidRPr="00DC4779" w:rsidRDefault="00E53DCE" w:rsidP="006160CB">
            <w:pPr>
              <w:spacing w:before="0"/>
              <w:jc w:val="left"/>
              <w:rPr>
                <w:b/>
                <w:bCs/>
                <w:szCs w:val="24"/>
                <w:lang w:val="es-ES_tradnl"/>
              </w:rPr>
            </w:pPr>
          </w:p>
        </w:tc>
      </w:tr>
      <w:tr w:rsidR="00E53DCE" w:rsidRPr="00245FE4" w:rsidTr="00306452">
        <w:trPr>
          <w:jc w:val="center"/>
        </w:trPr>
        <w:tc>
          <w:tcPr>
            <w:tcW w:w="9889" w:type="dxa"/>
            <w:gridSpan w:val="3"/>
            <w:shd w:val="clear" w:color="auto" w:fill="auto"/>
          </w:tcPr>
          <w:p w:rsidR="00E53DCE" w:rsidRPr="00DC4779" w:rsidRDefault="00E53DCE" w:rsidP="006160CB">
            <w:pPr>
              <w:spacing w:before="0"/>
              <w:jc w:val="left"/>
              <w:rPr>
                <w:szCs w:val="24"/>
                <w:lang w:val="es-ES_tradnl"/>
              </w:rPr>
            </w:pPr>
          </w:p>
        </w:tc>
      </w:tr>
      <w:tr w:rsidR="00E53DCE" w:rsidRPr="00245FE4" w:rsidTr="00306452">
        <w:trPr>
          <w:jc w:val="center"/>
        </w:trPr>
        <w:tc>
          <w:tcPr>
            <w:tcW w:w="9889" w:type="dxa"/>
            <w:gridSpan w:val="3"/>
            <w:shd w:val="clear" w:color="auto" w:fill="auto"/>
          </w:tcPr>
          <w:p w:rsidR="00E53DCE" w:rsidRPr="00DC4779" w:rsidRDefault="00E53DCE" w:rsidP="006160CB">
            <w:pPr>
              <w:spacing w:before="0"/>
              <w:jc w:val="left"/>
              <w:rPr>
                <w:szCs w:val="24"/>
                <w:lang w:val="es-ES_tradnl"/>
              </w:rPr>
            </w:pPr>
          </w:p>
        </w:tc>
      </w:tr>
      <w:tr w:rsidR="00E53DCE" w:rsidRPr="00245FE4" w:rsidTr="00306452">
        <w:trPr>
          <w:jc w:val="center"/>
        </w:trPr>
        <w:tc>
          <w:tcPr>
            <w:tcW w:w="1526" w:type="dxa"/>
            <w:shd w:val="clear" w:color="auto" w:fill="auto"/>
          </w:tcPr>
          <w:p w:rsidR="00E53DCE" w:rsidRPr="00DC4779" w:rsidRDefault="00311970" w:rsidP="006160CB">
            <w:pPr>
              <w:tabs>
                <w:tab w:val="clear" w:pos="1588"/>
                <w:tab w:val="left" w:pos="1560"/>
              </w:tabs>
              <w:spacing w:before="0"/>
              <w:jc w:val="left"/>
              <w:rPr>
                <w:szCs w:val="24"/>
                <w:lang w:val="es-ES_tradnl"/>
              </w:rPr>
            </w:pPr>
            <w:r w:rsidRPr="00DC4779">
              <w:rPr>
                <w:szCs w:val="24"/>
                <w:lang w:val="es-ES_tradnl"/>
              </w:rPr>
              <w:t>Asunto:</w:t>
            </w:r>
          </w:p>
        </w:tc>
        <w:tc>
          <w:tcPr>
            <w:tcW w:w="8363" w:type="dxa"/>
            <w:gridSpan w:val="2"/>
            <w:vMerge w:val="restart"/>
            <w:shd w:val="clear" w:color="auto" w:fill="auto"/>
          </w:tcPr>
          <w:p w:rsidR="00E53DCE" w:rsidRPr="00DC4779" w:rsidRDefault="005A4C18" w:rsidP="006160CB">
            <w:pPr>
              <w:tabs>
                <w:tab w:val="clear" w:pos="1588"/>
                <w:tab w:val="left" w:pos="1560"/>
              </w:tabs>
              <w:spacing w:before="0"/>
              <w:rPr>
                <w:b/>
                <w:bCs/>
                <w:szCs w:val="24"/>
                <w:lang w:val="es-ES_tradnl"/>
              </w:rPr>
            </w:pPr>
            <w:r w:rsidRPr="00DC4779">
              <w:rPr>
                <w:b/>
                <w:bCs/>
                <w:szCs w:val="24"/>
                <w:lang w:val="es-ES_tradnl"/>
              </w:rPr>
              <w:t>Programa informático de validación de la densidad de flujo de potencia equivalente (</w:t>
            </w:r>
            <w:r w:rsidR="00C954C9" w:rsidRPr="00EC32EA">
              <w:rPr>
                <w:b/>
                <w:bCs/>
                <w:caps/>
                <w:szCs w:val="24"/>
                <w:lang w:val="es-ES_tradnl"/>
              </w:rPr>
              <w:t>dfpe</w:t>
            </w:r>
            <w:r w:rsidRPr="00DC4779">
              <w:rPr>
                <w:b/>
                <w:bCs/>
                <w:szCs w:val="24"/>
                <w:lang w:val="es-ES_tradnl"/>
              </w:rPr>
              <w:t>) (Resolución 85 (CMR-03))</w:t>
            </w:r>
          </w:p>
        </w:tc>
      </w:tr>
      <w:tr w:rsidR="00E53DCE" w:rsidRPr="00245FE4" w:rsidTr="00306452">
        <w:trPr>
          <w:jc w:val="center"/>
        </w:trPr>
        <w:tc>
          <w:tcPr>
            <w:tcW w:w="1526" w:type="dxa"/>
            <w:shd w:val="clear" w:color="auto" w:fill="auto"/>
          </w:tcPr>
          <w:p w:rsidR="00E53DCE" w:rsidRPr="00DC477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C4779" w:rsidRDefault="00E53DCE" w:rsidP="006160CB">
            <w:pPr>
              <w:tabs>
                <w:tab w:val="clear" w:pos="1588"/>
                <w:tab w:val="left" w:pos="1560"/>
              </w:tabs>
              <w:spacing w:before="0"/>
              <w:rPr>
                <w:b/>
                <w:bCs/>
                <w:szCs w:val="24"/>
                <w:lang w:val="es-ES_tradnl"/>
              </w:rPr>
            </w:pPr>
          </w:p>
        </w:tc>
      </w:tr>
      <w:tr w:rsidR="00E53DCE" w:rsidRPr="00245FE4" w:rsidTr="00306452">
        <w:trPr>
          <w:jc w:val="center"/>
        </w:trPr>
        <w:tc>
          <w:tcPr>
            <w:tcW w:w="1526" w:type="dxa"/>
            <w:shd w:val="clear" w:color="auto" w:fill="auto"/>
          </w:tcPr>
          <w:p w:rsidR="00E53DCE" w:rsidRPr="00DC477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C4779" w:rsidRDefault="00E53DCE" w:rsidP="006160CB">
            <w:pPr>
              <w:tabs>
                <w:tab w:val="clear" w:pos="1588"/>
                <w:tab w:val="left" w:pos="1560"/>
              </w:tabs>
              <w:spacing w:before="0"/>
              <w:rPr>
                <w:b/>
                <w:bCs/>
                <w:szCs w:val="24"/>
                <w:lang w:val="es-ES_tradnl"/>
              </w:rPr>
            </w:pPr>
          </w:p>
        </w:tc>
      </w:tr>
      <w:tr w:rsidR="00E53DCE" w:rsidRPr="00245FE4" w:rsidTr="00306452">
        <w:trPr>
          <w:jc w:val="center"/>
        </w:trPr>
        <w:tc>
          <w:tcPr>
            <w:tcW w:w="9889" w:type="dxa"/>
            <w:gridSpan w:val="3"/>
            <w:shd w:val="clear" w:color="auto" w:fill="auto"/>
          </w:tcPr>
          <w:p w:rsidR="00E53DCE" w:rsidRPr="00DC4779" w:rsidRDefault="00E53DCE" w:rsidP="00E53DCE">
            <w:pPr>
              <w:tabs>
                <w:tab w:val="clear" w:pos="1588"/>
                <w:tab w:val="left" w:pos="1560"/>
              </w:tabs>
              <w:spacing w:before="0"/>
              <w:jc w:val="left"/>
              <w:rPr>
                <w:szCs w:val="24"/>
                <w:lang w:val="es-ES_tradnl"/>
              </w:rPr>
            </w:pPr>
          </w:p>
        </w:tc>
      </w:tr>
      <w:tr w:rsidR="00E53DCE" w:rsidRPr="00245FE4" w:rsidTr="00306452">
        <w:trPr>
          <w:jc w:val="center"/>
        </w:trPr>
        <w:tc>
          <w:tcPr>
            <w:tcW w:w="9889" w:type="dxa"/>
            <w:gridSpan w:val="3"/>
            <w:shd w:val="clear" w:color="auto" w:fill="auto"/>
          </w:tcPr>
          <w:p w:rsidR="00E53DCE" w:rsidRPr="00DC4779" w:rsidRDefault="00E53DCE" w:rsidP="006160CB">
            <w:pPr>
              <w:spacing w:before="0"/>
              <w:jc w:val="left"/>
              <w:rPr>
                <w:b/>
                <w:bCs/>
                <w:szCs w:val="24"/>
                <w:lang w:val="es-ES_tradnl"/>
              </w:rPr>
            </w:pPr>
          </w:p>
        </w:tc>
      </w:tr>
    </w:tbl>
    <w:p w:rsidR="005A4C18" w:rsidRPr="00DC4779" w:rsidRDefault="005A4C18" w:rsidP="006B462D">
      <w:pPr>
        <w:rPr>
          <w:lang w:val="es-ES_tradnl"/>
        </w:rPr>
      </w:pPr>
      <w:r w:rsidRPr="00DC4779">
        <w:rPr>
          <w:lang w:val="es-ES_tradnl"/>
        </w:rPr>
        <w:t xml:space="preserve">En la Resolución </w:t>
      </w:r>
      <w:r w:rsidRPr="00DC4779">
        <w:rPr>
          <w:b/>
          <w:bCs/>
          <w:lang w:val="es-ES_tradnl"/>
        </w:rPr>
        <w:t>85 (CMR-03)</w:t>
      </w:r>
      <w:r w:rsidRPr="00DC4779">
        <w:rPr>
          <w:lang w:val="es-ES_tradnl"/>
        </w:rPr>
        <w:t xml:space="preserve"> se pide a la Oficina de Radiocomunicaciones que verifique que las asignaciones de frecuencias de los sistemas de satélites no OSG del servicio fijo por satélite cumplen los límites de densidad de flujo de potencia equivalente de una sola fuente de los Cuadros </w:t>
      </w:r>
      <w:r w:rsidRPr="00DC4779">
        <w:rPr>
          <w:b/>
          <w:bCs/>
          <w:lang w:val="es-ES_tradnl"/>
        </w:rPr>
        <w:t>22-1A</w:t>
      </w:r>
      <w:r w:rsidRPr="00DC4779">
        <w:rPr>
          <w:lang w:val="es-ES_tradnl"/>
        </w:rPr>
        <w:t xml:space="preserve">, </w:t>
      </w:r>
      <w:r w:rsidRPr="00DC4779">
        <w:rPr>
          <w:b/>
          <w:bCs/>
          <w:lang w:val="es-ES_tradnl"/>
        </w:rPr>
        <w:t>22-1B</w:t>
      </w:r>
      <w:r w:rsidRPr="00DC4779">
        <w:rPr>
          <w:lang w:val="es-ES_tradnl"/>
        </w:rPr>
        <w:t xml:space="preserve">, </w:t>
      </w:r>
      <w:r w:rsidRPr="00DC4779">
        <w:rPr>
          <w:b/>
          <w:bCs/>
          <w:lang w:val="es-ES_tradnl"/>
        </w:rPr>
        <w:t>22-1C</w:t>
      </w:r>
      <w:r w:rsidRPr="00DC4779">
        <w:rPr>
          <w:lang w:val="es-ES_tradnl"/>
        </w:rPr>
        <w:t xml:space="preserve">, </w:t>
      </w:r>
      <w:r w:rsidRPr="00DC4779">
        <w:rPr>
          <w:b/>
          <w:bCs/>
          <w:lang w:val="es-ES_tradnl"/>
        </w:rPr>
        <w:t>22-1D</w:t>
      </w:r>
      <w:r w:rsidRPr="00DC4779">
        <w:rPr>
          <w:lang w:val="es-ES_tradnl"/>
        </w:rPr>
        <w:t xml:space="preserve">, </w:t>
      </w:r>
      <w:r w:rsidRPr="00DC4779">
        <w:rPr>
          <w:b/>
          <w:bCs/>
          <w:lang w:val="es-ES_tradnl"/>
        </w:rPr>
        <w:t>22-1E</w:t>
      </w:r>
      <w:r w:rsidRPr="00DC4779">
        <w:rPr>
          <w:lang w:val="es-ES_tradnl"/>
        </w:rPr>
        <w:t xml:space="preserve">, </w:t>
      </w:r>
      <w:r w:rsidRPr="00DC4779">
        <w:rPr>
          <w:b/>
          <w:bCs/>
          <w:lang w:val="es-ES_tradnl"/>
        </w:rPr>
        <w:t>22-2</w:t>
      </w:r>
      <w:r w:rsidRPr="00DC4779">
        <w:rPr>
          <w:lang w:val="es-ES_tradnl"/>
        </w:rPr>
        <w:t xml:space="preserve"> y </w:t>
      </w:r>
      <w:r w:rsidRPr="00DC4779">
        <w:rPr>
          <w:b/>
          <w:bCs/>
          <w:lang w:val="es-ES_tradnl"/>
        </w:rPr>
        <w:t>22-3</w:t>
      </w:r>
      <w:r w:rsidRPr="00DC4779">
        <w:rPr>
          <w:lang w:val="es-ES_tradnl"/>
        </w:rPr>
        <w:t xml:space="preserve"> del Artículo </w:t>
      </w:r>
      <w:r w:rsidRPr="00EF4CC7">
        <w:rPr>
          <w:lang w:val="es-ES_tradnl"/>
        </w:rPr>
        <w:t>22</w:t>
      </w:r>
      <w:r w:rsidRPr="00DC4779">
        <w:rPr>
          <w:lang w:val="es-ES_tradnl"/>
        </w:rPr>
        <w:t xml:space="preserve"> del Reglamento de Radiocomunicaciones, y que determine los requisitos de coordinación con arreglo a los números </w:t>
      </w:r>
      <w:r w:rsidRPr="00DC4779">
        <w:rPr>
          <w:b/>
          <w:bCs/>
          <w:lang w:val="es-ES_tradnl"/>
        </w:rPr>
        <w:t>9.7A</w:t>
      </w:r>
      <w:r w:rsidRPr="00DC4779">
        <w:rPr>
          <w:lang w:val="es-ES_tradnl"/>
        </w:rPr>
        <w:t xml:space="preserve"> y </w:t>
      </w:r>
      <w:r w:rsidRPr="00DC4779">
        <w:rPr>
          <w:b/>
          <w:bCs/>
          <w:lang w:val="es-ES_tradnl"/>
        </w:rPr>
        <w:t>9.7B</w:t>
      </w:r>
      <w:r w:rsidRPr="00DC4779">
        <w:rPr>
          <w:lang w:val="es-ES_tradnl"/>
        </w:rPr>
        <w:t>.</w:t>
      </w:r>
    </w:p>
    <w:p w:rsidR="005A4C18" w:rsidRPr="00DC4779" w:rsidRDefault="005A4C18" w:rsidP="005A4C18">
      <w:pPr>
        <w:rPr>
          <w:szCs w:val="24"/>
          <w:lang w:val="es-ES_tradnl"/>
        </w:rPr>
      </w:pPr>
      <w:r w:rsidRPr="00DC4779">
        <w:rPr>
          <w:szCs w:val="24"/>
          <w:lang w:val="es-ES_tradnl"/>
        </w:rPr>
        <w:t xml:space="preserve">Con el fin de realizar este examen reglamentario, la Oficina necesita un programa informático de validación para calcular los niveles de </w:t>
      </w:r>
      <w:r w:rsidRPr="00EF4CC7">
        <w:rPr>
          <w:caps/>
          <w:szCs w:val="24"/>
          <w:lang w:val="es-ES_tradnl"/>
        </w:rPr>
        <w:t>dfpe</w:t>
      </w:r>
      <w:r w:rsidRPr="00DC4779">
        <w:rPr>
          <w:szCs w:val="24"/>
          <w:lang w:val="es-ES_tradnl"/>
        </w:rPr>
        <w:t xml:space="preserve"> producidos por los sistemas de satélites no OSG. Debido a la complejidad </w:t>
      </w:r>
      <w:r w:rsidRPr="00DC4779">
        <w:rPr>
          <w:lang w:val="es-ES_tradnl"/>
        </w:rPr>
        <w:t>del</w:t>
      </w:r>
      <w:r w:rsidRPr="00DC4779">
        <w:rPr>
          <w:szCs w:val="24"/>
          <w:lang w:val="es-ES_tradnl"/>
        </w:rPr>
        <w:t xml:space="preserve"> algoritmo recogido en la Recomendación UIT-R S.1503-2 </w:t>
      </w:r>
      <w:r w:rsidR="00DC4779">
        <w:rPr>
          <w:szCs w:val="24"/>
          <w:lang w:val="es-ES_tradnl"/>
        </w:rPr>
        <w:t>y a fin de</w:t>
      </w:r>
      <w:r w:rsidRPr="00DC4779">
        <w:rPr>
          <w:szCs w:val="24"/>
          <w:lang w:val="es-ES_tradnl"/>
        </w:rPr>
        <w:t xml:space="preserve"> lograr mayor confianza en los resultados ofrecidos por la herramienta informática, la Oficina contrató a dos empresas informáticas que han desarrollado herramientas basadas en dos implementaciones independientes de la Recomendación UIT-R S.1503-2.</w:t>
      </w:r>
    </w:p>
    <w:p w:rsidR="005A4C18" w:rsidRPr="00DC4779" w:rsidRDefault="005A4C18" w:rsidP="00072306">
      <w:pPr>
        <w:spacing w:after="240"/>
        <w:rPr>
          <w:szCs w:val="24"/>
          <w:lang w:val="es-ES_tradnl"/>
        </w:rPr>
      </w:pPr>
      <w:r w:rsidRPr="00DC4779">
        <w:rPr>
          <w:szCs w:val="24"/>
          <w:lang w:val="es-ES_tradnl"/>
        </w:rPr>
        <w:t xml:space="preserve">Con arreglo a los </w:t>
      </w:r>
      <w:r w:rsidRPr="00DC4779">
        <w:rPr>
          <w:i/>
          <w:iCs/>
          <w:szCs w:val="24"/>
          <w:lang w:val="es-ES_tradnl"/>
        </w:rPr>
        <w:t>encarga al Director de la Oficina de Radiocomunicaciones</w:t>
      </w:r>
      <w:r w:rsidRPr="00DC4779">
        <w:rPr>
          <w:szCs w:val="24"/>
          <w:lang w:val="es-ES_tradnl"/>
        </w:rPr>
        <w:t xml:space="preserve"> 2 y 3 de la Resolución </w:t>
      </w:r>
      <w:r w:rsidRPr="00DC4779">
        <w:rPr>
          <w:b/>
          <w:bCs/>
          <w:szCs w:val="24"/>
          <w:lang w:val="es-ES_tradnl"/>
        </w:rPr>
        <w:t>85 (CMR-03)</w:t>
      </w:r>
      <w:r w:rsidRPr="00DC4779">
        <w:rPr>
          <w:szCs w:val="24"/>
          <w:lang w:val="es-ES_tradnl"/>
        </w:rPr>
        <w:t xml:space="preserve">, la Oficina, una vez que esté disponible el programa informático de validación y se haya entregado a las </w:t>
      </w:r>
      <w:r w:rsidRPr="00DC4779">
        <w:rPr>
          <w:lang w:val="es-ES_tradnl"/>
        </w:rPr>
        <w:t>administraciones</w:t>
      </w:r>
      <w:r w:rsidRPr="00DC4779">
        <w:rPr>
          <w:szCs w:val="24"/>
          <w:lang w:val="es-ES_tradnl"/>
        </w:rPr>
        <w:t xml:space="preserve">, procederá a revisar sus conclusiones con arreglo a los números </w:t>
      </w:r>
      <w:r w:rsidRPr="00DC4779">
        <w:rPr>
          <w:b/>
          <w:bCs/>
          <w:szCs w:val="24"/>
          <w:lang w:val="es-ES_tradnl"/>
        </w:rPr>
        <w:t>9.35</w:t>
      </w:r>
      <w:r w:rsidRPr="00DC4779">
        <w:rPr>
          <w:szCs w:val="24"/>
          <w:lang w:val="es-ES_tradnl"/>
        </w:rPr>
        <w:t xml:space="preserve"> y </w:t>
      </w:r>
      <w:r w:rsidRPr="00DC4779">
        <w:rPr>
          <w:b/>
          <w:bCs/>
          <w:szCs w:val="24"/>
          <w:lang w:val="es-ES_tradnl"/>
        </w:rPr>
        <w:t>11.31</w:t>
      </w:r>
      <w:r w:rsidRPr="00DC4779">
        <w:rPr>
          <w:szCs w:val="24"/>
          <w:lang w:val="es-ES_tradnl"/>
        </w:rPr>
        <w:t xml:space="preserve"> y los requisitos de coordinación con arreglo a los números </w:t>
      </w:r>
      <w:r w:rsidRPr="00DC4779">
        <w:rPr>
          <w:b/>
          <w:bCs/>
          <w:szCs w:val="24"/>
          <w:lang w:val="es-ES_tradnl"/>
        </w:rPr>
        <w:t>9.7A</w:t>
      </w:r>
      <w:r w:rsidRPr="00DC4779">
        <w:rPr>
          <w:szCs w:val="24"/>
          <w:lang w:val="es-ES_tradnl"/>
        </w:rPr>
        <w:t xml:space="preserve"> y </w:t>
      </w:r>
      <w:r w:rsidRPr="00DC4779">
        <w:rPr>
          <w:b/>
          <w:bCs/>
          <w:szCs w:val="24"/>
          <w:lang w:val="es-ES_tradnl"/>
        </w:rPr>
        <w:t>9.7B</w:t>
      </w:r>
      <w:r w:rsidRPr="00DC4779">
        <w:rPr>
          <w:szCs w:val="24"/>
          <w:lang w:val="es-ES_tradnl"/>
        </w:rPr>
        <w:t xml:space="preserve"> y estudiará si las asignaciones de frecuencias a:</w:t>
      </w:r>
    </w:p>
    <w:p w:rsidR="005A4C18" w:rsidRPr="00DC4779" w:rsidRDefault="006B462D" w:rsidP="00072306">
      <w:pPr>
        <w:pStyle w:val="enumlev1"/>
        <w:spacing w:after="120"/>
        <w:rPr>
          <w:lang w:val="es-ES_tradnl"/>
        </w:rPr>
      </w:pPr>
      <w:r w:rsidRPr="00DC4779">
        <w:rPr>
          <w:lang w:val="es-ES_tradnl"/>
        </w:rPr>
        <w:t>a)</w:t>
      </w:r>
      <w:r w:rsidRPr="00DC4779">
        <w:rPr>
          <w:lang w:val="es-ES_tradnl"/>
        </w:rPr>
        <w:tab/>
      </w:r>
      <w:r w:rsidR="005A4C18" w:rsidRPr="00DC4779">
        <w:rPr>
          <w:lang w:val="es-ES_tradnl"/>
        </w:rPr>
        <w:t xml:space="preserve">los sistemas de satélites no OSG del SFS cumplen los límites de </w:t>
      </w:r>
      <w:r w:rsidR="005A4C18" w:rsidRPr="00EF4CC7">
        <w:rPr>
          <w:caps/>
          <w:lang w:val="es-ES_tradnl"/>
        </w:rPr>
        <w:t>dfpe</w:t>
      </w:r>
      <w:r w:rsidR="005A4C18" w:rsidRPr="00DC4779">
        <w:rPr>
          <w:lang w:val="es-ES_tradnl"/>
        </w:rPr>
        <w:t xml:space="preserve"> recogidos en los Cuadros </w:t>
      </w:r>
      <w:r w:rsidR="005A4C18" w:rsidRPr="0015591E">
        <w:rPr>
          <w:b/>
          <w:bCs/>
          <w:lang w:val="es-ES_tradnl"/>
        </w:rPr>
        <w:t>22-1A</w:t>
      </w:r>
      <w:r w:rsidR="005A4C18" w:rsidRPr="00DC4779">
        <w:rPr>
          <w:lang w:val="es-ES_tradnl"/>
        </w:rPr>
        <w:t xml:space="preserve">, </w:t>
      </w:r>
      <w:r w:rsidR="005A4C18" w:rsidRPr="0015591E">
        <w:rPr>
          <w:b/>
          <w:bCs/>
          <w:lang w:val="es-ES_tradnl"/>
        </w:rPr>
        <w:t>22-1B</w:t>
      </w:r>
      <w:r w:rsidR="005A4C18" w:rsidRPr="00DC4779">
        <w:rPr>
          <w:lang w:val="es-ES_tradnl"/>
        </w:rPr>
        <w:t xml:space="preserve">, </w:t>
      </w:r>
      <w:r w:rsidR="005A4C18" w:rsidRPr="0015591E">
        <w:rPr>
          <w:b/>
          <w:bCs/>
          <w:lang w:val="es-ES_tradnl"/>
        </w:rPr>
        <w:t>22-1C</w:t>
      </w:r>
      <w:r w:rsidR="005A4C18" w:rsidRPr="00DC4779">
        <w:rPr>
          <w:lang w:val="es-ES_tradnl"/>
        </w:rPr>
        <w:t xml:space="preserve">, </w:t>
      </w:r>
      <w:r w:rsidR="005A4C18" w:rsidRPr="0015591E">
        <w:rPr>
          <w:b/>
          <w:bCs/>
          <w:lang w:val="es-ES_tradnl"/>
        </w:rPr>
        <w:t>22-1D</w:t>
      </w:r>
      <w:r w:rsidR="005A4C18" w:rsidRPr="00DC4779">
        <w:rPr>
          <w:lang w:val="es-ES_tradnl"/>
        </w:rPr>
        <w:t xml:space="preserve">, </w:t>
      </w:r>
      <w:r w:rsidR="005A4C18" w:rsidRPr="0015591E">
        <w:rPr>
          <w:b/>
          <w:bCs/>
          <w:lang w:val="es-ES_tradnl"/>
        </w:rPr>
        <w:t>22-1E</w:t>
      </w:r>
      <w:r w:rsidR="005A4C18" w:rsidRPr="00DC4779">
        <w:rPr>
          <w:lang w:val="es-ES_tradnl"/>
        </w:rPr>
        <w:t xml:space="preserve">, </w:t>
      </w:r>
      <w:r w:rsidR="005A4C18" w:rsidRPr="0015591E">
        <w:rPr>
          <w:b/>
          <w:bCs/>
          <w:lang w:val="es-ES_tradnl"/>
        </w:rPr>
        <w:t>22-2</w:t>
      </w:r>
      <w:r w:rsidR="005A4C18" w:rsidRPr="0015591E">
        <w:rPr>
          <w:lang w:val="es-ES_tradnl"/>
        </w:rPr>
        <w:t xml:space="preserve"> </w:t>
      </w:r>
      <w:r w:rsidR="005A4C18" w:rsidRPr="00DC4779">
        <w:rPr>
          <w:lang w:val="es-ES_tradnl"/>
        </w:rPr>
        <w:t xml:space="preserve">y </w:t>
      </w:r>
      <w:r w:rsidR="005A4C18" w:rsidRPr="0015591E">
        <w:rPr>
          <w:b/>
          <w:bCs/>
          <w:lang w:val="es-ES_tradnl"/>
        </w:rPr>
        <w:t>22-3</w:t>
      </w:r>
      <w:r w:rsidR="005A4C18" w:rsidRPr="00DC4779">
        <w:rPr>
          <w:lang w:val="es-ES_tradnl"/>
        </w:rPr>
        <w:t xml:space="preserve"> del Artículo </w:t>
      </w:r>
      <w:r w:rsidR="005A4C18" w:rsidRPr="00EF4CC7">
        <w:rPr>
          <w:lang w:val="es-ES_tradnl"/>
        </w:rPr>
        <w:t>22</w:t>
      </w:r>
      <w:r w:rsidR="005A4C18" w:rsidRPr="00DC4779">
        <w:rPr>
          <w:lang w:val="es-ES_tradnl"/>
        </w:rPr>
        <w:t xml:space="preserve"> del RR;</w:t>
      </w:r>
    </w:p>
    <w:p w:rsidR="005A4C18" w:rsidRPr="00DC4779" w:rsidRDefault="006B462D" w:rsidP="00072306">
      <w:pPr>
        <w:pStyle w:val="enumlev1"/>
        <w:spacing w:after="120"/>
        <w:rPr>
          <w:szCs w:val="24"/>
          <w:lang w:val="es-ES_tradnl"/>
        </w:rPr>
      </w:pPr>
      <w:r w:rsidRPr="00DC4779">
        <w:rPr>
          <w:szCs w:val="24"/>
          <w:lang w:val="es-ES_tradnl"/>
        </w:rPr>
        <w:t>b)</w:t>
      </w:r>
      <w:r w:rsidRPr="00DC4779">
        <w:rPr>
          <w:szCs w:val="24"/>
          <w:lang w:val="es-ES_tradnl"/>
        </w:rPr>
        <w:tab/>
      </w:r>
      <w:r w:rsidR="005A4C18" w:rsidRPr="00DC4779">
        <w:rPr>
          <w:szCs w:val="24"/>
          <w:lang w:val="es-ES_tradnl"/>
        </w:rPr>
        <w:t xml:space="preserve">determinadas estaciones terrenas de gran tamaño (bajo ciertas condiciones) requieren de coordinación con arreglo al número </w:t>
      </w:r>
      <w:r w:rsidR="005A4C18" w:rsidRPr="00DC4779">
        <w:rPr>
          <w:b/>
          <w:bCs/>
          <w:szCs w:val="24"/>
          <w:lang w:val="es-ES_tradnl"/>
        </w:rPr>
        <w:t>9.7A</w:t>
      </w:r>
      <w:r w:rsidR="005A4C18" w:rsidRPr="00DC4779">
        <w:rPr>
          <w:szCs w:val="24"/>
          <w:lang w:val="es-ES_tradnl"/>
        </w:rPr>
        <w:t xml:space="preserve"> del RR respecto de cualquier sistema de satélites no OSG del SFS existente aplicando los umbrales de coordinación del Apéndice </w:t>
      </w:r>
      <w:r w:rsidR="005A4C18" w:rsidRPr="00DC4779">
        <w:rPr>
          <w:b/>
          <w:bCs/>
          <w:szCs w:val="24"/>
          <w:lang w:val="es-ES_tradnl"/>
        </w:rPr>
        <w:t>5</w:t>
      </w:r>
      <w:r w:rsidR="005A4C18" w:rsidRPr="00DC4779">
        <w:rPr>
          <w:szCs w:val="24"/>
          <w:lang w:val="es-ES_tradnl"/>
        </w:rPr>
        <w:t xml:space="preserve"> del RR; o</w:t>
      </w:r>
    </w:p>
    <w:p w:rsidR="005A4C18" w:rsidRPr="00DC4779" w:rsidRDefault="006B462D" w:rsidP="006B462D">
      <w:pPr>
        <w:pStyle w:val="enumlev1"/>
        <w:rPr>
          <w:szCs w:val="24"/>
          <w:lang w:val="es-ES_tradnl"/>
        </w:rPr>
      </w:pPr>
      <w:r w:rsidRPr="00DC4779">
        <w:rPr>
          <w:szCs w:val="24"/>
          <w:lang w:val="es-ES_tradnl"/>
        </w:rPr>
        <w:t>c)</w:t>
      </w:r>
      <w:r w:rsidRPr="00DC4779">
        <w:rPr>
          <w:szCs w:val="24"/>
          <w:lang w:val="es-ES_tradnl"/>
        </w:rPr>
        <w:tab/>
      </w:r>
      <w:r w:rsidR="005A4C18" w:rsidRPr="00DC4779">
        <w:rPr>
          <w:szCs w:val="24"/>
          <w:lang w:val="es-ES_tradnl"/>
        </w:rPr>
        <w:t xml:space="preserve">los sistemas de satélites no OSG del SFS requieren de coordinación con arreglo al número </w:t>
      </w:r>
      <w:r w:rsidR="005A4C18" w:rsidRPr="007E4A14">
        <w:rPr>
          <w:b/>
          <w:bCs/>
          <w:szCs w:val="24"/>
          <w:lang w:val="es-ES_tradnl"/>
        </w:rPr>
        <w:t>9.7B</w:t>
      </w:r>
      <w:r w:rsidR="005A4C18" w:rsidRPr="00DC4779">
        <w:rPr>
          <w:szCs w:val="24"/>
          <w:lang w:val="es-ES_tradnl"/>
        </w:rPr>
        <w:t xml:space="preserve"> del RR respecto de cualquier estación terrena de gran tamaño (bajo ciertas condiciones) aplicando los umbrales de coordinación del Apéndice </w:t>
      </w:r>
      <w:r w:rsidR="005A4C18" w:rsidRPr="00DC4779">
        <w:rPr>
          <w:b/>
          <w:bCs/>
          <w:szCs w:val="24"/>
          <w:lang w:val="es-ES_tradnl"/>
        </w:rPr>
        <w:t>5</w:t>
      </w:r>
      <w:r w:rsidR="005A4C18" w:rsidRPr="00DC4779">
        <w:rPr>
          <w:szCs w:val="24"/>
          <w:lang w:val="es-ES_tradnl"/>
        </w:rPr>
        <w:t xml:space="preserve"> del RR.</w:t>
      </w:r>
    </w:p>
    <w:p w:rsidR="005A4C18" w:rsidRPr="00DC4779" w:rsidRDefault="005A4C18" w:rsidP="002E2192">
      <w:pPr>
        <w:keepNext/>
        <w:keepLines/>
        <w:rPr>
          <w:szCs w:val="24"/>
          <w:lang w:val="es-ES_tradnl"/>
        </w:rPr>
      </w:pPr>
      <w:r w:rsidRPr="00DC4779">
        <w:rPr>
          <w:szCs w:val="24"/>
          <w:lang w:val="es-ES_tradnl"/>
        </w:rPr>
        <w:lastRenderedPageBreak/>
        <w:t xml:space="preserve">A este respecto, la Oficina se complace en informar a las administraciones de la disponibilidad de la versión beta del programa informático de validación de la </w:t>
      </w:r>
      <w:r w:rsidRPr="00EF4CC7">
        <w:rPr>
          <w:caps/>
          <w:szCs w:val="24"/>
          <w:lang w:val="es-ES_tradnl"/>
        </w:rPr>
        <w:t>dfpe</w:t>
      </w:r>
      <w:r w:rsidRPr="00DC4779">
        <w:rPr>
          <w:szCs w:val="24"/>
          <w:lang w:val="es-ES_tradnl"/>
        </w:rPr>
        <w:t xml:space="preserve"> a efectos de prueba y evaluación en la dirección </w:t>
      </w:r>
      <w:hyperlink r:id="rId8" w:history="1">
        <w:r w:rsidR="00A76301" w:rsidRPr="00DC4779">
          <w:rPr>
            <w:rStyle w:val="Hyperlink"/>
            <w:szCs w:val="24"/>
            <w:lang w:val="es-ES_tradnl"/>
          </w:rPr>
          <w:t>http://www.itu.int/ITU-R/go/space-epfd/en</w:t>
        </w:r>
      </w:hyperlink>
      <w:r w:rsidR="002E2192" w:rsidRPr="00DC4779">
        <w:rPr>
          <w:szCs w:val="24"/>
          <w:lang w:val="es-ES_tradnl"/>
        </w:rPr>
        <w:t>.</w:t>
      </w:r>
    </w:p>
    <w:p w:rsidR="005A4C18" w:rsidRPr="00DC4779" w:rsidRDefault="005A4C18" w:rsidP="006B462D">
      <w:pPr>
        <w:rPr>
          <w:lang w:val="es-ES_tradnl"/>
        </w:rPr>
      </w:pPr>
      <w:r w:rsidRPr="00DC4779">
        <w:rPr>
          <w:lang w:val="es-ES_tradnl"/>
        </w:rPr>
        <w:t xml:space="preserve">El paquete informático incluye un módulo GIBC utilizado como interfaz para iniciar la validación de la </w:t>
      </w:r>
      <w:r w:rsidRPr="00EF4CC7">
        <w:rPr>
          <w:caps/>
          <w:lang w:val="es-ES_tradnl"/>
        </w:rPr>
        <w:t>dfpe</w:t>
      </w:r>
      <w:r w:rsidRPr="00DC4779">
        <w:rPr>
          <w:lang w:val="es-ES_tradnl"/>
        </w:rPr>
        <w:t xml:space="preserve">, dos herramientas de validación de la </w:t>
      </w:r>
      <w:r w:rsidRPr="00EF4CC7">
        <w:rPr>
          <w:caps/>
          <w:lang w:val="es-ES_tradnl"/>
        </w:rPr>
        <w:t>dfpe</w:t>
      </w:r>
      <w:r w:rsidR="00040211">
        <w:rPr>
          <w:lang w:val="es-ES_tradnl"/>
        </w:rPr>
        <w:t>,</w:t>
      </w:r>
      <w:r w:rsidRPr="00DC4779">
        <w:rPr>
          <w:lang w:val="es-ES_tradnl"/>
        </w:rPr>
        <w:t xml:space="preserve"> dos casos de prueba y una guía del usuario.</w:t>
      </w:r>
    </w:p>
    <w:p w:rsidR="005A4C18" w:rsidRPr="00DC4779" w:rsidRDefault="005A4C18" w:rsidP="00082FE1">
      <w:pPr>
        <w:rPr>
          <w:lang w:val="es-ES_tradnl"/>
        </w:rPr>
      </w:pPr>
      <w:r w:rsidRPr="00DC4779">
        <w:rPr>
          <w:lang w:val="es-ES_tradnl"/>
        </w:rPr>
        <w:t xml:space="preserve">También existe un Foro de Apoyo para la herramienta de validación de la </w:t>
      </w:r>
      <w:r w:rsidRPr="00EF4CC7">
        <w:rPr>
          <w:caps/>
          <w:lang w:val="es-ES_tradnl"/>
        </w:rPr>
        <w:t>dfpe</w:t>
      </w:r>
      <w:r w:rsidRPr="00DC4779">
        <w:rPr>
          <w:lang w:val="es-ES_tradnl"/>
        </w:rPr>
        <w:t xml:space="preserve"> en la dirección </w:t>
      </w:r>
      <w:hyperlink r:id="rId9" w:history="1">
        <w:r w:rsidR="00082FE1" w:rsidRPr="00DC4779">
          <w:rPr>
            <w:rStyle w:val="Hyperlink"/>
            <w:lang w:val="es-ES_tradnl"/>
          </w:rPr>
          <w:t>groups.itu.int/</w:t>
        </w:r>
        <w:proofErr w:type="spellStart"/>
        <w:r w:rsidR="00082FE1" w:rsidRPr="00DC4779">
          <w:rPr>
            <w:rStyle w:val="Hyperlink"/>
            <w:lang w:val="es-ES_tradnl"/>
          </w:rPr>
          <w:t>epfd</w:t>
        </w:r>
        <w:proofErr w:type="spellEnd"/>
        <w:r w:rsidR="00082FE1" w:rsidRPr="00DC4779">
          <w:rPr>
            <w:rStyle w:val="Hyperlink"/>
            <w:lang w:val="es-ES_tradnl"/>
          </w:rPr>
          <w:t>/</w:t>
        </w:r>
      </w:hyperlink>
      <w:r w:rsidRPr="00DC4779">
        <w:rPr>
          <w:lang w:val="es-ES_tradnl"/>
        </w:rPr>
        <w:t>, que contiene una guía del usuario, preguntas frecuentes y las conversaciones y los intercambios de experiencias de los usuarios en forma de mensajes publicados.</w:t>
      </w:r>
    </w:p>
    <w:p w:rsidR="005A4C18" w:rsidRPr="00DC4779" w:rsidRDefault="005A4C18" w:rsidP="006B462D">
      <w:pPr>
        <w:rPr>
          <w:lang w:val="es-ES_tradnl"/>
        </w:rPr>
      </w:pPr>
      <w:r w:rsidRPr="00DC4779">
        <w:rPr>
          <w:lang w:val="es-ES_tradnl"/>
        </w:rPr>
        <w:t xml:space="preserve">Se invita a las administraciones a participar activamente en la prueba de la versión beta de las herramientas de validación de la </w:t>
      </w:r>
      <w:r w:rsidRPr="00EF4CC7">
        <w:rPr>
          <w:caps/>
          <w:lang w:val="es-ES_tradnl"/>
        </w:rPr>
        <w:t>dfpe</w:t>
      </w:r>
      <w:r w:rsidRPr="00DC4779">
        <w:rPr>
          <w:lang w:val="es-ES_tradnl"/>
        </w:rPr>
        <w:t xml:space="preserve"> y a comunicar a la Oficina, de preferencia a través del foro específico creado a tal efecto, o en la dirección </w:t>
      </w:r>
      <w:hyperlink r:id="rId10" w:history="1">
        <w:r w:rsidRPr="00DC4779">
          <w:rPr>
            <w:rStyle w:val="Hyperlink"/>
            <w:szCs w:val="24"/>
            <w:lang w:val="es-ES_tradnl"/>
          </w:rPr>
          <w:t>BRMail@itu.int</w:t>
        </w:r>
      </w:hyperlink>
      <w:r w:rsidRPr="00DC4779">
        <w:rPr>
          <w:lang w:val="es-ES_tradnl"/>
        </w:rPr>
        <w:t xml:space="preserve"> o </w:t>
      </w:r>
      <w:hyperlink r:id="rId11" w:history="1">
        <w:r w:rsidRPr="00DC4779">
          <w:rPr>
            <w:rStyle w:val="Hyperlink"/>
            <w:szCs w:val="24"/>
            <w:lang w:val="es-ES_tradnl"/>
          </w:rPr>
          <w:t>BRSAS@itu.int</w:t>
        </w:r>
      </w:hyperlink>
      <w:r w:rsidRPr="00DC4779">
        <w:rPr>
          <w:lang w:val="es-ES_tradnl"/>
        </w:rPr>
        <w:t>, cualesquiera comentarios, sugerencias e idea</w:t>
      </w:r>
      <w:r w:rsidR="006B462D" w:rsidRPr="00DC4779">
        <w:rPr>
          <w:lang w:val="es-ES_tradnl"/>
        </w:rPr>
        <w:t>s con miras a posibles mejoras.</w:t>
      </w:r>
    </w:p>
    <w:p w:rsidR="005A4C18" w:rsidRPr="00DC4779" w:rsidRDefault="005A4C18" w:rsidP="006B462D">
      <w:pPr>
        <w:rPr>
          <w:lang w:val="es-ES_tradnl"/>
        </w:rPr>
      </w:pPr>
      <w:r w:rsidRPr="00DC4779">
        <w:rPr>
          <w:lang w:val="es-ES_tradnl"/>
        </w:rPr>
        <w:t xml:space="preserve">Con arreglo al </w:t>
      </w:r>
      <w:r w:rsidRPr="00DC4779">
        <w:rPr>
          <w:i/>
          <w:iCs/>
          <w:lang w:val="es-ES_tradnl"/>
        </w:rPr>
        <w:t>resuelve</w:t>
      </w:r>
      <w:r w:rsidRPr="00DC4779">
        <w:rPr>
          <w:lang w:val="es-ES_tradnl"/>
        </w:rPr>
        <w:t xml:space="preserve"> 5 y a los </w:t>
      </w:r>
      <w:r w:rsidRPr="00DC4779">
        <w:rPr>
          <w:i/>
          <w:iCs/>
          <w:lang w:val="es-ES_tradnl"/>
        </w:rPr>
        <w:t>encarga al Director de la Oficina de Radiocomunicaciones</w:t>
      </w:r>
      <w:r w:rsidRPr="00DC4779">
        <w:rPr>
          <w:lang w:val="es-ES_tradnl"/>
        </w:rPr>
        <w:t xml:space="preserve"> 2 y 3 de la Resolución </w:t>
      </w:r>
      <w:r w:rsidRPr="00DC4779">
        <w:rPr>
          <w:b/>
          <w:bCs/>
          <w:lang w:val="es-ES_tradnl"/>
        </w:rPr>
        <w:t>85 (CMR-03)</w:t>
      </w:r>
      <w:r w:rsidRPr="00DC4779">
        <w:rPr>
          <w:lang w:val="es-ES_tradnl"/>
        </w:rPr>
        <w:t xml:space="preserve">, la Oficina tiene previsto, en el mes de octubre de 2016, publicar a través de una Carta Circular la versión final del programa informático de validación de la </w:t>
      </w:r>
      <w:r w:rsidRPr="00EF4CC7">
        <w:rPr>
          <w:caps/>
          <w:lang w:val="es-ES_tradnl"/>
        </w:rPr>
        <w:t>dfpe</w:t>
      </w:r>
      <w:r w:rsidRPr="00DC4779">
        <w:rPr>
          <w:lang w:val="es-ES_tradnl"/>
        </w:rPr>
        <w:t xml:space="preserve"> y una descripción del proceso de revisión de las conclusiones con arreglo a los números </w:t>
      </w:r>
      <w:r w:rsidRPr="00DC4779">
        <w:rPr>
          <w:b/>
          <w:bCs/>
          <w:lang w:val="es-ES_tradnl"/>
        </w:rPr>
        <w:t>9.35</w:t>
      </w:r>
      <w:r w:rsidRPr="00DC4779">
        <w:rPr>
          <w:lang w:val="es-ES_tradnl"/>
        </w:rPr>
        <w:t xml:space="preserve"> y </w:t>
      </w:r>
      <w:r w:rsidRPr="00DC4779">
        <w:rPr>
          <w:b/>
          <w:bCs/>
          <w:lang w:val="es-ES_tradnl"/>
        </w:rPr>
        <w:t>11.31</w:t>
      </w:r>
      <w:r w:rsidRPr="00DC4779">
        <w:rPr>
          <w:lang w:val="es-ES_tradnl"/>
        </w:rPr>
        <w:t xml:space="preserve">, así como los requisitos de coordinación con arreglo a los números </w:t>
      </w:r>
      <w:r w:rsidRPr="00DC4779">
        <w:rPr>
          <w:b/>
          <w:bCs/>
          <w:lang w:val="es-ES_tradnl"/>
        </w:rPr>
        <w:t>9.7A</w:t>
      </w:r>
      <w:r w:rsidRPr="00DC4779">
        <w:rPr>
          <w:lang w:val="es-ES_tradnl"/>
        </w:rPr>
        <w:t xml:space="preserve"> y </w:t>
      </w:r>
      <w:r w:rsidRPr="00DC4779">
        <w:rPr>
          <w:b/>
          <w:bCs/>
          <w:lang w:val="es-ES_tradnl"/>
        </w:rPr>
        <w:t>9.7B</w:t>
      </w:r>
      <w:r w:rsidRPr="00DC4779">
        <w:rPr>
          <w:lang w:val="es-ES_tradnl"/>
        </w:rPr>
        <w:t>.</w:t>
      </w:r>
    </w:p>
    <w:p w:rsidR="005A4C18" w:rsidRPr="00DC4779" w:rsidRDefault="005A4C18" w:rsidP="00722DC8">
      <w:pPr>
        <w:rPr>
          <w:lang w:val="es-ES_tradnl"/>
        </w:rPr>
      </w:pPr>
      <w:r w:rsidRPr="00DC4779">
        <w:rPr>
          <w:lang w:val="es-ES_tradnl"/>
        </w:rPr>
        <w:t xml:space="preserve">A este respecto, la Oficina alienta a las Administraciones a revisar o preparar con antelación </w:t>
      </w:r>
      <w:r w:rsidR="00EF4CC7">
        <w:rPr>
          <w:lang w:val="es-ES_tradnl"/>
        </w:rPr>
        <w:br/>
      </w:r>
      <w:r w:rsidRPr="00DC4779">
        <w:rPr>
          <w:lang w:val="es-ES_tradnl"/>
        </w:rPr>
        <w:t xml:space="preserve">los elementos de datos del Apéndice </w:t>
      </w:r>
      <w:r w:rsidRPr="00DC4779">
        <w:rPr>
          <w:b/>
          <w:bCs/>
          <w:lang w:val="es-ES_tradnl"/>
        </w:rPr>
        <w:t>4</w:t>
      </w:r>
      <w:r w:rsidRPr="00DC4779">
        <w:rPr>
          <w:lang w:val="es-ES_tradnl"/>
        </w:rPr>
        <w:t xml:space="preserve"> que se requieren para la validación de la </w:t>
      </w:r>
      <w:r w:rsidRPr="00EF4CC7">
        <w:rPr>
          <w:caps/>
          <w:lang w:val="es-ES_tradnl"/>
        </w:rPr>
        <w:t>dfpe</w:t>
      </w:r>
      <w:r w:rsidRPr="00DC4779">
        <w:rPr>
          <w:lang w:val="es-ES_tradnl"/>
        </w:rPr>
        <w:t xml:space="preserve">, en </w:t>
      </w:r>
      <w:r w:rsidR="009F5C68">
        <w:rPr>
          <w:lang w:val="es-ES_tradnl"/>
        </w:rPr>
        <w:br/>
      </w:r>
      <w:r w:rsidRPr="00DC4779">
        <w:rPr>
          <w:lang w:val="es-ES_tradnl"/>
        </w:rPr>
        <w:t xml:space="preserve">particular los datos de </w:t>
      </w:r>
      <w:r w:rsidRPr="00EF4CC7">
        <w:rPr>
          <w:caps/>
          <w:lang w:val="es-ES_tradnl"/>
        </w:rPr>
        <w:t xml:space="preserve">dfp </w:t>
      </w:r>
      <w:r w:rsidRPr="00DC4779">
        <w:rPr>
          <w:lang w:val="es-ES_tradnl"/>
        </w:rPr>
        <w:t xml:space="preserve">y la máscara de </w:t>
      </w:r>
      <w:r w:rsidR="00A076E9" w:rsidRPr="00EF4CC7">
        <w:rPr>
          <w:caps/>
          <w:lang w:val="es-ES_tradnl"/>
        </w:rPr>
        <w:t>p.i.r.e</w:t>
      </w:r>
      <w:r w:rsidR="00A076E9">
        <w:rPr>
          <w:lang w:val="es-ES_tradnl"/>
        </w:rPr>
        <w:t>.</w:t>
      </w:r>
      <w:r w:rsidR="00A076E9" w:rsidRPr="00DC4779">
        <w:rPr>
          <w:lang w:val="es-ES_tradnl"/>
        </w:rPr>
        <w:t xml:space="preserve"> </w:t>
      </w:r>
      <w:r w:rsidRPr="00DC4779">
        <w:rPr>
          <w:lang w:val="es-ES_tradnl"/>
        </w:rPr>
        <w:t>de acuerdo con la descripción detallada de</w:t>
      </w:r>
      <w:r w:rsidR="009F5C68">
        <w:rPr>
          <w:lang w:val="es-ES_tradnl"/>
        </w:rPr>
        <w:br/>
      </w:r>
      <w:r w:rsidRPr="00DC4779">
        <w:rPr>
          <w:lang w:val="es-ES_tradnl"/>
        </w:rPr>
        <w:t xml:space="preserve"> las máscaras que figura en la Parte B de la Recomendación UIT-R S.1503-2. Los datos de </w:t>
      </w:r>
      <w:r w:rsidR="009F5C68">
        <w:rPr>
          <w:lang w:val="es-ES_tradnl"/>
        </w:rPr>
        <w:br/>
      </w:r>
      <w:r w:rsidRPr="00DC4779">
        <w:rPr>
          <w:lang w:val="es-ES_tradnl"/>
        </w:rPr>
        <w:t>máscara deben presentarse utilizando el formato XML, cuya descripción está disponible en la dirección</w:t>
      </w:r>
      <w:r w:rsidR="00BD1950" w:rsidRPr="00DC4779">
        <w:rPr>
          <w:lang w:val="es-ES_tradnl"/>
        </w:rPr>
        <w:t>:</w:t>
      </w:r>
      <w:r w:rsidRPr="00DC4779">
        <w:rPr>
          <w:lang w:val="es-ES_tradnl"/>
        </w:rPr>
        <w:t xml:space="preserve"> </w:t>
      </w:r>
      <w:hyperlink r:id="rId12" w:history="1">
        <w:r w:rsidRPr="00DC4779">
          <w:rPr>
            <w:rStyle w:val="Hyperlink"/>
            <w:szCs w:val="24"/>
            <w:lang w:val="es-ES_tradnl"/>
          </w:rPr>
          <w:t>www.itu.int/ITU-R/go/space-mask-XMLfile/en</w:t>
        </w:r>
      </w:hyperlink>
      <w:r w:rsidRPr="00DC4779">
        <w:rPr>
          <w:lang w:val="es-ES_tradnl"/>
        </w:rPr>
        <w:t>.</w:t>
      </w:r>
    </w:p>
    <w:p w:rsidR="005A4C18" w:rsidRPr="00DC4779" w:rsidRDefault="005A4C18" w:rsidP="006B462D">
      <w:pPr>
        <w:rPr>
          <w:lang w:val="es-ES_tradnl"/>
        </w:rPr>
      </w:pPr>
      <w:r w:rsidRPr="00DC4779">
        <w:rPr>
          <w:rFonts w:asciiTheme="minorHAnsi" w:hAnsiTheme="minorHAnsi" w:cstheme="minorHAnsi"/>
          <w:lang w:val="es-ES_tradnl"/>
        </w:rPr>
        <w:t>La</w:t>
      </w:r>
      <w:r w:rsidRPr="00DC4779">
        <w:rPr>
          <w:lang w:val="es-ES_tradnl"/>
        </w:rPr>
        <w:t xml:space="preserve"> Oficina queda a disposición de su </w:t>
      </w:r>
      <w:r w:rsidR="009A46C8" w:rsidRPr="00DC4779">
        <w:rPr>
          <w:lang w:val="es-ES_tradnl"/>
        </w:rPr>
        <w:t>Administración</w:t>
      </w:r>
      <w:r w:rsidRPr="00DC4779">
        <w:rPr>
          <w:lang w:val="es-ES_tradnl"/>
        </w:rPr>
        <w:t xml:space="preserve">, a través de la dirección </w:t>
      </w:r>
      <w:hyperlink r:id="rId13" w:history="1">
        <w:r w:rsidRPr="00DC4779">
          <w:rPr>
            <w:color w:val="0000FF"/>
            <w:u w:val="single"/>
            <w:lang w:val="es-ES_tradnl"/>
          </w:rPr>
          <w:t>brmail@itu.int</w:t>
        </w:r>
      </w:hyperlink>
      <w:r w:rsidRPr="00DC4779">
        <w:rPr>
          <w:lang w:val="es-ES_tradnl"/>
        </w:rPr>
        <w:t xml:space="preserve"> </w:t>
      </w:r>
      <w:r w:rsidR="000F39CF">
        <w:rPr>
          <w:lang w:val="es-ES_tradnl"/>
        </w:rPr>
        <w:t xml:space="preserve">o del </w:t>
      </w:r>
      <w:r w:rsidR="000F39CF" w:rsidRPr="00DC4779">
        <w:rPr>
          <w:lang w:val="es-ES_tradnl"/>
        </w:rPr>
        <w:t xml:space="preserve">Foro de Apoyo para la herramienta de validación de la </w:t>
      </w:r>
      <w:r w:rsidR="000F39CF" w:rsidRPr="00E21FFC">
        <w:rPr>
          <w:caps/>
          <w:lang w:val="es-ES_tradnl"/>
        </w:rPr>
        <w:t>dfpe</w:t>
      </w:r>
      <w:r w:rsidR="000F39CF" w:rsidRPr="00DC4779">
        <w:rPr>
          <w:lang w:val="es-ES_tradnl"/>
        </w:rPr>
        <w:t xml:space="preserve"> </w:t>
      </w:r>
      <w:r w:rsidRPr="00DC4779">
        <w:rPr>
          <w:lang w:val="es-ES_tradnl"/>
        </w:rPr>
        <w:t>para cualquier aclaración adicional que pueda necesitar respecto al contenido de la presente Carta Circular.</w:t>
      </w:r>
    </w:p>
    <w:p w:rsidR="00031E64" w:rsidRPr="00DC4779" w:rsidRDefault="00E53DCE" w:rsidP="005A4C18">
      <w:pPr>
        <w:spacing w:before="1080" w:line="240" w:lineRule="auto"/>
        <w:jc w:val="left"/>
        <w:rPr>
          <w:szCs w:val="24"/>
          <w:lang w:val="es-ES_tradnl"/>
        </w:rPr>
      </w:pPr>
      <w:r w:rsidRPr="00DC4779">
        <w:rPr>
          <w:szCs w:val="24"/>
          <w:lang w:val="es-ES_tradnl"/>
        </w:rPr>
        <w:t>François Rancy</w:t>
      </w:r>
      <w:r w:rsidRPr="00DC4779">
        <w:rPr>
          <w:szCs w:val="24"/>
          <w:lang w:val="es-ES_tradnl"/>
        </w:rPr>
        <w:br/>
      </w:r>
      <w:r w:rsidR="005A4C18" w:rsidRPr="00DC4779">
        <w:rPr>
          <w:szCs w:val="24"/>
          <w:lang w:val="es-ES_tradnl"/>
        </w:rPr>
        <w:t>Director</w:t>
      </w:r>
    </w:p>
    <w:p w:rsidR="005A4C18" w:rsidRPr="00DC4779" w:rsidRDefault="005A4C18" w:rsidP="005A4C18">
      <w:pPr>
        <w:spacing w:before="3000" w:after="120" w:line="240" w:lineRule="auto"/>
        <w:jc w:val="left"/>
        <w:rPr>
          <w:rFonts w:cstheme="minorHAnsi"/>
          <w:b/>
          <w:sz w:val="22"/>
          <w:lang w:val="es-ES_tradnl"/>
        </w:rPr>
      </w:pPr>
      <w:r w:rsidRPr="00DC4779">
        <w:rPr>
          <w:b/>
          <w:sz w:val="18"/>
          <w:szCs w:val="18"/>
          <w:u w:val="single"/>
          <w:lang w:val="es-ES_tradnl"/>
        </w:rPr>
        <w:t>Distribución</w:t>
      </w:r>
      <w:r w:rsidRPr="00DC4779">
        <w:rPr>
          <w:b/>
          <w:sz w:val="18"/>
          <w:szCs w:val="18"/>
          <w:lang w:val="es-ES_tradnl"/>
        </w:rPr>
        <w:t>:</w:t>
      </w:r>
      <w:bookmarkStart w:id="0" w:name="_GoBack"/>
      <w:bookmarkEnd w:id="0"/>
    </w:p>
    <w:p w:rsidR="005A4C18" w:rsidRPr="00DC4779" w:rsidRDefault="005A4C18" w:rsidP="005A4C18">
      <w:pPr>
        <w:tabs>
          <w:tab w:val="clear" w:pos="794"/>
          <w:tab w:val="left" w:pos="284"/>
        </w:tabs>
        <w:spacing w:before="80" w:line="240" w:lineRule="auto"/>
        <w:ind w:left="794" w:hanging="794"/>
        <w:rPr>
          <w:sz w:val="18"/>
          <w:szCs w:val="18"/>
          <w:lang w:val="es-ES_tradnl"/>
        </w:rPr>
      </w:pPr>
      <w:r w:rsidRPr="00DC4779">
        <w:rPr>
          <w:sz w:val="18"/>
          <w:szCs w:val="18"/>
          <w:lang w:val="es-ES_tradnl"/>
        </w:rPr>
        <w:t>–</w:t>
      </w:r>
      <w:r w:rsidRPr="00DC4779">
        <w:rPr>
          <w:sz w:val="18"/>
          <w:szCs w:val="18"/>
          <w:lang w:val="es-ES_tradnl"/>
        </w:rPr>
        <w:tab/>
        <w:t>Administraciones de los Estados Miembros de la UIT.</w:t>
      </w:r>
    </w:p>
    <w:p w:rsidR="005A4C18" w:rsidRPr="00DC4779" w:rsidRDefault="005A4C18" w:rsidP="005A4C18">
      <w:pPr>
        <w:tabs>
          <w:tab w:val="clear" w:pos="794"/>
          <w:tab w:val="left" w:pos="284"/>
        </w:tabs>
        <w:spacing w:before="0" w:line="240" w:lineRule="auto"/>
        <w:ind w:left="794" w:hanging="794"/>
        <w:rPr>
          <w:sz w:val="18"/>
          <w:szCs w:val="18"/>
          <w:lang w:val="es-ES_tradnl"/>
        </w:rPr>
      </w:pPr>
      <w:r w:rsidRPr="00DC4779">
        <w:rPr>
          <w:sz w:val="18"/>
          <w:szCs w:val="18"/>
          <w:lang w:val="es-ES_tradnl"/>
        </w:rPr>
        <w:t>–</w:t>
      </w:r>
      <w:r w:rsidRPr="00DC4779">
        <w:rPr>
          <w:sz w:val="18"/>
          <w:szCs w:val="18"/>
          <w:lang w:val="es-ES_tradnl"/>
        </w:rPr>
        <w:tab/>
        <w:t>Miembros de la Junta del Reglamento de Radiocomunicaciones.</w:t>
      </w:r>
    </w:p>
    <w:sectPr w:rsidR="005A4C18" w:rsidRPr="00DC4779"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D8" w:rsidRDefault="002A46D8">
      <w:r>
        <w:separator/>
      </w:r>
    </w:p>
  </w:endnote>
  <w:endnote w:type="continuationSeparator" w:id="0">
    <w:p w:rsidR="002A46D8" w:rsidRDefault="002A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 xml:space="preserve">Tel: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D8" w:rsidRDefault="002A46D8">
      <w:r>
        <w:t>____________________</w:t>
      </w:r>
    </w:p>
  </w:footnote>
  <w:footnote w:type="continuationSeparator" w:id="0">
    <w:p w:rsidR="002A46D8" w:rsidRDefault="002A4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D42417">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5A4C18">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24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502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9E6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10A9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4F9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5E6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D29C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A29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67E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A46D8"/>
    <w:rsid w:val="00006A31"/>
    <w:rsid w:val="00006C82"/>
    <w:rsid w:val="00010E30"/>
    <w:rsid w:val="00015C76"/>
    <w:rsid w:val="00026CF8"/>
    <w:rsid w:val="00030BD7"/>
    <w:rsid w:val="00031E64"/>
    <w:rsid w:val="00034340"/>
    <w:rsid w:val="00035CB3"/>
    <w:rsid w:val="00040211"/>
    <w:rsid w:val="00045A8D"/>
    <w:rsid w:val="0005167A"/>
    <w:rsid w:val="00054E5D"/>
    <w:rsid w:val="00070258"/>
    <w:rsid w:val="00072306"/>
    <w:rsid w:val="0007323C"/>
    <w:rsid w:val="00082FE1"/>
    <w:rsid w:val="00086D03"/>
    <w:rsid w:val="000A096A"/>
    <w:rsid w:val="000A375E"/>
    <w:rsid w:val="000A7051"/>
    <w:rsid w:val="000B0AF6"/>
    <w:rsid w:val="000B0E9B"/>
    <w:rsid w:val="000B2CAE"/>
    <w:rsid w:val="000C03C7"/>
    <w:rsid w:val="000C2AD0"/>
    <w:rsid w:val="000D3F3B"/>
    <w:rsid w:val="000E3DEE"/>
    <w:rsid w:val="000E4BCD"/>
    <w:rsid w:val="000F39CF"/>
    <w:rsid w:val="00100B72"/>
    <w:rsid w:val="00101F7D"/>
    <w:rsid w:val="00103C76"/>
    <w:rsid w:val="0011265F"/>
    <w:rsid w:val="00117282"/>
    <w:rsid w:val="00117389"/>
    <w:rsid w:val="00121C2D"/>
    <w:rsid w:val="00134404"/>
    <w:rsid w:val="00144DFB"/>
    <w:rsid w:val="0015591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0237"/>
    <w:rsid w:val="00240E1F"/>
    <w:rsid w:val="00241526"/>
    <w:rsid w:val="002443A2"/>
    <w:rsid w:val="00245FE4"/>
    <w:rsid w:val="00266E74"/>
    <w:rsid w:val="00283C3B"/>
    <w:rsid w:val="002861E6"/>
    <w:rsid w:val="00287D18"/>
    <w:rsid w:val="002A2618"/>
    <w:rsid w:val="002A46D8"/>
    <w:rsid w:val="002A5DD7"/>
    <w:rsid w:val="002B0CAC"/>
    <w:rsid w:val="002D5A15"/>
    <w:rsid w:val="002D5BDD"/>
    <w:rsid w:val="002E2192"/>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93A"/>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12E0"/>
    <w:rsid w:val="005638CF"/>
    <w:rsid w:val="0056741E"/>
    <w:rsid w:val="0057325A"/>
    <w:rsid w:val="0057469A"/>
    <w:rsid w:val="00580814"/>
    <w:rsid w:val="00583A0B"/>
    <w:rsid w:val="005A03A3"/>
    <w:rsid w:val="005A2B92"/>
    <w:rsid w:val="005A3F66"/>
    <w:rsid w:val="005A4C18"/>
    <w:rsid w:val="005A79E9"/>
    <w:rsid w:val="005B214C"/>
    <w:rsid w:val="005B4CDA"/>
    <w:rsid w:val="005C73B3"/>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62D"/>
    <w:rsid w:val="006B49DA"/>
    <w:rsid w:val="006C53F8"/>
    <w:rsid w:val="006C7CDE"/>
    <w:rsid w:val="00722DC8"/>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E4A14"/>
    <w:rsid w:val="007F751A"/>
    <w:rsid w:val="00800012"/>
    <w:rsid w:val="0080261F"/>
    <w:rsid w:val="00805A02"/>
    <w:rsid w:val="00806160"/>
    <w:rsid w:val="008143A4"/>
    <w:rsid w:val="0081513E"/>
    <w:rsid w:val="00854131"/>
    <w:rsid w:val="0085652D"/>
    <w:rsid w:val="00863187"/>
    <w:rsid w:val="0087694B"/>
    <w:rsid w:val="00880F4D"/>
    <w:rsid w:val="008B35A3"/>
    <w:rsid w:val="008B37E1"/>
    <w:rsid w:val="008B45F8"/>
    <w:rsid w:val="008C2E74"/>
    <w:rsid w:val="008D5409"/>
    <w:rsid w:val="008D6907"/>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46C8"/>
    <w:rsid w:val="009A6BB6"/>
    <w:rsid w:val="009B3F43"/>
    <w:rsid w:val="009B5CFA"/>
    <w:rsid w:val="009C161F"/>
    <w:rsid w:val="009C56B4"/>
    <w:rsid w:val="009D51A2"/>
    <w:rsid w:val="009E04A8"/>
    <w:rsid w:val="009E4595"/>
    <w:rsid w:val="009E4AEC"/>
    <w:rsid w:val="009E5BD8"/>
    <w:rsid w:val="009E681E"/>
    <w:rsid w:val="009F5C68"/>
    <w:rsid w:val="00A076E9"/>
    <w:rsid w:val="00A119E6"/>
    <w:rsid w:val="00A140E2"/>
    <w:rsid w:val="00A20FBC"/>
    <w:rsid w:val="00A31370"/>
    <w:rsid w:val="00A34D6F"/>
    <w:rsid w:val="00A41F91"/>
    <w:rsid w:val="00A63355"/>
    <w:rsid w:val="00A7596D"/>
    <w:rsid w:val="00A76301"/>
    <w:rsid w:val="00A80EFE"/>
    <w:rsid w:val="00A92792"/>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1950"/>
    <w:rsid w:val="00BD2B0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54C9"/>
    <w:rsid w:val="00CA3F44"/>
    <w:rsid w:val="00CA4E58"/>
    <w:rsid w:val="00CB3771"/>
    <w:rsid w:val="00CB44BF"/>
    <w:rsid w:val="00CB5153"/>
    <w:rsid w:val="00CD71D7"/>
    <w:rsid w:val="00CE076A"/>
    <w:rsid w:val="00CE463D"/>
    <w:rsid w:val="00D10BA0"/>
    <w:rsid w:val="00D21694"/>
    <w:rsid w:val="00D239B4"/>
    <w:rsid w:val="00D24EB5"/>
    <w:rsid w:val="00D35AB9"/>
    <w:rsid w:val="00D41571"/>
    <w:rsid w:val="00D416A0"/>
    <w:rsid w:val="00D42417"/>
    <w:rsid w:val="00D47672"/>
    <w:rsid w:val="00D5123C"/>
    <w:rsid w:val="00D55560"/>
    <w:rsid w:val="00D61C5A"/>
    <w:rsid w:val="00D63BFF"/>
    <w:rsid w:val="00D6790C"/>
    <w:rsid w:val="00D70DC2"/>
    <w:rsid w:val="00D73277"/>
    <w:rsid w:val="00D76586"/>
    <w:rsid w:val="00D81816"/>
    <w:rsid w:val="00D82657"/>
    <w:rsid w:val="00D84045"/>
    <w:rsid w:val="00D87E20"/>
    <w:rsid w:val="00D97EF5"/>
    <w:rsid w:val="00DA4037"/>
    <w:rsid w:val="00DC4779"/>
    <w:rsid w:val="00DE66A5"/>
    <w:rsid w:val="00DF2B50"/>
    <w:rsid w:val="00E01059"/>
    <w:rsid w:val="00E04C86"/>
    <w:rsid w:val="00E17344"/>
    <w:rsid w:val="00E20F30"/>
    <w:rsid w:val="00E2189C"/>
    <w:rsid w:val="00E21FFC"/>
    <w:rsid w:val="00E25BB1"/>
    <w:rsid w:val="00E27BBA"/>
    <w:rsid w:val="00E30E3F"/>
    <w:rsid w:val="00E35E8F"/>
    <w:rsid w:val="00E428AB"/>
    <w:rsid w:val="00E438E8"/>
    <w:rsid w:val="00E453A3"/>
    <w:rsid w:val="00E520E2"/>
    <w:rsid w:val="00E530C4"/>
    <w:rsid w:val="00E53DCE"/>
    <w:rsid w:val="00E55996"/>
    <w:rsid w:val="00E64254"/>
    <w:rsid w:val="00E6697D"/>
    <w:rsid w:val="00E67928"/>
    <w:rsid w:val="00E70FB5"/>
    <w:rsid w:val="00E915AF"/>
    <w:rsid w:val="00E96415"/>
    <w:rsid w:val="00EA15B3"/>
    <w:rsid w:val="00EA47F7"/>
    <w:rsid w:val="00EB2358"/>
    <w:rsid w:val="00EB3EB8"/>
    <w:rsid w:val="00EC00EF"/>
    <w:rsid w:val="00EC02FE"/>
    <w:rsid w:val="00EC32EA"/>
    <w:rsid w:val="00EC4A96"/>
    <w:rsid w:val="00EE03A0"/>
    <w:rsid w:val="00EF4CC7"/>
    <w:rsid w:val="00F119C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7ADA5A-3A50-44D0-A913-3B6192D3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70DC2"/>
    <w:rPr>
      <w:color w:val="800080" w:themeColor="followedHyperlink"/>
      <w:u w:val="single"/>
    </w:rPr>
  </w:style>
  <w:style w:type="character" w:customStyle="1" w:styleId="CommentTextChar">
    <w:name w:val="Comment Text Char"/>
    <w:basedOn w:val="DefaultParagraphFont"/>
    <w:link w:val="CommentText"/>
    <w:semiHidden/>
    <w:rsid w:val="006B462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epfd/en" TargetMode="External"/><Relationship Id="rId13" Type="http://schemas.openxmlformats.org/officeDocument/2006/relationships/hyperlink" Target="mailto:brmail@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R/go/space-mask-XMLfile/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AS@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oups.itu.int/epf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481AD-1578-4F7A-81E4-64E30A06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25</TotalTime>
  <Pages>2</Pages>
  <Words>777</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Ricardo Sáez Grau</dc:creator>
  <cp:lastModifiedBy>Anghelone, Christine</cp:lastModifiedBy>
  <cp:revision>18</cp:revision>
  <cp:lastPrinted>2016-06-03T08:02:00Z</cp:lastPrinted>
  <dcterms:created xsi:type="dcterms:W3CDTF">2016-06-01T06:57:00Z</dcterms:created>
  <dcterms:modified xsi:type="dcterms:W3CDTF">2016-06-03T08:36:00Z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