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5124D" w:rsidTr="00306452">
        <w:trPr>
          <w:jc w:val="center"/>
        </w:trPr>
        <w:tc>
          <w:tcPr>
            <w:tcW w:w="9889" w:type="dxa"/>
            <w:gridSpan w:val="3"/>
            <w:shd w:val="clear" w:color="auto" w:fill="auto"/>
          </w:tcPr>
          <w:p w:rsidR="00E53DCE" w:rsidRPr="0075124D" w:rsidRDefault="00A96D3A" w:rsidP="006160CB">
            <w:pPr>
              <w:spacing w:before="0"/>
              <w:jc w:val="left"/>
              <w:rPr>
                <w:rFonts w:cstheme="minorHAnsi"/>
                <w:b/>
                <w:bCs/>
                <w:color w:val="808080"/>
                <w:sz w:val="28"/>
                <w:szCs w:val="28"/>
                <w:lang w:val="es-ES_tradnl"/>
              </w:rPr>
            </w:pPr>
            <w:r w:rsidRPr="0075124D">
              <w:rPr>
                <w:rFonts w:cstheme="minorHAnsi"/>
                <w:b/>
                <w:bCs/>
                <w:color w:val="808080"/>
                <w:sz w:val="28"/>
                <w:szCs w:val="28"/>
                <w:lang w:val="es-ES_tradnl"/>
              </w:rPr>
              <w:t>Oficina de Radiocomunicaciones (BR)</w:t>
            </w:r>
          </w:p>
          <w:p w:rsidR="00E53DCE" w:rsidRPr="0075124D" w:rsidRDefault="00E53DCE" w:rsidP="006160CB">
            <w:pPr>
              <w:spacing w:before="0"/>
              <w:jc w:val="left"/>
              <w:rPr>
                <w:rFonts w:cstheme="minorHAnsi"/>
                <w:b/>
                <w:bCs/>
                <w:color w:val="808080"/>
                <w:sz w:val="28"/>
                <w:szCs w:val="28"/>
                <w:lang w:val="es-ES_tradnl"/>
              </w:rPr>
            </w:pPr>
          </w:p>
          <w:p w:rsidR="00E53DCE" w:rsidRPr="0075124D" w:rsidRDefault="00E53DCE" w:rsidP="006160CB">
            <w:pPr>
              <w:spacing w:before="0"/>
              <w:jc w:val="left"/>
              <w:rPr>
                <w:rFonts w:cs="Times New Roman Bold"/>
                <w:b/>
                <w:bCs/>
                <w:color w:val="808080"/>
                <w:sz w:val="28"/>
                <w:szCs w:val="28"/>
                <w:lang w:val="es-ES_tradnl"/>
              </w:rPr>
            </w:pPr>
          </w:p>
        </w:tc>
      </w:tr>
      <w:tr w:rsidR="00E53DCE" w:rsidRPr="0075124D" w:rsidTr="00306452">
        <w:trPr>
          <w:jc w:val="center"/>
        </w:trPr>
        <w:tc>
          <w:tcPr>
            <w:tcW w:w="7054" w:type="dxa"/>
            <w:gridSpan w:val="2"/>
            <w:shd w:val="clear" w:color="auto" w:fill="auto"/>
          </w:tcPr>
          <w:p w:rsidR="00D62D92" w:rsidRPr="0075124D" w:rsidRDefault="00D62D92" w:rsidP="00D62D92">
            <w:pPr>
              <w:tabs>
                <w:tab w:val="left" w:pos="7513"/>
              </w:tabs>
              <w:jc w:val="left"/>
              <w:rPr>
                <w:b/>
                <w:lang w:val="es-ES_tradnl"/>
              </w:rPr>
            </w:pPr>
            <w:r w:rsidRPr="0075124D">
              <w:rPr>
                <w:lang w:val="es-ES_tradnl"/>
              </w:rPr>
              <w:t>Carta Circular</w:t>
            </w:r>
          </w:p>
          <w:p w:rsidR="00E53DCE" w:rsidRPr="0075124D" w:rsidRDefault="00D62D92" w:rsidP="00D62D92">
            <w:pPr>
              <w:spacing w:before="0"/>
              <w:jc w:val="left"/>
              <w:rPr>
                <w:b/>
                <w:bCs/>
                <w:szCs w:val="24"/>
                <w:lang w:val="es-ES_tradnl"/>
              </w:rPr>
            </w:pPr>
            <w:r w:rsidRPr="0075124D">
              <w:rPr>
                <w:b/>
                <w:bCs/>
                <w:lang w:val="es-ES_tradnl"/>
              </w:rPr>
              <w:t>CR/397</w:t>
            </w:r>
          </w:p>
        </w:tc>
        <w:tc>
          <w:tcPr>
            <w:tcW w:w="2835" w:type="dxa"/>
            <w:shd w:val="clear" w:color="auto" w:fill="auto"/>
          </w:tcPr>
          <w:p w:rsidR="00E53DCE" w:rsidRPr="0075124D" w:rsidRDefault="00CB50D9" w:rsidP="006160CB">
            <w:pPr>
              <w:spacing w:before="0"/>
              <w:jc w:val="right"/>
              <w:rPr>
                <w:szCs w:val="24"/>
                <w:lang w:val="es-ES_tradnl"/>
              </w:rPr>
            </w:pPr>
            <w:r>
              <w:rPr>
                <w:bCs/>
                <w:szCs w:val="24"/>
                <w:lang w:val="es-ES_tradnl"/>
              </w:rPr>
              <w:t xml:space="preserve">8 </w:t>
            </w:r>
            <w:r w:rsidR="00D62D92" w:rsidRPr="0075124D">
              <w:rPr>
                <w:bCs/>
                <w:szCs w:val="24"/>
                <w:lang w:val="es-ES_tradnl"/>
              </w:rPr>
              <w:t>de abril de 2016</w:t>
            </w:r>
          </w:p>
        </w:tc>
      </w:tr>
      <w:tr w:rsidR="00E53DCE" w:rsidRPr="0075124D" w:rsidTr="00306452">
        <w:trPr>
          <w:jc w:val="center"/>
        </w:trPr>
        <w:tc>
          <w:tcPr>
            <w:tcW w:w="9889" w:type="dxa"/>
            <w:gridSpan w:val="3"/>
            <w:shd w:val="clear" w:color="auto" w:fill="auto"/>
          </w:tcPr>
          <w:p w:rsidR="00E53DCE" w:rsidRPr="0075124D" w:rsidRDefault="00E53DCE" w:rsidP="006160CB">
            <w:pPr>
              <w:spacing w:before="0"/>
              <w:jc w:val="left"/>
              <w:rPr>
                <w:rFonts w:cs="Arial"/>
                <w:szCs w:val="24"/>
                <w:lang w:val="es-ES_tradnl"/>
              </w:rPr>
            </w:pPr>
          </w:p>
        </w:tc>
      </w:tr>
      <w:tr w:rsidR="00E53DCE" w:rsidRPr="0075124D" w:rsidTr="00306452">
        <w:trPr>
          <w:jc w:val="center"/>
        </w:trPr>
        <w:tc>
          <w:tcPr>
            <w:tcW w:w="9889" w:type="dxa"/>
            <w:gridSpan w:val="3"/>
            <w:shd w:val="clear" w:color="auto" w:fill="auto"/>
          </w:tcPr>
          <w:p w:rsidR="00E53DCE" w:rsidRPr="0075124D" w:rsidRDefault="00E53DCE" w:rsidP="006160CB">
            <w:pPr>
              <w:spacing w:before="0"/>
              <w:jc w:val="left"/>
              <w:rPr>
                <w:szCs w:val="24"/>
                <w:lang w:val="es-ES_tradnl"/>
              </w:rPr>
            </w:pPr>
          </w:p>
        </w:tc>
      </w:tr>
      <w:tr w:rsidR="00E53DCE" w:rsidRPr="00C25938" w:rsidTr="00306452">
        <w:trPr>
          <w:jc w:val="center"/>
        </w:trPr>
        <w:tc>
          <w:tcPr>
            <w:tcW w:w="9889" w:type="dxa"/>
            <w:gridSpan w:val="3"/>
            <w:shd w:val="clear" w:color="auto" w:fill="auto"/>
          </w:tcPr>
          <w:p w:rsidR="00E53DCE" w:rsidRPr="0075124D" w:rsidRDefault="00FE4822" w:rsidP="006160CB">
            <w:pPr>
              <w:spacing w:before="0"/>
              <w:jc w:val="left"/>
              <w:rPr>
                <w:b/>
                <w:bCs/>
                <w:szCs w:val="24"/>
                <w:lang w:val="es-ES_tradnl"/>
              </w:rPr>
            </w:pPr>
            <w:r w:rsidRPr="0075124D">
              <w:rPr>
                <w:b/>
                <w:szCs w:val="24"/>
                <w:lang w:val="es-ES_tradnl"/>
              </w:rPr>
              <w:t>A las Administraciones de los Estados Miembros de la UIT</w:t>
            </w:r>
          </w:p>
          <w:p w:rsidR="00E53DCE" w:rsidRPr="0075124D" w:rsidRDefault="00E53DCE" w:rsidP="006160CB">
            <w:pPr>
              <w:spacing w:before="0"/>
              <w:jc w:val="left"/>
              <w:rPr>
                <w:b/>
                <w:bCs/>
                <w:szCs w:val="24"/>
                <w:lang w:val="es-ES_tradnl"/>
              </w:rPr>
            </w:pPr>
          </w:p>
        </w:tc>
      </w:tr>
      <w:tr w:rsidR="00E53DCE" w:rsidRPr="00C25938" w:rsidTr="00306452">
        <w:trPr>
          <w:jc w:val="center"/>
        </w:trPr>
        <w:tc>
          <w:tcPr>
            <w:tcW w:w="9889" w:type="dxa"/>
            <w:gridSpan w:val="3"/>
            <w:shd w:val="clear" w:color="auto" w:fill="auto"/>
          </w:tcPr>
          <w:p w:rsidR="00E53DCE" w:rsidRPr="0075124D" w:rsidRDefault="00E53DCE" w:rsidP="006160CB">
            <w:pPr>
              <w:spacing w:before="0"/>
              <w:jc w:val="left"/>
              <w:rPr>
                <w:szCs w:val="24"/>
                <w:lang w:val="es-ES_tradnl"/>
              </w:rPr>
            </w:pPr>
          </w:p>
        </w:tc>
      </w:tr>
      <w:tr w:rsidR="00E53DCE" w:rsidRPr="00C25938" w:rsidTr="00306452">
        <w:trPr>
          <w:jc w:val="center"/>
        </w:trPr>
        <w:tc>
          <w:tcPr>
            <w:tcW w:w="9889" w:type="dxa"/>
            <w:gridSpan w:val="3"/>
            <w:shd w:val="clear" w:color="auto" w:fill="auto"/>
          </w:tcPr>
          <w:p w:rsidR="00E53DCE" w:rsidRPr="0075124D" w:rsidRDefault="00E53DCE" w:rsidP="006160CB">
            <w:pPr>
              <w:spacing w:before="0"/>
              <w:jc w:val="left"/>
              <w:rPr>
                <w:szCs w:val="24"/>
                <w:lang w:val="es-ES_tradnl"/>
              </w:rPr>
            </w:pPr>
          </w:p>
        </w:tc>
      </w:tr>
      <w:tr w:rsidR="00E53DCE" w:rsidRPr="00C25938" w:rsidTr="00306452">
        <w:trPr>
          <w:jc w:val="center"/>
        </w:trPr>
        <w:tc>
          <w:tcPr>
            <w:tcW w:w="1526" w:type="dxa"/>
            <w:shd w:val="clear" w:color="auto" w:fill="auto"/>
          </w:tcPr>
          <w:p w:rsidR="00E53DCE" w:rsidRPr="0075124D" w:rsidRDefault="00311970" w:rsidP="006160CB">
            <w:pPr>
              <w:tabs>
                <w:tab w:val="clear" w:pos="1588"/>
                <w:tab w:val="left" w:pos="1560"/>
              </w:tabs>
              <w:spacing w:before="0"/>
              <w:jc w:val="left"/>
              <w:rPr>
                <w:szCs w:val="24"/>
                <w:lang w:val="es-ES_tradnl"/>
              </w:rPr>
            </w:pPr>
            <w:r w:rsidRPr="0075124D">
              <w:rPr>
                <w:szCs w:val="24"/>
                <w:lang w:val="es-ES_tradnl"/>
              </w:rPr>
              <w:t>Asunto:</w:t>
            </w:r>
          </w:p>
        </w:tc>
        <w:tc>
          <w:tcPr>
            <w:tcW w:w="8363" w:type="dxa"/>
            <w:gridSpan w:val="2"/>
            <w:vMerge w:val="restart"/>
            <w:shd w:val="clear" w:color="auto" w:fill="auto"/>
          </w:tcPr>
          <w:p w:rsidR="00E53DCE" w:rsidRPr="0075124D" w:rsidRDefault="00D62D92" w:rsidP="00FD338A">
            <w:pPr>
              <w:tabs>
                <w:tab w:val="clear" w:pos="1588"/>
                <w:tab w:val="left" w:pos="1560"/>
              </w:tabs>
              <w:spacing w:before="0"/>
              <w:rPr>
                <w:b/>
                <w:bCs/>
                <w:szCs w:val="24"/>
                <w:lang w:val="es-ES_tradnl"/>
              </w:rPr>
            </w:pPr>
            <w:r w:rsidRPr="00CB50D9">
              <w:rPr>
                <w:b/>
                <w:bCs/>
                <w:szCs w:val="24"/>
                <w:lang w:val="es-ES_tradnl"/>
              </w:rPr>
              <w:t>Publicación de información con arreglo a los números 11.41 y 11.41A del Reglamento de Radiocomunicaciones</w:t>
            </w:r>
          </w:p>
        </w:tc>
      </w:tr>
      <w:tr w:rsidR="00E53DCE" w:rsidRPr="00C25938" w:rsidTr="00306452">
        <w:trPr>
          <w:jc w:val="center"/>
        </w:trPr>
        <w:tc>
          <w:tcPr>
            <w:tcW w:w="1526" w:type="dxa"/>
            <w:shd w:val="clear" w:color="auto" w:fill="auto"/>
          </w:tcPr>
          <w:p w:rsidR="00E53DCE" w:rsidRPr="0075124D"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75124D" w:rsidRDefault="00E53DCE" w:rsidP="006160CB">
            <w:pPr>
              <w:tabs>
                <w:tab w:val="clear" w:pos="1588"/>
                <w:tab w:val="left" w:pos="1560"/>
              </w:tabs>
              <w:spacing w:before="0"/>
              <w:rPr>
                <w:b/>
                <w:bCs/>
                <w:szCs w:val="24"/>
                <w:lang w:val="es-ES_tradnl"/>
              </w:rPr>
            </w:pPr>
          </w:p>
        </w:tc>
      </w:tr>
      <w:tr w:rsidR="00E53DCE" w:rsidRPr="00C25938" w:rsidTr="00306452">
        <w:trPr>
          <w:jc w:val="center"/>
        </w:trPr>
        <w:tc>
          <w:tcPr>
            <w:tcW w:w="1526" w:type="dxa"/>
            <w:shd w:val="clear" w:color="auto" w:fill="auto"/>
          </w:tcPr>
          <w:p w:rsidR="00E53DCE" w:rsidRPr="0075124D"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75124D" w:rsidRDefault="00E53DCE" w:rsidP="006160CB">
            <w:pPr>
              <w:tabs>
                <w:tab w:val="clear" w:pos="1588"/>
                <w:tab w:val="left" w:pos="1560"/>
              </w:tabs>
              <w:spacing w:before="0"/>
              <w:rPr>
                <w:b/>
                <w:bCs/>
                <w:szCs w:val="24"/>
                <w:lang w:val="es-ES_tradnl"/>
              </w:rPr>
            </w:pPr>
          </w:p>
        </w:tc>
      </w:tr>
      <w:tr w:rsidR="00E53DCE" w:rsidRPr="00C25938" w:rsidTr="00306452">
        <w:trPr>
          <w:jc w:val="center"/>
        </w:trPr>
        <w:tc>
          <w:tcPr>
            <w:tcW w:w="9889" w:type="dxa"/>
            <w:gridSpan w:val="3"/>
            <w:shd w:val="clear" w:color="auto" w:fill="auto"/>
          </w:tcPr>
          <w:p w:rsidR="00E53DCE" w:rsidRPr="0075124D" w:rsidRDefault="00E53DCE" w:rsidP="00E53DCE">
            <w:pPr>
              <w:tabs>
                <w:tab w:val="clear" w:pos="1588"/>
                <w:tab w:val="left" w:pos="1560"/>
              </w:tabs>
              <w:spacing w:before="0"/>
              <w:jc w:val="left"/>
              <w:rPr>
                <w:szCs w:val="24"/>
                <w:lang w:val="es-ES_tradnl"/>
              </w:rPr>
            </w:pPr>
          </w:p>
        </w:tc>
      </w:tr>
      <w:tr w:rsidR="00E53DCE" w:rsidRPr="00C25938" w:rsidTr="00306452">
        <w:trPr>
          <w:jc w:val="center"/>
        </w:trPr>
        <w:tc>
          <w:tcPr>
            <w:tcW w:w="9889" w:type="dxa"/>
            <w:gridSpan w:val="3"/>
            <w:shd w:val="clear" w:color="auto" w:fill="auto"/>
          </w:tcPr>
          <w:p w:rsidR="00E53DCE" w:rsidRPr="0075124D" w:rsidRDefault="00E53DCE" w:rsidP="006160CB">
            <w:pPr>
              <w:spacing w:before="0"/>
              <w:jc w:val="left"/>
              <w:rPr>
                <w:b/>
                <w:bCs/>
                <w:szCs w:val="24"/>
                <w:lang w:val="es-ES_tradnl"/>
              </w:rPr>
            </w:pPr>
          </w:p>
        </w:tc>
      </w:tr>
    </w:tbl>
    <w:p w:rsidR="00E53DCE" w:rsidRPr="0075124D" w:rsidRDefault="00E53DCE" w:rsidP="00E53DCE">
      <w:pPr>
        <w:rPr>
          <w:szCs w:val="24"/>
          <w:lang w:val="es-ES_tradnl"/>
        </w:rPr>
      </w:pPr>
    </w:p>
    <w:p w:rsidR="00D62D92" w:rsidRPr="0075124D" w:rsidRDefault="00D62D92" w:rsidP="008F2960">
      <w:pPr>
        <w:rPr>
          <w:lang w:val="es-ES_tradnl"/>
        </w:rPr>
      </w:pPr>
      <w:r w:rsidRPr="0075124D">
        <w:rPr>
          <w:lang w:val="es-ES_tradnl"/>
        </w:rPr>
        <w:t xml:space="preserve">El objeto de la presente Carta Circular es facilitar información acerca del nuevo formato de publicación utilizado por la Oficina de Radiocomunicaciones para los requisitos de coordinación establecidos en virtud del número </w:t>
      </w:r>
      <w:r w:rsidRPr="0075124D">
        <w:rPr>
          <w:b/>
          <w:bCs/>
          <w:lang w:val="es-ES_tradnl"/>
        </w:rPr>
        <w:t>9.36.2</w:t>
      </w:r>
      <w:r w:rsidRPr="0075124D">
        <w:rPr>
          <w:lang w:val="es-ES_tradnl"/>
        </w:rPr>
        <w:t xml:space="preserve"> del Reglamento de Radiocomunicaciones, y sobre el nuevo proceso de registro y examen de las conclusiones del número </w:t>
      </w:r>
      <w:r w:rsidRPr="0075124D">
        <w:rPr>
          <w:b/>
          <w:bCs/>
          <w:lang w:val="es-ES_tradnl"/>
        </w:rPr>
        <w:t>11.41</w:t>
      </w:r>
      <w:r w:rsidR="00E03EF0">
        <w:rPr>
          <w:lang w:val="es-ES_tradnl"/>
        </w:rPr>
        <w:t xml:space="preserve"> en aplicación del número </w:t>
      </w:r>
      <w:r w:rsidRPr="0075124D">
        <w:rPr>
          <w:b/>
          <w:bCs/>
          <w:lang w:val="es-ES_tradnl"/>
        </w:rPr>
        <w:t>11.41A</w:t>
      </w:r>
      <w:r w:rsidRPr="0075124D">
        <w:rPr>
          <w:lang w:val="es-ES_tradnl"/>
        </w:rPr>
        <w:t>.</w:t>
      </w:r>
    </w:p>
    <w:p w:rsidR="00D62D92" w:rsidRPr="0075124D" w:rsidRDefault="00D62D92" w:rsidP="008F2960">
      <w:pPr>
        <w:rPr>
          <w:lang w:val="es-ES_tradnl"/>
        </w:rPr>
      </w:pPr>
      <w:r w:rsidRPr="0075124D">
        <w:rPr>
          <w:lang w:val="es-ES_tradnl"/>
        </w:rPr>
        <w:t xml:space="preserve">En su reunión de junio de 2015, el Grupo de Trabajo 4A pidió al Director de la Oficina de Radiocomunicaciones que estudiara y aplicara, de ser posible, </w:t>
      </w:r>
      <w:r w:rsidR="00E03EF0">
        <w:rPr>
          <w:lang w:val="es-ES_tradnl"/>
        </w:rPr>
        <w:t>las siguientes propuestas (Doc. </w:t>
      </w:r>
      <w:r w:rsidRPr="0075124D">
        <w:rPr>
          <w:lang w:val="es-ES_tradnl"/>
        </w:rPr>
        <w:t>4A/669, Anexo 14):</w:t>
      </w:r>
    </w:p>
    <w:p w:rsidR="00D62D92" w:rsidRPr="0075124D" w:rsidRDefault="008F2960" w:rsidP="008F2960">
      <w:pPr>
        <w:pStyle w:val="enumlev1"/>
        <w:rPr>
          <w:lang w:val="es-ES_tradnl"/>
        </w:rPr>
      </w:pPr>
      <w:r>
        <w:rPr>
          <w:lang w:val="es-ES_tradnl"/>
        </w:rPr>
        <w:t>1)</w:t>
      </w:r>
      <w:r w:rsidR="00D62D92" w:rsidRPr="0075124D">
        <w:rPr>
          <w:lang w:val="es-ES_tradnl"/>
        </w:rPr>
        <w:tab/>
        <w:t>Separar en dos listas distintas aquellas redes de satélites iden</w:t>
      </w:r>
      <w:r w:rsidR="00E03EF0">
        <w:rPr>
          <w:lang w:val="es-ES_tradnl"/>
        </w:rPr>
        <w:t>tificadas con arreglo al número </w:t>
      </w:r>
      <w:r w:rsidR="00D62D92" w:rsidRPr="0075124D">
        <w:rPr>
          <w:b/>
          <w:bCs/>
          <w:lang w:val="es-ES_tradnl"/>
        </w:rPr>
        <w:t>9.7</w:t>
      </w:r>
      <w:r w:rsidR="00D62D92" w:rsidRPr="0075124D">
        <w:rPr>
          <w:lang w:val="es-ES_tradnl"/>
        </w:rPr>
        <w:t xml:space="preserve"> en aplicación del número </w:t>
      </w:r>
      <w:r w:rsidR="00D62D92" w:rsidRPr="0075124D">
        <w:rPr>
          <w:b/>
          <w:bCs/>
          <w:lang w:val="es-ES_tradnl"/>
        </w:rPr>
        <w:t>9.36.2</w:t>
      </w:r>
      <w:r w:rsidR="00D62D92" w:rsidRPr="0075124D">
        <w:rPr>
          <w:lang w:val="es-ES_tradnl"/>
        </w:rPr>
        <w:t xml:space="preserve"> en la misma dirección de transmisión o en la dirección opuesta. </w:t>
      </w:r>
    </w:p>
    <w:p w:rsidR="00D62D92" w:rsidRPr="0075124D" w:rsidRDefault="008F2960" w:rsidP="008F2960">
      <w:pPr>
        <w:pStyle w:val="enumlev1"/>
        <w:rPr>
          <w:szCs w:val="24"/>
          <w:lang w:val="es-ES_tradnl"/>
        </w:rPr>
      </w:pPr>
      <w:r>
        <w:rPr>
          <w:szCs w:val="24"/>
          <w:lang w:val="es-ES_tradnl"/>
        </w:rPr>
        <w:t>2)</w:t>
      </w:r>
      <w:r w:rsidR="00D62D92" w:rsidRPr="0075124D">
        <w:rPr>
          <w:szCs w:val="24"/>
          <w:lang w:val="es-ES_tradnl"/>
        </w:rPr>
        <w:tab/>
        <w:t xml:space="preserve">Sustituir en la Parte II-S de las redes de satélites la lista única de administraciones del número </w:t>
      </w:r>
      <w:r w:rsidR="00D62D92" w:rsidRPr="0075124D">
        <w:rPr>
          <w:b/>
          <w:bCs/>
          <w:szCs w:val="24"/>
          <w:lang w:val="es-ES_tradnl"/>
        </w:rPr>
        <w:t>11.41</w:t>
      </w:r>
      <w:r w:rsidR="00D62D92" w:rsidRPr="0075124D">
        <w:rPr>
          <w:szCs w:val="24"/>
          <w:lang w:val="es-ES_tradnl"/>
        </w:rPr>
        <w:t xml:space="preserve"> por listas diferentes según las distintas disposiciones para las que aún haya de completarse la coordinación (por ejemplo los números </w:t>
      </w:r>
      <w:r w:rsidR="00D62D92" w:rsidRPr="0075124D">
        <w:rPr>
          <w:b/>
          <w:bCs/>
          <w:szCs w:val="24"/>
          <w:lang w:val="es-ES_tradnl"/>
        </w:rPr>
        <w:t>11.41/9.7</w:t>
      </w:r>
      <w:r w:rsidR="00D62D92" w:rsidRPr="0075124D">
        <w:rPr>
          <w:szCs w:val="24"/>
          <w:lang w:val="es-ES_tradnl"/>
        </w:rPr>
        <w:t xml:space="preserve">, </w:t>
      </w:r>
      <w:r w:rsidR="00D62D92" w:rsidRPr="0075124D">
        <w:rPr>
          <w:b/>
          <w:bCs/>
          <w:szCs w:val="24"/>
          <w:lang w:val="es-ES_tradnl"/>
        </w:rPr>
        <w:t>11.41/9.12</w:t>
      </w:r>
      <w:r w:rsidR="00D62D92" w:rsidRPr="0075124D">
        <w:rPr>
          <w:szCs w:val="24"/>
          <w:lang w:val="es-ES_tradnl"/>
        </w:rPr>
        <w:t xml:space="preserve">, </w:t>
      </w:r>
      <w:r w:rsidR="00D62D92" w:rsidRPr="0075124D">
        <w:rPr>
          <w:b/>
          <w:bCs/>
          <w:szCs w:val="24"/>
          <w:lang w:val="es-ES_tradnl"/>
        </w:rPr>
        <w:t>11.41/9.13</w:t>
      </w:r>
      <w:r w:rsidR="00D62D92" w:rsidRPr="0075124D">
        <w:rPr>
          <w:szCs w:val="24"/>
          <w:lang w:val="es-ES_tradnl"/>
        </w:rPr>
        <w:t xml:space="preserve">, </w:t>
      </w:r>
      <w:r w:rsidR="00D62D92" w:rsidRPr="0075124D">
        <w:rPr>
          <w:b/>
          <w:bCs/>
          <w:szCs w:val="24"/>
          <w:lang w:val="es-ES_tradnl"/>
        </w:rPr>
        <w:t>11.41/9.14</w:t>
      </w:r>
      <w:r w:rsidR="00D62D92" w:rsidRPr="0075124D">
        <w:rPr>
          <w:szCs w:val="24"/>
          <w:lang w:val="es-ES_tradnl"/>
        </w:rPr>
        <w:t>, etc.), y establecer una lista de los distintos sistemas y redes de satélites con los que aún haya de completarse la coordinación.</w:t>
      </w:r>
    </w:p>
    <w:p w:rsidR="00D62D92" w:rsidRPr="0075124D" w:rsidRDefault="00D62D92" w:rsidP="008F2960">
      <w:pPr>
        <w:rPr>
          <w:lang w:val="es-ES_tradnl"/>
        </w:rPr>
      </w:pPr>
      <w:r w:rsidRPr="0075124D">
        <w:rPr>
          <w:lang w:val="es-ES_tradnl"/>
        </w:rPr>
        <w:t>La Oficina se complace en informar a las administraciones que ya se han aplicado las citadas propuestas del Grupo de Trabajo 4A.</w:t>
      </w:r>
    </w:p>
    <w:p w:rsidR="00D62D92" w:rsidRPr="0075124D" w:rsidRDefault="00D62D92" w:rsidP="008F2960">
      <w:pPr>
        <w:pStyle w:val="Headingb"/>
        <w:rPr>
          <w:lang w:val="es-ES_tradnl"/>
        </w:rPr>
      </w:pPr>
      <w:r w:rsidRPr="0075124D">
        <w:rPr>
          <w:lang w:val="es-ES_tradnl"/>
        </w:rPr>
        <w:t>Nuevos símbolos de disposición</w:t>
      </w:r>
    </w:p>
    <w:p w:rsidR="00D62D92" w:rsidRPr="0075124D" w:rsidRDefault="00D62D92" w:rsidP="008F2960">
      <w:pPr>
        <w:rPr>
          <w:lang w:val="es-ES_tradnl"/>
        </w:rPr>
      </w:pPr>
      <w:r w:rsidRPr="0075124D">
        <w:rPr>
          <w:lang w:val="es-ES_tradnl"/>
        </w:rPr>
        <w:t xml:space="preserve">La Oficina ha modificado el programa informático GIBC/AP8, disponible a partir de la BR IFIC 2817 / 12.04.2016, a fin de implementar el primer requisito arriba citado, que se aplicará a las solicitudes de coordinación de redes de satélites recibidas a partir del 28 de noviembre de 2015. </w:t>
      </w:r>
    </w:p>
    <w:p w:rsidR="00D62D92" w:rsidRPr="0075124D" w:rsidRDefault="00D62D92" w:rsidP="008F2960">
      <w:pPr>
        <w:keepLines/>
        <w:rPr>
          <w:lang w:val="es-ES_tradnl"/>
        </w:rPr>
      </w:pPr>
      <w:r w:rsidRPr="0075124D">
        <w:rPr>
          <w:lang w:val="es-ES_tradnl"/>
        </w:rPr>
        <w:lastRenderedPageBreak/>
        <w:t xml:space="preserve">La sección especial CR/C incluirá cuadros separados a fin de identificar las redes de satélites específicas en aplicación del número </w:t>
      </w:r>
      <w:r w:rsidRPr="0075124D">
        <w:rPr>
          <w:b/>
          <w:bCs/>
          <w:lang w:val="es-ES_tradnl"/>
        </w:rPr>
        <w:t>9.36.2</w:t>
      </w:r>
      <w:r w:rsidRPr="0075124D">
        <w:rPr>
          <w:lang w:val="es-ES_tradnl"/>
        </w:rPr>
        <w:t xml:space="preserve"> para el Caso I (Las redes útil e interferente comparten una banda de frecuencias en el mismo sentido de transmisión) y para el Caso II (Las redes útil e interferente comparten una banda de frecuencias en sentidos opuestos de transmisión (utilización bidireccional)). De manera similar, en la base de datos SRS, estos casos se indicarán con el código apropiado en el campo </w:t>
      </w:r>
      <w:r w:rsidRPr="0075124D">
        <w:rPr>
          <w:i/>
          <w:iCs/>
          <w:lang w:val="es-ES_tradnl"/>
        </w:rPr>
        <w:t>coord_prov</w:t>
      </w:r>
      <w:r w:rsidRPr="0075124D">
        <w:rPr>
          <w:lang w:val="es-ES_tradnl"/>
        </w:rPr>
        <w:t xml:space="preserve"> del Cuadro </w:t>
      </w:r>
      <w:r w:rsidRPr="0075124D">
        <w:rPr>
          <w:i/>
          <w:iCs/>
          <w:lang w:val="es-ES_tradnl"/>
        </w:rPr>
        <w:t>tr_aff_ntw</w:t>
      </w:r>
      <w:r w:rsidRPr="0075124D">
        <w:rPr>
          <w:lang w:val="es-ES_tradnl"/>
        </w:rPr>
        <w:t>, respectivamente 9.7-CI y 9.7-CII.</w:t>
      </w:r>
    </w:p>
    <w:p w:rsidR="00D62D92" w:rsidRPr="0075124D" w:rsidRDefault="00D62D92" w:rsidP="008F2960">
      <w:pPr>
        <w:rPr>
          <w:lang w:val="es-ES_tradnl"/>
        </w:rPr>
      </w:pPr>
      <w:r w:rsidRPr="0075124D">
        <w:rPr>
          <w:lang w:val="es-ES_tradnl"/>
        </w:rPr>
        <w:t xml:space="preserve">En lo que respecta a las asignaciones de frecuencias para las que no se haya completado aún la coordinación con arreglo a los números </w:t>
      </w:r>
      <w:r w:rsidRPr="0075124D">
        <w:rPr>
          <w:b/>
          <w:bCs/>
          <w:lang w:val="es-ES_tradnl"/>
        </w:rPr>
        <w:t>9.7</w:t>
      </w:r>
      <w:r w:rsidRPr="0075124D">
        <w:rPr>
          <w:lang w:val="es-ES_tradnl"/>
        </w:rPr>
        <w:t xml:space="preserve">, </w:t>
      </w:r>
      <w:r w:rsidRPr="0075124D">
        <w:rPr>
          <w:b/>
          <w:bCs/>
          <w:lang w:val="es-ES_tradnl"/>
        </w:rPr>
        <w:t>9.12</w:t>
      </w:r>
      <w:r w:rsidRPr="0075124D">
        <w:rPr>
          <w:lang w:val="es-ES_tradnl"/>
        </w:rPr>
        <w:t xml:space="preserve">, </w:t>
      </w:r>
      <w:r w:rsidRPr="0075124D">
        <w:rPr>
          <w:b/>
          <w:bCs/>
          <w:lang w:val="es-ES_tradnl"/>
        </w:rPr>
        <w:t>9.12A</w:t>
      </w:r>
      <w:r w:rsidRPr="0075124D">
        <w:rPr>
          <w:lang w:val="es-ES_tradnl"/>
        </w:rPr>
        <w:t xml:space="preserve">, </w:t>
      </w:r>
      <w:r w:rsidRPr="0075124D">
        <w:rPr>
          <w:b/>
          <w:bCs/>
          <w:lang w:val="es-ES_tradnl"/>
        </w:rPr>
        <w:t>9.13</w:t>
      </w:r>
      <w:r w:rsidRPr="0075124D">
        <w:rPr>
          <w:lang w:val="es-ES_tradnl"/>
        </w:rPr>
        <w:t xml:space="preserve"> y </w:t>
      </w:r>
      <w:r w:rsidRPr="0075124D">
        <w:rPr>
          <w:b/>
          <w:bCs/>
          <w:lang w:val="es-ES_tradnl"/>
        </w:rPr>
        <w:t>9.14</w:t>
      </w:r>
      <w:r w:rsidRPr="0075124D">
        <w:rPr>
          <w:lang w:val="es-ES_tradnl"/>
        </w:rPr>
        <w:t xml:space="preserve">, la Oficina ha comenzado a publicar, a partir del 1 de noviembre de 2015, las conclusiones del número </w:t>
      </w:r>
      <w:r w:rsidRPr="0075124D">
        <w:rPr>
          <w:b/>
          <w:bCs/>
          <w:lang w:val="es-ES_tradnl"/>
        </w:rPr>
        <w:t>11.41</w:t>
      </w:r>
      <w:r w:rsidRPr="0075124D">
        <w:rPr>
          <w:lang w:val="es-ES_tradnl"/>
        </w:rPr>
        <w:t xml:space="preserve"> con una referencia a la disposición específica con arreglo a la cual no se ha completado la coordinación (por ejemplo </w:t>
      </w:r>
      <w:r w:rsidRPr="0075124D">
        <w:rPr>
          <w:b/>
          <w:bCs/>
          <w:lang w:val="es-ES_tradnl"/>
        </w:rPr>
        <w:t>11.41/9.7</w:t>
      </w:r>
      <w:r w:rsidRPr="0075124D">
        <w:rPr>
          <w:lang w:val="es-ES_tradnl"/>
        </w:rPr>
        <w:t xml:space="preserve">, </w:t>
      </w:r>
      <w:r w:rsidRPr="0075124D">
        <w:rPr>
          <w:b/>
          <w:bCs/>
          <w:lang w:val="es-ES_tradnl"/>
        </w:rPr>
        <w:t>11.41/9.12</w:t>
      </w:r>
      <w:r w:rsidRPr="0075124D">
        <w:rPr>
          <w:lang w:val="es-ES_tradnl"/>
        </w:rPr>
        <w:t xml:space="preserve"> etc.).</w:t>
      </w:r>
    </w:p>
    <w:p w:rsidR="00D62D92" w:rsidRPr="0075124D" w:rsidRDefault="00D62D92" w:rsidP="008F2960">
      <w:pPr>
        <w:rPr>
          <w:lang w:val="es-ES_tradnl"/>
        </w:rPr>
      </w:pPr>
      <w:r w:rsidRPr="0075124D">
        <w:rPr>
          <w:lang w:val="es-ES_tradnl"/>
        </w:rPr>
        <w:t xml:space="preserve">Del mismo modo, la Oficina también ha venido publicando las conclusiones con arreglo al procedimiento de acuerdo del número </w:t>
      </w:r>
      <w:r w:rsidRPr="0075124D">
        <w:rPr>
          <w:b/>
          <w:bCs/>
          <w:lang w:val="es-ES_tradnl"/>
        </w:rPr>
        <w:t>9.21</w:t>
      </w:r>
      <w:r w:rsidRPr="0075124D">
        <w:rPr>
          <w:lang w:val="es-ES_tradnl"/>
        </w:rPr>
        <w:t xml:space="preserve"> en aplicación del número </w:t>
      </w:r>
      <w:r w:rsidRPr="0075124D">
        <w:rPr>
          <w:b/>
          <w:bCs/>
          <w:lang w:val="es-ES_tradnl"/>
        </w:rPr>
        <w:t>11.31.1</w:t>
      </w:r>
      <w:r w:rsidRPr="0075124D">
        <w:rPr>
          <w:lang w:val="es-ES_tradnl"/>
        </w:rPr>
        <w:t xml:space="preserve">, estableciendo la distinción entre los tipos de red (OSG/no OSG/redes terrenales) de la administración afectada con las que no se haya obtenido el acuerdo del número </w:t>
      </w:r>
      <w:r w:rsidRPr="0075124D">
        <w:rPr>
          <w:b/>
          <w:bCs/>
          <w:lang w:val="es-ES_tradnl"/>
        </w:rPr>
        <w:t>9.21</w:t>
      </w:r>
      <w:r w:rsidRPr="0075124D">
        <w:rPr>
          <w:lang w:val="es-ES_tradnl"/>
        </w:rPr>
        <w:t xml:space="preserve"> (por ejemplo </w:t>
      </w:r>
      <w:r w:rsidRPr="0075124D">
        <w:rPr>
          <w:b/>
          <w:bCs/>
          <w:lang w:val="es-ES_tradnl"/>
        </w:rPr>
        <w:t>V/11.31.1/A</w:t>
      </w:r>
      <w:r w:rsidRPr="0075124D">
        <w:rPr>
          <w:lang w:val="es-ES_tradnl"/>
        </w:rPr>
        <w:t xml:space="preserve">, </w:t>
      </w:r>
      <w:r w:rsidRPr="0075124D">
        <w:rPr>
          <w:b/>
          <w:bCs/>
          <w:lang w:val="es-ES_tradnl"/>
        </w:rPr>
        <w:t>V/11.31.1/B</w:t>
      </w:r>
      <w:r w:rsidRPr="0075124D">
        <w:rPr>
          <w:lang w:val="es-ES_tradnl"/>
        </w:rPr>
        <w:t xml:space="preserve">, </w:t>
      </w:r>
      <w:r w:rsidRPr="0075124D">
        <w:rPr>
          <w:b/>
          <w:bCs/>
          <w:lang w:val="es-ES_tradnl"/>
        </w:rPr>
        <w:t>V/11.31.1/C</w:t>
      </w:r>
      <w:r w:rsidRPr="0075124D">
        <w:rPr>
          <w:lang w:val="es-ES_tradnl"/>
        </w:rPr>
        <w:t>).</w:t>
      </w:r>
    </w:p>
    <w:p w:rsidR="00D62D92" w:rsidRPr="0075124D" w:rsidRDefault="00D62D92" w:rsidP="008F2960">
      <w:pPr>
        <w:rPr>
          <w:lang w:val="es-ES_tradnl"/>
        </w:rPr>
      </w:pPr>
      <w:r w:rsidRPr="0075124D">
        <w:rPr>
          <w:lang w:val="es-ES_tradnl"/>
        </w:rPr>
        <w:t>A este respecto, la Oficina ha actualizado como corresponde el Prefacio a la BR IFIC (Servicios Espaciales).</w:t>
      </w:r>
    </w:p>
    <w:p w:rsidR="00D62D92" w:rsidRPr="0075124D" w:rsidRDefault="00D62D92" w:rsidP="008F2960">
      <w:pPr>
        <w:pStyle w:val="Headingb"/>
        <w:rPr>
          <w:lang w:val="es-ES_tradnl"/>
        </w:rPr>
      </w:pPr>
      <w:r w:rsidRPr="0075124D">
        <w:rPr>
          <w:lang w:val="es-ES_tradnl"/>
        </w:rPr>
        <w:t>Aplicación del número 11.41A</w:t>
      </w:r>
    </w:p>
    <w:p w:rsidR="00D62D92" w:rsidRPr="0075124D" w:rsidRDefault="00D62D92" w:rsidP="008F2960">
      <w:pPr>
        <w:rPr>
          <w:lang w:val="es-ES_tradnl"/>
        </w:rPr>
      </w:pPr>
      <w:r w:rsidRPr="0075124D">
        <w:rPr>
          <w:lang w:val="es-ES_tradnl"/>
        </w:rPr>
        <w:t xml:space="preserve">En los números </w:t>
      </w:r>
      <w:r w:rsidRPr="0075124D">
        <w:rPr>
          <w:b/>
          <w:bCs/>
          <w:lang w:val="es-ES_tradnl"/>
        </w:rPr>
        <w:t>11.41A</w:t>
      </w:r>
      <w:r w:rsidRPr="0075124D">
        <w:rPr>
          <w:lang w:val="es-ES_tradnl"/>
        </w:rPr>
        <w:t xml:space="preserve"> y </w:t>
      </w:r>
      <w:r w:rsidRPr="0075124D">
        <w:rPr>
          <w:b/>
          <w:bCs/>
          <w:lang w:val="es-ES_tradnl"/>
        </w:rPr>
        <w:t>11.41B</w:t>
      </w:r>
      <w:r w:rsidRPr="0075124D">
        <w:rPr>
          <w:lang w:val="es-ES_tradnl"/>
        </w:rPr>
        <w:t xml:space="preserve"> se especifican las condiciones para revisar las conclusiones de una asignación inscrita con arreglo al número </w:t>
      </w:r>
      <w:r w:rsidRPr="0075124D">
        <w:rPr>
          <w:b/>
          <w:bCs/>
          <w:lang w:val="es-ES_tradnl"/>
        </w:rPr>
        <w:t>11.41</w:t>
      </w:r>
      <w:r w:rsidRPr="0075124D">
        <w:rPr>
          <w:lang w:val="es-ES_tradnl"/>
        </w:rPr>
        <w:t xml:space="preserve"> a raíz de un cambio en la situación de coordinación.</w:t>
      </w:r>
    </w:p>
    <w:p w:rsidR="00D62D92" w:rsidRPr="0075124D" w:rsidRDefault="00D62D92" w:rsidP="008F2960">
      <w:pPr>
        <w:rPr>
          <w:lang w:val="es-ES_tradnl"/>
        </w:rPr>
      </w:pPr>
      <w:r w:rsidRPr="0075124D">
        <w:rPr>
          <w:lang w:val="es-ES_tradnl"/>
        </w:rPr>
        <w:t>Según se informaba en el Informe del Director a la CMR-15 (Do</w:t>
      </w:r>
      <w:r w:rsidR="00E03EF0">
        <w:rPr>
          <w:lang w:val="es-ES_tradnl"/>
        </w:rPr>
        <w:t>c. WRC-15/4Add.2 Rev.1, Sección </w:t>
      </w:r>
      <w:r w:rsidRPr="0075124D">
        <w:rPr>
          <w:lang w:val="es-ES_tradnl"/>
        </w:rPr>
        <w:t xml:space="preserve">3.2.3.5), la Oficina se encuentra ahora en disposición de poder aplicar plenamente el número </w:t>
      </w:r>
      <w:r w:rsidRPr="0075124D">
        <w:rPr>
          <w:b/>
          <w:bCs/>
          <w:lang w:val="es-ES_tradnl"/>
        </w:rPr>
        <w:t>11.41A</w:t>
      </w:r>
      <w:r w:rsidRPr="0075124D">
        <w:rPr>
          <w:lang w:val="es-ES_tradnl"/>
        </w:rPr>
        <w:t xml:space="preserve"> a todas las primeras comunicaciones de notificación recibidas desde el </w:t>
      </w:r>
      <w:r w:rsidR="00C25938">
        <w:rPr>
          <w:lang w:val="es-ES_tradnl"/>
        </w:rPr>
        <w:br/>
      </w:r>
      <w:r w:rsidRPr="0075124D">
        <w:rPr>
          <w:lang w:val="es-ES_tradnl"/>
        </w:rPr>
        <w:t>1 de enero de 2015.</w:t>
      </w:r>
    </w:p>
    <w:p w:rsidR="00D62D92" w:rsidRPr="0075124D" w:rsidRDefault="00D62D92" w:rsidP="008F2960">
      <w:pPr>
        <w:rPr>
          <w:lang w:val="es-ES_tradnl"/>
        </w:rPr>
      </w:pPr>
      <w:r w:rsidRPr="0075124D">
        <w:rPr>
          <w:lang w:val="es-ES_tradnl"/>
        </w:rPr>
        <w:t xml:space="preserve">La lista de las asignaciones de frecuencias a redes de satélites que sirvieron de base a efectos de una conclusión desfavorable con arreglo al número </w:t>
      </w:r>
      <w:r w:rsidRPr="0075124D">
        <w:rPr>
          <w:b/>
          <w:bCs/>
          <w:lang w:val="es-ES_tradnl"/>
        </w:rPr>
        <w:t>11.32A</w:t>
      </w:r>
      <w:r w:rsidRPr="0075124D">
        <w:rPr>
          <w:lang w:val="es-ES_tradnl"/>
        </w:rPr>
        <w:t xml:space="preserve"> para una asignación inscrita en virtud del número </w:t>
      </w:r>
      <w:r w:rsidRPr="0075124D">
        <w:rPr>
          <w:b/>
          <w:bCs/>
          <w:lang w:val="es-ES_tradnl"/>
        </w:rPr>
        <w:t>11.41</w:t>
      </w:r>
      <w:r w:rsidRPr="0075124D">
        <w:rPr>
          <w:lang w:val="es-ES_tradnl"/>
        </w:rPr>
        <w:t xml:space="preserve"> se mantiene junto con la notificación de la asignación inscrita, y se actualizará cuando se supriman dichas asignaciones de frecuencias.</w:t>
      </w:r>
    </w:p>
    <w:p w:rsidR="00D62D92" w:rsidRPr="0075124D" w:rsidRDefault="00D62D92" w:rsidP="008F2960">
      <w:pPr>
        <w:rPr>
          <w:lang w:val="es-ES_tradnl"/>
        </w:rPr>
      </w:pPr>
      <w:r w:rsidRPr="0075124D">
        <w:rPr>
          <w:lang w:val="es-ES_tradnl"/>
        </w:rPr>
        <w:t xml:space="preserve">En lo que atañe a la situación respecto del acuerdo con arreglo al número </w:t>
      </w:r>
      <w:r w:rsidRPr="0075124D">
        <w:rPr>
          <w:b/>
          <w:bCs/>
          <w:lang w:val="es-ES_tradnl"/>
        </w:rPr>
        <w:t>9.21</w:t>
      </w:r>
      <w:r w:rsidRPr="0075124D">
        <w:rPr>
          <w:lang w:val="es-ES_tradnl"/>
        </w:rPr>
        <w:t>, se revisará en consecuencia la lista de las redes/estaciones para las que no se haya obtenido acuerdo.</w:t>
      </w:r>
    </w:p>
    <w:p w:rsidR="00D62D92" w:rsidRPr="0075124D" w:rsidRDefault="00D62D92" w:rsidP="008F2960">
      <w:pPr>
        <w:rPr>
          <w:lang w:val="es-ES_tradnl"/>
        </w:rPr>
      </w:pPr>
      <w:r w:rsidRPr="0075124D">
        <w:rPr>
          <w:lang w:val="es-ES_tradnl"/>
        </w:rPr>
        <w:t>La Oficina ha creado una base de datos para mantener los registros de las asignaciones de frecuencias a redes y estaciones afectadas. La base de datos con información sobre la lista de redes y estaciones afectadas, la disposición de coordinación y las características básicas de los grupos de asignaciones de frecuencias (es decir, la frecuencia mínima y máxi</w:t>
      </w:r>
      <w:r w:rsidR="00E03EF0">
        <w:rPr>
          <w:lang w:val="es-ES_tradnl"/>
        </w:rPr>
        <w:t>ma, el ancho de banda asignado, </w:t>
      </w:r>
      <w:r w:rsidRPr="0075124D">
        <w:rPr>
          <w:lang w:val="es-ES_tradnl"/>
        </w:rPr>
        <w:t xml:space="preserve">etc.) examinada en virtud del número </w:t>
      </w:r>
      <w:r w:rsidRPr="0075124D">
        <w:rPr>
          <w:b/>
          <w:bCs/>
          <w:lang w:val="es-ES_tradnl"/>
        </w:rPr>
        <w:t>11.32A</w:t>
      </w:r>
      <w:r w:rsidRPr="0075124D">
        <w:rPr>
          <w:lang w:val="es-ES_tradnl"/>
        </w:rPr>
        <w:t xml:space="preserve"> está a disposición de las administraciones a través del sistema de búsqueda en línea </w:t>
      </w:r>
      <w:r w:rsidRPr="00E03EF0">
        <w:rPr>
          <w:b/>
          <w:bCs/>
          <w:lang w:val="es-ES_tradnl"/>
        </w:rPr>
        <w:t>Notex</w:t>
      </w:r>
      <w:r w:rsidRPr="0075124D">
        <w:rPr>
          <w:lang w:val="es-ES_tradnl"/>
        </w:rPr>
        <w:t xml:space="preserve">, utilizando el sistema de búsqueda en línea SNS en las direcciones web siguientes: </w:t>
      </w:r>
      <w:hyperlink r:id="rId8" w:history="1">
        <w:r w:rsidRPr="0075124D">
          <w:rPr>
            <w:rStyle w:val="Hyperlink"/>
            <w:szCs w:val="24"/>
            <w:lang w:val="es-ES_tradnl"/>
          </w:rPr>
          <w:t>http://www.itu.int/net4/ITU-R/noq</w:t>
        </w:r>
      </w:hyperlink>
      <w:r w:rsidRPr="0075124D">
        <w:rPr>
          <w:lang w:val="es-ES_tradnl"/>
        </w:rPr>
        <w:t xml:space="preserve"> o </w:t>
      </w:r>
      <w:hyperlink r:id="rId9" w:history="1">
        <w:r w:rsidRPr="0075124D">
          <w:rPr>
            <w:rStyle w:val="Hyperlink"/>
            <w:szCs w:val="24"/>
            <w:lang w:val="es-ES_tradnl"/>
          </w:rPr>
          <w:t>www.itu.int/go/notex/</w:t>
        </w:r>
      </w:hyperlink>
      <w:r w:rsidRPr="0075124D">
        <w:rPr>
          <w:lang w:val="es-ES_tradnl"/>
        </w:rPr>
        <w:t xml:space="preserve">. </w:t>
      </w:r>
    </w:p>
    <w:p w:rsidR="00D62D92" w:rsidRPr="0075124D" w:rsidRDefault="00D62D92" w:rsidP="008F2960">
      <w:pPr>
        <w:rPr>
          <w:lang w:val="es-ES_tradnl"/>
        </w:rPr>
      </w:pPr>
      <w:r w:rsidRPr="0075124D">
        <w:rPr>
          <w:lang w:val="es-ES_tradnl"/>
        </w:rPr>
        <w:t xml:space="preserve">La Oficina actualizará periódicamente en </w:t>
      </w:r>
      <w:r w:rsidRPr="00E03EF0">
        <w:rPr>
          <w:b/>
          <w:bCs/>
          <w:lang w:val="es-ES_tradnl"/>
        </w:rPr>
        <w:t>Notex</w:t>
      </w:r>
      <w:r w:rsidRPr="0075124D">
        <w:rPr>
          <w:lang w:val="es-ES_tradnl"/>
        </w:rPr>
        <w:t xml:space="preserve"> la información del número </w:t>
      </w:r>
      <w:r w:rsidRPr="0075124D">
        <w:rPr>
          <w:b/>
          <w:bCs/>
          <w:lang w:val="es-ES_tradnl"/>
        </w:rPr>
        <w:t>11.41</w:t>
      </w:r>
      <w:r w:rsidRPr="0075124D">
        <w:rPr>
          <w:lang w:val="es-ES_tradnl"/>
        </w:rPr>
        <w:t xml:space="preserve"> en lo que respecta a las redes/estaciones suprimidas.</w:t>
      </w:r>
    </w:p>
    <w:p w:rsidR="00D62D92" w:rsidRPr="0075124D" w:rsidRDefault="00D62D92" w:rsidP="008F2960">
      <w:pPr>
        <w:rPr>
          <w:lang w:val="es-ES_tradnl"/>
        </w:rPr>
      </w:pPr>
      <w:r w:rsidRPr="0075124D">
        <w:rPr>
          <w:lang w:val="es-ES_tradnl"/>
        </w:rPr>
        <w:t xml:space="preserve">En el Anexo se facilita la estructura funcional del sistema de búsqueda en línea </w:t>
      </w:r>
      <w:r w:rsidRPr="00E03EF0">
        <w:rPr>
          <w:b/>
          <w:bCs/>
          <w:lang w:val="es-ES_tradnl"/>
        </w:rPr>
        <w:t>Notex</w:t>
      </w:r>
      <w:r w:rsidRPr="0075124D">
        <w:rPr>
          <w:lang w:val="es-ES_tradnl"/>
        </w:rPr>
        <w:t>.</w:t>
      </w:r>
    </w:p>
    <w:p w:rsidR="00D62D92" w:rsidRPr="0075124D" w:rsidRDefault="00D62D92" w:rsidP="0075124D">
      <w:pPr>
        <w:keepNext/>
        <w:spacing w:before="120" w:line="240" w:lineRule="auto"/>
        <w:rPr>
          <w:szCs w:val="24"/>
          <w:lang w:val="es-ES_tradnl"/>
        </w:rPr>
      </w:pPr>
      <w:r w:rsidRPr="0075124D">
        <w:rPr>
          <w:szCs w:val="24"/>
          <w:lang w:val="es-ES_tradnl"/>
        </w:rPr>
        <w:lastRenderedPageBreak/>
        <w:t xml:space="preserve">La Oficina se mantiene a disposición de su Administración a través de la dirección </w:t>
      </w:r>
      <w:hyperlink r:id="rId10" w:history="1">
        <w:r w:rsidRPr="0075124D">
          <w:rPr>
            <w:rStyle w:val="Hyperlink"/>
            <w:szCs w:val="24"/>
            <w:lang w:val="es-ES_tradnl"/>
          </w:rPr>
          <w:t>brmail@itu.int</w:t>
        </w:r>
      </w:hyperlink>
      <w:r w:rsidRPr="0075124D">
        <w:rPr>
          <w:szCs w:val="24"/>
          <w:lang w:val="es-ES_tradnl"/>
        </w:rPr>
        <w:t xml:space="preserve"> para cualquier aclaración que pudiera necesitar respecto de los temas tratados en la presente Carta Circular.</w:t>
      </w:r>
    </w:p>
    <w:p w:rsidR="00D62D92" w:rsidRPr="0075124D" w:rsidRDefault="00D62D92" w:rsidP="00F53BE8">
      <w:pPr>
        <w:spacing w:before="1200" w:line="240" w:lineRule="auto"/>
        <w:jc w:val="left"/>
        <w:rPr>
          <w:szCs w:val="24"/>
          <w:lang w:val="es-ES_tradnl"/>
        </w:rPr>
      </w:pPr>
      <w:r w:rsidRPr="0075124D">
        <w:rPr>
          <w:szCs w:val="24"/>
          <w:lang w:val="es-ES_tradnl"/>
        </w:rPr>
        <w:t>François Rancy</w:t>
      </w:r>
      <w:r w:rsidR="00A414A5">
        <w:rPr>
          <w:szCs w:val="24"/>
          <w:lang w:val="es-ES_tradnl"/>
        </w:rPr>
        <w:br/>
      </w:r>
      <w:r w:rsidRPr="0075124D">
        <w:rPr>
          <w:szCs w:val="24"/>
          <w:lang w:val="es-ES_tradnl"/>
        </w:rPr>
        <w:t>Director</w:t>
      </w:r>
    </w:p>
    <w:p w:rsidR="00EB6339" w:rsidRPr="00CB50D9" w:rsidRDefault="00EB6339" w:rsidP="00F53BE8">
      <w:pPr>
        <w:spacing w:before="120" w:line="240" w:lineRule="auto"/>
        <w:jc w:val="left"/>
        <w:rPr>
          <w:rFonts w:asciiTheme="minorHAnsi" w:hAnsiTheme="minorHAnsi" w:cstheme="minorHAnsi"/>
          <w:szCs w:val="24"/>
          <w:lang w:val="es-ES_tradnl"/>
        </w:rPr>
      </w:pPr>
    </w:p>
    <w:p w:rsidR="00EB6339" w:rsidRPr="00CB50D9" w:rsidRDefault="00EB6339" w:rsidP="00F53BE8">
      <w:pPr>
        <w:spacing w:before="120" w:line="240" w:lineRule="auto"/>
        <w:jc w:val="left"/>
        <w:rPr>
          <w:rFonts w:asciiTheme="minorHAnsi" w:hAnsiTheme="minorHAnsi" w:cstheme="minorHAnsi"/>
          <w:szCs w:val="24"/>
          <w:lang w:val="es-ES_tradnl"/>
        </w:rPr>
      </w:pPr>
    </w:p>
    <w:p w:rsidR="00EB6339" w:rsidRPr="00CB50D9" w:rsidRDefault="00EB6339" w:rsidP="00F53BE8">
      <w:pPr>
        <w:spacing w:before="120" w:line="240" w:lineRule="auto"/>
        <w:jc w:val="left"/>
        <w:rPr>
          <w:rFonts w:asciiTheme="minorHAnsi" w:hAnsiTheme="minorHAnsi" w:cstheme="minorHAnsi"/>
          <w:szCs w:val="24"/>
          <w:lang w:val="es-ES_tradnl"/>
        </w:rPr>
      </w:pPr>
    </w:p>
    <w:p w:rsidR="00EB6339" w:rsidRPr="00CB50D9" w:rsidRDefault="00EB6339" w:rsidP="00F53BE8">
      <w:pPr>
        <w:spacing w:before="120" w:line="240" w:lineRule="auto"/>
        <w:jc w:val="left"/>
        <w:rPr>
          <w:rFonts w:asciiTheme="minorHAnsi" w:hAnsiTheme="minorHAnsi" w:cstheme="minorHAnsi"/>
          <w:szCs w:val="24"/>
          <w:lang w:val="es-ES_tradnl"/>
        </w:rPr>
      </w:pPr>
    </w:p>
    <w:p w:rsidR="00EB6339" w:rsidRPr="00CB50D9" w:rsidRDefault="00EB6339" w:rsidP="00F53BE8">
      <w:pPr>
        <w:spacing w:before="120" w:line="240" w:lineRule="auto"/>
        <w:jc w:val="left"/>
        <w:rPr>
          <w:rFonts w:asciiTheme="minorHAnsi" w:hAnsiTheme="minorHAnsi" w:cstheme="minorHAnsi"/>
          <w:szCs w:val="24"/>
          <w:lang w:val="es-ES_tradnl"/>
        </w:rPr>
      </w:pPr>
    </w:p>
    <w:p w:rsidR="00EB6339" w:rsidRPr="00CB50D9" w:rsidRDefault="00EB6339" w:rsidP="00F53BE8">
      <w:pPr>
        <w:spacing w:before="120" w:line="240" w:lineRule="auto"/>
        <w:jc w:val="left"/>
        <w:rPr>
          <w:rFonts w:asciiTheme="minorHAnsi" w:hAnsiTheme="minorHAnsi" w:cstheme="minorHAnsi"/>
          <w:szCs w:val="24"/>
          <w:lang w:val="es-ES_tradnl"/>
        </w:rPr>
      </w:pPr>
    </w:p>
    <w:p w:rsidR="00EB6339" w:rsidRPr="00CB50D9" w:rsidRDefault="00EB6339" w:rsidP="00F53BE8">
      <w:pPr>
        <w:spacing w:before="120" w:line="240" w:lineRule="auto"/>
        <w:jc w:val="left"/>
        <w:rPr>
          <w:rFonts w:asciiTheme="minorHAnsi" w:hAnsiTheme="minorHAnsi" w:cstheme="minorHAnsi"/>
          <w:szCs w:val="24"/>
          <w:lang w:val="es-ES_tradnl"/>
        </w:rPr>
      </w:pPr>
    </w:p>
    <w:p w:rsidR="00EB6339" w:rsidRPr="00CB50D9" w:rsidRDefault="00EB6339" w:rsidP="00F53BE8">
      <w:pPr>
        <w:spacing w:before="120" w:line="240" w:lineRule="auto"/>
        <w:jc w:val="left"/>
        <w:rPr>
          <w:rFonts w:asciiTheme="minorHAnsi" w:hAnsiTheme="minorHAnsi" w:cstheme="minorHAnsi"/>
          <w:szCs w:val="24"/>
          <w:lang w:val="es-ES_tradnl"/>
        </w:rPr>
      </w:pPr>
    </w:p>
    <w:p w:rsidR="00EB6339" w:rsidRPr="00CB50D9" w:rsidRDefault="00EB6339" w:rsidP="00F53BE8">
      <w:pPr>
        <w:spacing w:before="120" w:line="240" w:lineRule="auto"/>
        <w:jc w:val="left"/>
        <w:rPr>
          <w:rFonts w:asciiTheme="minorHAnsi" w:hAnsiTheme="minorHAnsi" w:cstheme="minorHAnsi"/>
          <w:szCs w:val="24"/>
          <w:lang w:val="es-ES_tradnl"/>
        </w:rPr>
      </w:pPr>
    </w:p>
    <w:p w:rsidR="00EB6339" w:rsidRPr="00CB50D9" w:rsidRDefault="00EB6339" w:rsidP="00F53BE8">
      <w:pPr>
        <w:spacing w:before="120" w:line="240" w:lineRule="auto"/>
        <w:jc w:val="left"/>
        <w:rPr>
          <w:rFonts w:asciiTheme="minorHAnsi" w:hAnsiTheme="minorHAnsi" w:cstheme="minorHAnsi"/>
          <w:szCs w:val="24"/>
          <w:lang w:val="es-ES_tradnl"/>
        </w:rPr>
      </w:pPr>
    </w:p>
    <w:p w:rsidR="00EB6339" w:rsidRPr="00CB50D9" w:rsidRDefault="00EB6339" w:rsidP="00F53BE8">
      <w:pPr>
        <w:spacing w:before="120" w:line="240" w:lineRule="auto"/>
        <w:jc w:val="left"/>
        <w:rPr>
          <w:rFonts w:asciiTheme="minorHAnsi" w:hAnsiTheme="minorHAnsi" w:cstheme="minorHAnsi"/>
          <w:szCs w:val="24"/>
          <w:lang w:val="es-ES_tradnl"/>
        </w:rPr>
      </w:pPr>
    </w:p>
    <w:p w:rsidR="00EB6339" w:rsidRPr="00CB50D9" w:rsidRDefault="00EB6339" w:rsidP="00F53BE8">
      <w:pPr>
        <w:spacing w:before="120" w:line="240" w:lineRule="auto"/>
        <w:jc w:val="left"/>
        <w:rPr>
          <w:rFonts w:asciiTheme="minorHAnsi" w:hAnsiTheme="minorHAnsi" w:cstheme="minorHAnsi"/>
          <w:szCs w:val="24"/>
          <w:lang w:val="es-ES_tradnl"/>
        </w:rPr>
      </w:pPr>
    </w:p>
    <w:p w:rsidR="00EB6339" w:rsidRPr="00CB50D9" w:rsidRDefault="00EB6339" w:rsidP="00F53BE8">
      <w:pPr>
        <w:spacing w:before="120" w:line="240" w:lineRule="auto"/>
        <w:jc w:val="left"/>
        <w:rPr>
          <w:rFonts w:asciiTheme="minorHAnsi" w:hAnsiTheme="minorHAnsi" w:cstheme="minorHAnsi"/>
          <w:szCs w:val="24"/>
          <w:lang w:val="es-ES_tradnl"/>
        </w:rPr>
      </w:pPr>
    </w:p>
    <w:p w:rsidR="00D62D92" w:rsidRPr="0075124D" w:rsidRDefault="00D62D92" w:rsidP="00F53BE8">
      <w:pPr>
        <w:spacing w:before="120" w:line="240" w:lineRule="auto"/>
        <w:rPr>
          <w:szCs w:val="24"/>
          <w:lang w:val="es-ES_tradnl"/>
        </w:rPr>
      </w:pPr>
      <w:r w:rsidRPr="0075124D">
        <w:rPr>
          <w:szCs w:val="24"/>
          <w:lang w:val="es-ES_tradnl"/>
        </w:rPr>
        <w:t>Anexo: 1</w:t>
      </w:r>
    </w:p>
    <w:p w:rsidR="00D62D92" w:rsidRPr="0075124D" w:rsidRDefault="00D62D92" w:rsidP="00F53BE8">
      <w:pPr>
        <w:spacing w:before="120" w:line="240" w:lineRule="auto"/>
        <w:rPr>
          <w:szCs w:val="24"/>
          <w:lang w:val="es-ES_tradnl"/>
        </w:rPr>
      </w:pPr>
    </w:p>
    <w:p w:rsidR="00D62D92" w:rsidRPr="0075124D" w:rsidRDefault="00D62D92" w:rsidP="00F53BE8">
      <w:pPr>
        <w:spacing w:before="120" w:line="240" w:lineRule="auto"/>
        <w:rPr>
          <w:szCs w:val="24"/>
          <w:lang w:val="es-ES_tradnl"/>
        </w:rPr>
      </w:pPr>
    </w:p>
    <w:p w:rsidR="00D62D92" w:rsidRPr="0075124D" w:rsidRDefault="00D62D92" w:rsidP="00F53BE8">
      <w:pPr>
        <w:spacing w:before="120" w:line="240" w:lineRule="auto"/>
        <w:rPr>
          <w:szCs w:val="24"/>
          <w:lang w:val="es-ES_tradnl"/>
        </w:rPr>
      </w:pPr>
    </w:p>
    <w:p w:rsidR="00D62D92" w:rsidRPr="0075124D" w:rsidRDefault="00D62D92" w:rsidP="00B61DEA">
      <w:pPr>
        <w:pStyle w:val="toc0"/>
        <w:tabs>
          <w:tab w:val="left" w:pos="794"/>
          <w:tab w:val="left" w:pos="1191"/>
          <w:tab w:val="left" w:pos="1588"/>
          <w:tab w:val="left" w:pos="1985"/>
        </w:tabs>
        <w:spacing w:before="720"/>
        <w:jc w:val="both"/>
        <w:rPr>
          <w:sz w:val="18"/>
          <w:szCs w:val="18"/>
          <w:u w:val="single"/>
          <w:lang w:val="es-ES_tradnl"/>
        </w:rPr>
      </w:pPr>
      <w:bookmarkStart w:id="0" w:name="ddistribution"/>
      <w:bookmarkEnd w:id="0"/>
      <w:r w:rsidRPr="0075124D">
        <w:rPr>
          <w:sz w:val="18"/>
          <w:szCs w:val="18"/>
          <w:u w:val="single"/>
          <w:lang w:val="es-ES_tradnl"/>
        </w:rPr>
        <w:t>Distribución:</w:t>
      </w:r>
    </w:p>
    <w:p w:rsidR="00D62D92" w:rsidRPr="0075124D" w:rsidRDefault="00D62D92" w:rsidP="004D4BF5">
      <w:pPr>
        <w:pStyle w:val="enumlev1"/>
        <w:tabs>
          <w:tab w:val="clear" w:pos="794"/>
          <w:tab w:val="left" w:pos="284"/>
        </w:tabs>
        <w:rPr>
          <w:sz w:val="18"/>
          <w:szCs w:val="18"/>
          <w:lang w:val="es-ES_tradnl"/>
        </w:rPr>
      </w:pPr>
      <w:r w:rsidRPr="0075124D">
        <w:rPr>
          <w:sz w:val="18"/>
          <w:szCs w:val="18"/>
          <w:lang w:val="es-ES_tradnl"/>
        </w:rPr>
        <w:t>–</w:t>
      </w:r>
      <w:r w:rsidRPr="0075124D">
        <w:rPr>
          <w:sz w:val="18"/>
          <w:szCs w:val="18"/>
          <w:lang w:val="es-ES_tradnl"/>
        </w:rPr>
        <w:tab/>
        <w:t xml:space="preserve">Administraciones de los Estados Miembros de la UIT </w:t>
      </w:r>
    </w:p>
    <w:p w:rsidR="00D62D92" w:rsidRPr="0075124D" w:rsidRDefault="00D62D92" w:rsidP="004D4BF5">
      <w:pPr>
        <w:pStyle w:val="enumlev1"/>
        <w:tabs>
          <w:tab w:val="clear" w:pos="794"/>
          <w:tab w:val="left" w:pos="284"/>
        </w:tabs>
        <w:spacing w:before="0"/>
        <w:rPr>
          <w:sz w:val="18"/>
          <w:szCs w:val="18"/>
          <w:lang w:val="es-ES_tradnl"/>
        </w:rPr>
      </w:pPr>
      <w:r w:rsidRPr="0075124D">
        <w:rPr>
          <w:sz w:val="18"/>
          <w:szCs w:val="18"/>
          <w:lang w:val="es-ES_tradnl"/>
        </w:rPr>
        <w:t>–</w:t>
      </w:r>
      <w:r w:rsidRPr="0075124D">
        <w:rPr>
          <w:sz w:val="18"/>
          <w:szCs w:val="18"/>
          <w:lang w:val="es-ES_tradnl"/>
        </w:rPr>
        <w:tab/>
        <w:t xml:space="preserve">Miembros de la Junta del Reglamento de Radiocomunicaciones </w:t>
      </w:r>
    </w:p>
    <w:p w:rsidR="00D62D92" w:rsidRPr="0075124D" w:rsidRDefault="00D62D92" w:rsidP="00EA0285">
      <w:pPr>
        <w:spacing w:before="840"/>
        <w:jc w:val="left"/>
        <w:rPr>
          <w:rFonts w:asciiTheme="minorHAnsi" w:hAnsiTheme="minorHAnsi" w:cstheme="minorHAnsi"/>
          <w:szCs w:val="24"/>
          <w:lang w:val="es-ES_tradnl"/>
        </w:rPr>
        <w:sectPr w:rsidR="00D62D92" w:rsidRPr="0075124D" w:rsidSect="00CB50D9">
          <w:headerReference w:type="even" r:id="rId11"/>
          <w:headerReference w:type="default" r:id="rId12"/>
          <w:footerReference w:type="even" r:id="rId13"/>
          <w:headerReference w:type="first" r:id="rId14"/>
          <w:footerReference w:type="first" r:id="rId15"/>
          <w:pgSz w:w="11907" w:h="16834" w:code="9"/>
          <w:pgMar w:top="1134" w:right="1134" w:bottom="993" w:left="1134" w:header="567" w:footer="397" w:gutter="0"/>
          <w:cols w:space="720"/>
          <w:titlePg/>
          <w:docGrid w:linePitch="326"/>
        </w:sectPr>
      </w:pPr>
    </w:p>
    <w:p w:rsidR="008F36E5" w:rsidRDefault="008F36E5" w:rsidP="007D41EB">
      <w:pPr>
        <w:jc w:val="center"/>
        <w:rPr>
          <w:b/>
          <w:bCs/>
        </w:rPr>
      </w:pPr>
      <w:r w:rsidRPr="00FD338A">
        <w:rPr>
          <w:b/>
          <w:bCs/>
        </w:rPr>
        <w:lastRenderedPageBreak/>
        <w:t>Annex</w:t>
      </w:r>
      <w:r w:rsidR="00D62D92" w:rsidRPr="008F36E5">
        <w:br/>
      </w:r>
      <w:r w:rsidR="00D62D92" w:rsidRPr="008F36E5">
        <w:br/>
      </w:r>
      <w:r w:rsidRPr="0010129D">
        <w:rPr>
          <w:b/>
          <w:bCs/>
        </w:rPr>
        <w:t xml:space="preserve">Functional structure of </w:t>
      </w:r>
      <w:proofErr w:type="spellStart"/>
      <w:r w:rsidRPr="0010129D">
        <w:rPr>
          <w:b/>
          <w:bCs/>
        </w:rPr>
        <w:t>Notex</w:t>
      </w:r>
      <w:proofErr w:type="spellEnd"/>
      <w:r w:rsidRPr="0010129D">
        <w:rPr>
          <w:b/>
          <w:bCs/>
        </w:rPr>
        <w:t xml:space="preserve"> Online Query System</w:t>
      </w:r>
    </w:p>
    <w:p w:rsidR="00D62D92" w:rsidRPr="0075124D" w:rsidRDefault="00D62D92" w:rsidP="00A270F5">
      <w:pPr>
        <w:tabs>
          <w:tab w:val="clear" w:pos="794"/>
          <w:tab w:val="clear" w:pos="1191"/>
          <w:tab w:val="clear" w:pos="1588"/>
          <w:tab w:val="clear" w:pos="1985"/>
        </w:tabs>
        <w:overflowPunct/>
        <w:autoSpaceDE/>
        <w:autoSpaceDN/>
        <w:adjustRightInd/>
        <w:spacing w:before="0" w:line="240" w:lineRule="auto"/>
        <w:jc w:val="left"/>
        <w:textAlignment w:val="auto"/>
        <w:rPr>
          <w:sz w:val="18"/>
          <w:szCs w:val="18"/>
          <w:lang w:val="es-ES_tradnl"/>
        </w:rPr>
      </w:pPr>
      <w:r w:rsidRPr="0075124D">
        <w:rPr>
          <w:lang w:val="es-ES_tradnl"/>
        </w:rPr>
        <w:object w:dxaOrig="17086" w:dyaOrig="7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6pt;height:324pt" o:ole="">
            <v:imagedata r:id="rId16" o:title=""/>
          </v:shape>
          <o:OLEObject Type="Embed" ProgID="Visio.Drawing.15" ShapeID="_x0000_i1025" DrawAspect="Content" ObjectID="_1521622506" r:id="rId17"/>
        </w:object>
      </w:r>
    </w:p>
    <w:p w:rsidR="00D62D92" w:rsidRPr="0075124D" w:rsidRDefault="00D62D92" w:rsidP="00A270F5">
      <w:pPr>
        <w:tabs>
          <w:tab w:val="clear" w:pos="794"/>
          <w:tab w:val="clear" w:pos="1191"/>
          <w:tab w:val="clear" w:pos="1588"/>
          <w:tab w:val="clear" w:pos="1985"/>
        </w:tabs>
        <w:overflowPunct/>
        <w:autoSpaceDE/>
        <w:autoSpaceDN/>
        <w:adjustRightInd/>
        <w:spacing w:before="0" w:line="240" w:lineRule="auto"/>
        <w:jc w:val="left"/>
        <w:textAlignment w:val="auto"/>
        <w:rPr>
          <w:sz w:val="18"/>
          <w:szCs w:val="18"/>
          <w:lang w:val="es-ES_tradnl"/>
        </w:rPr>
      </w:pPr>
    </w:p>
    <w:p w:rsidR="0075124D" w:rsidRPr="0075124D" w:rsidRDefault="0075124D" w:rsidP="0032202E">
      <w:pPr>
        <w:pStyle w:val="Reasons"/>
        <w:rPr>
          <w:lang w:val="es-ES_tradnl"/>
        </w:rPr>
      </w:pPr>
    </w:p>
    <w:p w:rsidR="0075124D" w:rsidRPr="0075124D" w:rsidRDefault="0075124D">
      <w:pPr>
        <w:jc w:val="center"/>
        <w:rPr>
          <w:lang w:val="es-ES_tradnl"/>
        </w:rPr>
      </w:pPr>
      <w:r w:rsidRPr="0075124D">
        <w:rPr>
          <w:lang w:val="es-ES_tradnl"/>
        </w:rPr>
        <w:t>______________</w:t>
      </w:r>
      <w:bookmarkStart w:id="1" w:name="_GoBack"/>
      <w:bookmarkEnd w:id="1"/>
    </w:p>
    <w:sectPr w:rsidR="0075124D" w:rsidRPr="0075124D" w:rsidSect="00D62D92">
      <w:headerReference w:type="even" r:id="rId18"/>
      <w:headerReference w:type="default" r:id="rId19"/>
      <w:footerReference w:type="even" r:id="rId20"/>
      <w:footerReference w:type="default" r:id="rId21"/>
      <w:headerReference w:type="first" r:id="rId22"/>
      <w:footerReference w:type="first" r:id="rId23"/>
      <w:pgSz w:w="16834" w:h="11907" w:orient="landscape" w:code="9"/>
      <w:pgMar w:top="1134" w:right="1134" w:bottom="1134" w:left="993"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D92" w:rsidRDefault="00D62D92">
      <w:r>
        <w:separator/>
      </w:r>
    </w:p>
  </w:endnote>
  <w:endnote w:type="continuationSeparator" w:id="0">
    <w:p w:rsidR="00D62D92" w:rsidRDefault="00D6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24D" w:rsidRPr="0075124D" w:rsidRDefault="0075124D" w:rsidP="0075124D">
    <w:pPr>
      <w:pStyle w:val="Footer"/>
      <w:tabs>
        <w:tab w:val="clear" w:pos="4320"/>
        <w:tab w:val="clear" w:pos="8640"/>
        <w:tab w:val="center" w:pos="5670"/>
        <w:tab w:val="right" w:pos="9498"/>
      </w:tabs>
      <w:rPr>
        <w:sz w:val="16"/>
        <w:szCs w:val="16"/>
        <w:lang w:val="es-ES_tradnl"/>
      </w:rPr>
    </w:pPr>
    <w:r w:rsidRPr="0075124D">
      <w:rPr>
        <w:sz w:val="16"/>
        <w:szCs w:val="16"/>
      </w:rPr>
      <w:fldChar w:fldCharType="begin"/>
    </w:r>
    <w:r w:rsidRPr="0075124D">
      <w:rPr>
        <w:sz w:val="16"/>
        <w:szCs w:val="16"/>
        <w:lang w:val="es-ES_tradnl"/>
      </w:rPr>
      <w:instrText xml:space="preserve"> FILENAME \p  \* MERGEFORMAT </w:instrText>
    </w:r>
    <w:r w:rsidRPr="0075124D">
      <w:rPr>
        <w:sz w:val="16"/>
        <w:szCs w:val="16"/>
      </w:rPr>
      <w:fldChar w:fldCharType="separate"/>
    </w:r>
    <w:r w:rsidR="00093FE3">
      <w:rPr>
        <w:noProof/>
        <w:sz w:val="16"/>
        <w:szCs w:val="16"/>
        <w:lang w:val="es-ES_tradnl"/>
      </w:rPr>
      <w:t>Y:\APP\BR\CIRCS_DMS\CR\300\397\CR-397-S.docx</w:t>
    </w:r>
    <w:r w:rsidRPr="0075124D">
      <w:rPr>
        <w:noProof/>
        <w:sz w:val="16"/>
        <w:szCs w:val="16"/>
      </w:rPr>
      <w:fldChar w:fldCharType="end"/>
    </w:r>
    <w:r w:rsidRPr="0075124D">
      <w:rPr>
        <w:noProof/>
        <w:sz w:val="16"/>
        <w:szCs w:val="16"/>
        <w:lang w:val="es-ES_tradnl"/>
      </w:rPr>
      <w:t xml:space="preserve"> (396347)</w:t>
    </w:r>
    <w:r w:rsidRPr="0075124D">
      <w:rPr>
        <w:sz w:val="16"/>
        <w:szCs w:val="16"/>
        <w:lang w:val="es-ES_tradnl"/>
      </w:rPr>
      <w:tab/>
    </w:r>
    <w:r w:rsidRPr="0075124D">
      <w:rPr>
        <w:sz w:val="16"/>
        <w:szCs w:val="16"/>
      </w:rPr>
      <w:fldChar w:fldCharType="begin"/>
    </w:r>
    <w:r w:rsidRPr="0075124D">
      <w:rPr>
        <w:sz w:val="16"/>
        <w:szCs w:val="16"/>
      </w:rPr>
      <w:instrText xml:space="preserve"> SAVEDATE \@ DD.MM.YY </w:instrText>
    </w:r>
    <w:r w:rsidRPr="0075124D">
      <w:rPr>
        <w:sz w:val="16"/>
        <w:szCs w:val="16"/>
      </w:rPr>
      <w:fldChar w:fldCharType="separate"/>
    </w:r>
    <w:r w:rsidR="00093FE3">
      <w:rPr>
        <w:noProof/>
        <w:sz w:val="16"/>
        <w:szCs w:val="16"/>
      </w:rPr>
      <w:t>08.04.16</w:t>
    </w:r>
    <w:r w:rsidRPr="0075124D">
      <w:rPr>
        <w:sz w:val="16"/>
        <w:szCs w:val="16"/>
      </w:rPr>
      <w:fldChar w:fldCharType="end"/>
    </w:r>
    <w:r w:rsidRPr="0075124D">
      <w:rPr>
        <w:sz w:val="16"/>
        <w:szCs w:val="16"/>
        <w:lang w:val="es-ES_tradnl"/>
      </w:rPr>
      <w:tab/>
    </w:r>
    <w:r w:rsidRPr="0075124D">
      <w:rPr>
        <w:sz w:val="16"/>
        <w:szCs w:val="16"/>
      </w:rPr>
      <w:fldChar w:fldCharType="begin"/>
    </w:r>
    <w:r w:rsidRPr="0075124D">
      <w:rPr>
        <w:sz w:val="16"/>
        <w:szCs w:val="16"/>
      </w:rPr>
      <w:instrText xml:space="preserve"> PRINTDATE \@ DD.MM.YY </w:instrText>
    </w:r>
    <w:r w:rsidRPr="0075124D">
      <w:rPr>
        <w:sz w:val="16"/>
        <w:szCs w:val="16"/>
      </w:rPr>
      <w:fldChar w:fldCharType="separate"/>
    </w:r>
    <w:r w:rsidR="00093FE3">
      <w:rPr>
        <w:noProof/>
        <w:sz w:val="16"/>
        <w:szCs w:val="16"/>
      </w:rPr>
      <w:t>08.04.16</w:t>
    </w:r>
    <w:r w:rsidRPr="0075124D">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D92" w:rsidRPr="00F66189" w:rsidRDefault="00F66189" w:rsidP="0088443B">
    <w:pPr>
      <w:pStyle w:val="FirstFooter"/>
      <w:spacing w:line="240" w:lineRule="auto"/>
      <w:ind w:left="-397" w:right="-397"/>
      <w:jc w:val="center"/>
      <w:rPr>
        <w:sz w:val="18"/>
        <w:szCs w:val="18"/>
        <w:lang w:val="es-ES_tradnl"/>
      </w:rPr>
    </w:pPr>
    <w:r w:rsidRPr="00311970">
      <w:rPr>
        <w:color w:val="3E8EDE"/>
        <w:sz w:val="18"/>
        <w:szCs w:val="18"/>
        <w:lang w:val="es-ES"/>
      </w:rPr>
      <w:t>Unión Internacional</w:t>
    </w:r>
    <w:r w:rsidRPr="00345938">
      <w:rPr>
        <w:sz w:val="18"/>
        <w:szCs w:val="18"/>
        <w:lang w:val="es-ES_tradnl"/>
      </w:rPr>
      <w:t xml:space="preserve"> </w:t>
    </w:r>
    <w:r w:rsidRPr="00311970">
      <w:rPr>
        <w:color w:val="3E8EDE"/>
        <w:sz w:val="18"/>
        <w:szCs w:val="18"/>
        <w:lang w:val="es-ES"/>
      </w:rPr>
      <w:t xml:space="preserve">de Telecomunicaciones • Place des </w:t>
    </w:r>
    <w:proofErr w:type="spellStart"/>
    <w:r w:rsidRPr="00311970">
      <w:rPr>
        <w:color w:val="3E8EDE"/>
        <w:sz w:val="18"/>
        <w:szCs w:val="18"/>
        <w:lang w:val="es-ES"/>
      </w:rPr>
      <w:t>Nations</w:t>
    </w:r>
    <w:proofErr w:type="spellEnd"/>
    <w:r w:rsidRPr="00311970">
      <w:rPr>
        <w:color w:val="3E8EDE"/>
        <w:sz w:val="18"/>
        <w:szCs w:val="18"/>
        <w:lang w:val="es-ES"/>
      </w:rPr>
      <w:t xml:space="preserve"> • CH</w:t>
    </w:r>
    <w:r w:rsidRPr="00311970">
      <w:rPr>
        <w:color w:val="3E8EDE"/>
        <w:sz w:val="18"/>
        <w:szCs w:val="18"/>
        <w:lang w:val="es-ES"/>
      </w:rPr>
      <w:noBreakHyphen/>
      <w:t>1211 Ginebra 20 • Suiza</w:t>
    </w:r>
    <w:r w:rsidRPr="00311970">
      <w:rPr>
        <w:color w:val="3E8EDE"/>
        <w:sz w:val="18"/>
        <w:szCs w:val="18"/>
        <w:lang w:val="es-ES"/>
      </w:rPr>
      <w:br/>
      <w:t>Tel</w:t>
    </w:r>
    <w:r>
      <w:rPr>
        <w:color w:val="3E8EDE"/>
        <w:sz w:val="18"/>
        <w:szCs w:val="18"/>
        <w:lang w:val="es-ES"/>
      </w:rPr>
      <w:t>.</w:t>
    </w:r>
    <w:r w:rsidRPr="00311970">
      <w:rPr>
        <w:color w:val="3E8EDE"/>
        <w:sz w:val="18"/>
        <w:szCs w:val="18"/>
        <w:lang w:val="es-ES"/>
      </w:rPr>
      <w:t xml:space="preserve">: +41 22 730 5111 • Fax: +41 22 733 7256 • </w:t>
    </w:r>
    <w:r w:rsidRPr="00311970">
      <w:rPr>
        <w:color w:val="3E8EDE"/>
        <w:sz w:val="18"/>
        <w:szCs w:val="18"/>
        <w:lang w:val="es-ES"/>
      </w:rPr>
      <w:br/>
      <w:t>Correo-e:</w:t>
    </w:r>
    <w:r w:rsidRPr="00345938">
      <w:rPr>
        <w:sz w:val="18"/>
        <w:szCs w:val="18"/>
        <w:lang w:val="es-ES_tradnl"/>
      </w:rPr>
      <w:t xml:space="preserve"> </w:t>
    </w:r>
    <w:hyperlink r:id="rId1" w:history="1">
      <w:r w:rsidRPr="00311970">
        <w:rPr>
          <w:rStyle w:val="Hyperlink"/>
          <w:color w:val="3E8EDE"/>
          <w:sz w:val="18"/>
          <w:szCs w:val="18"/>
          <w:lang w:val="es-ES"/>
        </w:rPr>
        <w:t>itumail@itu.int</w:t>
      </w:r>
    </w:hyperlink>
    <w:r w:rsidRPr="00311970">
      <w:rPr>
        <w:color w:val="3E8EDE"/>
        <w:sz w:val="18"/>
        <w:szCs w:val="18"/>
        <w:lang w:val="es-ES"/>
      </w:rPr>
      <w:t xml:space="preserve"> • </w:t>
    </w:r>
    <w:hyperlink r:id="rId2" w:history="1">
      <w:r w:rsidRPr="00311970">
        <w:rPr>
          <w:rStyle w:val="Hyperlink"/>
          <w:color w:val="3E8EDE"/>
          <w:sz w:val="18"/>
          <w:szCs w:val="18"/>
          <w:lang w:val="es-ES"/>
        </w:rPr>
        <w:t>www.itu.int</w:t>
      </w:r>
    </w:hyperlink>
    <w:r w:rsidRPr="00311970">
      <w:rPr>
        <w:color w:val="3E8EDE"/>
        <w:sz w:val="18"/>
        <w:szCs w:val="18"/>
        <w:lang w:val="es-ES"/>
      </w:rPr>
      <w:t xml:space="preserve"> • </w:t>
    </w:r>
    <w:hyperlink r:id="rId3" w:history="1">
      <w:r w:rsidRPr="00311970">
        <w:rPr>
          <w:rStyle w:val="Hyperlink"/>
          <w:color w:val="3E8EDE"/>
          <w:sz w:val="18"/>
          <w:szCs w:val="18"/>
          <w:lang w:val="es-ES"/>
        </w:rPr>
        <w:t>www.itu.int/go/RR110</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F3B" w:rsidRDefault="000D3F3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F3B" w:rsidRDefault="000D3F3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24D" w:rsidRPr="00CB50D9" w:rsidRDefault="0075124D" w:rsidP="00CB50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D92" w:rsidRDefault="00D62D92">
      <w:r>
        <w:t>____________________</w:t>
      </w:r>
    </w:p>
  </w:footnote>
  <w:footnote w:type="continuationSeparator" w:id="0">
    <w:p w:rsidR="00D62D92" w:rsidRDefault="00D62D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7301559"/>
      <w:docPartObj>
        <w:docPartGallery w:val="Page Numbers (Top of Page)"/>
        <w:docPartUnique/>
      </w:docPartObj>
    </w:sdtPr>
    <w:sdtEndPr>
      <w:rPr>
        <w:noProof/>
        <w:sz w:val="18"/>
        <w:szCs w:val="18"/>
      </w:rPr>
    </w:sdtEndPr>
    <w:sdtContent>
      <w:p w:rsidR="0075124D" w:rsidRPr="0075124D" w:rsidRDefault="00CB50D9" w:rsidP="00CB50D9">
        <w:pPr>
          <w:pStyle w:val="Header"/>
          <w:numPr>
            <w:ilvl w:val="0"/>
            <w:numId w:val="3"/>
          </w:numPr>
          <w:jc w:val="center"/>
          <w:rPr>
            <w:sz w:val="18"/>
            <w:szCs w:val="18"/>
          </w:rPr>
        </w:pPr>
        <w:r>
          <w:t>2 -</w:t>
        </w:r>
        <w:r w:rsidR="0075124D" w:rsidRPr="0075124D">
          <w:rPr>
            <w:sz w:val="18"/>
            <w:szCs w:val="18"/>
          </w:rPr>
          <w:fldChar w:fldCharType="begin"/>
        </w:r>
        <w:r w:rsidR="0075124D" w:rsidRPr="0075124D">
          <w:rPr>
            <w:sz w:val="18"/>
            <w:szCs w:val="18"/>
          </w:rPr>
          <w:instrText xml:space="preserve"> PAGE   \* MERGEFORMAT </w:instrText>
        </w:r>
        <w:r w:rsidR="0075124D" w:rsidRPr="0075124D">
          <w:rPr>
            <w:sz w:val="18"/>
            <w:szCs w:val="18"/>
          </w:rPr>
          <w:fldChar w:fldCharType="separate"/>
        </w:r>
        <w:r>
          <w:rPr>
            <w:noProof/>
            <w:sz w:val="18"/>
            <w:szCs w:val="18"/>
          </w:rPr>
          <w:t>2</w:t>
        </w:r>
        <w:r w:rsidR="0075124D" w:rsidRPr="0075124D">
          <w:rPr>
            <w:noProof/>
            <w:sz w:val="18"/>
            <w:szCs w:val="1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24D" w:rsidRPr="002569F7" w:rsidRDefault="0075124D" w:rsidP="0075124D">
    <w:pPr>
      <w:pStyle w:val="Header"/>
      <w:jc w:val="center"/>
      <w:rPr>
        <w:sz w:val="18"/>
        <w:szCs w:val="16"/>
      </w:rP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093FE3">
      <w:rPr>
        <w:rStyle w:val="PageNumber"/>
        <w:noProof/>
        <w:sz w:val="18"/>
        <w:szCs w:val="16"/>
      </w:rPr>
      <w:t>3</w:t>
    </w:r>
    <w:r w:rsidRPr="002569F7">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D62D92" w:rsidTr="0048222E">
      <w:tc>
        <w:tcPr>
          <w:tcW w:w="5031" w:type="dxa"/>
        </w:tcPr>
        <w:p w:rsidR="00D62D92" w:rsidRDefault="00D62D92" w:rsidP="00E64C1C">
          <w:pPr>
            <w:pStyle w:val="Header"/>
            <w:tabs>
              <w:tab w:val="clear" w:pos="794"/>
              <w:tab w:val="clear" w:pos="4820"/>
            </w:tabs>
            <w:spacing w:before="120" w:line="360" w:lineRule="auto"/>
          </w:pPr>
          <w:r>
            <w:rPr>
              <w:b/>
              <w:bCs/>
              <w:noProof/>
              <w:lang w:val="en-GB" w:eastAsia="zh-CN"/>
            </w:rPr>
            <w:drawing>
              <wp:inline distT="0" distB="0" distL="0" distR="0" wp14:anchorId="2874A61F" wp14:editId="1E15C190">
                <wp:extent cx="579396"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D62D92" w:rsidRDefault="00D62D92" w:rsidP="00E64C1C">
          <w:pPr>
            <w:pStyle w:val="Header"/>
            <w:tabs>
              <w:tab w:val="clear" w:pos="794"/>
              <w:tab w:val="clear" w:pos="4820"/>
            </w:tabs>
            <w:spacing w:line="360" w:lineRule="auto"/>
            <w:jc w:val="right"/>
          </w:pPr>
          <w:r w:rsidRPr="00975D6F">
            <w:rPr>
              <w:rFonts w:cs="Arial"/>
              <w:noProof/>
              <w:lang w:val="en-GB" w:eastAsia="zh-CN"/>
            </w:rPr>
            <w:drawing>
              <wp:inline distT="0" distB="0" distL="0" distR="0" wp14:anchorId="43AF8409" wp14:editId="3F691520">
                <wp:extent cx="1017905" cy="925067"/>
                <wp:effectExtent l="0" t="0" r="0" b="889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D62D92" w:rsidRDefault="00D62D9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75124D">
      <w:rPr>
        <w:rStyle w:val="PageNumber"/>
        <w:noProof/>
        <w:sz w:val="18"/>
        <w:szCs w:val="16"/>
      </w:rPr>
      <w:t>6</w:t>
    </w:r>
    <w:r w:rsidR="001B42C9" w:rsidRPr="00D239B4">
      <w:rPr>
        <w:rStyle w:val="PageNumber"/>
        <w:sz w:val="18"/>
        <w:szCs w:val="16"/>
      </w:rPr>
      <w:fldChar w:fldCharType="end"/>
    </w:r>
    <w:r w:rsidR="00D97EF5">
      <w:rPr>
        <w:rStyle w:val="PageNumber"/>
        <w:sz w:val="18"/>
        <w:szCs w:val="16"/>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E915AF">
    <w:pPr>
      <w:pStyle w:val="Header"/>
    </w:pPr>
    <w:r>
      <w:tab/>
    </w:r>
    <w:r>
      <w:tab/>
    </w:r>
    <w:r w:rsidR="001B42C9" w:rsidRPr="00AF3325">
      <w:rPr>
        <w:i/>
      </w:rPr>
      <w:fldChar w:fldCharType="begin"/>
    </w:r>
    <w:r w:rsidRPr="00AF3325">
      <w:rPr>
        <w:i/>
      </w:rPr>
      <w:instrText xml:space="preserve"> PAGE  \* MERGEFORMAT </w:instrText>
    </w:r>
    <w:r w:rsidR="001B42C9" w:rsidRPr="00AF3325">
      <w:rPr>
        <w:i/>
      </w:rPr>
      <w:fldChar w:fldCharType="separate"/>
    </w:r>
    <w:r w:rsidR="00D62D92">
      <w:rPr>
        <w:i/>
        <w:noProof/>
      </w:rPr>
      <w:t>5</w:t>
    </w:r>
    <w:r w:rsidR="001B42C9" w:rsidRPr="00AF3325">
      <w:rPr>
        <w:i/>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24D" w:rsidRPr="002569F7" w:rsidRDefault="0075124D" w:rsidP="00CB50D9">
    <w:pPr>
      <w:pStyle w:val="Header"/>
      <w:jc w:val="center"/>
      <w:rPr>
        <w:sz w:val="18"/>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1863050"/>
    <w:multiLevelType w:val="hybridMultilevel"/>
    <w:tmpl w:val="4A28391C"/>
    <w:lvl w:ilvl="0" w:tplc="9ACAB7B0">
      <w:numFmt w:val="bullet"/>
      <w:lvlText w:val="-"/>
      <w:lvlJc w:val="left"/>
      <w:pPr>
        <w:ind w:left="720" w:hanging="360"/>
      </w:pPr>
      <w:rPr>
        <w:rFonts w:ascii="Calibri" w:eastAsia="Times New Roman" w:hAnsi="Calibri" w:cs="Calibr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D62D92"/>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93FE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06452"/>
    <w:rsid w:val="00311970"/>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D508D"/>
    <w:rsid w:val="003E504F"/>
    <w:rsid w:val="003E78D6"/>
    <w:rsid w:val="00400573"/>
    <w:rsid w:val="004007A3"/>
    <w:rsid w:val="00406D71"/>
    <w:rsid w:val="004326DB"/>
    <w:rsid w:val="0043682E"/>
    <w:rsid w:val="00447ECB"/>
    <w:rsid w:val="00460828"/>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124D"/>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2960"/>
    <w:rsid w:val="008F36E5"/>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075CD"/>
    <w:rsid w:val="00A119E6"/>
    <w:rsid w:val="00A20FBC"/>
    <w:rsid w:val="00A31370"/>
    <w:rsid w:val="00A34D6F"/>
    <w:rsid w:val="00A414A5"/>
    <w:rsid w:val="00A41F91"/>
    <w:rsid w:val="00A63355"/>
    <w:rsid w:val="00A7596D"/>
    <w:rsid w:val="00A80EFE"/>
    <w:rsid w:val="00A963DF"/>
    <w:rsid w:val="00A96D3A"/>
    <w:rsid w:val="00AC0C22"/>
    <w:rsid w:val="00AC32F6"/>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49D7"/>
    <w:rsid w:val="00B81C2F"/>
    <w:rsid w:val="00B827A7"/>
    <w:rsid w:val="00B90743"/>
    <w:rsid w:val="00B90C45"/>
    <w:rsid w:val="00B933BE"/>
    <w:rsid w:val="00BD6738"/>
    <w:rsid w:val="00BD7E5E"/>
    <w:rsid w:val="00BE63DB"/>
    <w:rsid w:val="00BE6574"/>
    <w:rsid w:val="00C07319"/>
    <w:rsid w:val="00C16FD2"/>
    <w:rsid w:val="00C25938"/>
    <w:rsid w:val="00C4395E"/>
    <w:rsid w:val="00C47FFD"/>
    <w:rsid w:val="00C51E92"/>
    <w:rsid w:val="00C57E2C"/>
    <w:rsid w:val="00C608B7"/>
    <w:rsid w:val="00C66F24"/>
    <w:rsid w:val="00C76D7F"/>
    <w:rsid w:val="00C813AA"/>
    <w:rsid w:val="00C9291E"/>
    <w:rsid w:val="00CA3F44"/>
    <w:rsid w:val="00CA4E58"/>
    <w:rsid w:val="00CB3771"/>
    <w:rsid w:val="00CB44BF"/>
    <w:rsid w:val="00CB50D9"/>
    <w:rsid w:val="00CB5153"/>
    <w:rsid w:val="00CE076A"/>
    <w:rsid w:val="00CE463D"/>
    <w:rsid w:val="00D10BA0"/>
    <w:rsid w:val="00D21694"/>
    <w:rsid w:val="00D239B4"/>
    <w:rsid w:val="00D24EB5"/>
    <w:rsid w:val="00D35AB9"/>
    <w:rsid w:val="00D41571"/>
    <w:rsid w:val="00D416A0"/>
    <w:rsid w:val="00D47672"/>
    <w:rsid w:val="00D5123C"/>
    <w:rsid w:val="00D55560"/>
    <w:rsid w:val="00D61C5A"/>
    <w:rsid w:val="00D62D92"/>
    <w:rsid w:val="00D63BFF"/>
    <w:rsid w:val="00D6790C"/>
    <w:rsid w:val="00D73277"/>
    <w:rsid w:val="00D76586"/>
    <w:rsid w:val="00D82657"/>
    <w:rsid w:val="00D87E20"/>
    <w:rsid w:val="00D97EF5"/>
    <w:rsid w:val="00DA4037"/>
    <w:rsid w:val="00DE66A5"/>
    <w:rsid w:val="00DF2B50"/>
    <w:rsid w:val="00E01059"/>
    <w:rsid w:val="00E03EF0"/>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B577C"/>
    <w:rsid w:val="00EB6339"/>
    <w:rsid w:val="00EC00EF"/>
    <w:rsid w:val="00EC02FE"/>
    <w:rsid w:val="00EC4A96"/>
    <w:rsid w:val="00EE03A0"/>
    <w:rsid w:val="00F424BF"/>
    <w:rsid w:val="00F44FC3"/>
    <w:rsid w:val="00F46107"/>
    <w:rsid w:val="00F468C5"/>
    <w:rsid w:val="00F52F39"/>
    <w:rsid w:val="00F53BE8"/>
    <w:rsid w:val="00F6184F"/>
    <w:rsid w:val="00F66189"/>
    <w:rsid w:val="00F8310E"/>
    <w:rsid w:val="00F914DD"/>
    <w:rsid w:val="00FA2358"/>
    <w:rsid w:val="00FB2592"/>
    <w:rsid w:val="00FB2810"/>
    <w:rsid w:val="00FB7A2C"/>
    <w:rsid w:val="00FC2947"/>
    <w:rsid w:val="00FD338A"/>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0AC13CD-6231-474C-8170-88CC762D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D62D9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basedOn w:val="DefaultParagraphFont"/>
    <w:link w:val="Header"/>
    <w:uiPriority w:val="99"/>
    <w:rsid w:val="00D62D92"/>
    <w:rPr>
      <w:sz w:val="24"/>
      <w:szCs w:val="22"/>
      <w:lang w:val="en-US" w:eastAsia="en-US"/>
    </w:rPr>
  </w:style>
  <w:style w:type="character" w:styleId="FollowedHyperlink">
    <w:name w:val="FollowedHyperlink"/>
    <w:basedOn w:val="DefaultParagraphFont"/>
    <w:semiHidden/>
    <w:unhideWhenUsed/>
    <w:rsid w:val="00D62D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net4/ITU-R/noq"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package" Target="embeddings/Microsoft_Visio_Drawing11111111111111111.vsd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hyperlink" Target="mailto:brmail@itu.in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itu.int/go/notex/" TargetMode="External"/><Relationship Id="rId14" Type="http://schemas.openxmlformats.org/officeDocument/2006/relationships/header" Target="header3.xml"/><Relationship Id="rId22" Type="http://schemas.openxmlformats.org/officeDocument/2006/relationships/header" Target="header6.xml"/></Relationships>
</file>

<file path=word/_rels/footer2.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66F71-665E-47DF-9790-3C81A22EB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19</TotalTime>
  <Pages>4</Pages>
  <Words>903</Words>
  <Characters>5082</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5974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Anghelone, Christine</cp:lastModifiedBy>
  <cp:revision>7</cp:revision>
  <cp:lastPrinted>2016-04-08T10:05:00Z</cp:lastPrinted>
  <dcterms:created xsi:type="dcterms:W3CDTF">2016-04-08T09:22:00Z</dcterms:created>
  <dcterms:modified xsi:type="dcterms:W3CDTF">2016-04-08T10:09:00Z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