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CA/</w:t>
            </w:r>
            <w:r w:rsidR="003C6C9B" w:rsidRPr="00D91815">
              <w:rPr>
                <w:b/>
                <w:bCs/>
                <w:szCs w:val="24"/>
                <w:lang w:val="es-ES"/>
              </w:rPr>
              <w:t>396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3C6C9B" w:rsidP="002B46B5">
            <w:pPr>
              <w:spacing w:before="0"/>
              <w:jc w:val="right"/>
              <w:rPr>
                <w:szCs w:val="24"/>
                <w:lang w:val="en-GB"/>
              </w:rPr>
            </w:pPr>
            <w:r w:rsidRPr="00D91815">
              <w:rPr>
                <w:bCs/>
                <w:szCs w:val="24"/>
                <w:lang w:val="es-ES"/>
              </w:rPr>
              <w:t>3</w:t>
            </w:r>
            <w:r w:rsidR="002B46B5">
              <w:rPr>
                <w:bCs/>
                <w:szCs w:val="24"/>
                <w:lang w:val="es-ES"/>
              </w:rPr>
              <w:t>1</w:t>
            </w:r>
            <w:r w:rsidRPr="00D91815">
              <w:rPr>
                <w:bCs/>
                <w:szCs w:val="24"/>
                <w:lang w:val="es-ES"/>
              </w:rPr>
              <w:t xml:space="preserve"> de marzo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40D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40D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40D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40D7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175AD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65708" w:rsidRDefault="003C6C9B" w:rsidP="002B46B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D91815">
              <w:rPr>
                <w:b/>
                <w:bCs/>
                <w:szCs w:val="24"/>
                <w:lang w:val="es-ES"/>
              </w:rPr>
              <w:t>Utilización de una estación espacial para poner en servicio asignaciones de</w:t>
            </w:r>
            <w:r w:rsidR="00965708">
              <w:rPr>
                <w:b/>
                <w:bCs/>
                <w:szCs w:val="24"/>
                <w:lang w:val="es-ES"/>
              </w:rPr>
              <w:t xml:space="preserve"> </w:t>
            </w:r>
            <w:r w:rsidR="00965708">
              <w:rPr>
                <w:b/>
                <w:bCs/>
                <w:szCs w:val="24"/>
                <w:lang w:val="es-ES"/>
              </w:rPr>
              <w:br/>
            </w:r>
            <w:r w:rsidRPr="00D91815">
              <w:rPr>
                <w:b/>
                <w:bCs/>
                <w:szCs w:val="24"/>
                <w:lang w:val="es-ES"/>
              </w:rPr>
              <w:t>frecuencias a redes de satélites geoestacionarios en distintas posiciones</w:t>
            </w:r>
            <w:r w:rsidR="00965708">
              <w:rPr>
                <w:b/>
                <w:bCs/>
                <w:szCs w:val="24"/>
                <w:lang w:val="es-ES"/>
              </w:rPr>
              <w:t xml:space="preserve"> </w:t>
            </w:r>
            <w:r w:rsidR="00965708">
              <w:rPr>
                <w:b/>
                <w:bCs/>
                <w:szCs w:val="24"/>
                <w:lang w:val="es-ES"/>
              </w:rPr>
              <w:br/>
            </w:r>
            <w:r w:rsidRPr="00D91815">
              <w:rPr>
                <w:b/>
                <w:bCs/>
                <w:szCs w:val="24"/>
                <w:lang w:val="es-ES"/>
              </w:rPr>
              <w:t>orbitales en un breve periodo de tiempo</w:t>
            </w:r>
          </w:p>
        </w:tc>
      </w:tr>
      <w:tr w:rsidR="00E53DCE" w:rsidRPr="00140D7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65708" w:rsidRDefault="00E53DCE" w:rsidP="00175AD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65708" w:rsidRDefault="00E53DCE" w:rsidP="00175AD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40D7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65708" w:rsidRDefault="00E53DCE" w:rsidP="00175AD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65708" w:rsidRDefault="00E53DCE" w:rsidP="00175AD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40D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5708" w:rsidRDefault="00E53DCE" w:rsidP="00175AD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40D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5708" w:rsidRDefault="00E53DCE" w:rsidP="00175AD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3C6C9B" w:rsidRPr="00D91815" w:rsidRDefault="003C6C9B" w:rsidP="002B46B5">
      <w:pPr>
        <w:rPr>
          <w:lang w:val="es-ES"/>
        </w:rPr>
      </w:pPr>
      <w:r w:rsidRPr="00D91815">
        <w:rPr>
          <w:lang w:val="es-ES"/>
        </w:rPr>
        <w:t>La Conferencia Mundial de Radiocomunicaciones, Ginebra, 2015 (CMR-15), adoptó la Resolución</w:t>
      </w:r>
      <w:r w:rsidR="00965708">
        <w:rPr>
          <w:lang w:val="es-ES"/>
        </w:rPr>
        <w:t> </w:t>
      </w:r>
      <w:r w:rsidRPr="00D91815">
        <w:rPr>
          <w:b/>
          <w:bCs/>
          <w:lang w:val="es-ES"/>
        </w:rPr>
        <w:t>40 </w:t>
      </w:r>
      <w:r w:rsidRPr="00965708">
        <w:rPr>
          <w:lang w:val="es-ES"/>
        </w:rPr>
        <w:t>(CMR</w:t>
      </w:r>
      <w:r w:rsidRPr="00965708">
        <w:rPr>
          <w:lang w:val="es-ES"/>
        </w:rPr>
        <w:noBreakHyphen/>
        <w:t>15)</w:t>
      </w:r>
      <w:r w:rsidRPr="00D91815">
        <w:rPr>
          <w:b/>
          <w:bCs/>
          <w:lang w:val="es-ES"/>
        </w:rPr>
        <w:t xml:space="preserve"> </w:t>
      </w:r>
      <w:r w:rsidRPr="00D91815">
        <w:rPr>
          <w:lang w:val="es-ES"/>
        </w:rPr>
        <w:t>que entró en vigor el 28 de noviembre de 2015 y que trata de la</w:t>
      </w:r>
      <w:r w:rsidRPr="00D91815">
        <w:rPr>
          <w:b/>
          <w:bCs/>
          <w:lang w:val="es-ES"/>
        </w:rPr>
        <w:t xml:space="preserve"> </w:t>
      </w:r>
      <w:r w:rsidRPr="00D91815">
        <w:rPr>
          <w:lang w:val="es-ES"/>
        </w:rPr>
        <w:t>utilización de una estación espacial para poner en servicio asignaciones de frecuencias a redes de satélites geoestaci</w:t>
      </w:r>
      <w:bookmarkStart w:id="0" w:name="_GoBack"/>
      <w:bookmarkEnd w:id="0"/>
      <w:r w:rsidRPr="00D91815">
        <w:rPr>
          <w:lang w:val="es-ES"/>
        </w:rPr>
        <w:t>onarios en distintas posiciones orbitales en un breve periodo de tiempo.</w:t>
      </w:r>
    </w:p>
    <w:p w:rsidR="003C6C9B" w:rsidRPr="00D91815" w:rsidRDefault="003C6C9B" w:rsidP="002B46B5">
      <w:pPr>
        <w:rPr>
          <w:lang w:val="es-ES"/>
        </w:rPr>
      </w:pPr>
      <w:r w:rsidRPr="00D91815">
        <w:rPr>
          <w:lang w:val="es-ES"/>
        </w:rPr>
        <w:t xml:space="preserve">De acuerdo con el </w:t>
      </w:r>
      <w:r w:rsidRPr="00D91815">
        <w:rPr>
          <w:i/>
          <w:iCs/>
          <w:lang w:val="es-ES"/>
        </w:rPr>
        <w:t>resuelve</w:t>
      </w:r>
      <w:r w:rsidRPr="00D91815">
        <w:rPr>
          <w:lang w:val="es-ES"/>
        </w:rPr>
        <w:t xml:space="preserve"> 1 de la Resolución </w:t>
      </w:r>
      <w:r w:rsidRPr="00D91815">
        <w:rPr>
          <w:b/>
          <w:bCs/>
          <w:lang w:val="es-ES"/>
        </w:rPr>
        <w:t>40</w:t>
      </w:r>
      <w:r w:rsidRPr="00D91815">
        <w:rPr>
          <w:lang w:val="es-ES"/>
        </w:rPr>
        <w:t xml:space="preserve"> (CMR-15), al informar a la Oficina de la puesta en servicio, o de la reanudación del servicio tras su suspensión, de una asignación de frecuencia a una estación espacial en una red de satélites geoestacionarios, la administración notificante señal</w:t>
      </w:r>
      <w:r w:rsidR="00965708">
        <w:rPr>
          <w:lang w:val="es-ES"/>
        </w:rPr>
        <w:t>a</w:t>
      </w:r>
      <w:r w:rsidRPr="00D91815">
        <w:rPr>
          <w:lang w:val="es-ES"/>
        </w:rPr>
        <w:t xml:space="preserve"> a la Oficina si dicha medida se ha llevado a cabo con una estación espacial utilizada previamente para poner en servicio asignaciones de frecuencia en una posición orbital distinta, o para reanudar su utilización, en un plazo de tres años antes de la fecha de presentación de esta información.</w:t>
      </w:r>
    </w:p>
    <w:p w:rsidR="003C6C9B" w:rsidRPr="00D91815" w:rsidRDefault="003C6C9B" w:rsidP="002B46B5">
      <w:pPr>
        <w:rPr>
          <w:szCs w:val="24"/>
          <w:lang w:val="es-ES"/>
        </w:rPr>
      </w:pPr>
      <w:r w:rsidRPr="00D91815">
        <w:rPr>
          <w:szCs w:val="24"/>
          <w:lang w:val="es-ES"/>
        </w:rPr>
        <w:t xml:space="preserve">De acuerdo con el </w:t>
      </w:r>
      <w:r w:rsidRPr="00D91815">
        <w:rPr>
          <w:i/>
          <w:iCs/>
          <w:szCs w:val="24"/>
          <w:lang w:val="es-ES"/>
        </w:rPr>
        <w:t>resuelve</w:t>
      </w:r>
      <w:r w:rsidRPr="00D91815">
        <w:rPr>
          <w:szCs w:val="24"/>
          <w:lang w:val="es-ES"/>
        </w:rPr>
        <w:t xml:space="preserve"> 2 de la Resolución </w:t>
      </w:r>
      <w:r w:rsidRPr="00D91815">
        <w:rPr>
          <w:b/>
          <w:bCs/>
          <w:szCs w:val="24"/>
          <w:lang w:val="es-ES"/>
        </w:rPr>
        <w:t>40</w:t>
      </w:r>
      <w:r w:rsidRPr="00D91815">
        <w:rPr>
          <w:szCs w:val="24"/>
          <w:lang w:val="es-ES"/>
        </w:rPr>
        <w:t xml:space="preserve"> (CMR-15),</w:t>
      </w:r>
      <w:r w:rsidRPr="00D91815">
        <w:rPr>
          <w:lang w:val="es-ES"/>
        </w:rPr>
        <w:t xml:space="preserve"> </w:t>
      </w:r>
      <w:r w:rsidRPr="00D91815">
        <w:rPr>
          <w:szCs w:val="24"/>
          <w:lang w:val="es-ES"/>
        </w:rPr>
        <w:t xml:space="preserve">cuando una administración notificante informe a la Oficina, de conformidad con el </w:t>
      </w:r>
      <w:r w:rsidRPr="00965708">
        <w:rPr>
          <w:i/>
          <w:iCs/>
          <w:szCs w:val="24"/>
          <w:lang w:val="es-ES"/>
        </w:rPr>
        <w:t>resuelve</w:t>
      </w:r>
      <w:r w:rsidRPr="00D91815">
        <w:rPr>
          <w:szCs w:val="24"/>
          <w:lang w:val="es-ES"/>
        </w:rPr>
        <w:t xml:space="preserve"> 1 anterior, de la puesta en servicio, o de la reanudación del servicio tras una suspensión, de una asignación de frecuencias a una estación espacial de una red de satélites geoestacionarios con una estación espacial previamente utilizada para la puesta en servicio, o de la reanudación del servicio de asignaciones de frecuencias en una posición orbital diferente en un plazo de tres años antes de la fecha de presentación de esta información, la </w:t>
      </w:r>
      <w:r w:rsidR="00C03432">
        <w:rPr>
          <w:szCs w:val="24"/>
          <w:lang w:val="es-ES"/>
        </w:rPr>
        <w:t>administración notificante indicará</w:t>
      </w:r>
      <w:r w:rsidRPr="00D91815">
        <w:rPr>
          <w:szCs w:val="24"/>
          <w:lang w:val="es-ES"/>
        </w:rPr>
        <w:t xml:space="preserve"> también para ese mismo periodo de tres años:</w:t>
      </w:r>
    </w:p>
    <w:p w:rsidR="003C6C9B" w:rsidRPr="00D91815" w:rsidRDefault="00965708" w:rsidP="002B46B5">
      <w:pPr>
        <w:pStyle w:val="enumlev1"/>
        <w:rPr>
          <w:lang w:val="es-ES"/>
        </w:rPr>
      </w:pPr>
      <w:r>
        <w:rPr>
          <w:lang w:val="es-ES"/>
        </w:rPr>
        <w:lastRenderedPageBreak/>
        <w:t>a)</w:t>
      </w:r>
      <w:r>
        <w:rPr>
          <w:lang w:val="es-ES"/>
        </w:rPr>
        <w:tab/>
      </w:r>
      <w:r w:rsidR="003C6C9B" w:rsidRPr="00D91815">
        <w:rPr>
          <w:lang w:val="es-ES"/>
        </w:rPr>
        <w:t xml:space="preserve">la última posición orbital en la que la estación espacial se utilizó para poner en servicio asignaciones de frecuencia, o para reanudar su utilización; </w:t>
      </w:r>
    </w:p>
    <w:p w:rsidR="003C6C9B" w:rsidRPr="00D91815" w:rsidRDefault="00965708" w:rsidP="002B46B5">
      <w:pPr>
        <w:pStyle w:val="enumlev1"/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="003C6C9B" w:rsidRPr="00D91815">
        <w:rPr>
          <w:lang w:val="es-ES"/>
        </w:rPr>
        <w:t xml:space="preserve">las redes de satélites a las que se asociaron las asignaciones de frecuencia mencionadas anteriormente en a); </w:t>
      </w:r>
    </w:p>
    <w:p w:rsidR="003C6C9B" w:rsidRPr="00D91815" w:rsidRDefault="00965708" w:rsidP="002B46B5">
      <w:pPr>
        <w:pStyle w:val="enumlev1"/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</w:r>
      <w:r w:rsidR="003C6C9B" w:rsidRPr="00D91815">
        <w:rPr>
          <w:lang w:val="es-ES"/>
        </w:rPr>
        <w:t xml:space="preserve">la fecha en la que la estación espacial dejó de mantenerse en la posición orbital </w:t>
      </w:r>
      <w:proofErr w:type="gramStart"/>
      <w:r w:rsidR="003C6C9B" w:rsidRPr="00D91815">
        <w:rPr>
          <w:lang w:val="es-ES"/>
        </w:rPr>
        <w:t>mencionada</w:t>
      </w:r>
      <w:proofErr w:type="gramEnd"/>
      <w:r w:rsidR="003C6C9B" w:rsidRPr="00D91815">
        <w:rPr>
          <w:lang w:val="es-ES"/>
        </w:rPr>
        <w:t xml:space="preserve"> anteriormente en a).</w:t>
      </w:r>
    </w:p>
    <w:p w:rsidR="003C6C9B" w:rsidRPr="00D91815" w:rsidRDefault="003C6C9B" w:rsidP="002B46B5">
      <w:pPr>
        <w:rPr>
          <w:rFonts w:eastAsia="SimSun" w:cs="Arial"/>
          <w:sz w:val="22"/>
          <w:lang w:val="es-ES" w:eastAsia="zh-CN"/>
        </w:rPr>
      </w:pPr>
      <w:r w:rsidRPr="00D91815">
        <w:rPr>
          <w:szCs w:val="24"/>
          <w:lang w:val="es-ES"/>
        </w:rPr>
        <w:t xml:space="preserve">La Oficina se complace en informar a las administraciones que se ha elaborado un formulario específico para facilitar la información arriba mencionada. Se adjunta el formulario en el Anexo a la presente, y también pude obtenerse en la dirección </w:t>
      </w:r>
      <w:hyperlink r:id="rId8" w:history="1">
        <w:r w:rsidRPr="00D91815">
          <w:rPr>
            <w:rFonts w:eastAsia="SimSun" w:cs="Arial"/>
            <w:color w:val="0563C1"/>
            <w:sz w:val="22"/>
            <w:u w:val="single"/>
            <w:lang w:val="es-ES" w:eastAsia="zh-CN"/>
          </w:rPr>
          <w:t>http://www.itu.int/ITU-R/go/space-res40-form</w:t>
        </w:r>
      </w:hyperlink>
      <w:r w:rsidRPr="00D91815">
        <w:rPr>
          <w:rFonts w:eastAsia="SimSun" w:cs="Arial"/>
          <w:sz w:val="22"/>
          <w:lang w:val="es-ES" w:eastAsia="zh-CN"/>
        </w:rPr>
        <w:t>.</w:t>
      </w:r>
    </w:p>
    <w:p w:rsidR="003C6C9B" w:rsidRDefault="003C6C9B" w:rsidP="002B46B5">
      <w:pPr>
        <w:rPr>
          <w:rFonts w:asciiTheme="minorHAnsi" w:hAnsiTheme="minorHAnsi"/>
          <w:szCs w:val="24"/>
          <w:lang w:val="es-ES"/>
        </w:rPr>
      </w:pPr>
      <w:r>
        <w:rPr>
          <w:szCs w:val="24"/>
          <w:lang w:val="es-ES"/>
        </w:rPr>
        <w:t xml:space="preserve">Se ruega a las administraciones que utilicen dicho formulario y lo remitan debidamente completado a la Oficina por telefax, en espera de la implementación de medios de comunicación electrónica modernos con arreglo a la Resolución </w:t>
      </w:r>
      <w:r w:rsidRPr="00A17519">
        <w:rPr>
          <w:b/>
          <w:bCs/>
          <w:szCs w:val="24"/>
          <w:lang w:val="es-ES"/>
        </w:rPr>
        <w:t>907</w:t>
      </w:r>
      <w:r>
        <w:rPr>
          <w:szCs w:val="24"/>
          <w:lang w:val="es-ES"/>
        </w:rPr>
        <w:t xml:space="preserve"> (Rev. CMR-15), cuando informen a la Oficina de Radiocomunicaciones de la puesta en servicio de asignaciones a una estación espacial de la OSG (incluidas las asignaciones de los Apéndices </w:t>
      </w:r>
      <w:r w:rsidRPr="00A17519">
        <w:rPr>
          <w:b/>
          <w:bCs/>
          <w:szCs w:val="24"/>
          <w:lang w:val="es-ES"/>
        </w:rPr>
        <w:t>30</w:t>
      </w:r>
      <w:r>
        <w:rPr>
          <w:szCs w:val="24"/>
          <w:lang w:val="es-ES"/>
        </w:rPr>
        <w:t xml:space="preserve">, </w:t>
      </w:r>
      <w:r w:rsidRPr="00A17519">
        <w:rPr>
          <w:b/>
          <w:bCs/>
          <w:szCs w:val="24"/>
          <w:lang w:val="es-ES"/>
        </w:rPr>
        <w:t>30A</w:t>
      </w:r>
      <w:r>
        <w:rPr>
          <w:szCs w:val="24"/>
          <w:lang w:val="es-ES"/>
        </w:rPr>
        <w:t xml:space="preserve"> y </w:t>
      </w:r>
      <w:r w:rsidRPr="00A17519">
        <w:rPr>
          <w:b/>
          <w:bCs/>
          <w:szCs w:val="24"/>
          <w:lang w:val="es-ES"/>
        </w:rPr>
        <w:t>30B</w:t>
      </w:r>
      <w:r>
        <w:rPr>
          <w:szCs w:val="24"/>
          <w:lang w:val="es-ES"/>
        </w:rPr>
        <w:t xml:space="preserve">) con arreglo al número </w:t>
      </w:r>
      <w:r w:rsidRPr="009E36C2">
        <w:rPr>
          <w:b/>
          <w:bCs/>
          <w:szCs w:val="24"/>
          <w:lang w:val="es-ES"/>
        </w:rPr>
        <w:t>11.44B</w:t>
      </w:r>
      <w:r>
        <w:rPr>
          <w:szCs w:val="24"/>
          <w:lang w:val="es-ES"/>
        </w:rPr>
        <w:t xml:space="preserve">, la reanudación de la puesta en servicio de las asignaciones con arreglo al número </w:t>
      </w:r>
      <w:r w:rsidRPr="009E36C2">
        <w:rPr>
          <w:b/>
          <w:bCs/>
          <w:szCs w:val="24"/>
          <w:lang w:val="es-ES"/>
        </w:rPr>
        <w:t>11.49.1</w:t>
      </w:r>
      <w:r>
        <w:rPr>
          <w:szCs w:val="24"/>
          <w:lang w:val="es-ES"/>
        </w:rPr>
        <w:t xml:space="preserve">, la reanudación de la puesta en servicio con arreglo a los </w:t>
      </w:r>
      <w:r>
        <w:rPr>
          <w:rFonts w:asciiTheme="minorHAnsi" w:hAnsiTheme="minorHAnsi" w:cs="Times New Roman"/>
          <w:szCs w:val="24"/>
          <w:lang w:val="es-ES"/>
        </w:rPr>
        <w:t>números</w:t>
      </w:r>
      <w:r w:rsidRPr="009E36C2">
        <w:rPr>
          <w:rFonts w:asciiTheme="minorHAnsi" w:hAnsiTheme="minorHAnsi"/>
          <w:szCs w:val="24"/>
          <w:lang w:val="es-ES"/>
        </w:rPr>
        <w:t xml:space="preserve"> </w:t>
      </w:r>
      <w:r>
        <w:rPr>
          <w:szCs w:val="24"/>
          <w:lang w:val="es-ES"/>
        </w:rPr>
        <w:t>20</w:t>
      </w:r>
      <w:r w:rsidRPr="00C03432">
        <w:rPr>
          <w:i/>
          <w:iCs/>
          <w:szCs w:val="24"/>
          <w:lang w:val="es-ES"/>
        </w:rPr>
        <w:t>bis</w:t>
      </w:r>
      <w:r>
        <w:rPr>
          <w:szCs w:val="24"/>
          <w:lang w:val="es-ES"/>
        </w:rPr>
        <w:t xml:space="preserve"> del </w:t>
      </w:r>
      <w:r w:rsidRPr="009E36C2">
        <w:rPr>
          <w:rFonts w:asciiTheme="minorHAnsi" w:hAnsiTheme="minorHAnsi" w:cs="Times New Roman"/>
          <w:szCs w:val="24"/>
          <w:lang w:val="es-ES"/>
        </w:rPr>
        <w:t>§</w:t>
      </w:r>
      <w:r>
        <w:rPr>
          <w:rFonts w:asciiTheme="minorHAnsi" w:hAnsiTheme="minorHAnsi" w:cs="Times New Roman"/>
          <w:szCs w:val="24"/>
          <w:lang w:val="es-ES"/>
        </w:rPr>
        <w:t xml:space="preserve"> </w:t>
      </w:r>
      <w:r>
        <w:rPr>
          <w:szCs w:val="24"/>
          <w:lang w:val="es-ES"/>
        </w:rPr>
        <w:t>5.</w:t>
      </w:r>
      <w:r w:rsidR="00C03432">
        <w:rPr>
          <w:szCs w:val="24"/>
          <w:lang w:val="es-ES"/>
        </w:rPr>
        <w:t>2.</w:t>
      </w:r>
      <w:r>
        <w:rPr>
          <w:szCs w:val="24"/>
          <w:lang w:val="es-ES"/>
        </w:rPr>
        <w:t xml:space="preserve">10 del Apéndice </w:t>
      </w:r>
      <w:r w:rsidRPr="009E36C2">
        <w:rPr>
          <w:b/>
          <w:bCs/>
          <w:szCs w:val="24"/>
          <w:lang w:val="es-ES"/>
        </w:rPr>
        <w:t>30</w:t>
      </w:r>
      <w:r>
        <w:rPr>
          <w:szCs w:val="24"/>
          <w:lang w:val="es-ES"/>
        </w:rPr>
        <w:t xml:space="preserve"> </w:t>
      </w:r>
      <w:r w:rsidR="00C03432">
        <w:rPr>
          <w:szCs w:val="24"/>
          <w:lang w:val="es-ES"/>
        </w:rPr>
        <w:t>y el número 24</w:t>
      </w:r>
      <w:r w:rsidRPr="00C03432">
        <w:rPr>
          <w:i/>
          <w:iCs/>
          <w:szCs w:val="24"/>
          <w:lang w:val="es-ES"/>
        </w:rPr>
        <w:t>bis</w:t>
      </w:r>
      <w:r w:rsidRPr="00A17519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del </w:t>
      </w:r>
      <w:r w:rsidRPr="009E36C2">
        <w:rPr>
          <w:rFonts w:asciiTheme="minorHAnsi" w:hAnsiTheme="minorHAnsi" w:cs="Times New Roman"/>
          <w:szCs w:val="24"/>
          <w:lang w:val="es-ES"/>
        </w:rPr>
        <w:t>§</w:t>
      </w:r>
      <w:r>
        <w:rPr>
          <w:rFonts w:asciiTheme="minorHAnsi" w:hAnsiTheme="minorHAnsi" w:cs="Times New Roman"/>
          <w:szCs w:val="24"/>
          <w:lang w:val="es-ES"/>
        </w:rPr>
        <w:t xml:space="preserve"> </w:t>
      </w:r>
      <w:r>
        <w:rPr>
          <w:szCs w:val="24"/>
          <w:lang w:val="es-ES"/>
        </w:rPr>
        <w:t>5.</w:t>
      </w:r>
      <w:r w:rsidR="00C03432">
        <w:rPr>
          <w:szCs w:val="24"/>
          <w:lang w:val="es-ES"/>
        </w:rPr>
        <w:t>2.</w:t>
      </w:r>
      <w:r>
        <w:rPr>
          <w:szCs w:val="24"/>
          <w:lang w:val="es-ES"/>
        </w:rPr>
        <w:t xml:space="preserve">10 del Apéndice </w:t>
      </w:r>
      <w:r w:rsidRPr="009E36C2">
        <w:rPr>
          <w:b/>
          <w:bCs/>
          <w:szCs w:val="24"/>
          <w:lang w:val="es-ES"/>
        </w:rPr>
        <w:t>30</w:t>
      </w:r>
      <w:r>
        <w:rPr>
          <w:b/>
          <w:bCs/>
          <w:szCs w:val="24"/>
          <w:lang w:val="es-ES"/>
        </w:rPr>
        <w:t>A</w:t>
      </w:r>
      <w:r>
        <w:rPr>
          <w:szCs w:val="24"/>
          <w:lang w:val="es-ES"/>
        </w:rPr>
        <w:t xml:space="preserve">, respectivamente, o la reanudación de la puesta en servicio con arreglo al </w:t>
      </w:r>
      <w:r>
        <w:rPr>
          <w:rFonts w:asciiTheme="minorHAnsi" w:hAnsiTheme="minorHAnsi" w:cs="Times New Roman"/>
          <w:szCs w:val="24"/>
          <w:lang w:val="es-ES"/>
        </w:rPr>
        <w:t>número</w:t>
      </w:r>
      <w:r w:rsidRPr="009E36C2">
        <w:rPr>
          <w:rFonts w:asciiTheme="minorHAnsi" w:hAnsiTheme="minorHAnsi"/>
          <w:szCs w:val="24"/>
          <w:lang w:val="es-ES"/>
        </w:rPr>
        <w:t xml:space="preserve"> </w:t>
      </w:r>
      <w:r>
        <w:rPr>
          <w:rFonts w:asciiTheme="minorHAnsi" w:hAnsiTheme="minorHAnsi"/>
          <w:szCs w:val="24"/>
          <w:lang w:val="es-ES"/>
        </w:rPr>
        <w:t>14</w:t>
      </w:r>
      <w:r w:rsidRPr="00C03432">
        <w:rPr>
          <w:rFonts w:asciiTheme="minorHAnsi" w:hAnsiTheme="minorHAnsi"/>
          <w:i/>
          <w:iCs/>
          <w:szCs w:val="24"/>
          <w:lang w:val="es-ES"/>
        </w:rPr>
        <w:t>bis</w:t>
      </w:r>
      <w:r>
        <w:rPr>
          <w:rFonts w:asciiTheme="minorHAnsi" w:hAnsiTheme="minorHAnsi"/>
          <w:szCs w:val="24"/>
          <w:lang w:val="es-ES"/>
        </w:rPr>
        <w:t xml:space="preserve"> del </w:t>
      </w:r>
      <w:r w:rsidRPr="009E36C2">
        <w:rPr>
          <w:rFonts w:asciiTheme="minorHAnsi" w:hAnsiTheme="minorHAnsi" w:cs="Times New Roman"/>
          <w:szCs w:val="24"/>
          <w:lang w:val="es-ES"/>
        </w:rPr>
        <w:t>§</w:t>
      </w:r>
      <w:r>
        <w:rPr>
          <w:rFonts w:asciiTheme="minorHAnsi" w:hAnsiTheme="minorHAnsi" w:cs="Times New Roman"/>
          <w:szCs w:val="24"/>
          <w:lang w:val="es-ES"/>
        </w:rPr>
        <w:t xml:space="preserve"> 8.17 del Apéndice </w:t>
      </w:r>
      <w:r w:rsidRPr="009E36C2">
        <w:rPr>
          <w:rFonts w:asciiTheme="minorHAnsi" w:hAnsiTheme="minorHAnsi" w:cs="Times New Roman"/>
          <w:b/>
          <w:bCs/>
          <w:szCs w:val="24"/>
          <w:lang w:val="es-ES"/>
        </w:rPr>
        <w:t>30B</w:t>
      </w:r>
      <w:r>
        <w:rPr>
          <w:rFonts w:asciiTheme="minorHAnsi" w:hAnsiTheme="minorHAnsi" w:cs="Times New Roman"/>
          <w:szCs w:val="24"/>
          <w:lang w:val="es-ES"/>
        </w:rPr>
        <w:t>, de cualquier asignación de frecuencias.</w:t>
      </w:r>
      <w:r w:rsidRPr="009E36C2">
        <w:rPr>
          <w:rFonts w:asciiTheme="minorHAnsi" w:hAnsiTheme="minorHAnsi"/>
          <w:szCs w:val="24"/>
          <w:lang w:val="es-ES"/>
        </w:rPr>
        <w:t xml:space="preserve"> </w:t>
      </w:r>
    </w:p>
    <w:p w:rsidR="003C6C9B" w:rsidRDefault="003C6C9B" w:rsidP="002B46B5">
      <w:pPr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De acuerdo con el </w:t>
      </w:r>
      <w:r w:rsidRPr="009E36C2">
        <w:rPr>
          <w:rFonts w:asciiTheme="minorHAnsi" w:hAnsiTheme="minorHAnsi"/>
          <w:i/>
          <w:iCs/>
          <w:szCs w:val="24"/>
          <w:lang w:val="es-ES"/>
        </w:rPr>
        <w:t>encarga a la Oficina de Radiocomunicaciones</w:t>
      </w:r>
      <w:r>
        <w:rPr>
          <w:rFonts w:asciiTheme="minorHAnsi" w:hAnsiTheme="minorHAnsi"/>
          <w:szCs w:val="24"/>
          <w:lang w:val="es-ES"/>
        </w:rPr>
        <w:t xml:space="preserve"> de la Resolución </w:t>
      </w:r>
      <w:r w:rsidRPr="009E36C2">
        <w:rPr>
          <w:rFonts w:asciiTheme="minorHAnsi" w:hAnsiTheme="minorHAnsi"/>
          <w:b/>
          <w:bCs/>
          <w:szCs w:val="24"/>
          <w:lang w:val="es-ES"/>
        </w:rPr>
        <w:t>40</w:t>
      </w:r>
      <w:r>
        <w:rPr>
          <w:rFonts w:asciiTheme="minorHAnsi" w:hAnsiTheme="minorHAnsi"/>
          <w:szCs w:val="24"/>
          <w:lang w:val="es-ES"/>
        </w:rPr>
        <w:t xml:space="preserve"> (CMR-15),</w:t>
      </w:r>
      <w:r w:rsidRPr="00965708">
        <w:rPr>
          <w:lang w:val="es-ES_tradnl"/>
        </w:rPr>
        <w:t xml:space="preserve"> </w:t>
      </w:r>
      <w:r>
        <w:rPr>
          <w:rFonts w:asciiTheme="minorHAnsi" w:hAnsiTheme="minorHAnsi"/>
          <w:szCs w:val="24"/>
          <w:lang w:val="es-ES"/>
        </w:rPr>
        <w:t>la Oficina publicará</w:t>
      </w:r>
      <w:r w:rsidRPr="009E36C2">
        <w:rPr>
          <w:rFonts w:asciiTheme="minorHAnsi" w:hAnsiTheme="minorHAnsi"/>
          <w:szCs w:val="24"/>
          <w:lang w:val="es-ES"/>
        </w:rPr>
        <w:t xml:space="preserve"> la información </w:t>
      </w:r>
      <w:r>
        <w:rPr>
          <w:rFonts w:asciiTheme="minorHAnsi" w:hAnsiTheme="minorHAnsi"/>
          <w:szCs w:val="24"/>
          <w:lang w:val="es-ES"/>
        </w:rPr>
        <w:t>completa de que disponga</w:t>
      </w:r>
      <w:r w:rsidRPr="009E36C2">
        <w:rPr>
          <w:rFonts w:asciiTheme="minorHAnsi" w:hAnsiTheme="minorHAnsi"/>
          <w:szCs w:val="24"/>
          <w:lang w:val="es-ES"/>
        </w:rPr>
        <w:t xml:space="preserve"> a más tardar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9E36C2">
        <w:rPr>
          <w:rFonts w:asciiTheme="minorHAnsi" w:hAnsiTheme="minorHAnsi"/>
          <w:szCs w:val="24"/>
          <w:lang w:val="es-ES"/>
        </w:rPr>
        <w:t>30 días después de haberla recibido</w:t>
      </w:r>
      <w:r>
        <w:rPr>
          <w:rFonts w:asciiTheme="minorHAnsi" w:hAnsiTheme="minorHAnsi"/>
          <w:szCs w:val="24"/>
          <w:lang w:val="es-ES"/>
        </w:rPr>
        <w:t xml:space="preserve"> en el siguiente sitio web:  </w:t>
      </w:r>
      <w:hyperlink r:id="rId9" w:history="1">
        <w:r w:rsidRPr="00976339">
          <w:rPr>
            <w:rStyle w:val="Hyperlink"/>
            <w:rFonts w:asciiTheme="minorHAnsi" w:hAnsiTheme="minorHAnsi"/>
            <w:szCs w:val="24"/>
            <w:lang w:val="es-ES"/>
          </w:rPr>
          <w:t>http://www.itu.int/ITU-R/go/space-res40</w:t>
        </w:r>
      </w:hyperlink>
      <w:r w:rsidR="00965708">
        <w:rPr>
          <w:rFonts w:asciiTheme="minorHAnsi" w:hAnsiTheme="minorHAnsi"/>
          <w:szCs w:val="24"/>
          <w:lang w:val="es-ES"/>
        </w:rPr>
        <w:t>.</w:t>
      </w:r>
    </w:p>
    <w:p w:rsidR="003C6C9B" w:rsidRPr="00D91815" w:rsidRDefault="003C6C9B" w:rsidP="002B46B5">
      <w:pPr>
        <w:rPr>
          <w:szCs w:val="24"/>
          <w:lang w:val="es-ES"/>
        </w:rPr>
      </w:pPr>
      <w:r>
        <w:rPr>
          <w:szCs w:val="24"/>
          <w:lang w:val="es-ES"/>
        </w:rPr>
        <w:t xml:space="preserve">La Oficina desea llamar su atención sobre los </w:t>
      </w:r>
      <w:r w:rsidRPr="00D91815">
        <w:rPr>
          <w:i/>
          <w:iCs/>
          <w:szCs w:val="24"/>
          <w:lang w:val="es-ES"/>
        </w:rPr>
        <w:t>resuelve</w:t>
      </w:r>
      <w:r>
        <w:rPr>
          <w:szCs w:val="24"/>
          <w:lang w:val="es-ES"/>
        </w:rPr>
        <w:t xml:space="preserve"> 4 y 5 de la Resolución </w:t>
      </w:r>
      <w:r w:rsidRPr="00D91815">
        <w:rPr>
          <w:b/>
          <w:bCs/>
          <w:szCs w:val="24"/>
          <w:lang w:val="es-ES"/>
        </w:rPr>
        <w:t>40</w:t>
      </w:r>
      <w:r>
        <w:rPr>
          <w:szCs w:val="24"/>
          <w:lang w:val="es-ES"/>
        </w:rPr>
        <w:t xml:space="preserve"> (CMR-15), donde se dispone que, a partir del 1 de enero de 2018, </w:t>
      </w:r>
      <w:r w:rsidRPr="00D91815">
        <w:rPr>
          <w:szCs w:val="24"/>
          <w:lang w:val="es-ES"/>
        </w:rPr>
        <w:t xml:space="preserve">si la administración notificante no proporciona la información que falta </w:t>
      </w:r>
      <w:r>
        <w:rPr>
          <w:szCs w:val="24"/>
          <w:lang w:val="es-ES"/>
        </w:rPr>
        <w:t xml:space="preserve">tras dos recordatorios de 30 y 15 días, respectivamente, </w:t>
      </w:r>
      <w:r w:rsidRPr="00D91815">
        <w:rPr>
          <w:szCs w:val="24"/>
          <w:lang w:val="es-ES"/>
        </w:rPr>
        <w:t>la Oficina consider</w:t>
      </w:r>
      <w:r>
        <w:rPr>
          <w:szCs w:val="24"/>
          <w:lang w:val="es-ES"/>
        </w:rPr>
        <w:t>ará</w:t>
      </w:r>
      <w:r w:rsidRPr="00D91815">
        <w:rPr>
          <w:szCs w:val="24"/>
          <w:lang w:val="es-ES"/>
        </w:rPr>
        <w:t xml:space="preserve"> que las asignaciones de frecuencias a la red de</w:t>
      </w:r>
      <w:r>
        <w:rPr>
          <w:szCs w:val="24"/>
          <w:lang w:val="es-ES"/>
        </w:rPr>
        <w:t xml:space="preserve"> </w:t>
      </w:r>
      <w:r w:rsidRPr="00D91815">
        <w:rPr>
          <w:szCs w:val="24"/>
          <w:lang w:val="es-ES"/>
        </w:rPr>
        <w:t>satélites geoestacionarios no se han puesto en servicio, ni se ha rea</w:t>
      </w:r>
      <w:r>
        <w:rPr>
          <w:szCs w:val="24"/>
          <w:lang w:val="es-ES"/>
        </w:rPr>
        <w:t xml:space="preserve">nudado su utilización, e informará </w:t>
      </w:r>
      <w:r w:rsidRPr="00D91815">
        <w:rPr>
          <w:szCs w:val="24"/>
          <w:lang w:val="es-ES"/>
        </w:rPr>
        <w:t>de ello a la administración</w:t>
      </w:r>
      <w:r>
        <w:rPr>
          <w:szCs w:val="24"/>
          <w:lang w:val="es-ES"/>
        </w:rPr>
        <w:t>.</w:t>
      </w:r>
    </w:p>
    <w:p w:rsidR="003C6C9B" w:rsidRPr="00D91815" w:rsidRDefault="003C6C9B" w:rsidP="002B46B5">
      <w:pPr>
        <w:rPr>
          <w:szCs w:val="24"/>
          <w:lang w:val="es-ES"/>
        </w:rPr>
      </w:pPr>
      <w:r w:rsidRPr="00D91815">
        <w:rPr>
          <w:rFonts w:asciiTheme="minorHAnsi" w:hAnsiTheme="minorHAnsi" w:cstheme="minorHAnsi"/>
          <w:szCs w:val="24"/>
          <w:lang w:val="es-ES"/>
        </w:rPr>
        <w:t>La</w:t>
      </w:r>
      <w:r w:rsidRPr="00D91815">
        <w:rPr>
          <w:szCs w:val="24"/>
          <w:lang w:val="es-ES"/>
        </w:rPr>
        <w:t xml:space="preserve"> Oficina queda a disposición de su administración, a través de la dirección </w:t>
      </w:r>
      <w:hyperlink r:id="rId10" w:history="1">
        <w:r w:rsidRPr="00D91815">
          <w:rPr>
            <w:color w:val="0000FF"/>
            <w:szCs w:val="24"/>
            <w:u w:val="single"/>
            <w:lang w:val="es-ES"/>
          </w:rPr>
          <w:t>brmail@itu.int</w:t>
        </w:r>
      </w:hyperlink>
      <w:r w:rsidRPr="00D91815">
        <w:rPr>
          <w:szCs w:val="24"/>
          <w:lang w:val="es-ES"/>
        </w:rPr>
        <w:t xml:space="preserve"> para cualquier aclaración adicional que pueda necesitar respecto al contenido de la presente Carta Circular.</w:t>
      </w:r>
    </w:p>
    <w:p w:rsidR="003C6C9B" w:rsidRDefault="003C6C9B" w:rsidP="00175AD6">
      <w:pPr>
        <w:spacing w:before="960"/>
        <w:jc w:val="left"/>
        <w:rPr>
          <w:rFonts w:cstheme="minorHAnsi"/>
          <w:szCs w:val="24"/>
          <w:lang w:val="es-ES"/>
        </w:rPr>
      </w:pPr>
      <w:r w:rsidRPr="00D91815">
        <w:rPr>
          <w:rFonts w:asciiTheme="minorHAnsi" w:hAnsiTheme="minorHAnsi" w:cstheme="minorHAnsi"/>
          <w:szCs w:val="24"/>
          <w:lang w:val="es-ES"/>
        </w:rPr>
        <w:lastRenderedPageBreak/>
        <w:t>François Rancy</w:t>
      </w:r>
      <w:r w:rsidR="00175AD6">
        <w:rPr>
          <w:rFonts w:asciiTheme="minorHAnsi" w:hAnsiTheme="minorHAnsi" w:cstheme="minorHAnsi"/>
          <w:szCs w:val="24"/>
          <w:lang w:val="es-ES"/>
        </w:rPr>
        <w:br/>
      </w:r>
      <w:r w:rsidRPr="00D91815">
        <w:rPr>
          <w:rFonts w:cstheme="minorHAnsi"/>
          <w:szCs w:val="24"/>
          <w:lang w:val="es-ES"/>
        </w:rPr>
        <w:t>Director</w:t>
      </w:r>
    </w:p>
    <w:p w:rsidR="003C6C9B" w:rsidRDefault="003C6C9B" w:rsidP="003C6C9B">
      <w:pPr>
        <w:spacing w:before="0" w:after="120" w:line="240" w:lineRule="auto"/>
        <w:jc w:val="left"/>
        <w:rPr>
          <w:rFonts w:cstheme="minorHAnsi"/>
          <w:szCs w:val="24"/>
          <w:lang w:val="es-ES"/>
        </w:rPr>
      </w:pPr>
    </w:p>
    <w:p w:rsidR="00965708" w:rsidRDefault="00965708" w:rsidP="003C6C9B">
      <w:pPr>
        <w:spacing w:before="0" w:after="120" w:line="240" w:lineRule="auto"/>
        <w:jc w:val="left"/>
        <w:rPr>
          <w:rFonts w:cstheme="minorHAnsi"/>
          <w:szCs w:val="24"/>
          <w:lang w:val="es-ES"/>
        </w:rPr>
      </w:pPr>
    </w:p>
    <w:p w:rsidR="003C6C9B" w:rsidRDefault="003C6C9B" w:rsidP="003C6C9B">
      <w:pPr>
        <w:spacing w:before="0" w:after="120" w:line="240" w:lineRule="auto"/>
        <w:jc w:val="left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Anexo: 1</w:t>
      </w:r>
    </w:p>
    <w:p w:rsidR="003C6C9B" w:rsidRDefault="003C6C9B" w:rsidP="003C6C9B">
      <w:pPr>
        <w:spacing w:before="960" w:after="120" w:line="240" w:lineRule="auto"/>
        <w:jc w:val="left"/>
        <w:rPr>
          <w:b/>
          <w:sz w:val="18"/>
          <w:szCs w:val="18"/>
          <w:u w:val="single"/>
          <w:lang w:val="es-ES"/>
        </w:rPr>
      </w:pPr>
    </w:p>
    <w:p w:rsidR="003C6C9B" w:rsidRDefault="003C6C9B" w:rsidP="00965708">
      <w:pPr>
        <w:spacing w:before="960" w:after="120" w:line="240" w:lineRule="auto"/>
        <w:jc w:val="left"/>
        <w:rPr>
          <w:b/>
          <w:sz w:val="18"/>
          <w:szCs w:val="18"/>
          <w:u w:val="single"/>
          <w:lang w:val="es-ES"/>
        </w:rPr>
      </w:pPr>
    </w:p>
    <w:p w:rsidR="003C6C9B" w:rsidRPr="00D91815" w:rsidRDefault="003C6C9B" w:rsidP="003C6C9B">
      <w:pPr>
        <w:spacing w:before="960" w:after="120" w:line="240" w:lineRule="auto"/>
        <w:jc w:val="left"/>
        <w:rPr>
          <w:rFonts w:cstheme="minorHAnsi"/>
          <w:b/>
          <w:sz w:val="22"/>
          <w:lang w:val="es-ES"/>
        </w:rPr>
      </w:pPr>
      <w:r w:rsidRPr="00D91815">
        <w:rPr>
          <w:b/>
          <w:sz w:val="18"/>
          <w:szCs w:val="18"/>
          <w:u w:val="single"/>
          <w:lang w:val="es-ES"/>
        </w:rPr>
        <w:t>Distribución</w:t>
      </w:r>
      <w:r w:rsidRPr="00D91815">
        <w:rPr>
          <w:b/>
          <w:sz w:val="18"/>
          <w:szCs w:val="18"/>
          <w:lang w:val="es-ES"/>
        </w:rPr>
        <w:t>:</w:t>
      </w:r>
    </w:p>
    <w:p w:rsidR="003C6C9B" w:rsidRPr="00D91815" w:rsidRDefault="003C6C9B" w:rsidP="003C6C9B">
      <w:pPr>
        <w:tabs>
          <w:tab w:val="clear" w:pos="794"/>
          <w:tab w:val="left" w:pos="284"/>
        </w:tabs>
        <w:spacing w:before="80" w:line="240" w:lineRule="auto"/>
        <w:ind w:left="794" w:hanging="794"/>
        <w:rPr>
          <w:sz w:val="18"/>
          <w:szCs w:val="18"/>
          <w:lang w:val="es-ES"/>
        </w:rPr>
      </w:pPr>
      <w:r w:rsidRPr="00D91815">
        <w:rPr>
          <w:sz w:val="18"/>
          <w:szCs w:val="18"/>
          <w:lang w:val="es-ES"/>
        </w:rPr>
        <w:t>–</w:t>
      </w:r>
      <w:r w:rsidRPr="00D91815">
        <w:rPr>
          <w:sz w:val="18"/>
          <w:szCs w:val="18"/>
          <w:lang w:val="es-ES"/>
        </w:rPr>
        <w:tab/>
        <w:t>Administraciones de los Estados Miembros de la UIT.</w:t>
      </w:r>
    </w:p>
    <w:p w:rsidR="00965708" w:rsidRDefault="003C6C9B" w:rsidP="00965708">
      <w:pPr>
        <w:tabs>
          <w:tab w:val="clear" w:pos="794"/>
          <w:tab w:val="left" w:pos="284"/>
        </w:tabs>
        <w:spacing w:before="0" w:line="240" w:lineRule="auto"/>
        <w:ind w:left="794" w:hanging="794"/>
        <w:rPr>
          <w:sz w:val="18"/>
          <w:szCs w:val="18"/>
          <w:lang w:val="es-ES"/>
        </w:rPr>
        <w:sectPr w:rsidR="00965708" w:rsidSect="00031E64">
          <w:headerReference w:type="even" r:id="rId11"/>
          <w:headerReference w:type="default" r:id="rId12"/>
          <w:headerReference w:type="first" r:id="rId13"/>
          <w:footerReference w:type="first" r:id="rId14"/>
          <w:pgSz w:w="11907" w:h="16834" w:code="9"/>
          <w:pgMar w:top="1134" w:right="1134" w:bottom="993" w:left="1134" w:header="567" w:footer="397" w:gutter="0"/>
          <w:cols w:space="720"/>
          <w:titlePg/>
        </w:sectPr>
      </w:pPr>
      <w:r w:rsidRPr="00D91815">
        <w:rPr>
          <w:sz w:val="18"/>
          <w:szCs w:val="18"/>
          <w:lang w:val="es-ES"/>
        </w:rPr>
        <w:t>–</w:t>
      </w:r>
      <w:r w:rsidRPr="00D91815">
        <w:rPr>
          <w:sz w:val="18"/>
          <w:szCs w:val="18"/>
          <w:lang w:val="es-ES"/>
        </w:rPr>
        <w:tab/>
        <w:t>Miembros de la Junta del Reglamen</w:t>
      </w:r>
      <w:r w:rsidRPr="00B305A9">
        <w:rPr>
          <w:sz w:val="18"/>
          <w:szCs w:val="18"/>
          <w:lang w:val="es-ES"/>
        </w:rPr>
        <w:t>to de Radiocomunicaciones.</w:t>
      </w:r>
    </w:p>
    <w:p w:rsidR="003C6C9B" w:rsidRDefault="003C6C9B" w:rsidP="00224C92">
      <w:pPr>
        <w:spacing w:before="0"/>
        <w:jc w:val="center"/>
        <w:rPr>
          <w:b/>
          <w:bCs/>
          <w:lang w:val="es-ES"/>
        </w:rPr>
      </w:pPr>
      <w:r w:rsidRPr="00B305A9">
        <w:rPr>
          <w:b/>
          <w:bCs/>
          <w:lang w:val="es-ES"/>
        </w:rPr>
        <w:lastRenderedPageBreak/>
        <w:t>Anexo</w:t>
      </w:r>
    </w:p>
    <w:p w:rsidR="003C6C9B" w:rsidRDefault="003C6C9B" w:rsidP="003C6C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142"/>
        <w:jc w:val="left"/>
        <w:textAlignment w:val="auto"/>
        <w:rPr>
          <w:sz w:val="18"/>
          <w:szCs w:val="18"/>
          <w:lang w:val="es-ES"/>
        </w:rPr>
      </w:pPr>
    </w:p>
    <w:p w:rsidR="00224C92" w:rsidRPr="00B305A9" w:rsidRDefault="00224C92" w:rsidP="003C6C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142"/>
        <w:jc w:val="left"/>
        <w:textAlignment w:val="auto"/>
        <w:rPr>
          <w:sz w:val="18"/>
          <w:szCs w:val="18"/>
          <w:lang w:val="es-ES"/>
        </w:rPr>
      </w:pPr>
    </w:p>
    <w:p w:rsidR="003C6C9B" w:rsidRPr="00B305A9" w:rsidRDefault="003C6C9B" w:rsidP="003C6C9B">
      <w:pPr>
        <w:jc w:val="center"/>
        <w:rPr>
          <w:b/>
          <w:sz w:val="28"/>
          <w:szCs w:val="28"/>
          <w:lang w:val="es-ES"/>
        </w:rPr>
      </w:pPr>
    </w:p>
    <w:p w:rsidR="003C6C9B" w:rsidRPr="00B305A9" w:rsidRDefault="003C6C9B" w:rsidP="003C6C9B">
      <w:pPr>
        <w:jc w:val="center"/>
        <w:rPr>
          <w:b/>
          <w:sz w:val="28"/>
          <w:szCs w:val="28"/>
          <w:lang w:val="es-ES"/>
        </w:rPr>
      </w:pPr>
      <w:r w:rsidRPr="00B305A9">
        <w:rPr>
          <w:b/>
          <w:bCs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7F382C0" wp14:editId="73EBBD0A">
            <wp:simplePos x="0" y="0"/>
            <wp:positionH relativeFrom="column">
              <wp:posOffset>2775585</wp:posOffset>
            </wp:positionH>
            <wp:positionV relativeFrom="paragraph">
              <wp:posOffset>-408940</wp:posOffset>
            </wp:positionV>
            <wp:extent cx="579396" cy="657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6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C9B" w:rsidRPr="00B305A9" w:rsidRDefault="003C6C9B" w:rsidP="003C6C9B">
      <w:pPr>
        <w:jc w:val="center"/>
        <w:rPr>
          <w:b/>
          <w:sz w:val="28"/>
          <w:szCs w:val="28"/>
          <w:lang w:val="es-ES"/>
        </w:rPr>
      </w:pPr>
      <w:r w:rsidRPr="00B305A9">
        <w:rPr>
          <w:b/>
          <w:sz w:val="28"/>
          <w:szCs w:val="28"/>
          <w:lang w:val="es-ES"/>
        </w:rPr>
        <w:t>RESOLU</w:t>
      </w:r>
      <w:r>
        <w:rPr>
          <w:b/>
          <w:sz w:val="28"/>
          <w:szCs w:val="28"/>
          <w:lang w:val="es-ES"/>
        </w:rPr>
        <w:t>C</w:t>
      </w:r>
      <w:r w:rsidRPr="00B305A9">
        <w:rPr>
          <w:b/>
          <w:sz w:val="28"/>
          <w:szCs w:val="28"/>
          <w:lang w:val="es-ES"/>
        </w:rPr>
        <w:t>I</w:t>
      </w:r>
      <w:r>
        <w:rPr>
          <w:b/>
          <w:sz w:val="28"/>
          <w:szCs w:val="28"/>
          <w:lang w:val="es-ES"/>
        </w:rPr>
        <w:t>Ó</w:t>
      </w:r>
      <w:r w:rsidRPr="00B305A9">
        <w:rPr>
          <w:b/>
          <w:sz w:val="28"/>
          <w:szCs w:val="28"/>
          <w:lang w:val="es-ES"/>
        </w:rPr>
        <w:t>N 40 (</w:t>
      </w:r>
      <w:r>
        <w:rPr>
          <w:b/>
          <w:sz w:val="28"/>
          <w:szCs w:val="28"/>
          <w:lang w:val="es-ES"/>
        </w:rPr>
        <w:t>CMR</w:t>
      </w:r>
      <w:r w:rsidRPr="00B305A9">
        <w:rPr>
          <w:b/>
          <w:sz w:val="28"/>
          <w:szCs w:val="28"/>
          <w:lang w:val="es-ES"/>
        </w:rPr>
        <w:t>-15)</w:t>
      </w:r>
    </w:p>
    <w:p w:rsidR="003C6C9B" w:rsidRPr="00B305A9" w:rsidRDefault="003C6C9B" w:rsidP="003C6C9B">
      <w:pPr>
        <w:jc w:val="center"/>
        <w:rPr>
          <w:b/>
          <w:sz w:val="28"/>
          <w:szCs w:val="28"/>
          <w:lang w:val="es-ES"/>
        </w:rPr>
      </w:pPr>
      <w:r w:rsidRPr="00B305A9">
        <w:rPr>
          <w:b/>
          <w:sz w:val="28"/>
          <w:szCs w:val="28"/>
          <w:lang w:val="es-ES"/>
        </w:rPr>
        <w:t>Utilización de una estación espacial para poner en servicio asignaciones de</w:t>
      </w:r>
      <w:r>
        <w:rPr>
          <w:b/>
          <w:sz w:val="28"/>
          <w:szCs w:val="28"/>
          <w:lang w:val="es-ES"/>
        </w:rPr>
        <w:t xml:space="preserve"> </w:t>
      </w:r>
      <w:r w:rsidRPr="00B305A9">
        <w:rPr>
          <w:b/>
          <w:sz w:val="28"/>
          <w:szCs w:val="28"/>
          <w:lang w:val="es-ES"/>
        </w:rPr>
        <w:t>frecuencias a redes de satélites geoestacionarios en distintas posiciones</w:t>
      </w:r>
      <w:r>
        <w:rPr>
          <w:b/>
          <w:sz w:val="28"/>
          <w:szCs w:val="28"/>
          <w:lang w:val="es-ES"/>
        </w:rPr>
        <w:t xml:space="preserve"> </w:t>
      </w:r>
      <w:r w:rsidR="00965708">
        <w:rPr>
          <w:b/>
          <w:sz w:val="28"/>
          <w:szCs w:val="28"/>
          <w:lang w:val="es-ES"/>
        </w:rPr>
        <w:br/>
      </w:r>
      <w:r w:rsidRPr="00B305A9">
        <w:rPr>
          <w:b/>
          <w:sz w:val="28"/>
          <w:szCs w:val="28"/>
          <w:lang w:val="es-ES"/>
        </w:rPr>
        <w:t>orbitales en un breve periodo de tiempo</w:t>
      </w:r>
    </w:p>
    <w:p w:rsidR="003C6C9B" w:rsidRPr="00224C92" w:rsidRDefault="003C6C9B" w:rsidP="003C6C9B">
      <w:pPr>
        <w:jc w:val="left"/>
        <w:rPr>
          <w:sz w:val="16"/>
          <w:szCs w:val="16"/>
          <w:lang w:val="es-ES"/>
        </w:rPr>
      </w:pPr>
      <w:r>
        <w:rPr>
          <w:lang w:val="es-ES"/>
        </w:rPr>
        <w:t>Red de satélites para la que se han puesto en servicio</w:t>
      </w:r>
      <w:r w:rsidRPr="00B305A9">
        <w:rPr>
          <w:lang w:val="es-ES"/>
        </w:rPr>
        <w:t xml:space="preserve"> </w:t>
      </w:r>
      <w:r>
        <w:rPr>
          <w:lang w:val="es-ES"/>
        </w:rPr>
        <w:t>las asignaciones de frecuencias, o se ha reanudado su puesta en servicio tras una suspensión</w:t>
      </w:r>
      <w:r w:rsidRPr="00B305A9">
        <w:rPr>
          <w:lang w:val="es-ES"/>
        </w:rPr>
        <w:t>:</w:t>
      </w:r>
      <w:r w:rsidRPr="00B305A9">
        <w:rPr>
          <w:lang w:val="es-ES"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1418"/>
        <w:gridCol w:w="4252"/>
      </w:tblGrid>
      <w:tr w:rsidR="003C6C9B" w:rsidRPr="00B305A9" w:rsidTr="00224C92">
        <w:tc>
          <w:tcPr>
            <w:tcW w:w="4106" w:type="dxa"/>
          </w:tcPr>
          <w:p w:rsidR="003C6C9B" w:rsidRPr="00B305A9" w:rsidRDefault="003C6C9B" w:rsidP="00C935E5">
            <w:pPr>
              <w:spacing w:before="120" w:after="120"/>
              <w:rPr>
                <w:lang w:val="es-ES"/>
              </w:rPr>
            </w:pPr>
          </w:p>
        </w:tc>
        <w:tc>
          <w:tcPr>
            <w:tcW w:w="1418" w:type="dxa"/>
          </w:tcPr>
          <w:p w:rsidR="003C6C9B" w:rsidRPr="00B305A9" w:rsidRDefault="003C6C9B" w:rsidP="00224C9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Puntos del </w:t>
            </w:r>
            <w:r w:rsidRPr="00B305A9">
              <w:rPr>
                <w:lang w:val="es-ES"/>
              </w:rPr>
              <w:t>AP4</w:t>
            </w:r>
          </w:p>
        </w:tc>
        <w:tc>
          <w:tcPr>
            <w:tcW w:w="4252" w:type="dxa"/>
          </w:tcPr>
          <w:p w:rsidR="003C6C9B" w:rsidRPr="00B305A9" w:rsidRDefault="003C6C9B" w:rsidP="00C935E5">
            <w:pPr>
              <w:rPr>
                <w:lang w:val="es-ES"/>
              </w:rPr>
            </w:pPr>
          </w:p>
        </w:tc>
      </w:tr>
      <w:tr w:rsidR="003C6C9B" w:rsidRPr="00B305A9" w:rsidTr="00224C92">
        <w:tc>
          <w:tcPr>
            <w:tcW w:w="4106" w:type="dxa"/>
          </w:tcPr>
          <w:p w:rsidR="003C6C9B" w:rsidRPr="00B305A9" w:rsidRDefault="003C6C9B" w:rsidP="00C935E5">
            <w:pPr>
              <w:spacing w:before="120" w:after="120"/>
              <w:jc w:val="left"/>
              <w:rPr>
                <w:lang w:val="es-ES"/>
              </w:rPr>
            </w:pPr>
            <w:r w:rsidRPr="00B305A9">
              <w:rPr>
                <w:lang w:val="es-ES"/>
              </w:rPr>
              <w:t>Identi</w:t>
            </w:r>
            <w:r>
              <w:rPr>
                <w:lang w:val="es-ES"/>
              </w:rPr>
              <w:t xml:space="preserve">dad de la red de satélites </w:t>
            </w:r>
          </w:p>
        </w:tc>
        <w:tc>
          <w:tcPr>
            <w:tcW w:w="1418" w:type="dxa"/>
          </w:tcPr>
          <w:p w:rsidR="003C6C9B" w:rsidRPr="00B305A9" w:rsidRDefault="003C6C9B" w:rsidP="00C935E5">
            <w:pPr>
              <w:rPr>
                <w:lang w:val="es-ES"/>
              </w:rPr>
            </w:pPr>
            <w:r w:rsidRPr="00B305A9">
              <w:rPr>
                <w:lang w:val="es-ES"/>
              </w:rPr>
              <w:t>A.1.a</w:t>
            </w:r>
          </w:p>
        </w:tc>
        <w:tc>
          <w:tcPr>
            <w:tcW w:w="4252" w:type="dxa"/>
          </w:tcPr>
          <w:p w:rsidR="003C6C9B" w:rsidRPr="00B305A9" w:rsidRDefault="003C6C9B" w:rsidP="00C935E5">
            <w:pPr>
              <w:rPr>
                <w:lang w:val="es-ES"/>
              </w:rPr>
            </w:pPr>
          </w:p>
        </w:tc>
      </w:tr>
      <w:tr w:rsidR="003C6C9B" w:rsidRPr="00B305A9" w:rsidTr="00224C92">
        <w:tc>
          <w:tcPr>
            <w:tcW w:w="4106" w:type="dxa"/>
          </w:tcPr>
          <w:p w:rsidR="003C6C9B" w:rsidRPr="00B305A9" w:rsidRDefault="003C6C9B" w:rsidP="00C935E5">
            <w:pPr>
              <w:spacing w:before="120" w:after="120"/>
              <w:jc w:val="left"/>
              <w:rPr>
                <w:lang w:val="es-ES"/>
              </w:rPr>
            </w:pPr>
            <w:r>
              <w:rPr>
                <w:lang w:val="es-ES"/>
              </w:rPr>
              <w:t>Administración notificantes</w:t>
            </w:r>
          </w:p>
        </w:tc>
        <w:tc>
          <w:tcPr>
            <w:tcW w:w="1418" w:type="dxa"/>
          </w:tcPr>
          <w:p w:rsidR="003C6C9B" w:rsidRPr="00B305A9" w:rsidRDefault="003C6C9B" w:rsidP="00C935E5">
            <w:pPr>
              <w:rPr>
                <w:lang w:val="es-ES"/>
              </w:rPr>
            </w:pPr>
            <w:r w:rsidRPr="00B305A9">
              <w:rPr>
                <w:lang w:val="es-ES"/>
              </w:rPr>
              <w:t>A.1.f.1</w:t>
            </w:r>
          </w:p>
        </w:tc>
        <w:tc>
          <w:tcPr>
            <w:tcW w:w="4252" w:type="dxa"/>
          </w:tcPr>
          <w:p w:rsidR="003C6C9B" w:rsidRPr="00B305A9" w:rsidRDefault="003C6C9B" w:rsidP="00C935E5">
            <w:pPr>
              <w:rPr>
                <w:lang w:val="es-ES"/>
              </w:rPr>
            </w:pPr>
          </w:p>
        </w:tc>
      </w:tr>
      <w:tr w:rsidR="003C6C9B" w:rsidRPr="00B305A9" w:rsidTr="00224C92">
        <w:tc>
          <w:tcPr>
            <w:tcW w:w="4106" w:type="dxa"/>
          </w:tcPr>
          <w:p w:rsidR="003C6C9B" w:rsidRPr="00B305A9" w:rsidRDefault="003C6C9B" w:rsidP="00C935E5">
            <w:pPr>
              <w:spacing w:before="120" w:after="120"/>
              <w:jc w:val="left"/>
              <w:rPr>
                <w:lang w:val="es-ES"/>
              </w:rPr>
            </w:pPr>
            <w:r>
              <w:rPr>
                <w:lang w:val="es-ES"/>
              </w:rPr>
              <w:t>Posición orbital nominal</w:t>
            </w:r>
          </w:p>
        </w:tc>
        <w:tc>
          <w:tcPr>
            <w:tcW w:w="1418" w:type="dxa"/>
          </w:tcPr>
          <w:p w:rsidR="003C6C9B" w:rsidRPr="00B305A9" w:rsidRDefault="003C6C9B" w:rsidP="00C935E5">
            <w:pPr>
              <w:rPr>
                <w:lang w:val="es-ES"/>
              </w:rPr>
            </w:pPr>
            <w:r w:rsidRPr="00B305A9">
              <w:rPr>
                <w:lang w:val="es-ES"/>
              </w:rPr>
              <w:t>A.4.a.1</w:t>
            </w:r>
          </w:p>
        </w:tc>
        <w:tc>
          <w:tcPr>
            <w:tcW w:w="4252" w:type="dxa"/>
          </w:tcPr>
          <w:p w:rsidR="003C6C9B" w:rsidRPr="00B305A9" w:rsidRDefault="003C6C9B" w:rsidP="00C935E5">
            <w:pPr>
              <w:rPr>
                <w:lang w:val="es-ES"/>
              </w:rPr>
            </w:pPr>
          </w:p>
        </w:tc>
      </w:tr>
      <w:tr w:rsidR="003C6C9B" w:rsidRPr="00B305A9" w:rsidTr="00224C92">
        <w:tc>
          <w:tcPr>
            <w:tcW w:w="4106" w:type="dxa"/>
          </w:tcPr>
          <w:p w:rsidR="003C6C9B" w:rsidRPr="00B305A9" w:rsidRDefault="003C6C9B" w:rsidP="00C935E5">
            <w:pPr>
              <w:spacing w:before="120" w:after="120"/>
              <w:jc w:val="left"/>
              <w:rPr>
                <w:lang w:val="es-ES"/>
              </w:rPr>
            </w:pPr>
            <w:r>
              <w:rPr>
                <w:lang w:val="es-ES"/>
              </w:rPr>
              <w:t>Fecha de puesta en servicio (o de la reanudación de la puesta en servicio tras una suspensión</w:t>
            </w:r>
            <w:r w:rsidRPr="00B305A9">
              <w:rPr>
                <w:lang w:val="es-ES"/>
              </w:rPr>
              <w:t xml:space="preserve">) </w:t>
            </w:r>
          </w:p>
        </w:tc>
        <w:tc>
          <w:tcPr>
            <w:tcW w:w="1418" w:type="dxa"/>
          </w:tcPr>
          <w:p w:rsidR="003C6C9B" w:rsidRPr="00B305A9" w:rsidRDefault="003C6C9B" w:rsidP="00C935E5">
            <w:pPr>
              <w:rPr>
                <w:lang w:val="es-ES"/>
              </w:rPr>
            </w:pPr>
            <w:r w:rsidRPr="00B305A9">
              <w:rPr>
                <w:lang w:val="es-ES"/>
              </w:rPr>
              <w:t>A.2.a</w:t>
            </w:r>
          </w:p>
        </w:tc>
        <w:tc>
          <w:tcPr>
            <w:tcW w:w="4252" w:type="dxa"/>
          </w:tcPr>
          <w:p w:rsidR="003C6C9B" w:rsidRPr="00B305A9" w:rsidRDefault="003C6C9B" w:rsidP="00C935E5">
            <w:pPr>
              <w:rPr>
                <w:lang w:val="es-ES"/>
              </w:rPr>
            </w:pPr>
          </w:p>
        </w:tc>
      </w:tr>
    </w:tbl>
    <w:p w:rsidR="003C6C9B" w:rsidRPr="00B305A9" w:rsidRDefault="003C6C9B" w:rsidP="003C6C9B">
      <w:pPr>
        <w:pStyle w:val="Header"/>
        <w:tabs>
          <w:tab w:val="clear" w:pos="794"/>
          <w:tab w:val="left" w:pos="284"/>
          <w:tab w:val="center" w:pos="11199"/>
        </w:tabs>
        <w:spacing w:before="240" w:line="240" w:lineRule="auto"/>
        <w:rPr>
          <w:lang w:val="es-ES"/>
        </w:rPr>
      </w:pPr>
      <w:r w:rsidRPr="00B305A9">
        <w:rPr>
          <w:lang w:val="es-ES"/>
        </w:rPr>
        <w:t>La puesta en servicio, o la reanudación de</w:t>
      </w:r>
      <w:r>
        <w:rPr>
          <w:lang w:val="es-ES"/>
        </w:rPr>
        <w:t xml:space="preserve"> la puesta en</w:t>
      </w:r>
      <w:r w:rsidRPr="00B305A9">
        <w:rPr>
          <w:lang w:val="es-ES"/>
        </w:rPr>
        <w:t xml:space="preserve"> servicio</w:t>
      </w:r>
      <w:r>
        <w:rPr>
          <w:lang w:val="es-ES"/>
        </w:rPr>
        <w:t xml:space="preserve"> </w:t>
      </w:r>
      <w:r w:rsidRPr="00B305A9">
        <w:rPr>
          <w:lang w:val="es-ES"/>
        </w:rPr>
        <w:t xml:space="preserve">tras </w:t>
      </w:r>
      <w:r>
        <w:rPr>
          <w:lang w:val="es-ES"/>
        </w:rPr>
        <w:t>una</w:t>
      </w:r>
      <w:r w:rsidRPr="00B305A9">
        <w:rPr>
          <w:lang w:val="es-ES"/>
        </w:rPr>
        <w:t xml:space="preserve"> suspensión, de una </w:t>
      </w:r>
      <w:proofErr w:type="gramStart"/>
      <w:r w:rsidRPr="00B305A9">
        <w:rPr>
          <w:lang w:val="es-ES"/>
        </w:rPr>
        <w:t>asignación</w:t>
      </w:r>
      <w:proofErr w:type="gramEnd"/>
      <w:r w:rsidRPr="00B305A9">
        <w:rPr>
          <w:lang w:val="es-ES"/>
        </w:rPr>
        <w:t xml:space="preserve"> de frecuencia </w:t>
      </w:r>
      <w:r w:rsidRPr="00AF5477">
        <w:rPr>
          <w:lang w:val="es-ES"/>
        </w:rPr>
        <w:t>se ha llevado a cabo</w:t>
      </w:r>
      <w:r>
        <w:rPr>
          <w:lang w:val="es-ES"/>
        </w:rPr>
        <w:t xml:space="preserve"> mediante</w:t>
      </w:r>
      <w:r w:rsidRPr="00B305A9">
        <w:rPr>
          <w:lang w:val="es-ES"/>
        </w:rPr>
        <w:t xml:space="preserve"> una estación espacial utilizada previamente para poner en servicio asignaciones de</w:t>
      </w:r>
      <w:r>
        <w:rPr>
          <w:lang w:val="es-ES"/>
        </w:rPr>
        <w:t xml:space="preserve"> </w:t>
      </w:r>
      <w:r w:rsidRPr="00B305A9">
        <w:rPr>
          <w:lang w:val="es-ES"/>
        </w:rPr>
        <w:t xml:space="preserve">frecuencia, o para reanudar </w:t>
      </w:r>
      <w:r>
        <w:rPr>
          <w:lang w:val="es-ES"/>
        </w:rPr>
        <w:t>la</w:t>
      </w:r>
      <w:r w:rsidRPr="00B305A9">
        <w:rPr>
          <w:lang w:val="es-ES"/>
        </w:rPr>
        <w:t xml:space="preserve"> </w:t>
      </w:r>
      <w:r>
        <w:rPr>
          <w:lang w:val="es-ES"/>
        </w:rPr>
        <w:t>puesta en servicio de las mismas</w:t>
      </w:r>
      <w:r w:rsidRPr="00B305A9">
        <w:rPr>
          <w:lang w:val="es-ES"/>
        </w:rPr>
        <w:t xml:space="preserve">, en una posición orbital distinta en </w:t>
      </w:r>
      <w:r>
        <w:rPr>
          <w:lang w:val="es-ES"/>
        </w:rPr>
        <w:t>los</w:t>
      </w:r>
      <w:r w:rsidRPr="00B305A9">
        <w:rPr>
          <w:lang w:val="es-ES"/>
        </w:rPr>
        <w:t xml:space="preserve"> tres años</w:t>
      </w:r>
      <w:r>
        <w:rPr>
          <w:lang w:val="es-ES"/>
        </w:rPr>
        <w:t xml:space="preserve"> </w:t>
      </w:r>
      <w:r w:rsidRPr="00B305A9">
        <w:rPr>
          <w:lang w:val="es-ES"/>
        </w:rPr>
        <w:t>ante</w:t>
      </w:r>
      <w:r>
        <w:rPr>
          <w:lang w:val="es-ES"/>
        </w:rPr>
        <w:t>riore</w:t>
      </w:r>
      <w:r w:rsidRPr="00B305A9">
        <w:rPr>
          <w:lang w:val="es-ES"/>
        </w:rPr>
        <w:t xml:space="preserve">s </w:t>
      </w:r>
      <w:r>
        <w:rPr>
          <w:lang w:val="es-ES"/>
        </w:rPr>
        <w:t>a</w:t>
      </w:r>
      <w:r w:rsidRPr="00B305A9">
        <w:rPr>
          <w:lang w:val="es-ES"/>
        </w:rPr>
        <w:t xml:space="preserve"> la fecha de presentación de esta información: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3255"/>
      </w:tblGrid>
      <w:tr w:rsidR="003C6C9B" w:rsidRPr="00B305A9" w:rsidTr="00224C92">
        <w:tc>
          <w:tcPr>
            <w:tcW w:w="4106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3255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  <w:r w:rsidRPr="00B305A9">
              <w:rPr>
                <w:lang w:val="es-ES"/>
              </w:rPr>
              <w:t>NO</w:t>
            </w:r>
          </w:p>
        </w:tc>
      </w:tr>
      <w:tr w:rsidR="003C6C9B" w:rsidRPr="00B305A9" w:rsidTr="00224C92">
        <w:tc>
          <w:tcPr>
            <w:tcW w:w="4106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  <w:r w:rsidRPr="00B305A9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018CD" wp14:editId="2584472B">
                      <wp:simplePos x="0" y="0"/>
                      <wp:positionH relativeFrom="column">
                        <wp:posOffset>573945</wp:posOffset>
                      </wp:positionH>
                      <wp:positionV relativeFrom="paragraph">
                        <wp:posOffset>131645</wp:posOffset>
                      </wp:positionV>
                      <wp:extent cx="114300" cy="1143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E42813" id="Oval 2" o:spid="_x0000_s1026" style="position:absolute;margin-left:45.2pt;margin-top:10.3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" filled="f" strokecolor="windowText" strokeweight="2pt"/>
                  </w:pict>
                </mc:Fallback>
              </mc:AlternateConten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  <w:r w:rsidRPr="00B305A9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AAF62A" wp14:editId="5FB29647">
                      <wp:simplePos x="0" y="0"/>
                      <wp:positionH relativeFrom="column">
                        <wp:posOffset>973316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541566" id="Oval 3" o:spid="_x0000_s1026" style="position:absolute;margin-left:76.65pt;margin-top:8.3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" filled="f" strokecolor="windowText" strokeweight="2pt"/>
                  </w:pict>
                </mc:Fallback>
              </mc:AlternateContent>
            </w:r>
          </w:p>
        </w:tc>
      </w:tr>
      <w:tr w:rsidR="003C6C9B" w:rsidRPr="00140D70" w:rsidTr="00224C92">
        <w:tc>
          <w:tcPr>
            <w:tcW w:w="4106" w:type="dxa"/>
          </w:tcPr>
          <w:p w:rsidR="003C6C9B" w:rsidRPr="00B305A9" w:rsidRDefault="003C6C9B" w:rsidP="00965708">
            <w:pPr>
              <w:jc w:val="left"/>
              <w:rPr>
                <w:lang w:val="es-ES"/>
              </w:rPr>
            </w:pPr>
            <w:r w:rsidRPr="00B305A9">
              <w:rPr>
                <w:lang w:val="es-ES"/>
              </w:rPr>
              <w:t xml:space="preserve">a) </w:t>
            </w:r>
            <w:r w:rsidR="00965708">
              <w:rPr>
                <w:lang w:val="es-ES"/>
              </w:rPr>
              <w:t>Ú</w:t>
            </w:r>
            <w:r w:rsidRPr="00AF5477">
              <w:rPr>
                <w:lang w:val="es-ES"/>
              </w:rPr>
              <w:t>ltima posición orbital en la que la estación espacial se utilizó para poner en servicio asignaciones de frecuencia, o para reanudar su utilización</w:t>
            </w:r>
          </w:p>
        </w:tc>
        <w:tc>
          <w:tcPr>
            <w:tcW w:w="2268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tl2br w:val="single" w:sz="4" w:space="0" w:color="auto"/>
            </w:tcBorders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  <w:r w:rsidRPr="00B305A9">
              <w:rPr>
                <w:lang w:val="es-ES"/>
              </w:rPr>
              <w:t xml:space="preserve"> </w:t>
            </w:r>
          </w:p>
        </w:tc>
      </w:tr>
      <w:tr w:rsidR="003C6C9B" w:rsidRPr="00140D70" w:rsidTr="00224C92">
        <w:tc>
          <w:tcPr>
            <w:tcW w:w="4106" w:type="dxa"/>
          </w:tcPr>
          <w:p w:rsidR="003C6C9B" w:rsidRPr="00B305A9" w:rsidRDefault="003C6C9B" w:rsidP="00965708">
            <w:pPr>
              <w:jc w:val="left"/>
              <w:rPr>
                <w:lang w:val="es-ES"/>
              </w:rPr>
            </w:pPr>
            <w:r w:rsidRPr="00B305A9">
              <w:rPr>
                <w:lang w:val="es-ES"/>
              </w:rPr>
              <w:lastRenderedPageBreak/>
              <w:t xml:space="preserve">b) </w:t>
            </w:r>
            <w:r w:rsidR="00965708">
              <w:rPr>
                <w:lang w:val="es-ES"/>
              </w:rPr>
              <w:t>R</w:t>
            </w:r>
            <w:r w:rsidRPr="00AF5477">
              <w:rPr>
                <w:lang w:val="es-ES"/>
              </w:rPr>
              <w:t>ed</w:t>
            </w:r>
            <w:r>
              <w:rPr>
                <w:lang w:val="es-ES"/>
              </w:rPr>
              <w:t>(</w:t>
            </w:r>
            <w:r w:rsidRPr="00AF5477">
              <w:rPr>
                <w:lang w:val="es-ES"/>
              </w:rPr>
              <w:t>es</w:t>
            </w:r>
            <w:r>
              <w:rPr>
                <w:lang w:val="es-ES"/>
              </w:rPr>
              <w:t>)</w:t>
            </w:r>
            <w:r w:rsidRPr="00AF5477">
              <w:rPr>
                <w:lang w:val="es-ES"/>
              </w:rPr>
              <w:t xml:space="preserve"> de satélites a la</w:t>
            </w:r>
            <w:r>
              <w:rPr>
                <w:lang w:val="es-ES"/>
              </w:rPr>
              <w:t>(</w:t>
            </w:r>
            <w:r w:rsidRPr="00AF5477">
              <w:rPr>
                <w:lang w:val="es-ES"/>
              </w:rPr>
              <w:t>s</w:t>
            </w:r>
            <w:r>
              <w:rPr>
                <w:lang w:val="es-ES"/>
              </w:rPr>
              <w:t>)</w:t>
            </w:r>
            <w:r w:rsidRPr="00AF5477">
              <w:rPr>
                <w:lang w:val="es-ES"/>
              </w:rPr>
              <w:t xml:space="preserve"> que se asociaron las asignaciones de frecuencia mencionadas en a)</w:t>
            </w:r>
          </w:p>
        </w:tc>
        <w:tc>
          <w:tcPr>
            <w:tcW w:w="2268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tl2br w:val="single" w:sz="4" w:space="0" w:color="auto"/>
            </w:tcBorders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  <w:r w:rsidRPr="00B305A9">
              <w:rPr>
                <w:lang w:val="es-ES"/>
              </w:rPr>
              <w:t xml:space="preserve"> </w:t>
            </w:r>
          </w:p>
        </w:tc>
      </w:tr>
      <w:tr w:rsidR="003C6C9B" w:rsidRPr="00140D70" w:rsidTr="00224C92">
        <w:tc>
          <w:tcPr>
            <w:tcW w:w="4106" w:type="dxa"/>
          </w:tcPr>
          <w:p w:rsidR="003C6C9B" w:rsidRPr="00B305A9" w:rsidRDefault="003C6C9B" w:rsidP="00965708">
            <w:pPr>
              <w:pStyle w:val="Header"/>
              <w:tabs>
                <w:tab w:val="clear" w:pos="794"/>
                <w:tab w:val="clear" w:pos="9639"/>
                <w:tab w:val="left" w:pos="29"/>
                <w:tab w:val="center" w:pos="11199"/>
              </w:tabs>
              <w:spacing w:before="120" w:line="240" w:lineRule="auto"/>
              <w:rPr>
                <w:lang w:val="es-ES"/>
              </w:rPr>
            </w:pPr>
            <w:r w:rsidRPr="00B305A9">
              <w:rPr>
                <w:lang w:val="es-ES"/>
              </w:rPr>
              <w:t xml:space="preserve">c) </w:t>
            </w:r>
            <w:r w:rsidR="00965708">
              <w:rPr>
                <w:lang w:val="es-ES"/>
              </w:rPr>
              <w:t>F</w:t>
            </w:r>
            <w:r w:rsidRPr="00AF5477">
              <w:rPr>
                <w:lang w:val="es-ES"/>
              </w:rPr>
              <w:t>echa en la que la estación espacial dejó de mantenerse en la posición orbital mencionada anteriormente en a)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2268" w:type="dxa"/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</w:p>
        </w:tc>
        <w:tc>
          <w:tcPr>
            <w:tcW w:w="3255" w:type="dxa"/>
            <w:tcBorders>
              <w:tl2br w:val="single" w:sz="4" w:space="0" w:color="auto"/>
            </w:tcBorders>
          </w:tcPr>
          <w:p w:rsidR="003C6C9B" w:rsidRPr="00B305A9" w:rsidRDefault="003C6C9B" w:rsidP="00C935E5">
            <w:pPr>
              <w:jc w:val="center"/>
              <w:rPr>
                <w:lang w:val="es-ES"/>
              </w:rPr>
            </w:pPr>
            <w:r w:rsidRPr="00B305A9">
              <w:rPr>
                <w:lang w:val="es-ES"/>
              </w:rPr>
              <w:t xml:space="preserve"> </w:t>
            </w:r>
          </w:p>
        </w:tc>
      </w:tr>
    </w:tbl>
    <w:p w:rsidR="003C6C9B" w:rsidRDefault="003C6C9B" w:rsidP="003C6C9B">
      <w:pPr>
        <w:rPr>
          <w:lang w:val="es-ES"/>
        </w:rPr>
      </w:pPr>
      <w:r w:rsidRPr="00B305A9">
        <w:rPr>
          <w:lang w:val="es-ES"/>
        </w:rPr>
        <w:t>Form</w:t>
      </w:r>
      <w:r>
        <w:rPr>
          <w:lang w:val="es-ES"/>
        </w:rPr>
        <w:t xml:space="preserve">ulario que habrá de enviar la Administración a </w:t>
      </w:r>
      <w:hyperlink r:id="rId16" w:history="1">
        <w:r w:rsidR="00224C92" w:rsidRPr="00203F85">
          <w:rPr>
            <w:rStyle w:val="Hyperlink"/>
            <w:lang w:val="es-ES"/>
          </w:rPr>
          <w:t>brmail@itu.int</w:t>
        </w:r>
      </w:hyperlink>
      <w:r w:rsidRPr="00B305A9">
        <w:rPr>
          <w:lang w:val="es-ES"/>
        </w:rPr>
        <w:t xml:space="preserve">. </w:t>
      </w:r>
    </w:p>
    <w:p w:rsidR="00224C92" w:rsidRDefault="00224C92">
      <w:pPr>
        <w:jc w:val="center"/>
      </w:pPr>
    </w:p>
    <w:sectPr w:rsidR="00224C92" w:rsidSect="00FC75F9">
      <w:headerReference w:type="default" r:id="rId17"/>
      <w:footerReference w:type="default" r:id="rId18"/>
      <w:headerReference w:type="first" r:id="rId1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9B" w:rsidRDefault="003C6C9B">
      <w:r>
        <w:separator/>
      </w:r>
    </w:p>
  </w:endnote>
  <w:endnote w:type="continuationSeparator" w:id="0">
    <w:p w:rsidR="003C6C9B" w:rsidRDefault="003C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>de Telecomunicaciones • Place des Nations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 xml:space="preserve">Tel: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EA" w:rsidRPr="002B46B5" w:rsidRDefault="00CC26EA" w:rsidP="002B4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9B" w:rsidRDefault="003C6C9B">
      <w:r>
        <w:t>____________________</w:t>
      </w:r>
    </w:p>
  </w:footnote>
  <w:footnote w:type="continuationSeparator" w:id="0">
    <w:p w:rsidR="003C6C9B" w:rsidRDefault="003C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40317" w:rsidRDefault="00F40317" w:rsidP="00F40317">
    <w:pPr>
      <w:pStyle w:val="Header"/>
    </w:pPr>
    <w:r>
      <w:rPr>
        <w:sz w:val="18"/>
        <w:szCs w:val="16"/>
      </w:rPr>
      <w:ptab w:relativeTo="margin" w:alignment="center" w:leader="none"/>
    </w:r>
    <w:r>
      <w:rPr>
        <w:sz w:val="18"/>
        <w:szCs w:val="16"/>
      </w:rPr>
      <w:t xml:space="preserve">- </w:t>
    </w:r>
    <w:r w:rsidRPr="00F40317">
      <w:rPr>
        <w:sz w:val="18"/>
        <w:szCs w:val="16"/>
      </w:rPr>
      <w:fldChar w:fldCharType="begin"/>
    </w:r>
    <w:r w:rsidRPr="00F40317">
      <w:rPr>
        <w:sz w:val="18"/>
        <w:szCs w:val="16"/>
      </w:rPr>
      <w:instrText xml:space="preserve"> PAGE   \* MERGEFORMAT </w:instrText>
    </w:r>
    <w:r w:rsidRPr="00F40317">
      <w:rPr>
        <w:sz w:val="18"/>
        <w:szCs w:val="16"/>
      </w:rPr>
      <w:fldChar w:fldCharType="separate"/>
    </w:r>
    <w:r w:rsidR="00FC75F9">
      <w:rPr>
        <w:noProof/>
        <w:sz w:val="18"/>
        <w:szCs w:val="16"/>
      </w:rPr>
      <w:t>2</w:t>
    </w:r>
    <w:r w:rsidRPr="00F40317">
      <w:rPr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2674F" w:rsidRDefault="00C953E6" w:rsidP="00C953E6">
    <w:pPr>
      <w:pStyle w:val="Header"/>
      <w:rPr>
        <w:sz w:val="18"/>
        <w:szCs w:val="18"/>
      </w:rPr>
    </w:pPr>
    <w:r w:rsidRPr="0072674F">
      <w:rPr>
        <w:sz w:val="18"/>
        <w:szCs w:val="18"/>
      </w:rPr>
      <w:ptab w:relativeTo="margin" w:alignment="center" w:leader="none"/>
    </w:r>
    <w:r w:rsidRPr="0072674F">
      <w:rPr>
        <w:sz w:val="18"/>
        <w:szCs w:val="18"/>
      </w:rPr>
      <w:t xml:space="preserve">- </w:t>
    </w:r>
    <w:r w:rsidRPr="0072674F">
      <w:rPr>
        <w:sz w:val="18"/>
        <w:szCs w:val="18"/>
      </w:rPr>
      <w:fldChar w:fldCharType="begin"/>
    </w:r>
    <w:r w:rsidRPr="0072674F">
      <w:rPr>
        <w:sz w:val="18"/>
        <w:szCs w:val="18"/>
      </w:rPr>
      <w:instrText xml:space="preserve"> PAGE   \* MERGEFORMAT </w:instrText>
    </w:r>
    <w:r w:rsidRPr="0072674F">
      <w:rPr>
        <w:sz w:val="18"/>
        <w:szCs w:val="18"/>
      </w:rPr>
      <w:fldChar w:fldCharType="separate"/>
    </w:r>
    <w:r w:rsidR="00FC75F9">
      <w:rPr>
        <w:noProof/>
        <w:sz w:val="18"/>
        <w:szCs w:val="18"/>
      </w:rPr>
      <w:t>2</w:t>
    </w:r>
    <w:r w:rsidRPr="0072674F">
      <w:rPr>
        <w:noProof/>
        <w:sz w:val="18"/>
        <w:szCs w:val="18"/>
      </w:rPr>
      <w:fldChar w:fldCharType="end"/>
    </w:r>
    <w:r w:rsidRPr="0072674F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EA" w:rsidRPr="0072674F" w:rsidRDefault="00CC26EA" w:rsidP="00CC26EA">
    <w:pPr>
      <w:pStyle w:val="Header"/>
      <w:rPr>
        <w:sz w:val="18"/>
        <w:szCs w:val="18"/>
      </w:rPr>
    </w:pPr>
    <w:r w:rsidRPr="0072674F">
      <w:rPr>
        <w:sz w:val="18"/>
        <w:szCs w:val="18"/>
      </w:rPr>
      <w:ptab w:relativeTo="margin" w:alignment="center" w:leader="none"/>
    </w:r>
    <w:r w:rsidRPr="0072674F">
      <w:rPr>
        <w:sz w:val="18"/>
        <w:szCs w:val="18"/>
      </w:rPr>
      <w:t xml:space="preserve">- </w:t>
    </w:r>
    <w:r w:rsidRPr="0072674F">
      <w:rPr>
        <w:sz w:val="18"/>
        <w:szCs w:val="18"/>
      </w:rPr>
      <w:fldChar w:fldCharType="begin"/>
    </w:r>
    <w:r w:rsidRPr="0072674F">
      <w:rPr>
        <w:sz w:val="18"/>
        <w:szCs w:val="18"/>
      </w:rPr>
      <w:instrText xml:space="preserve"> PAGE   \* MERGEFORMAT </w:instrText>
    </w:r>
    <w:r w:rsidRPr="0072674F">
      <w:rPr>
        <w:sz w:val="18"/>
        <w:szCs w:val="18"/>
      </w:rPr>
      <w:fldChar w:fldCharType="separate"/>
    </w:r>
    <w:r w:rsidR="00FC75F9">
      <w:rPr>
        <w:noProof/>
        <w:sz w:val="18"/>
        <w:szCs w:val="18"/>
      </w:rPr>
      <w:t>4</w:t>
    </w:r>
    <w:r w:rsidRPr="0072674F">
      <w:rPr>
        <w:noProof/>
        <w:sz w:val="18"/>
        <w:szCs w:val="18"/>
      </w:rPr>
      <w:fldChar w:fldCharType="end"/>
    </w:r>
    <w:r w:rsidRPr="0072674F">
      <w:rPr>
        <w:noProof/>
        <w:sz w:val="18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E6" w:rsidRPr="000D3F3B" w:rsidRDefault="00C953E6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E91CE1"/>
    <w:multiLevelType w:val="hybridMultilevel"/>
    <w:tmpl w:val="DA08E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C6C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0D70"/>
    <w:rsid w:val="00144DFB"/>
    <w:rsid w:val="00175AD6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4C92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46B5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6C9B"/>
    <w:rsid w:val="003C7D41"/>
    <w:rsid w:val="003D4A69"/>
    <w:rsid w:val="003E504F"/>
    <w:rsid w:val="003E78D6"/>
    <w:rsid w:val="00400573"/>
    <w:rsid w:val="004007A3"/>
    <w:rsid w:val="004033AE"/>
    <w:rsid w:val="00406D71"/>
    <w:rsid w:val="004326DB"/>
    <w:rsid w:val="0043682E"/>
    <w:rsid w:val="00437CB9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9DF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6EE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74F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BD5"/>
    <w:rsid w:val="00927D57"/>
    <w:rsid w:val="00931A51"/>
    <w:rsid w:val="00947185"/>
    <w:rsid w:val="009518B3"/>
    <w:rsid w:val="00963D9D"/>
    <w:rsid w:val="00965708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3432"/>
    <w:rsid w:val="00C07319"/>
    <w:rsid w:val="00C16FD2"/>
    <w:rsid w:val="00C4395E"/>
    <w:rsid w:val="00C47FFD"/>
    <w:rsid w:val="00C51E92"/>
    <w:rsid w:val="00C57E2C"/>
    <w:rsid w:val="00C608B7"/>
    <w:rsid w:val="00C61D02"/>
    <w:rsid w:val="00C66F24"/>
    <w:rsid w:val="00C745A5"/>
    <w:rsid w:val="00C76D7F"/>
    <w:rsid w:val="00C813AA"/>
    <w:rsid w:val="00C9291E"/>
    <w:rsid w:val="00C953E6"/>
    <w:rsid w:val="00CA3F44"/>
    <w:rsid w:val="00CA4E58"/>
    <w:rsid w:val="00CB3771"/>
    <w:rsid w:val="00CB44BF"/>
    <w:rsid w:val="00CB5153"/>
    <w:rsid w:val="00CC26EA"/>
    <w:rsid w:val="00CE076A"/>
    <w:rsid w:val="00CE463D"/>
    <w:rsid w:val="00CF278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031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5F9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70415A8-7137-4CBF-9124-CA76C38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6C9B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C6C9B"/>
    <w:pPr>
      <w:ind w:left="720"/>
      <w:contextualSpacing/>
    </w:pPr>
  </w:style>
  <w:style w:type="paragraph" w:customStyle="1" w:styleId="Reasons">
    <w:name w:val="Reasons"/>
    <w:basedOn w:val="Normal"/>
    <w:qFormat/>
    <w:rsid w:val="00224C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res40-form" TargetMode="Externa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res4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132C-2AF7-4531-A0B7-25AD6D1B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3</Pages>
  <Words>956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christe</dc:creator>
  <cp:lastModifiedBy>Anghelone, Christine</cp:lastModifiedBy>
  <cp:revision>2</cp:revision>
  <cp:lastPrinted>2013-03-08T10:15:00Z</cp:lastPrinted>
  <dcterms:created xsi:type="dcterms:W3CDTF">2016-03-30T10:25:00Z</dcterms:created>
  <dcterms:modified xsi:type="dcterms:W3CDTF">2016-03-30T10:25:00Z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