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C4402" w:rsidTr="00EA15B3">
        <w:tc>
          <w:tcPr>
            <w:tcW w:w="9889" w:type="dxa"/>
            <w:gridSpan w:val="3"/>
            <w:shd w:val="clear" w:color="auto" w:fill="auto"/>
          </w:tcPr>
          <w:p w:rsidR="00EA15B3" w:rsidRPr="001C4402" w:rsidRDefault="005F2832" w:rsidP="00AE633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1C4402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</w:t>
            </w:r>
            <w:r w:rsidR="00AF70DA" w:rsidRPr="001C4402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 xml:space="preserve"> (BR)</w:t>
            </w:r>
          </w:p>
          <w:p w:rsidR="008E38B4" w:rsidRPr="001C4402" w:rsidRDefault="008E38B4" w:rsidP="00AE633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8E38B4" w:rsidRPr="001C4402" w:rsidRDefault="008E38B4" w:rsidP="00AE6336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651777" w:rsidRPr="001C4402" w:rsidTr="00034340">
        <w:tc>
          <w:tcPr>
            <w:tcW w:w="7054" w:type="dxa"/>
            <w:gridSpan w:val="2"/>
            <w:shd w:val="clear" w:color="auto" w:fill="auto"/>
          </w:tcPr>
          <w:p w:rsidR="00C76D7F" w:rsidRPr="001C4402" w:rsidRDefault="005F2832" w:rsidP="00AE6336">
            <w:pPr>
              <w:spacing w:before="0" w:line="240" w:lineRule="auto"/>
              <w:jc w:val="left"/>
              <w:rPr>
                <w:sz w:val="24"/>
                <w:szCs w:val="24"/>
                <w:lang w:val="fr-FR"/>
              </w:rPr>
            </w:pPr>
            <w:r w:rsidRPr="001C4402">
              <w:rPr>
                <w:sz w:val="24"/>
                <w:szCs w:val="24"/>
                <w:lang w:val="fr-FR"/>
              </w:rPr>
              <w:t>Lettre circulaire</w:t>
            </w:r>
          </w:p>
          <w:p w:rsidR="00651777" w:rsidRPr="001C4402" w:rsidRDefault="00E17344" w:rsidP="00AE6336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 w:rsidRPr="001C4402">
              <w:rPr>
                <w:b/>
                <w:bCs/>
                <w:sz w:val="24"/>
                <w:szCs w:val="24"/>
                <w:lang w:val="fr-FR"/>
              </w:rPr>
              <w:t>C</w:t>
            </w:r>
            <w:r w:rsidR="00B20063" w:rsidRPr="001C4402">
              <w:rPr>
                <w:b/>
                <w:bCs/>
                <w:sz w:val="24"/>
                <w:szCs w:val="24"/>
                <w:lang w:val="fr-FR"/>
              </w:rPr>
              <w:t>R</w:t>
            </w:r>
            <w:r w:rsidR="003836D4" w:rsidRPr="001C4402">
              <w:rPr>
                <w:b/>
                <w:bCs/>
                <w:sz w:val="24"/>
                <w:szCs w:val="24"/>
                <w:lang w:val="fr-FR"/>
              </w:rPr>
              <w:t>/</w:t>
            </w:r>
            <w:r w:rsidR="005847F6" w:rsidRPr="001C4402">
              <w:rPr>
                <w:b/>
                <w:bCs/>
                <w:sz w:val="24"/>
                <w:szCs w:val="24"/>
                <w:lang w:val="fr-FR"/>
              </w:rPr>
              <w:t>358</w:t>
            </w:r>
          </w:p>
        </w:tc>
        <w:tc>
          <w:tcPr>
            <w:tcW w:w="2835" w:type="dxa"/>
            <w:shd w:val="clear" w:color="auto" w:fill="auto"/>
          </w:tcPr>
          <w:p w:rsidR="00651777" w:rsidRPr="001C4402" w:rsidRDefault="001C4402" w:rsidP="00377D87">
            <w:pPr>
              <w:spacing w:before="0" w:line="240" w:lineRule="auto"/>
              <w:jc w:val="right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Le </w:t>
            </w:r>
            <w:r w:rsidR="005E2E7A" w:rsidRPr="001C4402">
              <w:rPr>
                <w:sz w:val="24"/>
                <w:szCs w:val="24"/>
                <w:lang w:val="fr-FR"/>
              </w:rPr>
              <w:t>1</w:t>
            </w:r>
            <w:r w:rsidR="00377D87">
              <w:rPr>
                <w:sz w:val="24"/>
                <w:szCs w:val="24"/>
                <w:lang w:val="fr-FR"/>
              </w:rPr>
              <w:t>4</w:t>
            </w:r>
            <w:r w:rsidR="001D49B0" w:rsidRPr="001C4402">
              <w:rPr>
                <w:sz w:val="24"/>
                <w:szCs w:val="24"/>
                <w:lang w:val="fr-FR"/>
              </w:rPr>
              <w:t xml:space="preserve"> </w:t>
            </w:r>
            <w:r w:rsidR="005F2832" w:rsidRPr="001C4402">
              <w:rPr>
                <w:sz w:val="24"/>
                <w:szCs w:val="24"/>
                <w:lang w:val="fr-FR"/>
              </w:rPr>
              <w:t>février</w:t>
            </w:r>
            <w:r w:rsidR="00AB4694" w:rsidRPr="001C4402">
              <w:rPr>
                <w:sz w:val="24"/>
                <w:szCs w:val="24"/>
                <w:lang w:val="fr-FR"/>
              </w:rPr>
              <w:t xml:space="preserve"> 201</w:t>
            </w:r>
            <w:r w:rsidR="00023A0A" w:rsidRPr="001C4402">
              <w:rPr>
                <w:sz w:val="24"/>
                <w:szCs w:val="24"/>
                <w:lang w:val="fr-FR"/>
              </w:rPr>
              <w:t>4</w:t>
            </w:r>
          </w:p>
        </w:tc>
      </w:tr>
      <w:tr w:rsidR="0037309C" w:rsidRPr="001C4402" w:rsidTr="004D02EC">
        <w:tc>
          <w:tcPr>
            <w:tcW w:w="9889" w:type="dxa"/>
            <w:gridSpan w:val="3"/>
            <w:shd w:val="clear" w:color="auto" w:fill="auto"/>
          </w:tcPr>
          <w:p w:rsidR="0037309C" w:rsidRPr="001C4402" w:rsidRDefault="0037309C" w:rsidP="00AE6336">
            <w:pPr>
              <w:spacing w:before="0" w:line="240" w:lineRule="auto"/>
              <w:jc w:val="left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37309C" w:rsidRPr="001C4402" w:rsidTr="00D374CD">
        <w:tc>
          <w:tcPr>
            <w:tcW w:w="9889" w:type="dxa"/>
            <w:gridSpan w:val="3"/>
            <w:shd w:val="clear" w:color="auto" w:fill="auto"/>
          </w:tcPr>
          <w:p w:rsidR="0037309C" w:rsidRPr="001C4402" w:rsidRDefault="0037309C" w:rsidP="00AE6336">
            <w:pPr>
              <w:spacing w:before="0" w:line="240" w:lineRule="auto"/>
              <w:jc w:val="left"/>
              <w:rPr>
                <w:sz w:val="24"/>
                <w:szCs w:val="24"/>
                <w:lang w:val="fr-FR"/>
              </w:rPr>
            </w:pPr>
          </w:p>
        </w:tc>
      </w:tr>
      <w:tr w:rsidR="0037309C" w:rsidRPr="009A4D94" w:rsidTr="004D02EC">
        <w:tc>
          <w:tcPr>
            <w:tcW w:w="9889" w:type="dxa"/>
            <w:gridSpan w:val="3"/>
            <w:shd w:val="clear" w:color="auto" w:fill="auto"/>
          </w:tcPr>
          <w:p w:rsidR="0037309C" w:rsidRPr="001C4402" w:rsidRDefault="00AE6336" w:rsidP="00AE6336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  <w:r w:rsidRPr="001C4402">
              <w:rPr>
                <w:b/>
                <w:bCs/>
                <w:sz w:val="24"/>
                <w:szCs w:val="24"/>
                <w:lang w:val="fr-FR"/>
              </w:rPr>
              <w:t>Aux Administrations des Etats Membres de l'UIT</w:t>
            </w:r>
          </w:p>
          <w:p w:rsidR="00D21694" w:rsidRPr="001C4402" w:rsidRDefault="00D21694" w:rsidP="00AE6336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</w:p>
          <w:p w:rsidR="00D21694" w:rsidRPr="001C4402" w:rsidRDefault="00D21694" w:rsidP="00AE6336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37309C" w:rsidRPr="009A4D94" w:rsidTr="004D02EC">
        <w:tc>
          <w:tcPr>
            <w:tcW w:w="9889" w:type="dxa"/>
            <w:gridSpan w:val="3"/>
            <w:shd w:val="clear" w:color="auto" w:fill="auto"/>
          </w:tcPr>
          <w:p w:rsidR="0037309C" w:rsidRPr="001C4402" w:rsidRDefault="0037309C" w:rsidP="00AE6336">
            <w:pPr>
              <w:spacing w:before="0" w:line="240" w:lineRule="auto"/>
              <w:jc w:val="left"/>
              <w:rPr>
                <w:sz w:val="24"/>
                <w:szCs w:val="24"/>
                <w:lang w:val="fr-FR"/>
              </w:rPr>
            </w:pPr>
          </w:p>
        </w:tc>
      </w:tr>
      <w:tr w:rsidR="0037309C" w:rsidRPr="009A4D94" w:rsidTr="004D02EC">
        <w:tc>
          <w:tcPr>
            <w:tcW w:w="9889" w:type="dxa"/>
            <w:gridSpan w:val="3"/>
            <w:shd w:val="clear" w:color="auto" w:fill="auto"/>
          </w:tcPr>
          <w:p w:rsidR="0037309C" w:rsidRPr="001C4402" w:rsidRDefault="0037309C" w:rsidP="00AE6336">
            <w:pPr>
              <w:spacing w:before="0" w:line="240" w:lineRule="auto"/>
              <w:jc w:val="left"/>
              <w:rPr>
                <w:sz w:val="24"/>
                <w:szCs w:val="24"/>
                <w:lang w:val="fr-FR"/>
              </w:rPr>
            </w:pPr>
          </w:p>
        </w:tc>
      </w:tr>
      <w:tr w:rsidR="00B4054B" w:rsidRPr="009A4D94" w:rsidTr="0037309C">
        <w:tc>
          <w:tcPr>
            <w:tcW w:w="1526" w:type="dxa"/>
            <w:shd w:val="clear" w:color="auto" w:fill="auto"/>
          </w:tcPr>
          <w:p w:rsidR="00B4054B" w:rsidRPr="001C4402" w:rsidRDefault="005F2832" w:rsidP="00AE6336">
            <w:pPr>
              <w:spacing w:before="0" w:line="240" w:lineRule="auto"/>
              <w:jc w:val="left"/>
              <w:rPr>
                <w:sz w:val="24"/>
                <w:szCs w:val="24"/>
                <w:lang w:val="fr-FR"/>
              </w:rPr>
            </w:pPr>
            <w:r w:rsidRPr="001C4402">
              <w:rPr>
                <w:sz w:val="24"/>
                <w:szCs w:val="24"/>
                <w:lang w:val="fr-FR"/>
              </w:rPr>
              <w:t>Objet</w:t>
            </w:r>
            <w:r w:rsidR="00B4054B" w:rsidRPr="001C4402">
              <w:rPr>
                <w:sz w:val="24"/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1C4402" w:rsidRDefault="00CD59B3" w:rsidP="008D7871">
            <w:pPr>
              <w:spacing w:before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1C4402">
              <w:rPr>
                <w:b/>
                <w:bCs/>
                <w:sz w:val="24"/>
                <w:szCs w:val="24"/>
                <w:lang w:val="fr-FR"/>
              </w:rPr>
              <w:t>Introduction d'un</w:t>
            </w:r>
            <w:r w:rsidR="00377D87">
              <w:rPr>
                <w:b/>
                <w:bCs/>
                <w:sz w:val="24"/>
                <w:szCs w:val="24"/>
                <w:lang w:val="fr-FR"/>
              </w:rPr>
              <w:t>e</w:t>
            </w:r>
            <w:r w:rsidR="005F2832" w:rsidRPr="001C4402">
              <w:rPr>
                <w:b/>
                <w:bCs/>
                <w:sz w:val="24"/>
                <w:szCs w:val="24"/>
                <w:lang w:val="fr-FR"/>
              </w:rPr>
              <w:t xml:space="preserve"> nouve</w:t>
            </w:r>
            <w:r w:rsidR="00377D87">
              <w:rPr>
                <w:b/>
                <w:bCs/>
                <w:sz w:val="24"/>
                <w:szCs w:val="24"/>
                <w:lang w:val="fr-FR"/>
              </w:rPr>
              <w:t>lle</w:t>
            </w:r>
            <w:r w:rsidR="005F2832" w:rsidRPr="001C4402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1C4402">
              <w:rPr>
                <w:b/>
                <w:bCs/>
                <w:sz w:val="24"/>
                <w:szCs w:val="24"/>
                <w:lang w:val="fr-FR"/>
              </w:rPr>
              <w:t xml:space="preserve">classe </w:t>
            </w:r>
            <w:r w:rsidR="005F2832" w:rsidRPr="001C4402">
              <w:rPr>
                <w:b/>
                <w:bCs/>
                <w:sz w:val="24"/>
                <w:szCs w:val="24"/>
                <w:lang w:val="fr-FR"/>
              </w:rPr>
              <w:t xml:space="preserve">de station </w:t>
            </w:r>
            <w:r w:rsidR="00377D87">
              <w:rPr>
                <w:b/>
                <w:bCs/>
                <w:sz w:val="24"/>
                <w:szCs w:val="24"/>
                <w:lang w:val="fr-FR"/>
              </w:rPr>
              <w:t xml:space="preserve">– code </w:t>
            </w:r>
            <w:r w:rsidR="005F2832" w:rsidRPr="001C4402">
              <w:rPr>
                <w:b/>
                <w:bCs/>
                <w:sz w:val="24"/>
                <w:szCs w:val="24"/>
                <w:lang w:val="fr-FR"/>
              </w:rPr>
              <w:t>UC</w:t>
            </w:r>
            <w:r w:rsidR="00377D87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3565E5">
              <w:rPr>
                <w:b/>
                <w:bCs/>
                <w:sz w:val="24"/>
                <w:szCs w:val="24"/>
                <w:lang w:val="fr-FR"/>
              </w:rPr>
              <w:t xml:space="preserve">– </w:t>
            </w:r>
            <w:r w:rsidR="005F2832" w:rsidRPr="001C4402">
              <w:rPr>
                <w:b/>
                <w:bCs/>
                <w:sz w:val="24"/>
                <w:szCs w:val="24"/>
                <w:lang w:val="fr-FR"/>
              </w:rPr>
              <w:t>pour</w:t>
            </w:r>
            <w:r w:rsidRPr="001C4402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377D87">
              <w:rPr>
                <w:b/>
                <w:bCs/>
                <w:sz w:val="24"/>
                <w:szCs w:val="24"/>
                <w:lang w:val="fr-FR"/>
              </w:rPr>
              <w:t>une station terrienne</w:t>
            </w:r>
            <w:r w:rsidRPr="001C4402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5F2832" w:rsidRPr="001C4402">
              <w:rPr>
                <w:b/>
                <w:bCs/>
                <w:sz w:val="24"/>
                <w:szCs w:val="24"/>
                <w:lang w:val="fr-FR"/>
              </w:rPr>
              <w:t>en mouvement</w:t>
            </w:r>
            <w:r w:rsidR="00377D87">
              <w:rPr>
                <w:b/>
                <w:bCs/>
                <w:sz w:val="24"/>
                <w:szCs w:val="24"/>
                <w:lang w:val="fr-FR"/>
              </w:rPr>
              <w:t xml:space="preserve"> associée à une station spatiale du service fixe par satellite dans les bandes énumérées au numéro 5.526</w:t>
            </w:r>
          </w:p>
        </w:tc>
      </w:tr>
      <w:tr w:rsidR="00B4054B" w:rsidRPr="009A4D94" w:rsidTr="006A0053">
        <w:tc>
          <w:tcPr>
            <w:tcW w:w="1526" w:type="dxa"/>
            <w:shd w:val="clear" w:color="auto" w:fill="auto"/>
          </w:tcPr>
          <w:p w:rsidR="00B4054B" w:rsidRPr="001C4402" w:rsidRDefault="00B4054B" w:rsidP="00AE6336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C4402" w:rsidRDefault="00B4054B" w:rsidP="00AE6336">
            <w:pPr>
              <w:spacing w:before="0" w:line="240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B4054B" w:rsidRPr="009A4D94" w:rsidTr="006A0053">
        <w:tc>
          <w:tcPr>
            <w:tcW w:w="1526" w:type="dxa"/>
            <w:shd w:val="clear" w:color="auto" w:fill="auto"/>
          </w:tcPr>
          <w:p w:rsidR="00B4054B" w:rsidRPr="001C4402" w:rsidRDefault="00B4054B" w:rsidP="00AE6336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C4402" w:rsidRDefault="00B4054B" w:rsidP="00AE6336">
            <w:pPr>
              <w:spacing w:before="0" w:line="240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51E92" w:rsidRPr="009A4D94" w:rsidTr="00F72DBF">
        <w:tc>
          <w:tcPr>
            <w:tcW w:w="9889" w:type="dxa"/>
            <w:gridSpan w:val="3"/>
            <w:shd w:val="clear" w:color="auto" w:fill="auto"/>
          </w:tcPr>
          <w:p w:rsidR="00C51E92" w:rsidRPr="001C4402" w:rsidRDefault="00C51E92" w:rsidP="00AE6336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C51E92" w:rsidRPr="009A4D94" w:rsidTr="00F72DBF">
        <w:tc>
          <w:tcPr>
            <w:tcW w:w="9889" w:type="dxa"/>
            <w:gridSpan w:val="3"/>
            <w:shd w:val="clear" w:color="auto" w:fill="auto"/>
          </w:tcPr>
          <w:p w:rsidR="00C51E92" w:rsidRPr="001C4402" w:rsidRDefault="00C51E92" w:rsidP="00AE6336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377D87" w:rsidRDefault="005F2832" w:rsidP="00377D87">
      <w:pPr>
        <w:spacing w:before="0" w:after="120" w:line="240" w:lineRule="auto"/>
        <w:rPr>
          <w:sz w:val="24"/>
          <w:szCs w:val="24"/>
          <w:lang w:val="fr-FR"/>
        </w:rPr>
      </w:pPr>
      <w:r w:rsidRPr="001C4402">
        <w:rPr>
          <w:sz w:val="24"/>
          <w:szCs w:val="24"/>
          <w:lang w:val="fr-FR"/>
        </w:rPr>
        <w:t xml:space="preserve">La présente Lettre circulaire a pour objet de fournir </w:t>
      </w:r>
      <w:r w:rsidR="006929AE" w:rsidRPr="001C4402">
        <w:rPr>
          <w:sz w:val="24"/>
          <w:szCs w:val="24"/>
          <w:lang w:val="fr-FR"/>
        </w:rPr>
        <w:t xml:space="preserve">aux administrations </w:t>
      </w:r>
      <w:r w:rsidRPr="001C4402">
        <w:rPr>
          <w:sz w:val="24"/>
          <w:szCs w:val="24"/>
          <w:lang w:val="fr-FR"/>
        </w:rPr>
        <w:t xml:space="preserve">des informations et des indications </w:t>
      </w:r>
      <w:r w:rsidR="006929AE" w:rsidRPr="001C4402">
        <w:rPr>
          <w:sz w:val="24"/>
          <w:szCs w:val="24"/>
          <w:lang w:val="fr-FR"/>
        </w:rPr>
        <w:t xml:space="preserve">concernant le nouveau symbole de classe de station applicable </w:t>
      </w:r>
      <w:r w:rsidR="00377D87">
        <w:rPr>
          <w:sz w:val="24"/>
          <w:szCs w:val="24"/>
          <w:lang w:val="fr-FR"/>
        </w:rPr>
        <w:t xml:space="preserve">à une station terrienne </w:t>
      </w:r>
      <w:r w:rsidR="00377D87" w:rsidRPr="00377D87">
        <w:rPr>
          <w:sz w:val="24"/>
          <w:szCs w:val="24"/>
          <w:lang w:val="fr-FR"/>
        </w:rPr>
        <w:t xml:space="preserve">en mouvement associée à une station spatiale du service fixe par satellite </w:t>
      </w:r>
      <w:r w:rsidR="00377D87">
        <w:rPr>
          <w:sz w:val="24"/>
          <w:szCs w:val="24"/>
          <w:lang w:val="fr-FR"/>
        </w:rPr>
        <w:t xml:space="preserve">(SFS) </w:t>
      </w:r>
      <w:r w:rsidR="00377D87" w:rsidRPr="00377D87">
        <w:rPr>
          <w:sz w:val="24"/>
          <w:szCs w:val="24"/>
          <w:lang w:val="fr-FR"/>
        </w:rPr>
        <w:t xml:space="preserve">dans les bandes énumérées au numéro </w:t>
      </w:r>
      <w:r w:rsidR="00377D87" w:rsidRPr="00377D87">
        <w:rPr>
          <w:b/>
          <w:bCs/>
          <w:sz w:val="24"/>
          <w:szCs w:val="24"/>
          <w:lang w:val="fr-FR"/>
        </w:rPr>
        <w:t>5.526</w:t>
      </w:r>
      <w:r w:rsidR="00377D87">
        <w:rPr>
          <w:sz w:val="24"/>
          <w:szCs w:val="24"/>
          <w:lang w:val="fr-FR"/>
        </w:rPr>
        <w:t>.</w:t>
      </w:r>
    </w:p>
    <w:p w:rsidR="006929AE" w:rsidRPr="001C4402" w:rsidRDefault="00377D87" w:rsidP="008D7871">
      <w:pPr>
        <w:spacing w:before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En réponse à des demandes récentes d'administrations souhaitant </w:t>
      </w:r>
      <w:r w:rsidR="006929AE" w:rsidRPr="001C4402">
        <w:rPr>
          <w:sz w:val="24"/>
          <w:szCs w:val="24"/>
          <w:lang w:val="fr-FR"/>
        </w:rPr>
        <w:t xml:space="preserve">qu'il soit possible de distinguer les </w:t>
      </w:r>
      <w:r>
        <w:rPr>
          <w:sz w:val="24"/>
          <w:szCs w:val="24"/>
          <w:lang w:val="fr-FR"/>
        </w:rPr>
        <w:t xml:space="preserve">liaisons avec des stations </w:t>
      </w:r>
      <w:r w:rsidR="008D7871">
        <w:rPr>
          <w:sz w:val="24"/>
          <w:szCs w:val="24"/>
          <w:lang w:val="fr-FR"/>
        </w:rPr>
        <w:t xml:space="preserve">terriennes </w:t>
      </w:r>
      <w:r w:rsidR="006C4046" w:rsidRPr="001C4402">
        <w:rPr>
          <w:sz w:val="24"/>
          <w:szCs w:val="24"/>
          <w:lang w:val="fr-FR"/>
        </w:rPr>
        <w:t>en mouvement</w:t>
      </w:r>
      <w:r w:rsidR="006929AE" w:rsidRPr="001C440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du </w:t>
      </w:r>
      <w:r w:rsidR="008D7871">
        <w:rPr>
          <w:sz w:val="24"/>
          <w:szCs w:val="24"/>
          <w:lang w:val="fr-FR"/>
        </w:rPr>
        <w:t xml:space="preserve">SFS </w:t>
      </w:r>
      <w:r>
        <w:rPr>
          <w:sz w:val="24"/>
          <w:szCs w:val="24"/>
          <w:lang w:val="fr-FR"/>
        </w:rPr>
        <w:t xml:space="preserve">dans les bandes </w:t>
      </w:r>
      <w:r w:rsidRPr="00377D87">
        <w:rPr>
          <w:sz w:val="24"/>
          <w:szCs w:val="24"/>
          <w:lang w:val="fr-FR"/>
        </w:rPr>
        <w:t xml:space="preserve">énumérées au numéro </w:t>
      </w:r>
      <w:r w:rsidRPr="00377D87">
        <w:rPr>
          <w:b/>
          <w:bCs/>
          <w:sz w:val="24"/>
          <w:szCs w:val="24"/>
          <w:lang w:val="fr-FR"/>
        </w:rPr>
        <w:t>5.526</w:t>
      </w:r>
      <w:r>
        <w:rPr>
          <w:sz w:val="24"/>
          <w:szCs w:val="24"/>
          <w:lang w:val="fr-FR"/>
        </w:rPr>
        <w:t xml:space="preserve"> </w:t>
      </w:r>
      <w:r w:rsidR="006929AE" w:rsidRPr="001C4402">
        <w:rPr>
          <w:sz w:val="24"/>
          <w:szCs w:val="24"/>
          <w:lang w:val="fr-FR"/>
        </w:rPr>
        <w:t xml:space="preserve">des autres </w:t>
      </w:r>
      <w:r>
        <w:rPr>
          <w:sz w:val="24"/>
          <w:szCs w:val="24"/>
          <w:lang w:val="fr-FR"/>
        </w:rPr>
        <w:t xml:space="preserve">liaisons </w:t>
      </w:r>
      <w:r w:rsidR="006929AE" w:rsidRPr="001C4402">
        <w:rPr>
          <w:sz w:val="24"/>
          <w:szCs w:val="24"/>
          <w:lang w:val="fr-FR"/>
        </w:rPr>
        <w:t xml:space="preserve">dans les renseignements </w:t>
      </w:r>
      <w:r w:rsidR="001C4402" w:rsidRPr="001C4402">
        <w:rPr>
          <w:sz w:val="24"/>
          <w:szCs w:val="24"/>
          <w:lang w:val="fr-FR"/>
        </w:rPr>
        <w:t>pour</w:t>
      </w:r>
      <w:r w:rsidR="006929AE" w:rsidRPr="001C4402">
        <w:rPr>
          <w:sz w:val="24"/>
          <w:szCs w:val="24"/>
          <w:lang w:val="fr-FR"/>
        </w:rPr>
        <w:t xml:space="preserve"> la publication anticipée</w:t>
      </w:r>
      <w:r w:rsidR="008256D1">
        <w:rPr>
          <w:sz w:val="24"/>
          <w:szCs w:val="24"/>
          <w:lang w:val="fr-FR"/>
        </w:rPr>
        <w:t xml:space="preserve"> (API)</w:t>
      </w:r>
      <w:r w:rsidR="006C4046" w:rsidRPr="001C4402">
        <w:rPr>
          <w:sz w:val="24"/>
          <w:szCs w:val="24"/>
          <w:lang w:val="fr-FR"/>
        </w:rPr>
        <w:t xml:space="preserve">, les demandes de coordination au titre du numéro </w:t>
      </w:r>
      <w:r w:rsidR="006C4046" w:rsidRPr="001C4402">
        <w:rPr>
          <w:b/>
          <w:bCs/>
          <w:sz w:val="24"/>
          <w:szCs w:val="24"/>
          <w:lang w:val="fr-FR"/>
        </w:rPr>
        <w:t>9.7</w:t>
      </w:r>
      <w:r w:rsidR="006C4046" w:rsidRPr="001C4402">
        <w:rPr>
          <w:sz w:val="24"/>
          <w:szCs w:val="24"/>
          <w:lang w:val="fr-FR"/>
        </w:rPr>
        <w:t xml:space="preserve"> et les renseignements de notification </w:t>
      </w:r>
      <w:r w:rsidR="00CD59B3" w:rsidRPr="001C4402">
        <w:rPr>
          <w:sz w:val="24"/>
          <w:szCs w:val="24"/>
          <w:lang w:val="fr-FR"/>
        </w:rPr>
        <w:t>à fournir au titre de</w:t>
      </w:r>
      <w:r w:rsidR="006C4046" w:rsidRPr="001C4402">
        <w:rPr>
          <w:sz w:val="24"/>
          <w:szCs w:val="24"/>
          <w:lang w:val="fr-FR"/>
        </w:rPr>
        <w:t xml:space="preserve"> l'Article </w:t>
      </w:r>
      <w:r w:rsidR="006C4046" w:rsidRPr="001C4402">
        <w:rPr>
          <w:b/>
          <w:bCs/>
          <w:sz w:val="24"/>
          <w:szCs w:val="24"/>
          <w:lang w:val="fr-FR"/>
        </w:rPr>
        <w:t>11</w:t>
      </w:r>
      <w:r w:rsidR="006929AE" w:rsidRPr="001C4402">
        <w:rPr>
          <w:sz w:val="24"/>
          <w:szCs w:val="24"/>
          <w:lang w:val="fr-FR"/>
        </w:rPr>
        <w:t>, le Bureau</w:t>
      </w:r>
      <w:r>
        <w:rPr>
          <w:sz w:val="24"/>
          <w:szCs w:val="24"/>
          <w:lang w:val="fr-FR"/>
        </w:rPr>
        <w:t xml:space="preserve"> a défini</w:t>
      </w:r>
      <w:r w:rsidR="006929AE" w:rsidRPr="001C4402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 xml:space="preserve">pour le traitement des fiches de notification de réseaux à satellite soumises par les administrations au titre du numéro </w:t>
      </w:r>
      <w:r w:rsidRPr="00377D87">
        <w:rPr>
          <w:b/>
          <w:bCs/>
          <w:sz w:val="24"/>
          <w:szCs w:val="24"/>
          <w:lang w:val="fr-FR"/>
        </w:rPr>
        <w:t>5.526</w:t>
      </w:r>
      <w:r>
        <w:rPr>
          <w:sz w:val="24"/>
          <w:szCs w:val="24"/>
          <w:lang w:val="fr-FR"/>
        </w:rPr>
        <w:t xml:space="preserve">, </w:t>
      </w:r>
      <w:r w:rsidR="006C4046" w:rsidRPr="001C4402">
        <w:rPr>
          <w:sz w:val="24"/>
          <w:szCs w:val="24"/>
          <w:lang w:val="fr-FR"/>
        </w:rPr>
        <w:t>la nouvelle</w:t>
      </w:r>
      <w:r w:rsidR="006929AE" w:rsidRPr="001C4402">
        <w:rPr>
          <w:sz w:val="24"/>
          <w:szCs w:val="24"/>
          <w:lang w:val="fr-FR"/>
        </w:rPr>
        <w:t xml:space="preserve"> classe de station </w:t>
      </w:r>
      <w:r w:rsidR="006C4046" w:rsidRPr="001C4402">
        <w:rPr>
          <w:sz w:val="24"/>
          <w:szCs w:val="24"/>
          <w:lang w:val="fr-FR"/>
        </w:rPr>
        <w:t xml:space="preserve">suivante </w:t>
      </w:r>
      <w:r w:rsidR="006929AE" w:rsidRPr="001C4402">
        <w:rPr>
          <w:sz w:val="24"/>
          <w:szCs w:val="24"/>
          <w:lang w:val="fr-FR"/>
        </w:rPr>
        <w:t xml:space="preserve">pour le </w:t>
      </w:r>
      <w:r w:rsidR="006929AE" w:rsidRPr="001C4402">
        <w:rPr>
          <w:b/>
          <w:bCs/>
          <w:sz w:val="24"/>
          <w:szCs w:val="24"/>
          <w:lang w:val="fr-FR"/>
        </w:rPr>
        <w:t>Tableau 3</w:t>
      </w:r>
      <w:r w:rsidR="006929AE" w:rsidRPr="001C4402">
        <w:rPr>
          <w:sz w:val="24"/>
          <w:szCs w:val="24"/>
          <w:lang w:val="fr-FR"/>
        </w:rPr>
        <w:t xml:space="preserve"> de la </w:t>
      </w:r>
      <w:r w:rsidR="001C4402" w:rsidRPr="001C4402">
        <w:rPr>
          <w:sz w:val="24"/>
          <w:szCs w:val="24"/>
          <w:lang w:val="fr-FR"/>
        </w:rPr>
        <w:t>P</w:t>
      </w:r>
      <w:r w:rsidR="006929AE" w:rsidRPr="001C4402">
        <w:rPr>
          <w:sz w:val="24"/>
          <w:szCs w:val="24"/>
          <w:lang w:val="fr-FR"/>
        </w:rPr>
        <w:t>réface à l</w:t>
      </w:r>
      <w:r w:rsidR="001C4402" w:rsidRPr="001C4402">
        <w:rPr>
          <w:sz w:val="24"/>
          <w:szCs w:val="24"/>
          <w:lang w:val="fr-FR"/>
        </w:rPr>
        <w:t xml:space="preserve">a BR </w:t>
      </w:r>
      <w:r w:rsidR="006929AE" w:rsidRPr="001C4402">
        <w:rPr>
          <w:sz w:val="24"/>
          <w:szCs w:val="24"/>
          <w:lang w:val="fr-FR"/>
        </w:rPr>
        <w:t>IFIC (services spatiaux)</w:t>
      </w:r>
      <w:r w:rsidR="006C4046" w:rsidRPr="001C4402">
        <w:rPr>
          <w:sz w:val="24"/>
          <w:szCs w:val="24"/>
          <w:lang w:val="fr-FR"/>
        </w:rPr>
        <w:t xml:space="preserve">: </w:t>
      </w:r>
    </w:p>
    <w:p w:rsidR="00377D87" w:rsidRPr="00566B2E" w:rsidRDefault="00BE758E" w:rsidP="003565E5">
      <w:pPr>
        <w:tabs>
          <w:tab w:val="clear" w:pos="794"/>
          <w:tab w:val="left" w:pos="900"/>
        </w:tabs>
        <w:spacing w:line="240" w:lineRule="auto"/>
        <w:ind w:left="540"/>
        <w:rPr>
          <w:sz w:val="24"/>
          <w:szCs w:val="24"/>
          <w:lang w:val="fr-FR"/>
        </w:rPr>
      </w:pPr>
      <w:r w:rsidRPr="001C4402">
        <w:rPr>
          <w:b/>
          <w:sz w:val="24"/>
          <w:szCs w:val="24"/>
          <w:lang w:val="fr-FR"/>
        </w:rPr>
        <w:t>UC</w:t>
      </w:r>
      <w:r w:rsidRPr="001C4402">
        <w:rPr>
          <w:sz w:val="24"/>
          <w:szCs w:val="24"/>
          <w:lang w:val="fr-FR"/>
        </w:rPr>
        <w:t xml:space="preserve"> </w:t>
      </w:r>
      <w:r w:rsidR="003565E5">
        <w:rPr>
          <w:b/>
          <w:bCs/>
          <w:sz w:val="24"/>
          <w:szCs w:val="24"/>
          <w:lang w:val="fr-FR"/>
        </w:rPr>
        <w:t xml:space="preserve">– </w:t>
      </w:r>
      <w:r w:rsidR="006C4046" w:rsidRPr="001C4402">
        <w:rPr>
          <w:sz w:val="24"/>
          <w:szCs w:val="24"/>
          <w:lang w:val="fr-FR"/>
        </w:rPr>
        <w:t xml:space="preserve">Station terrienne </w:t>
      </w:r>
      <w:r w:rsidR="00377D87" w:rsidRPr="00377D87">
        <w:rPr>
          <w:sz w:val="24"/>
          <w:szCs w:val="24"/>
          <w:lang w:val="fr-FR"/>
        </w:rPr>
        <w:t xml:space="preserve">en mouvement du service fixe par satellite dans les bandes énumérées au numéro </w:t>
      </w:r>
      <w:r w:rsidR="00377D87" w:rsidRPr="008D7871">
        <w:rPr>
          <w:b/>
          <w:bCs/>
          <w:sz w:val="24"/>
          <w:szCs w:val="24"/>
          <w:lang w:val="fr-FR"/>
        </w:rPr>
        <w:t>5.526</w:t>
      </w:r>
      <w:r w:rsidR="00566B2E">
        <w:rPr>
          <w:sz w:val="24"/>
          <w:szCs w:val="24"/>
          <w:lang w:val="fr-FR"/>
        </w:rPr>
        <w:t>.</w:t>
      </w:r>
    </w:p>
    <w:p w:rsidR="00CD59B3" w:rsidRDefault="00CD59B3" w:rsidP="0050564D">
      <w:pPr>
        <w:tabs>
          <w:tab w:val="left" w:pos="3261"/>
        </w:tabs>
        <w:spacing w:before="120" w:line="240" w:lineRule="auto"/>
        <w:rPr>
          <w:sz w:val="24"/>
          <w:szCs w:val="24"/>
          <w:lang w:val="fr-FR"/>
        </w:rPr>
      </w:pPr>
      <w:r w:rsidRPr="001C4402">
        <w:rPr>
          <w:sz w:val="24"/>
          <w:szCs w:val="24"/>
          <w:lang w:val="fr-FR"/>
        </w:rPr>
        <w:t>Les administrations sont invitées à utiliser ce nouveau symbole</w:t>
      </w:r>
      <w:r w:rsidR="00456B50" w:rsidRPr="001C4402">
        <w:rPr>
          <w:sz w:val="24"/>
          <w:szCs w:val="24"/>
          <w:lang w:val="fr-FR"/>
        </w:rPr>
        <w:t xml:space="preserve"> de classe de station </w:t>
      </w:r>
      <w:r w:rsidR="006B1405" w:rsidRPr="001C4402">
        <w:rPr>
          <w:sz w:val="24"/>
          <w:szCs w:val="24"/>
          <w:lang w:val="fr-FR"/>
        </w:rPr>
        <w:t>pour la soumission au</w:t>
      </w:r>
      <w:r w:rsidR="00456B50" w:rsidRPr="001C4402">
        <w:rPr>
          <w:sz w:val="24"/>
          <w:szCs w:val="24"/>
          <w:lang w:val="fr-FR"/>
        </w:rPr>
        <w:t xml:space="preserve"> Bureau </w:t>
      </w:r>
      <w:r w:rsidR="008256D1">
        <w:rPr>
          <w:sz w:val="24"/>
          <w:szCs w:val="24"/>
          <w:lang w:val="fr-FR"/>
        </w:rPr>
        <w:t>d'</w:t>
      </w:r>
      <w:r w:rsidR="008D7871">
        <w:rPr>
          <w:sz w:val="24"/>
          <w:szCs w:val="24"/>
          <w:lang w:val="fr-FR"/>
        </w:rPr>
        <w:t>une fiche</w:t>
      </w:r>
      <w:r w:rsidR="00456B50" w:rsidRPr="001C4402">
        <w:rPr>
          <w:sz w:val="24"/>
          <w:szCs w:val="24"/>
          <w:lang w:val="fr-FR"/>
        </w:rPr>
        <w:t xml:space="preserve"> de notification </w:t>
      </w:r>
      <w:r w:rsidR="008D7871">
        <w:rPr>
          <w:sz w:val="24"/>
          <w:szCs w:val="24"/>
          <w:lang w:val="fr-FR"/>
        </w:rPr>
        <w:t>relative à un réseau</w:t>
      </w:r>
      <w:r w:rsidR="00456B50" w:rsidRPr="001C4402">
        <w:rPr>
          <w:sz w:val="24"/>
          <w:szCs w:val="24"/>
          <w:lang w:val="fr-FR"/>
        </w:rPr>
        <w:t xml:space="preserve"> à satellite </w:t>
      </w:r>
      <w:r w:rsidR="006B1405" w:rsidRPr="001C4402">
        <w:rPr>
          <w:sz w:val="24"/>
          <w:szCs w:val="24"/>
          <w:lang w:val="fr-FR"/>
        </w:rPr>
        <w:t>fonctionnant tant dans le</w:t>
      </w:r>
      <w:r w:rsidR="00456B50" w:rsidRPr="001C4402">
        <w:rPr>
          <w:sz w:val="24"/>
          <w:szCs w:val="24"/>
          <w:lang w:val="fr-FR"/>
        </w:rPr>
        <w:t xml:space="preserve"> service fixe par satellite (SFS) </w:t>
      </w:r>
      <w:r w:rsidR="006B1405" w:rsidRPr="001C4402">
        <w:rPr>
          <w:sz w:val="24"/>
          <w:szCs w:val="24"/>
          <w:lang w:val="fr-FR"/>
        </w:rPr>
        <w:t>que dans le</w:t>
      </w:r>
      <w:r w:rsidR="00456B50" w:rsidRPr="001C4402">
        <w:rPr>
          <w:sz w:val="24"/>
          <w:szCs w:val="24"/>
          <w:lang w:val="fr-FR"/>
        </w:rPr>
        <w:t xml:space="preserve"> ser</w:t>
      </w:r>
      <w:r w:rsidR="008D7871">
        <w:rPr>
          <w:sz w:val="24"/>
          <w:szCs w:val="24"/>
          <w:lang w:val="fr-FR"/>
        </w:rPr>
        <w:t>vice mobile par satellite (SMS)</w:t>
      </w:r>
      <w:r w:rsidR="00456B50" w:rsidRPr="001C4402">
        <w:rPr>
          <w:sz w:val="24"/>
          <w:szCs w:val="24"/>
          <w:lang w:val="fr-FR"/>
        </w:rPr>
        <w:t xml:space="preserve"> </w:t>
      </w:r>
      <w:r w:rsidR="00CC55E2" w:rsidRPr="001C4402">
        <w:rPr>
          <w:sz w:val="24"/>
          <w:szCs w:val="24"/>
          <w:lang w:val="fr-FR"/>
        </w:rPr>
        <w:t xml:space="preserve">qui </w:t>
      </w:r>
      <w:r w:rsidR="008D7871">
        <w:rPr>
          <w:sz w:val="24"/>
          <w:szCs w:val="24"/>
          <w:lang w:val="fr-FR"/>
        </w:rPr>
        <w:t>comprend</w:t>
      </w:r>
      <w:r w:rsidR="00CC55E2" w:rsidRPr="001C4402">
        <w:rPr>
          <w:sz w:val="24"/>
          <w:szCs w:val="24"/>
          <w:lang w:val="fr-FR"/>
        </w:rPr>
        <w:t xml:space="preserve"> d</w:t>
      </w:r>
      <w:r w:rsidR="00456B50" w:rsidRPr="001C4402">
        <w:rPr>
          <w:sz w:val="24"/>
          <w:szCs w:val="24"/>
          <w:lang w:val="fr-FR"/>
        </w:rPr>
        <w:t xml:space="preserve">es liaisons entre </w:t>
      </w:r>
      <w:r w:rsidR="008D7871">
        <w:rPr>
          <w:sz w:val="24"/>
          <w:szCs w:val="24"/>
          <w:lang w:val="fr-FR"/>
        </w:rPr>
        <w:t>une station spatiale du SFS et une station terrienne</w:t>
      </w:r>
      <w:r w:rsidR="00456B50" w:rsidRPr="001C4402">
        <w:rPr>
          <w:sz w:val="24"/>
          <w:szCs w:val="24"/>
          <w:lang w:val="fr-FR"/>
        </w:rPr>
        <w:t xml:space="preserve"> en mouvement </w:t>
      </w:r>
      <w:r w:rsidR="008D7871">
        <w:rPr>
          <w:sz w:val="24"/>
          <w:szCs w:val="24"/>
          <w:lang w:val="fr-FR"/>
        </w:rPr>
        <w:t xml:space="preserve">utilisant des assignations de fréquence </w:t>
      </w:r>
      <w:r w:rsidR="00456B50" w:rsidRPr="001C4402">
        <w:rPr>
          <w:sz w:val="24"/>
          <w:szCs w:val="24"/>
          <w:lang w:val="fr-FR"/>
        </w:rPr>
        <w:t>dans les bandes 19,7</w:t>
      </w:r>
      <w:r w:rsidR="00456B50" w:rsidRPr="001C4402">
        <w:rPr>
          <w:sz w:val="24"/>
          <w:szCs w:val="24"/>
          <w:lang w:val="fr-FR"/>
        </w:rPr>
        <w:noBreakHyphen/>
        <w:t>20,2 GHz et 29,5</w:t>
      </w:r>
      <w:r w:rsidR="00456B50" w:rsidRPr="001C4402">
        <w:rPr>
          <w:sz w:val="24"/>
          <w:szCs w:val="24"/>
          <w:lang w:val="fr-FR"/>
        </w:rPr>
        <w:noBreakHyphen/>
        <w:t xml:space="preserve">30 GHz </w:t>
      </w:r>
      <w:r w:rsidR="006B1405" w:rsidRPr="001C4402">
        <w:rPr>
          <w:sz w:val="24"/>
          <w:szCs w:val="24"/>
          <w:lang w:val="fr-FR"/>
        </w:rPr>
        <w:t>en</w:t>
      </w:r>
      <w:r w:rsidR="00456B50" w:rsidRPr="001C4402">
        <w:rPr>
          <w:sz w:val="24"/>
          <w:szCs w:val="24"/>
          <w:lang w:val="fr-FR"/>
        </w:rPr>
        <w:t xml:space="preserve"> Région 2</w:t>
      </w:r>
      <w:r w:rsidR="00CC55E2" w:rsidRPr="001C4402">
        <w:rPr>
          <w:sz w:val="24"/>
          <w:szCs w:val="24"/>
          <w:lang w:val="fr-FR"/>
        </w:rPr>
        <w:t>,</w:t>
      </w:r>
      <w:r w:rsidR="00456B50" w:rsidRPr="001C4402">
        <w:rPr>
          <w:sz w:val="24"/>
          <w:szCs w:val="24"/>
          <w:lang w:val="fr-FR"/>
        </w:rPr>
        <w:t xml:space="preserve"> et dans les bandes 20,1</w:t>
      </w:r>
      <w:r w:rsidR="00456B50" w:rsidRPr="001C4402">
        <w:rPr>
          <w:sz w:val="24"/>
          <w:szCs w:val="24"/>
          <w:lang w:val="fr-FR"/>
        </w:rPr>
        <w:noBreakHyphen/>
        <w:t>20,2 GHz et 29,9</w:t>
      </w:r>
      <w:r w:rsidR="00456B50" w:rsidRPr="001C4402">
        <w:rPr>
          <w:sz w:val="24"/>
          <w:szCs w:val="24"/>
          <w:lang w:val="fr-FR"/>
        </w:rPr>
        <w:noBreakHyphen/>
        <w:t xml:space="preserve">30 GHz </w:t>
      </w:r>
      <w:r w:rsidR="006B1405" w:rsidRPr="001C4402">
        <w:rPr>
          <w:sz w:val="24"/>
          <w:szCs w:val="24"/>
          <w:lang w:val="fr-FR"/>
        </w:rPr>
        <w:t>en</w:t>
      </w:r>
      <w:r w:rsidR="00456B50" w:rsidRPr="001C4402">
        <w:rPr>
          <w:sz w:val="24"/>
          <w:szCs w:val="24"/>
          <w:lang w:val="fr-FR"/>
        </w:rPr>
        <w:t xml:space="preserve"> Régions 1 et 3</w:t>
      </w:r>
      <w:r w:rsidR="008256D1">
        <w:rPr>
          <w:sz w:val="24"/>
          <w:szCs w:val="24"/>
          <w:lang w:val="fr-FR"/>
        </w:rPr>
        <w:t>,</w:t>
      </w:r>
      <w:r w:rsidR="008D7871">
        <w:rPr>
          <w:sz w:val="24"/>
          <w:szCs w:val="24"/>
          <w:lang w:val="fr-FR"/>
        </w:rPr>
        <w:t xml:space="preserve"> conformément aux attributions au SFS et aux conditions spécifiées dans le numéro </w:t>
      </w:r>
      <w:r w:rsidR="008D7871" w:rsidRPr="008D7871">
        <w:rPr>
          <w:b/>
          <w:bCs/>
          <w:sz w:val="24"/>
          <w:szCs w:val="24"/>
          <w:lang w:val="fr-FR"/>
        </w:rPr>
        <w:t>5.526</w:t>
      </w:r>
      <w:r w:rsidR="00456B50" w:rsidRPr="001C4402">
        <w:rPr>
          <w:sz w:val="24"/>
          <w:szCs w:val="24"/>
          <w:lang w:val="fr-FR"/>
        </w:rPr>
        <w:t xml:space="preserve">. </w:t>
      </w:r>
      <w:r w:rsidR="00674F13" w:rsidRPr="001C4402">
        <w:rPr>
          <w:sz w:val="24"/>
          <w:szCs w:val="24"/>
          <w:lang w:val="fr-FR"/>
        </w:rPr>
        <w:t>Par</w:t>
      </w:r>
      <w:r w:rsidR="00CC55E2" w:rsidRPr="001C4402">
        <w:rPr>
          <w:sz w:val="24"/>
          <w:szCs w:val="24"/>
          <w:lang w:val="fr-FR"/>
        </w:rPr>
        <w:t xml:space="preserve"> </w:t>
      </w:r>
      <w:r w:rsidR="00456B50" w:rsidRPr="001C4402">
        <w:rPr>
          <w:sz w:val="24"/>
          <w:szCs w:val="24"/>
          <w:lang w:val="fr-FR"/>
        </w:rPr>
        <w:t>conséquen</w:t>
      </w:r>
      <w:r w:rsidR="00674F13" w:rsidRPr="001C4402">
        <w:rPr>
          <w:sz w:val="24"/>
          <w:szCs w:val="24"/>
          <w:lang w:val="fr-FR"/>
        </w:rPr>
        <w:t>t</w:t>
      </w:r>
      <w:r w:rsidR="00456B50" w:rsidRPr="001C4402">
        <w:rPr>
          <w:sz w:val="24"/>
          <w:szCs w:val="24"/>
          <w:lang w:val="fr-FR"/>
        </w:rPr>
        <w:t xml:space="preserve">, une liaison entre une station spatiale </w:t>
      </w:r>
      <w:r w:rsidR="008D7871">
        <w:rPr>
          <w:sz w:val="24"/>
          <w:szCs w:val="24"/>
          <w:lang w:val="fr-FR"/>
        </w:rPr>
        <w:t xml:space="preserve">du SFS </w:t>
      </w:r>
      <w:r w:rsidR="00456B50" w:rsidRPr="001C4402">
        <w:rPr>
          <w:sz w:val="24"/>
          <w:szCs w:val="24"/>
          <w:lang w:val="fr-FR"/>
        </w:rPr>
        <w:t xml:space="preserve">et une </w:t>
      </w:r>
      <w:r w:rsidR="00456B50" w:rsidRPr="008D7871">
        <w:rPr>
          <w:sz w:val="24"/>
          <w:szCs w:val="24"/>
          <w:lang w:val="fr-FR"/>
        </w:rPr>
        <w:t>station terrienne en mouvement</w:t>
      </w:r>
      <w:r w:rsidR="00456B50" w:rsidRPr="001C4402">
        <w:rPr>
          <w:sz w:val="24"/>
          <w:szCs w:val="24"/>
          <w:lang w:val="fr-FR"/>
        </w:rPr>
        <w:t xml:space="preserve"> peut être </w:t>
      </w:r>
      <w:r w:rsidR="008256D1">
        <w:rPr>
          <w:sz w:val="24"/>
          <w:szCs w:val="24"/>
          <w:lang w:val="fr-FR"/>
        </w:rPr>
        <w:t xml:space="preserve">enregistrée </w:t>
      </w:r>
      <w:r w:rsidR="008D7871">
        <w:rPr>
          <w:sz w:val="24"/>
          <w:szCs w:val="24"/>
          <w:lang w:val="fr-FR"/>
        </w:rPr>
        <w:t xml:space="preserve">dans le cadre des </w:t>
      </w:r>
      <w:r w:rsidR="00456B50" w:rsidRPr="001C4402">
        <w:rPr>
          <w:sz w:val="24"/>
          <w:szCs w:val="24"/>
          <w:lang w:val="fr-FR"/>
        </w:rPr>
        <w:t>procédure</w:t>
      </w:r>
      <w:r w:rsidR="00674F13" w:rsidRPr="001C4402">
        <w:rPr>
          <w:sz w:val="24"/>
          <w:szCs w:val="24"/>
          <w:lang w:val="fr-FR"/>
        </w:rPr>
        <w:t>s</w:t>
      </w:r>
      <w:r w:rsidR="00456B50" w:rsidRPr="001C4402">
        <w:rPr>
          <w:sz w:val="24"/>
          <w:szCs w:val="24"/>
          <w:lang w:val="fr-FR"/>
        </w:rPr>
        <w:t xml:space="preserve"> </w:t>
      </w:r>
      <w:r w:rsidR="001C4402" w:rsidRPr="001C4402">
        <w:rPr>
          <w:sz w:val="24"/>
          <w:szCs w:val="24"/>
          <w:lang w:val="fr-FR"/>
        </w:rPr>
        <w:t>applicables de coordination puis</w:t>
      </w:r>
      <w:r w:rsidR="00456B50" w:rsidRPr="001C4402">
        <w:rPr>
          <w:sz w:val="24"/>
          <w:szCs w:val="24"/>
          <w:lang w:val="fr-FR"/>
        </w:rPr>
        <w:t xml:space="preserve"> </w:t>
      </w:r>
      <w:r w:rsidR="00674F13" w:rsidRPr="001C4402">
        <w:rPr>
          <w:sz w:val="24"/>
          <w:szCs w:val="24"/>
          <w:lang w:val="fr-FR"/>
        </w:rPr>
        <w:t xml:space="preserve">de </w:t>
      </w:r>
      <w:r w:rsidR="00456B50" w:rsidRPr="001C4402">
        <w:rPr>
          <w:sz w:val="24"/>
          <w:szCs w:val="24"/>
          <w:lang w:val="fr-FR"/>
        </w:rPr>
        <w:t xml:space="preserve">notification, </w:t>
      </w:r>
      <w:r w:rsidR="008D7871">
        <w:rPr>
          <w:sz w:val="24"/>
          <w:szCs w:val="24"/>
          <w:lang w:val="fr-FR"/>
        </w:rPr>
        <w:t xml:space="preserve">conformément aux </w:t>
      </w:r>
      <w:r w:rsidR="00456B50" w:rsidRPr="001C4402">
        <w:rPr>
          <w:sz w:val="24"/>
          <w:szCs w:val="24"/>
          <w:lang w:val="fr-FR"/>
        </w:rPr>
        <w:t xml:space="preserve">bandes du SFS et </w:t>
      </w:r>
      <w:r w:rsidR="008D7871">
        <w:rPr>
          <w:sz w:val="24"/>
          <w:szCs w:val="24"/>
          <w:lang w:val="fr-FR"/>
        </w:rPr>
        <w:t xml:space="preserve">aux </w:t>
      </w:r>
      <w:r w:rsidR="00456B50" w:rsidRPr="001C4402">
        <w:rPr>
          <w:sz w:val="24"/>
          <w:szCs w:val="24"/>
          <w:lang w:val="fr-FR"/>
        </w:rPr>
        <w:t>conditions sp</w:t>
      </w:r>
      <w:r w:rsidR="00674F13" w:rsidRPr="001C4402">
        <w:rPr>
          <w:sz w:val="24"/>
          <w:szCs w:val="24"/>
          <w:lang w:val="fr-FR"/>
        </w:rPr>
        <w:t>écifié</w:t>
      </w:r>
      <w:r w:rsidR="00456B50" w:rsidRPr="001C4402">
        <w:rPr>
          <w:sz w:val="24"/>
          <w:szCs w:val="24"/>
          <w:lang w:val="fr-FR"/>
        </w:rPr>
        <w:t xml:space="preserve">es dans le numéro </w:t>
      </w:r>
      <w:r w:rsidR="00456B50" w:rsidRPr="001C4402">
        <w:rPr>
          <w:b/>
          <w:bCs/>
          <w:sz w:val="24"/>
          <w:szCs w:val="24"/>
          <w:lang w:val="fr-FR"/>
        </w:rPr>
        <w:t>5.526</w:t>
      </w:r>
      <w:r w:rsidR="00456B50" w:rsidRPr="001C4402">
        <w:rPr>
          <w:sz w:val="24"/>
          <w:szCs w:val="24"/>
          <w:lang w:val="fr-FR"/>
        </w:rPr>
        <w:t>.</w:t>
      </w:r>
    </w:p>
    <w:p w:rsidR="008D7871" w:rsidRPr="001C4402" w:rsidRDefault="008D7871" w:rsidP="008D7871">
      <w:pPr>
        <w:spacing w:before="12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En l'absence de critères particuliers, la mise en place d'une coordination pour une telle liaison sera fondée sur les critères existants applicables aux liaisons du SFS dans les bandes </w:t>
      </w:r>
      <w:r w:rsidR="008C0605">
        <w:rPr>
          <w:sz w:val="24"/>
          <w:szCs w:val="24"/>
          <w:lang w:val="fr-FR"/>
        </w:rPr>
        <w:t>19,7</w:t>
      </w:r>
      <w:r w:rsidR="008C0605">
        <w:rPr>
          <w:sz w:val="24"/>
          <w:szCs w:val="24"/>
          <w:lang w:val="fr-FR"/>
        </w:rPr>
        <w:noBreakHyphen/>
        <w:t>20,2 GHz et </w:t>
      </w:r>
      <w:r w:rsidRPr="001C4402">
        <w:rPr>
          <w:sz w:val="24"/>
          <w:szCs w:val="24"/>
          <w:lang w:val="fr-FR"/>
        </w:rPr>
        <w:t>29,5</w:t>
      </w:r>
      <w:r w:rsidRPr="001C4402">
        <w:rPr>
          <w:sz w:val="24"/>
          <w:szCs w:val="24"/>
          <w:lang w:val="fr-FR"/>
        </w:rPr>
        <w:noBreakHyphen/>
        <w:t>30 GHz</w:t>
      </w:r>
      <w:r>
        <w:rPr>
          <w:sz w:val="24"/>
          <w:szCs w:val="24"/>
          <w:lang w:val="fr-FR"/>
        </w:rPr>
        <w:t>, selon qu'il conviendra.</w:t>
      </w:r>
    </w:p>
    <w:p w:rsidR="00CD59B3" w:rsidRPr="001C4402" w:rsidRDefault="001C48E0" w:rsidP="001C4402">
      <w:pPr>
        <w:spacing w:before="120" w:line="240" w:lineRule="auto"/>
        <w:rPr>
          <w:sz w:val="24"/>
          <w:szCs w:val="24"/>
          <w:lang w:val="fr-FR"/>
        </w:rPr>
      </w:pPr>
      <w:r w:rsidRPr="001C4402">
        <w:rPr>
          <w:sz w:val="24"/>
          <w:szCs w:val="24"/>
          <w:lang w:val="fr-FR"/>
        </w:rPr>
        <w:lastRenderedPageBreak/>
        <w:t xml:space="preserve">La version actualisée du </w:t>
      </w:r>
      <w:r w:rsidRPr="001C4402">
        <w:rPr>
          <w:b/>
          <w:bCs/>
          <w:sz w:val="24"/>
          <w:szCs w:val="24"/>
          <w:lang w:val="fr-FR"/>
        </w:rPr>
        <w:t>Tableau 3</w:t>
      </w:r>
      <w:r w:rsidRPr="001C4402">
        <w:rPr>
          <w:sz w:val="24"/>
          <w:szCs w:val="24"/>
          <w:lang w:val="fr-FR"/>
        </w:rPr>
        <w:t xml:space="preserve"> de la </w:t>
      </w:r>
      <w:r w:rsidR="001C4402" w:rsidRPr="001C4402">
        <w:rPr>
          <w:sz w:val="24"/>
          <w:szCs w:val="24"/>
          <w:lang w:val="fr-FR"/>
        </w:rPr>
        <w:t>P</w:t>
      </w:r>
      <w:r w:rsidRPr="001C4402">
        <w:rPr>
          <w:sz w:val="24"/>
          <w:szCs w:val="24"/>
          <w:lang w:val="fr-FR"/>
        </w:rPr>
        <w:t xml:space="preserve">réface pourra être consultée en ligne, à l'adresse: </w:t>
      </w:r>
      <w:r w:rsidRPr="001C4402">
        <w:rPr>
          <w:rFonts w:cs="Times New Roman"/>
          <w:color w:val="0000FF"/>
          <w:sz w:val="24"/>
          <w:szCs w:val="24"/>
          <w:u w:val="single"/>
          <w:lang w:val="fr-FR" w:eastAsia="zh-CN"/>
        </w:rPr>
        <w:t>http://www.itu.int/ITU-R/space/preface/index.html</w:t>
      </w:r>
      <w:r w:rsidRPr="001C4402">
        <w:rPr>
          <w:rFonts w:asciiTheme="minorHAnsi" w:hAnsiTheme="minorHAnsi" w:cs="Times New Roman"/>
          <w:sz w:val="24"/>
          <w:szCs w:val="24"/>
          <w:lang w:val="fr-FR" w:eastAsia="zh-CN"/>
        </w:rPr>
        <w:t>,</w:t>
      </w:r>
      <w:r w:rsidRPr="001C4402">
        <w:rPr>
          <w:rFonts w:ascii="Times New Roman" w:hAnsi="Times New Roman" w:cs="Times New Roman"/>
          <w:color w:val="000000"/>
          <w:sz w:val="24"/>
          <w:szCs w:val="24"/>
          <w:lang w:val="fr-FR" w:eastAsia="zh-CN"/>
        </w:rPr>
        <w:t xml:space="preserve"> </w:t>
      </w:r>
      <w:r w:rsidRPr="001C4402">
        <w:rPr>
          <w:sz w:val="24"/>
          <w:szCs w:val="24"/>
          <w:lang w:val="fr-FR"/>
        </w:rPr>
        <w:t xml:space="preserve">ainsi que </w:t>
      </w:r>
      <w:r w:rsidR="00F447F6" w:rsidRPr="001C4402">
        <w:rPr>
          <w:sz w:val="24"/>
          <w:szCs w:val="24"/>
          <w:lang w:val="fr-FR"/>
        </w:rPr>
        <w:t>dans</w:t>
      </w:r>
      <w:r w:rsidR="001C4402" w:rsidRPr="001C4402">
        <w:rPr>
          <w:sz w:val="24"/>
          <w:szCs w:val="24"/>
          <w:lang w:val="fr-FR"/>
        </w:rPr>
        <w:t xml:space="preserve"> la BR </w:t>
      </w:r>
      <w:r w:rsidRPr="001C4402">
        <w:rPr>
          <w:sz w:val="24"/>
          <w:szCs w:val="24"/>
          <w:lang w:val="fr-FR"/>
        </w:rPr>
        <w:t>IFIC (services spatiaux), à partir de l</w:t>
      </w:r>
      <w:r w:rsidR="001C4402" w:rsidRPr="001C4402">
        <w:rPr>
          <w:sz w:val="24"/>
          <w:szCs w:val="24"/>
          <w:lang w:val="fr-FR"/>
        </w:rPr>
        <w:t xml:space="preserve">a BR </w:t>
      </w:r>
      <w:r w:rsidRPr="001C4402">
        <w:rPr>
          <w:sz w:val="24"/>
          <w:szCs w:val="24"/>
          <w:lang w:val="fr-FR"/>
        </w:rPr>
        <w:t>IFIC 2</w:t>
      </w:r>
      <w:r w:rsidR="00F04622" w:rsidRPr="001C4402">
        <w:rPr>
          <w:sz w:val="24"/>
          <w:szCs w:val="24"/>
          <w:lang w:val="fr-FR"/>
        </w:rPr>
        <w:t>763</w:t>
      </w:r>
      <w:r w:rsidRPr="001C4402">
        <w:rPr>
          <w:sz w:val="24"/>
          <w:szCs w:val="24"/>
          <w:lang w:val="fr-FR"/>
        </w:rPr>
        <w:t>/</w:t>
      </w:r>
      <w:r w:rsidR="004D4F46" w:rsidRPr="001C4402">
        <w:rPr>
          <w:sz w:val="24"/>
          <w:szCs w:val="24"/>
          <w:lang w:val="fr-FR"/>
        </w:rPr>
        <w:t>18.</w:t>
      </w:r>
      <w:r w:rsidRPr="001C4402">
        <w:rPr>
          <w:sz w:val="24"/>
          <w:szCs w:val="24"/>
          <w:lang w:val="fr-FR"/>
        </w:rPr>
        <w:t>02.20</w:t>
      </w:r>
      <w:r w:rsidR="004D4F46" w:rsidRPr="001C4402">
        <w:rPr>
          <w:sz w:val="24"/>
          <w:szCs w:val="24"/>
          <w:lang w:val="fr-FR"/>
        </w:rPr>
        <w:t>14</w:t>
      </w:r>
      <w:r w:rsidRPr="001C4402">
        <w:rPr>
          <w:sz w:val="24"/>
          <w:szCs w:val="24"/>
          <w:lang w:val="fr-FR"/>
        </w:rPr>
        <w:t>.</w:t>
      </w:r>
    </w:p>
    <w:p w:rsidR="00D02B21" w:rsidRPr="001C4402" w:rsidRDefault="00D02B21" w:rsidP="00E37DFB">
      <w:pPr>
        <w:spacing w:before="120" w:line="240" w:lineRule="auto"/>
        <w:rPr>
          <w:sz w:val="24"/>
          <w:szCs w:val="24"/>
          <w:lang w:val="fr-FR"/>
        </w:rPr>
      </w:pPr>
      <w:r w:rsidRPr="001C4402">
        <w:rPr>
          <w:sz w:val="24"/>
          <w:szCs w:val="24"/>
          <w:lang w:val="fr-FR"/>
        </w:rPr>
        <w:t>La version actualisée</w:t>
      </w:r>
      <w:r w:rsidR="0014256B" w:rsidRPr="001C4402">
        <w:rPr>
          <w:sz w:val="24"/>
          <w:szCs w:val="24"/>
          <w:lang w:val="fr-FR"/>
        </w:rPr>
        <w:t xml:space="preserve"> </w:t>
      </w:r>
      <w:r w:rsidRPr="001C4402">
        <w:rPr>
          <w:sz w:val="24"/>
          <w:szCs w:val="24"/>
          <w:lang w:val="fr-FR"/>
        </w:rPr>
        <w:t xml:space="preserve">du progiciel du BR </w:t>
      </w:r>
      <w:r w:rsidR="0014256B" w:rsidRPr="001C4402">
        <w:rPr>
          <w:sz w:val="24"/>
          <w:szCs w:val="24"/>
          <w:lang w:val="fr-FR"/>
        </w:rPr>
        <w:t>utilisé pour</w:t>
      </w:r>
      <w:r w:rsidR="001C4402" w:rsidRPr="001C4402">
        <w:rPr>
          <w:sz w:val="24"/>
          <w:szCs w:val="24"/>
          <w:lang w:val="fr-FR"/>
        </w:rPr>
        <w:t xml:space="preserve"> la soumission </w:t>
      </w:r>
      <w:r w:rsidR="0014256B" w:rsidRPr="001C4402">
        <w:rPr>
          <w:sz w:val="24"/>
          <w:szCs w:val="24"/>
          <w:lang w:val="fr-FR"/>
        </w:rPr>
        <w:t>par voie électronique</w:t>
      </w:r>
      <w:r w:rsidR="001C4402" w:rsidRPr="001C4402">
        <w:rPr>
          <w:sz w:val="24"/>
          <w:szCs w:val="24"/>
          <w:lang w:val="fr-FR"/>
        </w:rPr>
        <w:t xml:space="preserve"> des fiches de notification des réseaux à satellite, la validation et l'interrogation</w:t>
      </w:r>
      <w:r w:rsidR="001740A1">
        <w:rPr>
          <w:sz w:val="24"/>
          <w:szCs w:val="24"/>
          <w:lang w:val="fr-FR"/>
        </w:rPr>
        <w:t xml:space="preserve"> (</w:t>
      </w:r>
      <w:proofErr w:type="spellStart"/>
      <w:r w:rsidR="001740A1">
        <w:rPr>
          <w:sz w:val="24"/>
          <w:szCs w:val="24"/>
          <w:lang w:val="fr-FR"/>
        </w:rPr>
        <w:t>SpaceCap</w:t>
      </w:r>
      <w:proofErr w:type="spellEnd"/>
      <w:r w:rsidR="001740A1">
        <w:rPr>
          <w:sz w:val="24"/>
          <w:szCs w:val="24"/>
          <w:lang w:val="fr-FR"/>
        </w:rPr>
        <w:t xml:space="preserve">, </w:t>
      </w:r>
      <w:proofErr w:type="spellStart"/>
      <w:r w:rsidR="001740A1">
        <w:rPr>
          <w:sz w:val="24"/>
          <w:szCs w:val="24"/>
          <w:lang w:val="fr-FR"/>
        </w:rPr>
        <w:t>SpaceVal</w:t>
      </w:r>
      <w:proofErr w:type="spellEnd"/>
      <w:r w:rsidR="001740A1">
        <w:rPr>
          <w:sz w:val="24"/>
          <w:szCs w:val="24"/>
          <w:lang w:val="fr-FR"/>
        </w:rPr>
        <w:t xml:space="preserve"> et </w:t>
      </w:r>
      <w:proofErr w:type="spellStart"/>
      <w:r w:rsidR="001740A1">
        <w:rPr>
          <w:sz w:val="24"/>
          <w:szCs w:val="24"/>
          <w:lang w:val="fr-FR"/>
        </w:rPr>
        <w:t>SpaceQry</w:t>
      </w:r>
      <w:proofErr w:type="spellEnd"/>
      <w:r w:rsidR="001740A1">
        <w:rPr>
          <w:sz w:val="24"/>
          <w:szCs w:val="24"/>
          <w:lang w:val="fr-FR"/>
        </w:rPr>
        <w:t>)</w:t>
      </w:r>
      <w:r w:rsidR="00F447F6" w:rsidRPr="001C4402">
        <w:rPr>
          <w:sz w:val="24"/>
          <w:szCs w:val="24"/>
          <w:lang w:val="fr-FR"/>
        </w:rPr>
        <w:t>,</w:t>
      </w:r>
      <w:r w:rsidRPr="001C4402">
        <w:rPr>
          <w:sz w:val="24"/>
          <w:szCs w:val="24"/>
          <w:lang w:val="fr-FR"/>
        </w:rPr>
        <w:t xml:space="preserve"> </w:t>
      </w:r>
      <w:r w:rsidR="0014256B" w:rsidRPr="001C4402">
        <w:rPr>
          <w:sz w:val="24"/>
          <w:szCs w:val="24"/>
          <w:lang w:val="fr-FR"/>
        </w:rPr>
        <w:t>inclu</w:t>
      </w:r>
      <w:r w:rsidR="003F39AB" w:rsidRPr="001C4402">
        <w:rPr>
          <w:sz w:val="24"/>
          <w:szCs w:val="24"/>
          <w:lang w:val="fr-FR"/>
        </w:rPr>
        <w:t>ant</w:t>
      </w:r>
      <w:r w:rsidR="001C4402" w:rsidRPr="001C4402">
        <w:rPr>
          <w:sz w:val="24"/>
          <w:szCs w:val="24"/>
          <w:lang w:val="fr-FR"/>
        </w:rPr>
        <w:t xml:space="preserve"> le</w:t>
      </w:r>
      <w:r w:rsidR="00E37DFB">
        <w:rPr>
          <w:sz w:val="24"/>
          <w:szCs w:val="24"/>
          <w:lang w:val="fr-FR"/>
        </w:rPr>
        <w:t xml:space="preserve"> nouveau symbole </w:t>
      </w:r>
      <w:r w:rsidR="0014256B" w:rsidRPr="001C4402">
        <w:rPr>
          <w:sz w:val="24"/>
          <w:szCs w:val="24"/>
          <w:lang w:val="fr-FR"/>
        </w:rPr>
        <w:t xml:space="preserve">UC, </w:t>
      </w:r>
      <w:r w:rsidRPr="001C4402">
        <w:rPr>
          <w:sz w:val="24"/>
          <w:szCs w:val="24"/>
          <w:lang w:val="fr-FR"/>
        </w:rPr>
        <w:t xml:space="preserve">sera téléchargeable à l'adresse: </w:t>
      </w:r>
      <w:hyperlink r:id="rId9" w:history="1">
        <w:r w:rsidR="00F04622" w:rsidRPr="001C4402">
          <w:rPr>
            <w:rStyle w:val="Hyperlink"/>
            <w:sz w:val="24"/>
            <w:szCs w:val="24"/>
            <w:lang w:val="fr-FR"/>
          </w:rPr>
          <w:t>http://www.itu.int/ITU-R/go/space-software/en</w:t>
        </w:r>
      </w:hyperlink>
      <w:r w:rsidR="00F04622" w:rsidRPr="001C4402">
        <w:rPr>
          <w:sz w:val="24"/>
          <w:szCs w:val="24"/>
          <w:lang w:val="fr-FR"/>
        </w:rPr>
        <w:t>, a</w:t>
      </w:r>
      <w:r w:rsidR="00F447F6" w:rsidRPr="001C4402">
        <w:rPr>
          <w:sz w:val="24"/>
          <w:szCs w:val="24"/>
          <w:lang w:val="fr-FR"/>
        </w:rPr>
        <w:t xml:space="preserve">insi que </w:t>
      </w:r>
      <w:r w:rsidR="0014256B" w:rsidRPr="001C4402">
        <w:rPr>
          <w:sz w:val="24"/>
          <w:szCs w:val="24"/>
          <w:lang w:val="fr-FR"/>
        </w:rPr>
        <w:t>sur</w:t>
      </w:r>
      <w:r w:rsidR="00F04622" w:rsidRPr="001C4402">
        <w:rPr>
          <w:sz w:val="24"/>
          <w:szCs w:val="24"/>
          <w:lang w:val="fr-FR"/>
        </w:rPr>
        <w:t xml:space="preserve"> l</w:t>
      </w:r>
      <w:r w:rsidR="001C4402" w:rsidRPr="001C4402">
        <w:rPr>
          <w:sz w:val="24"/>
          <w:szCs w:val="24"/>
          <w:lang w:val="fr-FR"/>
        </w:rPr>
        <w:t xml:space="preserve">a BR </w:t>
      </w:r>
      <w:r w:rsidR="00F04622" w:rsidRPr="001C4402">
        <w:rPr>
          <w:sz w:val="24"/>
          <w:szCs w:val="24"/>
          <w:lang w:val="fr-FR"/>
        </w:rPr>
        <w:t>IFIC (services spatiaux), à partir de l</w:t>
      </w:r>
      <w:r w:rsidR="001C4402" w:rsidRPr="001C4402">
        <w:rPr>
          <w:sz w:val="24"/>
          <w:szCs w:val="24"/>
          <w:lang w:val="fr-FR"/>
        </w:rPr>
        <w:t xml:space="preserve">a BR </w:t>
      </w:r>
      <w:r w:rsidR="00F04622" w:rsidRPr="001C4402">
        <w:rPr>
          <w:sz w:val="24"/>
          <w:szCs w:val="24"/>
          <w:lang w:val="fr-FR"/>
        </w:rPr>
        <w:t>IFIC 2763</w:t>
      </w:r>
      <w:r w:rsidR="004D4F46" w:rsidRPr="001C4402">
        <w:rPr>
          <w:sz w:val="24"/>
          <w:szCs w:val="24"/>
          <w:lang w:val="fr-FR"/>
        </w:rPr>
        <w:t>/18.02.2014.</w:t>
      </w:r>
    </w:p>
    <w:p w:rsidR="001C48E0" w:rsidRPr="001C4402" w:rsidRDefault="001C48E0" w:rsidP="00AE6336">
      <w:pPr>
        <w:tabs>
          <w:tab w:val="clear" w:pos="794"/>
          <w:tab w:val="left" w:pos="900"/>
        </w:tabs>
        <w:spacing w:before="240" w:line="240" w:lineRule="auto"/>
        <w:rPr>
          <w:sz w:val="24"/>
          <w:szCs w:val="24"/>
          <w:lang w:val="fr-FR"/>
        </w:rPr>
      </w:pPr>
      <w:r w:rsidRPr="001C4402">
        <w:rPr>
          <w:sz w:val="24"/>
          <w:szCs w:val="24"/>
          <w:lang w:val="fr-FR"/>
        </w:rPr>
        <w:t>Le Bureau reste à la disposition de votre administration pour toute demande de précision</w:t>
      </w:r>
      <w:r w:rsidR="004D4F46" w:rsidRPr="001C4402">
        <w:rPr>
          <w:sz w:val="24"/>
          <w:szCs w:val="24"/>
          <w:lang w:val="fr-FR"/>
        </w:rPr>
        <w:t>s</w:t>
      </w:r>
      <w:r w:rsidRPr="001C4402">
        <w:rPr>
          <w:sz w:val="24"/>
          <w:szCs w:val="24"/>
          <w:lang w:val="fr-FR"/>
        </w:rPr>
        <w:t xml:space="preserve"> </w:t>
      </w:r>
      <w:r w:rsidR="004D4F46" w:rsidRPr="001C4402">
        <w:rPr>
          <w:sz w:val="24"/>
          <w:szCs w:val="24"/>
          <w:lang w:val="fr-FR"/>
        </w:rPr>
        <w:t>au sujet des</w:t>
      </w:r>
      <w:r w:rsidRPr="001C4402">
        <w:rPr>
          <w:sz w:val="24"/>
          <w:szCs w:val="24"/>
          <w:lang w:val="fr-FR"/>
        </w:rPr>
        <w:t xml:space="preserve"> questions traitées dans la présente Lettre circulaire</w:t>
      </w:r>
      <w:r w:rsidR="00D02B21" w:rsidRPr="001C4402">
        <w:rPr>
          <w:sz w:val="24"/>
          <w:szCs w:val="24"/>
          <w:lang w:val="fr-FR"/>
        </w:rPr>
        <w:t xml:space="preserve"> (écrire à l'adresse: </w:t>
      </w:r>
      <w:hyperlink r:id="rId10" w:history="1">
        <w:r w:rsidR="00D02B21" w:rsidRPr="001C4402">
          <w:rPr>
            <w:rStyle w:val="Hyperlink"/>
            <w:sz w:val="24"/>
            <w:szCs w:val="24"/>
            <w:lang w:val="fr-FR"/>
          </w:rPr>
          <w:t>brmail@itu.int</w:t>
        </w:r>
      </w:hyperlink>
      <w:r w:rsidR="00D02B21" w:rsidRPr="001C4402">
        <w:rPr>
          <w:sz w:val="24"/>
          <w:szCs w:val="24"/>
          <w:lang w:val="fr-FR"/>
        </w:rPr>
        <w:t>)</w:t>
      </w:r>
      <w:r w:rsidRPr="001C4402">
        <w:rPr>
          <w:sz w:val="24"/>
          <w:szCs w:val="24"/>
          <w:lang w:val="fr-FR"/>
        </w:rPr>
        <w:t>.</w:t>
      </w:r>
    </w:p>
    <w:p w:rsidR="00031E64" w:rsidRPr="001C4402" w:rsidRDefault="00031E64" w:rsidP="008C0605">
      <w:pPr>
        <w:spacing w:before="84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1C4402">
        <w:rPr>
          <w:rFonts w:asciiTheme="minorHAnsi" w:hAnsiTheme="minorHAnsi" w:cstheme="minorHAnsi"/>
          <w:sz w:val="24"/>
          <w:szCs w:val="24"/>
          <w:lang w:val="fr-FR"/>
        </w:rPr>
        <w:t xml:space="preserve">François </w:t>
      </w:r>
      <w:proofErr w:type="spellStart"/>
      <w:r w:rsidRPr="001C4402">
        <w:rPr>
          <w:rFonts w:asciiTheme="minorHAnsi" w:hAnsiTheme="minorHAnsi" w:cstheme="minorHAnsi"/>
          <w:sz w:val="24"/>
          <w:szCs w:val="24"/>
          <w:lang w:val="fr-FR"/>
        </w:rPr>
        <w:t>Rancy</w:t>
      </w:r>
      <w:proofErr w:type="spellEnd"/>
    </w:p>
    <w:p w:rsidR="00031E64" w:rsidRPr="001C4402" w:rsidRDefault="00CE463D" w:rsidP="00AE633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1C4402">
        <w:rPr>
          <w:rFonts w:asciiTheme="minorHAnsi" w:hAnsiTheme="minorHAnsi" w:cstheme="minorHAnsi"/>
          <w:sz w:val="24"/>
          <w:szCs w:val="24"/>
          <w:lang w:val="fr-FR"/>
        </w:rPr>
        <w:t>Direct</w:t>
      </w:r>
      <w:r w:rsidR="001C48E0" w:rsidRPr="001C4402">
        <w:rPr>
          <w:rFonts w:asciiTheme="minorHAnsi" w:hAnsiTheme="minorHAnsi" w:cstheme="minorHAnsi"/>
          <w:sz w:val="24"/>
          <w:szCs w:val="24"/>
          <w:lang w:val="fr-FR"/>
        </w:rPr>
        <w:t>eu</w:t>
      </w:r>
      <w:r w:rsidRPr="001C4402">
        <w:rPr>
          <w:rFonts w:asciiTheme="minorHAnsi" w:hAnsiTheme="minorHAnsi" w:cstheme="minorHAnsi"/>
          <w:sz w:val="24"/>
          <w:szCs w:val="24"/>
          <w:lang w:val="fr-FR"/>
        </w:rPr>
        <w:t>r</w:t>
      </w:r>
    </w:p>
    <w:p w:rsidR="00AB4694" w:rsidRPr="001C4402" w:rsidRDefault="00AB4694" w:rsidP="00AE633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</w:p>
    <w:p w:rsidR="00AB4694" w:rsidRDefault="00AB4694" w:rsidP="00AE633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</w:p>
    <w:p w:rsidR="008C0605" w:rsidRDefault="008C0605" w:rsidP="00AE633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</w:p>
    <w:p w:rsidR="008C0605" w:rsidRPr="001C4402" w:rsidRDefault="008C0605" w:rsidP="00AE633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</w:p>
    <w:p w:rsidR="00AB4694" w:rsidRPr="001C4402" w:rsidRDefault="00AB4694" w:rsidP="00AE633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</w:p>
    <w:p w:rsidR="00AB4694" w:rsidRPr="001C4402" w:rsidRDefault="00AB4694" w:rsidP="00AE633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</w:p>
    <w:p w:rsidR="00AB4694" w:rsidRPr="001C4402" w:rsidRDefault="00AB4694" w:rsidP="00AE6336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</w:p>
    <w:p w:rsidR="00AB4694" w:rsidRPr="001C4402" w:rsidRDefault="00AB4694" w:rsidP="00AE6336">
      <w:pPr>
        <w:spacing w:line="240" w:lineRule="auto"/>
        <w:rPr>
          <w:sz w:val="24"/>
          <w:szCs w:val="24"/>
          <w:lang w:val="fr-FR"/>
        </w:rPr>
      </w:pPr>
    </w:p>
    <w:p w:rsidR="00AB4694" w:rsidRPr="001C4402" w:rsidRDefault="00AB4694" w:rsidP="00AE6336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 w:line="240" w:lineRule="auto"/>
        <w:jc w:val="both"/>
        <w:rPr>
          <w:bCs/>
          <w:sz w:val="18"/>
          <w:szCs w:val="18"/>
          <w:u w:val="single"/>
          <w:lang w:val="fr-FR"/>
        </w:rPr>
      </w:pPr>
      <w:bookmarkStart w:id="1" w:name="ddistribution"/>
      <w:bookmarkEnd w:id="1"/>
      <w:r w:rsidRPr="001C4402">
        <w:rPr>
          <w:bCs/>
          <w:sz w:val="18"/>
          <w:szCs w:val="18"/>
          <w:u w:val="single"/>
          <w:lang w:val="fr-FR"/>
        </w:rPr>
        <w:t>Distribution:</w:t>
      </w:r>
    </w:p>
    <w:p w:rsidR="00AB4694" w:rsidRPr="001C4402" w:rsidRDefault="00AB4694" w:rsidP="00AE6336">
      <w:pPr>
        <w:pStyle w:val="enumlev1"/>
        <w:tabs>
          <w:tab w:val="clear" w:pos="794"/>
          <w:tab w:val="left" w:pos="284"/>
        </w:tabs>
        <w:spacing w:line="240" w:lineRule="auto"/>
        <w:rPr>
          <w:sz w:val="18"/>
          <w:szCs w:val="18"/>
          <w:lang w:val="fr-FR"/>
        </w:rPr>
      </w:pPr>
      <w:r w:rsidRPr="001C4402">
        <w:rPr>
          <w:sz w:val="18"/>
          <w:szCs w:val="18"/>
          <w:lang w:val="fr-FR"/>
        </w:rPr>
        <w:t>–</w:t>
      </w:r>
      <w:r w:rsidRPr="001C4402">
        <w:rPr>
          <w:sz w:val="18"/>
          <w:szCs w:val="18"/>
          <w:lang w:val="fr-FR"/>
        </w:rPr>
        <w:tab/>
        <w:t xml:space="preserve">Administrations </w:t>
      </w:r>
      <w:r w:rsidR="00410A09">
        <w:rPr>
          <w:sz w:val="18"/>
          <w:szCs w:val="18"/>
          <w:lang w:val="fr-FR"/>
        </w:rPr>
        <w:t>des E</w:t>
      </w:r>
      <w:r w:rsidR="001C48E0" w:rsidRPr="001C4402">
        <w:rPr>
          <w:sz w:val="18"/>
          <w:szCs w:val="18"/>
          <w:lang w:val="fr-FR"/>
        </w:rPr>
        <w:t>tats Membres de l'UIT</w:t>
      </w:r>
    </w:p>
    <w:p w:rsidR="00AB4694" w:rsidRPr="001C4402" w:rsidRDefault="00AB4694" w:rsidP="00AE6336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FR"/>
        </w:rPr>
      </w:pPr>
      <w:r w:rsidRPr="001C4402">
        <w:rPr>
          <w:sz w:val="18"/>
          <w:szCs w:val="18"/>
          <w:lang w:val="fr-FR"/>
        </w:rPr>
        <w:t>–</w:t>
      </w:r>
      <w:r w:rsidRPr="001C4402">
        <w:rPr>
          <w:sz w:val="18"/>
          <w:szCs w:val="18"/>
          <w:lang w:val="fr-FR"/>
        </w:rPr>
        <w:tab/>
        <w:t>Memb</w:t>
      </w:r>
      <w:r w:rsidR="001C48E0" w:rsidRPr="001C4402">
        <w:rPr>
          <w:sz w:val="18"/>
          <w:szCs w:val="18"/>
          <w:lang w:val="fr-FR"/>
        </w:rPr>
        <w:t>re</w:t>
      </w:r>
      <w:r w:rsidRPr="001C4402">
        <w:rPr>
          <w:sz w:val="18"/>
          <w:szCs w:val="18"/>
          <w:lang w:val="fr-FR"/>
        </w:rPr>
        <w:t xml:space="preserve">s </w:t>
      </w:r>
      <w:r w:rsidR="001C48E0" w:rsidRPr="001C4402">
        <w:rPr>
          <w:sz w:val="18"/>
          <w:szCs w:val="18"/>
          <w:lang w:val="fr-FR"/>
        </w:rPr>
        <w:t xml:space="preserve"> du Comité du Règlement des radiocommunications</w:t>
      </w:r>
    </w:p>
    <w:sectPr w:rsidR="00AB4694" w:rsidRPr="001C4402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30" w:rsidRDefault="000C6A30">
      <w:r>
        <w:separator/>
      </w:r>
    </w:p>
  </w:endnote>
  <w:endnote w:type="continuationSeparator" w:id="0">
    <w:p w:rsidR="000C6A30" w:rsidRDefault="000C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8C0605" w:rsidRDefault="00E915AF" w:rsidP="008256D1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8C0605">
      <w:rPr>
        <w:sz w:val="18"/>
        <w:szCs w:val="18"/>
        <w:lang w:val="fr-CH"/>
      </w:rPr>
      <w:t xml:space="preserve">Union </w:t>
    </w:r>
    <w:r w:rsidR="00377D87" w:rsidRPr="008C0605">
      <w:rPr>
        <w:sz w:val="18"/>
        <w:szCs w:val="18"/>
        <w:lang w:val="fr-CH"/>
      </w:rPr>
      <w:t>international</w:t>
    </w:r>
    <w:r w:rsidR="008256D1" w:rsidRPr="008C0605">
      <w:rPr>
        <w:sz w:val="18"/>
        <w:szCs w:val="18"/>
        <w:lang w:val="fr-CH"/>
      </w:rPr>
      <w:t>e</w:t>
    </w:r>
    <w:r w:rsidR="00377D87" w:rsidRPr="008C0605">
      <w:rPr>
        <w:sz w:val="18"/>
        <w:szCs w:val="18"/>
        <w:lang w:val="fr-CH"/>
      </w:rPr>
      <w:t xml:space="preserve"> des t</w:t>
    </w:r>
    <w:r w:rsidR="008256D1" w:rsidRPr="008C0605">
      <w:rPr>
        <w:sz w:val="18"/>
        <w:szCs w:val="18"/>
        <w:lang w:val="fr-CH"/>
      </w:rPr>
      <w:t>é</w:t>
    </w:r>
    <w:r w:rsidR="00377D87" w:rsidRPr="008C0605">
      <w:rPr>
        <w:sz w:val="18"/>
        <w:szCs w:val="18"/>
        <w:lang w:val="fr-CH"/>
      </w:rPr>
      <w:t>l</w:t>
    </w:r>
    <w:r w:rsidR="008256D1" w:rsidRPr="008C0605">
      <w:rPr>
        <w:sz w:val="18"/>
        <w:szCs w:val="18"/>
        <w:lang w:val="fr-CH"/>
      </w:rPr>
      <w:t>é</w:t>
    </w:r>
    <w:r w:rsidR="00377D87" w:rsidRPr="008C0605">
      <w:rPr>
        <w:sz w:val="18"/>
        <w:szCs w:val="18"/>
        <w:lang w:val="fr-CH"/>
      </w:rPr>
      <w:t xml:space="preserve">communications </w:t>
    </w:r>
    <w:r w:rsidRPr="008C0605">
      <w:rPr>
        <w:sz w:val="18"/>
        <w:szCs w:val="18"/>
        <w:lang w:val="fr-CH"/>
      </w:rPr>
      <w:t>• Place des Nations • CH</w:t>
    </w:r>
    <w:r w:rsidRPr="008C0605">
      <w:rPr>
        <w:sz w:val="18"/>
        <w:szCs w:val="18"/>
        <w:lang w:val="fr-CH"/>
      </w:rPr>
      <w:noBreakHyphen/>
      <w:t>1211 Gen</w:t>
    </w:r>
    <w:r w:rsidR="00377D87" w:rsidRPr="008C0605">
      <w:rPr>
        <w:sz w:val="18"/>
        <w:szCs w:val="18"/>
        <w:lang w:val="fr-CH"/>
      </w:rPr>
      <w:t xml:space="preserve">ève </w:t>
    </w:r>
    <w:r w:rsidRPr="008C0605">
      <w:rPr>
        <w:sz w:val="18"/>
        <w:szCs w:val="18"/>
        <w:lang w:val="fr-CH"/>
      </w:rPr>
      <w:t>20 • S</w:t>
    </w:r>
    <w:r w:rsidR="00377D87" w:rsidRPr="008C0605">
      <w:rPr>
        <w:sz w:val="18"/>
        <w:szCs w:val="18"/>
        <w:lang w:val="fr-CH"/>
      </w:rPr>
      <w:t>uisse</w:t>
    </w:r>
    <w:r w:rsidRPr="008C0605">
      <w:rPr>
        <w:sz w:val="18"/>
        <w:szCs w:val="18"/>
        <w:lang w:val="fr-CH"/>
      </w:rPr>
      <w:br/>
      <w:t>T</w:t>
    </w:r>
    <w:r w:rsidR="00377D87" w:rsidRPr="008C0605">
      <w:rPr>
        <w:sz w:val="18"/>
        <w:szCs w:val="18"/>
        <w:lang w:val="fr-CH"/>
      </w:rPr>
      <w:t>é</w:t>
    </w:r>
    <w:r w:rsidRPr="008C0605">
      <w:rPr>
        <w:sz w:val="18"/>
        <w:szCs w:val="18"/>
        <w:lang w:val="fr-CH"/>
      </w:rPr>
      <w:t xml:space="preserve">l: +41 22 730 5111 • Fax: +41 22 733 7256 • E-mail: </w:t>
    </w:r>
    <w:hyperlink r:id="rId1" w:history="1">
      <w:r w:rsidRPr="008C0605">
        <w:rPr>
          <w:rStyle w:val="Hyperlink"/>
          <w:sz w:val="18"/>
          <w:szCs w:val="18"/>
          <w:lang w:val="fr-CH"/>
        </w:rPr>
        <w:t>itumail@itu.int</w:t>
      </w:r>
    </w:hyperlink>
    <w:r w:rsidRPr="008C0605">
      <w:rPr>
        <w:sz w:val="18"/>
        <w:szCs w:val="18"/>
        <w:lang w:val="fr-CH"/>
      </w:rPr>
      <w:t xml:space="preserve"> • </w:t>
    </w:r>
    <w:hyperlink r:id="rId2" w:history="1">
      <w:r w:rsidRPr="008C0605">
        <w:rPr>
          <w:rStyle w:val="Hyperlink"/>
          <w:sz w:val="18"/>
          <w:szCs w:val="18"/>
          <w:lang w:val="fr-CH"/>
        </w:rPr>
        <w:t>www.itu.int</w:t>
      </w:r>
    </w:hyperlink>
    <w:r w:rsidRPr="008C0605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30" w:rsidRDefault="000C6A30">
      <w:r>
        <w:t>____________________</w:t>
      </w:r>
    </w:p>
  </w:footnote>
  <w:footnote w:type="continuationSeparator" w:id="0">
    <w:p w:rsidR="000C6A30" w:rsidRDefault="000C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8C0605" w:rsidRDefault="008C0605" w:rsidP="008C0605">
    <w:pPr>
      <w:pStyle w:val="Header"/>
      <w:jc w:val="center"/>
      <w:rPr>
        <w:sz w:val="18"/>
        <w:szCs w:val="18"/>
        <w:lang w:val="fr-CH"/>
      </w:rPr>
    </w:pPr>
    <w:r w:rsidRPr="008C0605">
      <w:rPr>
        <w:sz w:val="18"/>
        <w:szCs w:val="18"/>
        <w:lang w:val="fr-CH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AE6336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1611F13" wp14:editId="05F1CA49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3A0A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C6A30"/>
    <w:rsid w:val="000E3DEE"/>
    <w:rsid w:val="00100B72"/>
    <w:rsid w:val="00101F7D"/>
    <w:rsid w:val="00103C76"/>
    <w:rsid w:val="0011265F"/>
    <w:rsid w:val="00117282"/>
    <w:rsid w:val="00117389"/>
    <w:rsid w:val="00121C2D"/>
    <w:rsid w:val="0012210C"/>
    <w:rsid w:val="00134404"/>
    <w:rsid w:val="0014256B"/>
    <w:rsid w:val="00144DFB"/>
    <w:rsid w:val="00155D59"/>
    <w:rsid w:val="001740A1"/>
    <w:rsid w:val="00187CA3"/>
    <w:rsid w:val="00196710"/>
    <w:rsid w:val="00197324"/>
    <w:rsid w:val="001A02BD"/>
    <w:rsid w:val="001B091C"/>
    <w:rsid w:val="001B351B"/>
    <w:rsid w:val="001C06DB"/>
    <w:rsid w:val="001C4402"/>
    <w:rsid w:val="001C48E0"/>
    <w:rsid w:val="001C6971"/>
    <w:rsid w:val="001D2785"/>
    <w:rsid w:val="001D49B0"/>
    <w:rsid w:val="001D7070"/>
    <w:rsid w:val="001E78EA"/>
    <w:rsid w:val="001F2170"/>
    <w:rsid w:val="001F3948"/>
    <w:rsid w:val="001F5A49"/>
    <w:rsid w:val="00201097"/>
    <w:rsid w:val="00201B6E"/>
    <w:rsid w:val="00202641"/>
    <w:rsid w:val="00206029"/>
    <w:rsid w:val="00224B2D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1D35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2126"/>
    <w:rsid w:val="003435D4"/>
    <w:rsid w:val="00345D38"/>
    <w:rsid w:val="00352097"/>
    <w:rsid w:val="003565E5"/>
    <w:rsid w:val="003666FF"/>
    <w:rsid w:val="0037309C"/>
    <w:rsid w:val="00377D87"/>
    <w:rsid w:val="00380A6E"/>
    <w:rsid w:val="00383523"/>
    <w:rsid w:val="003836D4"/>
    <w:rsid w:val="003A1F49"/>
    <w:rsid w:val="003A5D52"/>
    <w:rsid w:val="003B2BDA"/>
    <w:rsid w:val="003B55EC"/>
    <w:rsid w:val="003C2EA7"/>
    <w:rsid w:val="003C4471"/>
    <w:rsid w:val="003C7D41"/>
    <w:rsid w:val="003D248E"/>
    <w:rsid w:val="003D4A69"/>
    <w:rsid w:val="003E504F"/>
    <w:rsid w:val="003E78D6"/>
    <w:rsid w:val="003F39AB"/>
    <w:rsid w:val="00400573"/>
    <w:rsid w:val="004007A3"/>
    <w:rsid w:val="00406D71"/>
    <w:rsid w:val="00410A09"/>
    <w:rsid w:val="004326DB"/>
    <w:rsid w:val="0043682E"/>
    <w:rsid w:val="004429AF"/>
    <w:rsid w:val="00447ECB"/>
    <w:rsid w:val="00450488"/>
    <w:rsid w:val="00456B50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4F46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564D"/>
    <w:rsid w:val="0050789B"/>
    <w:rsid w:val="00510BFF"/>
    <w:rsid w:val="005224A1"/>
    <w:rsid w:val="00534372"/>
    <w:rsid w:val="00543DF8"/>
    <w:rsid w:val="00546101"/>
    <w:rsid w:val="00553DD7"/>
    <w:rsid w:val="00556327"/>
    <w:rsid w:val="005638CF"/>
    <w:rsid w:val="00566B2E"/>
    <w:rsid w:val="0056741E"/>
    <w:rsid w:val="0057325A"/>
    <w:rsid w:val="0057469A"/>
    <w:rsid w:val="00580814"/>
    <w:rsid w:val="00583A0B"/>
    <w:rsid w:val="005847F6"/>
    <w:rsid w:val="00591FE3"/>
    <w:rsid w:val="005A03A3"/>
    <w:rsid w:val="005A2B92"/>
    <w:rsid w:val="005A79E9"/>
    <w:rsid w:val="005B214C"/>
    <w:rsid w:val="005D3669"/>
    <w:rsid w:val="005E2E7A"/>
    <w:rsid w:val="005E5EB3"/>
    <w:rsid w:val="005F2832"/>
    <w:rsid w:val="005F3CB6"/>
    <w:rsid w:val="005F657C"/>
    <w:rsid w:val="00602D53"/>
    <w:rsid w:val="006047E5"/>
    <w:rsid w:val="0064371D"/>
    <w:rsid w:val="00650B2A"/>
    <w:rsid w:val="00651777"/>
    <w:rsid w:val="006550F8"/>
    <w:rsid w:val="00674F13"/>
    <w:rsid w:val="006829F3"/>
    <w:rsid w:val="006929AE"/>
    <w:rsid w:val="00694AA5"/>
    <w:rsid w:val="006A518B"/>
    <w:rsid w:val="006A7630"/>
    <w:rsid w:val="006B0590"/>
    <w:rsid w:val="006B1405"/>
    <w:rsid w:val="006B49DA"/>
    <w:rsid w:val="006C4046"/>
    <w:rsid w:val="006C53F8"/>
    <w:rsid w:val="006C7CDE"/>
    <w:rsid w:val="00715F70"/>
    <w:rsid w:val="007234B1"/>
    <w:rsid w:val="00723D08"/>
    <w:rsid w:val="00725FDA"/>
    <w:rsid w:val="00727816"/>
    <w:rsid w:val="00730B9A"/>
    <w:rsid w:val="00750CFA"/>
    <w:rsid w:val="007553DA"/>
    <w:rsid w:val="00782354"/>
    <w:rsid w:val="00782755"/>
    <w:rsid w:val="00785FAC"/>
    <w:rsid w:val="007921A7"/>
    <w:rsid w:val="00795485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6D1"/>
    <w:rsid w:val="00852B53"/>
    <w:rsid w:val="00854131"/>
    <w:rsid w:val="0085652D"/>
    <w:rsid w:val="0087694B"/>
    <w:rsid w:val="00880F4D"/>
    <w:rsid w:val="008B35A3"/>
    <w:rsid w:val="008B37E1"/>
    <w:rsid w:val="008B45F8"/>
    <w:rsid w:val="008C0605"/>
    <w:rsid w:val="008C2E74"/>
    <w:rsid w:val="008D5409"/>
    <w:rsid w:val="008D7871"/>
    <w:rsid w:val="008E006D"/>
    <w:rsid w:val="008E0564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63D9D"/>
    <w:rsid w:val="00966740"/>
    <w:rsid w:val="0098013E"/>
    <w:rsid w:val="00981B54"/>
    <w:rsid w:val="009842C3"/>
    <w:rsid w:val="009A009A"/>
    <w:rsid w:val="009A4D94"/>
    <w:rsid w:val="009A6BB6"/>
    <w:rsid w:val="009B3F43"/>
    <w:rsid w:val="009B5CFA"/>
    <w:rsid w:val="009B72DA"/>
    <w:rsid w:val="009C161F"/>
    <w:rsid w:val="009C56B4"/>
    <w:rsid w:val="009D4D61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B4694"/>
    <w:rsid w:val="00AC0C22"/>
    <w:rsid w:val="00AC3896"/>
    <w:rsid w:val="00AD0386"/>
    <w:rsid w:val="00AD167B"/>
    <w:rsid w:val="00AD2CF2"/>
    <w:rsid w:val="00AE2D88"/>
    <w:rsid w:val="00AE6336"/>
    <w:rsid w:val="00AE6F6F"/>
    <w:rsid w:val="00AF3325"/>
    <w:rsid w:val="00AF34D9"/>
    <w:rsid w:val="00AF70DA"/>
    <w:rsid w:val="00B019D3"/>
    <w:rsid w:val="00B155EE"/>
    <w:rsid w:val="00B1725E"/>
    <w:rsid w:val="00B20063"/>
    <w:rsid w:val="00B34CF9"/>
    <w:rsid w:val="00B37559"/>
    <w:rsid w:val="00B4054B"/>
    <w:rsid w:val="00B42952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E758E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55E2"/>
    <w:rsid w:val="00CD59B3"/>
    <w:rsid w:val="00CE076A"/>
    <w:rsid w:val="00CE463D"/>
    <w:rsid w:val="00D02B21"/>
    <w:rsid w:val="00D10BA0"/>
    <w:rsid w:val="00D21694"/>
    <w:rsid w:val="00D24EB5"/>
    <w:rsid w:val="00D33DDF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DFB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270B"/>
    <w:rsid w:val="00EB3EB8"/>
    <w:rsid w:val="00EC02FE"/>
    <w:rsid w:val="00EC4A96"/>
    <w:rsid w:val="00EE7277"/>
    <w:rsid w:val="00EF59D9"/>
    <w:rsid w:val="00F04622"/>
    <w:rsid w:val="00F112A4"/>
    <w:rsid w:val="00F41ACA"/>
    <w:rsid w:val="00F424BF"/>
    <w:rsid w:val="00F447F6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space-software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E4A0-F8EB-422B-BD81-11A781B7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39</TotalTime>
  <Pages>2</Pages>
  <Words>537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Mondino, Martine</cp:lastModifiedBy>
  <cp:revision>7</cp:revision>
  <cp:lastPrinted>2014-02-11T09:34:00Z</cp:lastPrinted>
  <dcterms:created xsi:type="dcterms:W3CDTF">2014-02-11T08:47:00Z</dcterms:created>
  <dcterms:modified xsi:type="dcterms:W3CDTF">2014-02-11T14:54:00Z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