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D61FDD">
        <w:tc>
          <w:tcPr>
            <w:tcW w:w="6629" w:type="dxa"/>
            <w:gridSpan w:val="2"/>
            <w:shd w:val="clear" w:color="auto" w:fill="auto"/>
          </w:tcPr>
          <w:p w:rsidR="00E53DCE" w:rsidRPr="0033029C" w:rsidRDefault="007C2452" w:rsidP="007C2452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>
              <w:rPr>
                <w:szCs w:val="24"/>
              </w:rPr>
              <w:t>Carta</w:t>
            </w:r>
            <w:proofErr w:type="spellEnd"/>
            <w:r>
              <w:rPr>
                <w:szCs w:val="24"/>
              </w:rPr>
              <w:t xml:space="preserve"> Circular</w:t>
            </w:r>
          </w:p>
          <w:p w:rsidR="00E53DCE" w:rsidRPr="0033029C" w:rsidRDefault="00D61FDD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E53DCE" w:rsidRPr="0033029C">
              <w:rPr>
                <w:b/>
                <w:bCs/>
                <w:szCs w:val="24"/>
                <w:lang w:val="fr-CH"/>
              </w:rPr>
              <w:t>/</w:t>
            </w:r>
            <w:r w:rsidRPr="00D61FDD">
              <w:rPr>
                <w:b/>
                <w:bCs/>
                <w:szCs w:val="24"/>
                <w:lang w:val="fr-CH"/>
              </w:rPr>
              <w:t>356</w:t>
            </w:r>
          </w:p>
        </w:tc>
        <w:tc>
          <w:tcPr>
            <w:tcW w:w="3260" w:type="dxa"/>
            <w:shd w:val="clear" w:color="auto" w:fill="auto"/>
          </w:tcPr>
          <w:p w:rsidR="00E53DCE" w:rsidRPr="0033029C" w:rsidRDefault="00D61FDD" w:rsidP="00D61FDD">
            <w:pPr>
              <w:spacing w:before="0"/>
              <w:jc w:val="right"/>
              <w:rPr>
                <w:szCs w:val="24"/>
                <w:lang w:val="en-GB"/>
              </w:rPr>
            </w:pPr>
            <w:proofErr w:type="spellStart"/>
            <w:r>
              <w:rPr>
                <w:bCs/>
                <w:szCs w:val="24"/>
              </w:rPr>
              <w:t>Ginebra</w:t>
            </w:r>
            <w:proofErr w:type="spellEnd"/>
            <w:r>
              <w:rPr>
                <w:bCs/>
                <w:szCs w:val="24"/>
              </w:rPr>
              <w:t>, 4</w:t>
            </w:r>
            <w:r w:rsidR="00A96D3A" w:rsidRPr="0033029C"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febrero</w:t>
            </w:r>
            <w:proofErr w:type="spellEnd"/>
            <w:r w:rsidR="00A96D3A" w:rsidRPr="0033029C">
              <w:rPr>
                <w:bCs/>
                <w:szCs w:val="24"/>
              </w:rPr>
              <w:t xml:space="preserve"> de 201</w:t>
            </w:r>
            <w:r>
              <w:rPr>
                <w:bCs/>
                <w:szCs w:val="24"/>
              </w:rPr>
              <w:t>4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E41309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41309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41309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41309" w:rsidTr="006160CB">
        <w:tc>
          <w:tcPr>
            <w:tcW w:w="1526" w:type="dxa"/>
            <w:shd w:val="clear" w:color="auto" w:fill="auto"/>
          </w:tcPr>
          <w:p w:rsidR="00E53DCE" w:rsidRPr="0033029C" w:rsidRDefault="00D61FDD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 w:rsidRPr="00D61FDD"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61FDD" w:rsidRDefault="00D61FDD" w:rsidP="003158A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D61FDD">
              <w:rPr>
                <w:b/>
                <w:bCs/>
                <w:szCs w:val="24"/>
                <w:lang w:val="es-ES_tradnl"/>
              </w:rPr>
              <w:t>Publicación de los valores de control de potencia calculados para las asignaciones del Plan y la Lista de enlaces de conexión de las Regiones 1 y 3 del Apéndice 30</w:t>
            </w:r>
            <w:r w:rsidR="003158A6">
              <w:rPr>
                <w:b/>
                <w:bCs/>
                <w:szCs w:val="24"/>
                <w:lang w:val="es-ES_tradnl"/>
              </w:rPr>
              <w:t>A</w:t>
            </w:r>
          </w:p>
        </w:tc>
      </w:tr>
      <w:tr w:rsidR="00E53DCE" w:rsidRPr="00E41309" w:rsidTr="006160CB">
        <w:tc>
          <w:tcPr>
            <w:tcW w:w="1526" w:type="dxa"/>
            <w:shd w:val="clear" w:color="auto" w:fill="auto"/>
          </w:tcPr>
          <w:p w:rsidR="00E53DCE" w:rsidRPr="00D61FD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61FD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41309" w:rsidTr="006160CB">
        <w:tc>
          <w:tcPr>
            <w:tcW w:w="1526" w:type="dxa"/>
            <w:shd w:val="clear" w:color="auto" w:fill="auto"/>
          </w:tcPr>
          <w:p w:rsidR="00E53DCE" w:rsidRPr="00D61FD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61FD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41309" w:rsidTr="006160CB">
        <w:tc>
          <w:tcPr>
            <w:tcW w:w="9889" w:type="dxa"/>
            <w:gridSpan w:val="3"/>
            <w:shd w:val="clear" w:color="auto" w:fill="auto"/>
          </w:tcPr>
          <w:p w:rsidR="00E53DCE" w:rsidRPr="00D61FD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41309" w:rsidTr="006160CB">
        <w:tc>
          <w:tcPr>
            <w:tcW w:w="9889" w:type="dxa"/>
            <w:gridSpan w:val="3"/>
            <w:shd w:val="clear" w:color="auto" w:fill="auto"/>
          </w:tcPr>
          <w:p w:rsidR="00E53DCE" w:rsidRPr="00D61FD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205F05" w:rsidRPr="00DE2F1F" w:rsidRDefault="00205F05" w:rsidP="00C11D31">
      <w:pPr>
        <w:rPr>
          <w:rFonts w:eastAsia="SimSun"/>
          <w:lang w:val="es-ES_tradnl"/>
        </w:rPr>
      </w:pPr>
      <w:r w:rsidRPr="00DE2F1F">
        <w:rPr>
          <w:rFonts w:eastAsia="SimSun"/>
          <w:lang w:val="es-ES_tradnl"/>
        </w:rPr>
        <w:t xml:space="preserve">La Conferencia Mundial de Radiocomunicaciones de 2000 (Estambul, CMR-2000) adoptó los Planes revisados para el servicio de radiodifusión por satélite y los enlaces de conexión asociados </w:t>
      </w:r>
      <w:r>
        <w:rPr>
          <w:rFonts w:eastAsia="SimSun"/>
          <w:lang w:val="es-ES_tradnl"/>
        </w:rPr>
        <w:t>de</w:t>
      </w:r>
      <w:r w:rsidRPr="00DE2F1F">
        <w:rPr>
          <w:rFonts w:eastAsia="SimSun"/>
          <w:lang w:val="es-ES_tradnl"/>
        </w:rPr>
        <w:t xml:space="preserve"> las Regiones 1 y 3, as</w:t>
      </w:r>
      <w:r>
        <w:rPr>
          <w:rFonts w:eastAsia="SimSun"/>
          <w:lang w:val="es-ES_tradnl"/>
        </w:rPr>
        <w:t>í como las Listas de enlaces de conexión y enlaces descendentes de las Regiones</w:t>
      </w:r>
      <w:r w:rsidR="00C11D31">
        <w:rPr>
          <w:rFonts w:eastAsia="SimSun"/>
          <w:lang w:val="es-ES_tradnl"/>
        </w:rPr>
        <w:t> </w:t>
      </w:r>
      <w:r>
        <w:rPr>
          <w:rFonts w:eastAsia="SimSun"/>
          <w:lang w:val="es-ES_tradnl"/>
        </w:rPr>
        <w:t xml:space="preserve">1 y 3 para usos adicionales. </w:t>
      </w:r>
      <w:r w:rsidRPr="00DE2F1F">
        <w:rPr>
          <w:rFonts w:eastAsia="SimSun"/>
          <w:lang w:val="es-ES_tradnl"/>
        </w:rPr>
        <w:t xml:space="preserve">La Conferencia adoptó asimismo la nota 32 al Artículo 9A del Apéndice </w:t>
      </w:r>
      <w:r w:rsidRPr="00DE2F1F">
        <w:rPr>
          <w:rFonts w:eastAsia="SimSun"/>
          <w:b/>
          <w:bCs/>
          <w:lang w:val="es-ES_tradnl"/>
        </w:rPr>
        <w:t>30A,</w:t>
      </w:r>
      <w:r w:rsidRPr="00DE2F1F">
        <w:rPr>
          <w:rFonts w:eastAsia="SimSun"/>
          <w:lang w:val="es-ES_tradnl"/>
        </w:rPr>
        <w:t xml:space="preserve"> que se aplica a las asignaciones del Plan para las Regiones 1 y 3, que indica que los valores de control de potencia (incremento a</w:t>
      </w:r>
      <w:r>
        <w:rPr>
          <w:rFonts w:eastAsia="SimSun"/>
          <w:lang w:val="es-ES_tradnl"/>
        </w:rPr>
        <w:t>dmitido</w:t>
      </w:r>
      <w:r w:rsidRPr="00DE2F1F">
        <w:rPr>
          <w:rFonts w:eastAsia="SimSun"/>
          <w:lang w:val="es-ES_tradnl"/>
        </w:rPr>
        <w:t xml:space="preserve"> de la </w:t>
      </w:r>
      <w:proofErr w:type="spellStart"/>
      <w:r w:rsidRPr="00DE2F1F">
        <w:rPr>
          <w:rFonts w:eastAsia="SimSun"/>
          <w:lang w:val="es-ES_tradnl"/>
        </w:rPr>
        <w:t>p.i.r.e</w:t>
      </w:r>
      <w:proofErr w:type="spellEnd"/>
      <w:r w:rsidRPr="00DE2F1F">
        <w:rPr>
          <w:rFonts w:eastAsia="SimSun"/>
          <w:lang w:val="es-ES_tradnl"/>
        </w:rPr>
        <w:t xml:space="preserve">. </w:t>
      </w:r>
      <w:r>
        <w:rPr>
          <w:rFonts w:eastAsia="SimSun"/>
          <w:lang w:val="es-ES_tradnl"/>
        </w:rPr>
        <w:t>(dB) de la estación terrena para contrarrestar el desvanecimiento por lluvia) se calcularán después de la CMR</w:t>
      </w:r>
      <w:r w:rsidRPr="00DE2F1F">
        <w:rPr>
          <w:rFonts w:eastAsia="SimSun"/>
          <w:lang w:val="es-ES_tradnl"/>
        </w:rPr>
        <w:t>-2000.</w:t>
      </w:r>
    </w:p>
    <w:p w:rsidR="00205F05" w:rsidRPr="00DE2F1F" w:rsidRDefault="00205F05" w:rsidP="00E41309">
      <w:pPr>
        <w:rPr>
          <w:rFonts w:eastAsia="SimSun"/>
          <w:lang w:val="es-ES_tradnl"/>
        </w:rPr>
      </w:pPr>
      <w:r w:rsidRPr="00DE2F1F">
        <w:rPr>
          <w:rFonts w:eastAsia="SimSun"/>
          <w:lang w:val="es-ES_tradnl"/>
        </w:rPr>
        <w:t>La Oficina se complace en informar a las administraciones de que se ha finalizado la nueva versión de la aplicación de software para el cálculo del control de potencia (GIBC/</w:t>
      </w:r>
      <w:proofErr w:type="spellStart"/>
      <w:r w:rsidRPr="00DE2F1F">
        <w:rPr>
          <w:rFonts w:eastAsia="SimSun"/>
          <w:b/>
          <w:bCs/>
          <w:lang w:val="es-ES_tradnl"/>
        </w:rPr>
        <w:t>Power</w:t>
      </w:r>
      <w:proofErr w:type="spellEnd"/>
      <w:r w:rsidRPr="00DE2F1F">
        <w:rPr>
          <w:rFonts w:eastAsia="SimSun"/>
          <w:b/>
          <w:bCs/>
          <w:lang w:val="es-ES_tradnl"/>
        </w:rPr>
        <w:t xml:space="preserve"> Control</w:t>
      </w:r>
      <w:r w:rsidRPr="00DE2F1F">
        <w:rPr>
          <w:rFonts w:eastAsia="SimSun"/>
          <w:lang w:val="es-ES_tradnl"/>
        </w:rPr>
        <w:t xml:space="preserve"> versi</w:t>
      </w:r>
      <w:r>
        <w:rPr>
          <w:rFonts w:eastAsia="SimSun"/>
          <w:lang w:val="es-ES_tradnl"/>
        </w:rPr>
        <w:t>ó</w:t>
      </w:r>
      <w:r w:rsidRPr="00DE2F1F">
        <w:rPr>
          <w:rFonts w:eastAsia="SimSun"/>
          <w:lang w:val="es-ES_tradnl"/>
        </w:rPr>
        <w:t>n</w:t>
      </w:r>
      <w:r w:rsidR="00C11D31">
        <w:rPr>
          <w:rFonts w:eastAsia="SimSun"/>
          <w:lang w:val="es-ES_tradnl"/>
        </w:rPr>
        <w:t> </w:t>
      </w:r>
      <w:r w:rsidRPr="00DE2F1F">
        <w:rPr>
          <w:rFonts w:eastAsia="SimSun"/>
          <w:lang w:val="es-ES_tradnl"/>
        </w:rPr>
        <w:t xml:space="preserve">1.0.0.0) </w:t>
      </w:r>
      <w:r>
        <w:rPr>
          <w:rFonts w:eastAsia="SimSun"/>
          <w:lang w:val="es-ES_tradnl"/>
        </w:rPr>
        <w:t>utilizando el procedimiento indicado en el</w:t>
      </w:r>
      <w:r w:rsidRPr="00DE2F1F">
        <w:rPr>
          <w:rFonts w:eastAsia="SimSun"/>
          <w:lang w:val="es-ES_tradnl"/>
        </w:rPr>
        <w:t xml:space="preserve"> § 3.11 </w:t>
      </w:r>
      <w:r>
        <w:rPr>
          <w:rFonts w:eastAsia="SimSun"/>
          <w:lang w:val="es-ES_tradnl"/>
        </w:rPr>
        <w:t>del Anexo</w:t>
      </w:r>
      <w:r w:rsidRPr="00DE2F1F">
        <w:rPr>
          <w:rFonts w:eastAsia="SimSun"/>
          <w:lang w:val="es-ES_tradnl"/>
        </w:rPr>
        <w:t xml:space="preserve"> 3 </w:t>
      </w:r>
      <w:r>
        <w:rPr>
          <w:rFonts w:eastAsia="SimSun"/>
          <w:lang w:val="es-ES_tradnl"/>
        </w:rPr>
        <w:t>al Apéndice</w:t>
      </w:r>
      <w:r w:rsidRPr="00DE2F1F">
        <w:rPr>
          <w:rFonts w:eastAsia="SimSun"/>
          <w:lang w:val="es-ES_tradnl"/>
        </w:rPr>
        <w:t xml:space="preserve"> </w:t>
      </w:r>
      <w:r w:rsidRPr="00DE2F1F">
        <w:rPr>
          <w:rFonts w:eastAsia="SimSun"/>
          <w:b/>
          <w:bCs/>
          <w:lang w:val="es-ES_tradnl"/>
        </w:rPr>
        <w:t xml:space="preserve">30A </w:t>
      </w:r>
      <w:r w:rsidRPr="00DE2F1F">
        <w:rPr>
          <w:rFonts w:eastAsia="SimSun"/>
          <w:lang w:val="es-ES_tradnl"/>
        </w:rPr>
        <w:t>(Rev.</w:t>
      </w:r>
      <w:r>
        <w:rPr>
          <w:rFonts w:eastAsia="SimSun"/>
          <w:lang w:val="es-ES_tradnl"/>
        </w:rPr>
        <w:t>CMR</w:t>
      </w:r>
      <w:r w:rsidRPr="00DE2F1F">
        <w:rPr>
          <w:rFonts w:eastAsia="SimSun"/>
          <w:lang w:val="es-ES_tradnl"/>
        </w:rPr>
        <w:t>-12). En esta nueva versión la Oficina ha incorporado todas las modificaciones derivadas de los criterios t</w:t>
      </w:r>
      <w:r>
        <w:rPr>
          <w:rFonts w:eastAsia="SimSun"/>
          <w:lang w:val="es-ES_tradnl"/>
        </w:rPr>
        <w:t xml:space="preserve">écnicos adoptados por las CMR </w:t>
      </w:r>
      <w:r w:rsidR="00E41309">
        <w:rPr>
          <w:rFonts w:eastAsia="SimSun"/>
          <w:lang w:val="es-ES_tradnl"/>
        </w:rPr>
        <w:t xml:space="preserve">desde el año 2000 </w:t>
      </w:r>
      <w:bookmarkStart w:id="0" w:name="_GoBack"/>
      <w:bookmarkEnd w:id="0"/>
      <w:r>
        <w:rPr>
          <w:rFonts w:eastAsia="SimSun"/>
          <w:lang w:val="es-ES_tradnl"/>
        </w:rPr>
        <w:t>en un nuevo entorno de programación</w:t>
      </w:r>
      <w:r w:rsidRPr="00DE2F1F">
        <w:rPr>
          <w:rFonts w:eastAsia="SimSun"/>
          <w:lang w:val="es-ES_tradnl"/>
        </w:rPr>
        <w:t>.</w:t>
      </w:r>
    </w:p>
    <w:p w:rsidR="00205F05" w:rsidRPr="00BF522B" w:rsidRDefault="00205F05" w:rsidP="00D61FDD">
      <w:pPr>
        <w:rPr>
          <w:lang w:val="es-ES_tradnl"/>
        </w:rPr>
      </w:pPr>
      <w:r w:rsidRPr="00DE2F1F">
        <w:rPr>
          <w:lang w:val="es-ES_tradnl"/>
        </w:rPr>
        <w:t>De conformidad con la mencionada nota 32, la Oficina ha calculado los valores de control de potencia para todas las asignaciones</w:t>
      </w:r>
      <w:r>
        <w:rPr>
          <w:lang w:val="es-ES_tradnl"/>
        </w:rPr>
        <w:t xml:space="preserve"> del Plan de enlaces de conexión de las Regiones 1 y 3, adoptado por la CMR</w:t>
      </w:r>
      <w:r w:rsidRPr="00DE2F1F">
        <w:rPr>
          <w:lang w:val="es-ES_tradnl"/>
        </w:rPr>
        <w:t xml:space="preserve">-2000. </w:t>
      </w:r>
      <w:r>
        <w:rPr>
          <w:lang w:val="es-ES_tradnl"/>
        </w:rPr>
        <w:t>La Oficina ha publicado los valores de control de potencia calculados en un cuadro, que puede encontrarse en el sitio web de la UIT en la dirección</w:t>
      </w:r>
      <w:r w:rsidRPr="00BF522B">
        <w:rPr>
          <w:lang w:val="es-ES_tradnl"/>
        </w:rPr>
        <w:t xml:space="preserve">: </w:t>
      </w:r>
    </w:p>
    <w:p w:rsidR="00205F05" w:rsidRPr="00D61FDD" w:rsidRDefault="00205F05" w:rsidP="00030102">
      <w:pPr>
        <w:spacing w:line="240" w:lineRule="auto"/>
        <w:jc w:val="center"/>
        <w:rPr>
          <w:b/>
          <w:bCs/>
          <w:color w:val="0000FF"/>
          <w:szCs w:val="24"/>
          <w:u w:val="single"/>
          <w:lang w:val="es-ES_tradnl"/>
        </w:rPr>
      </w:pPr>
      <w:r w:rsidRPr="00D61FDD">
        <w:rPr>
          <w:b/>
          <w:bCs/>
          <w:color w:val="0000FF"/>
          <w:szCs w:val="24"/>
          <w:u w:val="single"/>
          <w:lang w:val="es-ES_tradnl"/>
        </w:rPr>
        <w:t>http://www.itu.int/en/ITU-R/space/plans/Pages/AP30-30A.aspx</w:t>
      </w:r>
    </w:p>
    <w:p w:rsidR="00205F05" w:rsidRPr="00BF522B" w:rsidRDefault="00205F05" w:rsidP="003158A6">
      <w:pPr>
        <w:rPr>
          <w:rFonts w:eastAsia="SimSun"/>
          <w:lang w:val="es-ES_tradnl"/>
        </w:rPr>
      </w:pPr>
      <w:r w:rsidRPr="00BF522B">
        <w:rPr>
          <w:rFonts w:eastAsia="SimSun"/>
          <w:lang w:val="es-ES_tradnl"/>
        </w:rPr>
        <w:t xml:space="preserve">Esta misma información se ha incluido en el DVD-ROM de la BR IFIC (Servicios Espaciales) </w:t>
      </w:r>
      <w:r w:rsidR="003158A6">
        <w:rPr>
          <w:rFonts w:eastAsia="SimSun"/>
          <w:lang w:val="es-ES_tradnl"/>
        </w:rPr>
        <w:t>número </w:t>
      </w:r>
      <w:r w:rsidRPr="00BF522B">
        <w:rPr>
          <w:rFonts w:eastAsia="SimSun"/>
          <w:lang w:val="es-ES_tradnl"/>
        </w:rPr>
        <w:t xml:space="preserve">2762 </w:t>
      </w:r>
      <w:r>
        <w:rPr>
          <w:rFonts w:eastAsia="SimSun"/>
          <w:lang w:val="es-ES_tradnl"/>
        </w:rPr>
        <w:t>de</w:t>
      </w:r>
      <w:r w:rsidRPr="00BF522B">
        <w:rPr>
          <w:rFonts w:eastAsia="SimSun"/>
          <w:lang w:val="es-ES_tradnl"/>
        </w:rPr>
        <w:t xml:space="preserve"> 4 </w:t>
      </w:r>
      <w:r>
        <w:rPr>
          <w:rFonts w:eastAsia="SimSun"/>
          <w:lang w:val="es-ES_tradnl"/>
        </w:rPr>
        <w:t>de febrero de</w:t>
      </w:r>
      <w:r w:rsidRPr="00BF522B">
        <w:rPr>
          <w:rFonts w:eastAsia="SimSun"/>
          <w:lang w:val="es-ES_tradnl"/>
        </w:rPr>
        <w:t xml:space="preserve"> 2014. En esa misma BR IFIC se pone a disposición de las administraciones la aplicaci</w:t>
      </w:r>
      <w:r>
        <w:rPr>
          <w:rFonts w:eastAsia="SimSun"/>
          <w:lang w:val="es-ES_tradnl"/>
        </w:rPr>
        <w:t>ón de software</w:t>
      </w:r>
      <w:r w:rsidRPr="00BF522B">
        <w:rPr>
          <w:rFonts w:eastAsia="SimSun"/>
          <w:lang w:val="es-ES_tradnl"/>
        </w:rPr>
        <w:t xml:space="preserve"> GIBC/</w:t>
      </w:r>
      <w:proofErr w:type="spellStart"/>
      <w:r w:rsidRPr="00BF522B">
        <w:rPr>
          <w:rFonts w:eastAsia="SimSun"/>
          <w:b/>
          <w:bCs/>
          <w:lang w:val="es-ES_tradnl"/>
        </w:rPr>
        <w:t>Power</w:t>
      </w:r>
      <w:proofErr w:type="spellEnd"/>
      <w:r w:rsidRPr="00BF522B">
        <w:rPr>
          <w:rFonts w:eastAsia="SimSun"/>
          <w:b/>
          <w:bCs/>
          <w:lang w:val="es-ES_tradnl"/>
        </w:rPr>
        <w:t xml:space="preserve"> Control</w:t>
      </w:r>
      <w:r w:rsidRPr="00BF522B">
        <w:rPr>
          <w:rFonts w:eastAsia="SimSun"/>
          <w:lang w:val="es-ES_tradnl"/>
        </w:rPr>
        <w:t>.</w:t>
      </w:r>
    </w:p>
    <w:p w:rsidR="00205F05" w:rsidRPr="00B1706D" w:rsidRDefault="00205F05" w:rsidP="003158A6">
      <w:pPr>
        <w:rPr>
          <w:lang w:val="es-ES_tradnl"/>
        </w:rPr>
      </w:pPr>
      <w:r w:rsidRPr="00B1706D">
        <w:rPr>
          <w:lang w:val="es-ES_tradnl"/>
        </w:rPr>
        <w:t xml:space="preserve">La Oficina ha calculado asimismo los valores de control de potencia para las asignaciones de la Lista de enlaces de conexión de las Regiones 1 y 3 que han solicitado utilizar el control de potencia (es decir, que presentaron en el punto C.8.i del Apéndice </w:t>
      </w:r>
      <w:r w:rsidRPr="00B1706D">
        <w:rPr>
          <w:b/>
          <w:bCs/>
          <w:lang w:val="es-ES_tradnl"/>
        </w:rPr>
        <w:t>4</w:t>
      </w:r>
      <w:r w:rsidRPr="00B1706D">
        <w:rPr>
          <w:lang w:val="es-ES_tradnl"/>
        </w:rPr>
        <w:t xml:space="preserve"> un valor de control de potencia). Estos valores de control de potencia calculados también se han publicado en el sitio web de la UIT y se incluyen en la BR IFIC </w:t>
      </w:r>
      <w:r w:rsidR="003158A6">
        <w:rPr>
          <w:lang w:val="es-ES_tradnl"/>
        </w:rPr>
        <w:t>número</w:t>
      </w:r>
      <w:r w:rsidRPr="00B1706D">
        <w:rPr>
          <w:lang w:val="es-ES_tradnl"/>
        </w:rPr>
        <w:t xml:space="preserve"> 2762 de 4 de febrero de 2014. </w:t>
      </w:r>
    </w:p>
    <w:p w:rsidR="00205F05" w:rsidRPr="00BF522B" w:rsidRDefault="00205F05" w:rsidP="00D61FDD">
      <w:pPr>
        <w:rPr>
          <w:rFonts w:eastAsia="SimSun"/>
          <w:lang w:val="es-ES_tradnl" w:eastAsia="zh-CN"/>
        </w:rPr>
      </w:pPr>
      <w:r w:rsidRPr="00BF522B">
        <w:rPr>
          <w:rFonts w:eastAsia="SimSun"/>
          <w:lang w:val="es-ES_tradnl" w:eastAsia="zh-CN"/>
        </w:rPr>
        <w:br w:type="page"/>
      </w:r>
    </w:p>
    <w:p w:rsidR="00205F05" w:rsidRPr="00B1706D" w:rsidRDefault="00205F05" w:rsidP="00D61FDD">
      <w:pPr>
        <w:rPr>
          <w:lang w:val="es-ES_tradnl"/>
        </w:rPr>
      </w:pPr>
      <w:r w:rsidRPr="00B1706D">
        <w:rPr>
          <w:lang w:val="es-ES_tradnl"/>
        </w:rPr>
        <w:lastRenderedPageBreak/>
        <w:t xml:space="preserve">No obstante, en el § 3.11 del Anexo 3 al Apéndice </w:t>
      </w:r>
      <w:r w:rsidRPr="00B1706D">
        <w:rPr>
          <w:b/>
          <w:bCs/>
          <w:lang w:val="es-ES_tradnl"/>
        </w:rPr>
        <w:t>30A</w:t>
      </w:r>
      <w:r w:rsidRPr="00B1706D">
        <w:rPr>
          <w:lang w:val="es-ES_tradnl"/>
        </w:rPr>
        <w:t xml:space="preserve"> y las Reglas de Procedimiento sobre el control de potencia asociadas se indica que la utilización del control de potencia sólo se aplica a una asignación del Plan de enlaces de conexión de las Regiones 1 y 3, sin que se indique su aplicación a la Lista. La Oficina comunicará esta incoherencia a la CMR-15, a la que pedirá que aclare si una asignación de la Lista de enlaces de conexión de las Regiones 1 y 3 puede utilizar el control de potencia de conformidad con el</w:t>
      </w:r>
      <w:r w:rsidR="00E776A2" w:rsidRPr="00B1706D">
        <w:rPr>
          <w:lang w:val="es-ES_tradnl"/>
        </w:rPr>
        <w:t xml:space="preserve"> </w:t>
      </w:r>
      <w:r w:rsidRPr="00B1706D">
        <w:rPr>
          <w:lang w:val="es-ES_tradnl"/>
        </w:rPr>
        <w:t xml:space="preserve">§ 3.11 del Anexo 3 al Apéndice </w:t>
      </w:r>
      <w:r w:rsidRPr="00B1706D">
        <w:rPr>
          <w:b/>
          <w:bCs/>
          <w:lang w:val="es-ES_tradnl"/>
        </w:rPr>
        <w:t>30A</w:t>
      </w:r>
      <w:r w:rsidRPr="00B1706D">
        <w:rPr>
          <w:lang w:val="es-ES_tradnl"/>
        </w:rPr>
        <w:t>.</w:t>
      </w:r>
    </w:p>
    <w:p w:rsidR="00205F05" w:rsidRPr="00B1706D" w:rsidRDefault="00205F05" w:rsidP="003158A6">
      <w:pPr>
        <w:rPr>
          <w:lang w:val="es-ES_tradnl"/>
        </w:rPr>
      </w:pPr>
      <w:r w:rsidRPr="00B1706D">
        <w:rPr>
          <w:lang w:val="es-ES_tradnl"/>
        </w:rPr>
        <w:t>Con respecto a las asignaciones incluidas por la CMR-2000 en la Lista de enlaces de conexión de las Regiones 1 y 3, la base de datos SPS_ALL utilizada para el cálculo sólo contiene las asignaciones del Plan de enlaces de conexió</w:t>
      </w:r>
      <w:r w:rsidR="003158A6">
        <w:rPr>
          <w:lang w:val="es-ES_tradnl"/>
        </w:rPr>
        <w:t>n de las Regiones 1 y 3 y aquél</w:t>
      </w:r>
      <w:r w:rsidRPr="00B1706D">
        <w:rPr>
          <w:lang w:val="es-ES_tradnl"/>
        </w:rPr>
        <w:t>las de la Lista adoptadas por la</w:t>
      </w:r>
      <w:r w:rsidR="003158A6">
        <w:rPr>
          <w:lang w:val="es-ES_tradnl"/>
        </w:rPr>
        <w:t> </w:t>
      </w:r>
      <w:r w:rsidRPr="00B1706D">
        <w:rPr>
          <w:lang w:val="es-ES_tradnl"/>
        </w:rPr>
        <w:t>CMR</w:t>
      </w:r>
      <w:r w:rsidR="00C11D31" w:rsidRPr="00B1706D">
        <w:rPr>
          <w:lang w:val="es-ES_tradnl"/>
        </w:rPr>
        <w:noBreakHyphen/>
      </w:r>
      <w:r w:rsidRPr="00B1706D">
        <w:rPr>
          <w:lang w:val="es-ES_tradnl"/>
        </w:rPr>
        <w:t>2000, habiéndose eliminado las asignaciones suprimidas con posterioridad.</w:t>
      </w:r>
    </w:p>
    <w:p w:rsidR="00205F05" w:rsidRPr="00B1706D" w:rsidRDefault="00205F05" w:rsidP="003158A6">
      <w:pPr>
        <w:rPr>
          <w:lang w:val="es-ES_tradnl"/>
        </w:rPr>
      </w:pPr>
      <w:r w:rsidRPr="00B1706D">
        <w:rPr>
          <w:lang w:val="es-ES_tradnl"/>
        </w:rPr>
        <w:t>En lo que respecta a las asignaciones incluidas en la Lista de enlaces de conexión de las Regiones 1 y 3 después de la CMR-2000, la Oficina utilizó como fuente principal la base de datos</w:t>
      </w:r>
      <w:r w:rsidR="003158A6">
        <w:rPr>
          <w:lang w:val="es-ES_tradnl"/>
        </w:rPr>
        <w:t> </w:t>
      </w:r>
      <w:r w:rsidRPr="00B1706D">
        <w:rPr>
          <w:lang w:val="es-ES_tradnl"/>
        </w:rPr>
        <w:t>SPS_ALL_IFIC2759, de 10 de diciembre de 2013, a fin de evitar la imposición de restricciones innecesarias debidas a notificaciones ya canceladas. La base de datos SPS_ALL consiguiente, utilizada para el cálculo de cada asignación, se creó de la siguiente manera:</w:t>
      </w:r>
    </w:p>
    <w:p w:rsidR="00205F05" w:rsidRPr="00BB764B" w:rsidRDefault="00E776A2" w:rsidP="003158A6">
      <w:pPr>
        <w:pStyle w:val="enumlev1"/>
        <w:spacing w:before="160"/>
        <w:rPr>
          <w:rFonts w:eastAsia="SimSun"/>
          <w:lang w:val="es-ES_tradnl"/>
        </w:rPr>
      </w:pPr>
      <w:r w:rsidRPr="00E776A2">
        <w:rPr>
          <w:rFonts w:eastAsia="SimSun"/>
          <w:lang w:val="es-ES_tradnl"/>
        </w:rPr>
        <w:t>•</w:t>
      </w:r>
      <w:r>
        <w:rPr>
          <w:rFonts w:eastAsia="SimSun"/>
          <w:lang w:val="es-ES_tradnl"/>
        </w:rPr>
        <w:tab/>
      </w:r>
      <w:r w:rsidR="003158A6">
        <w:rPr>
          <w:rFonts w:eastAsia="SimSun"/>
          <w:lang w:val="es-ES_tradnl"/>
        </w:rPr>
        <w:t>e</w:t>
      </w:r>
      <w:r w:rsidR="00205F05" w:rsidRPr="00BB764B">
        <w:rPr>
          <w:rFonts w:eastAsia="SimSun"/>
          <w:lang w:val="es-ES_tradnl"/>
        </w:rPr>
        <w:t>n primer lugar se suprimieron de la base de datos SPS_ALL_IFIC2759 las asignaciones a enlaces de conexión, incluidas las notificaciones del Artículo 4 pendientes, que no existían en la fecha de recepción de la solicitud de entrada en la Lista de la asignaci</w:t>
      </w:r>
      <w:r w:rsidR="00205F05">
        <w:rPr>
          <w:rFonts w:eastAsia="SimSun"/>
          <w:lang w:val="es-ES_tradnl"/>
        </w:rPr>
        <w:t>ón en cuestión, o antes de la misma</w:t>
      </w:r>
      <w:r w:rsidR="00205F05" w:rsidRPr="00BB764B">
        <w:rPr>
          <w:rFonts w:eastAsia="SimSun"/>
          <w:lang w:val="es-ES_tradnl"/>
        </w:rPr>
        <w:t>;</w:t>
      </w:r>
    </w:p>
    <w:p w:rsidR="00205F05" w:rsidRPr="00BB764B" w:rsidRDefault="00E776A2" w:rsidP="003158A6">
      <w:pPr>
        <w:pStyle w:val="enumlev1"/>
        <w:rPr>
          <w:rFonts w:eastAsia="SimSun"/>
          <w:lang w:val="es-ES_tradnl"/>
        </w:rPr>
      </w:pPr>
      <w:r w:rsidRPr="00E776A2">
        <w:rPr>
          <w:rFonts w:eastAsia="SimSun"/>
          <w:lang w:val="es-ES_tradnl"/>
        </w:rPr>
        <w:t>•</w:t>
      </w:r>
      <w:r>
        <w:rPr>
          <w:rFonts w:eastAsia="SimSun"/>
          <w:lang w:val="es-ES_tradnl"/>
        </w:rPr>
        <w:tab/>
      </w:r>
      <w:r w:rsidR="003158A6">
        <w:rPr>
          <w:rFonts w:eastAsia="SimSun"/>
          <w:lang w:val="es-ES_tradnl"/>
        </w:rPr>
        <w:t>l</w:t>
      </w:r>
      <w:r w:rsidR="00205F05" w:rsidRPr="00BB764B">
        <w:rPr>
          <w:rFonts w:eastAsia="SimSun"/>
          <w:lang w:val="es-ES_tradnl"/>
        </w:rPr>
        <w:t>a situación de las asignaciones de la Lista cuya Parte B de la notificación se recibió después de la fecha de recepción de la solicitud de entrada en la Lista de la asignación en cuestión se modificó a pendiente (sólo recepci</w:t>
      </w:r>
      <w:r w:rsidR="00205F05">
        <w:rPr>
          <w:rFonts w:eastAsia="SimSun"/>
          <w:lang w:val="es-ES_tradnl"/>
        </w:rPr>
        <w:t>ón) a fin de reflejar la situación vigente en el momento de su entrada en la Lista</w:t>
      </w:r>
      <w:r w:rsidR="00205F05" w:rsidRPr="00BB764B">
        <w:rPr>
          <w:rFonts w:eastAsia="SimSun"/>
          <w:lang w:val="es-ES_tradnl"/>
        </w:rPr>
        <w:t>.</w:t>
      </w:r>
    </w:p>
    <w:p w:rsidR="00205F05" w:rsidRPr="00BB764B" w:rsidRDefault="00205F05" w:rsidP="003158A6">
      <w:pPr>
        <w:rPr>
          <w:lang w:val="es-ES_tradnl"/>
        </w:rPr>
      </w:pPr>
      <w:r w:rsidRPr="00BB764B">
        <w:rPr>
          <w:lang w:val="es-ES_tradnl"/>
        </w:rPr>
        <w:t xml:space="preserve">Para toda nueva asignación que se introduzca en la Lista de enlaces de conexión de las Regiones 1 y 3 del Apéndice </w:t>
      </w:r>
      <w:r w:rsidRPr="00BB764B">
        <w:rPr>
          <w:b/>
          <w:bCs/>
          <w:lang w:val="es-ES_tradnl"/>
        </w:rPr>
        <w:t>30A</w:t>
      </w:r>
      <w:r w:rsidRPr="00BB764B">
        <w:rPr>
          <w:lang w:val="es-ES_tradnl"/>
        </w:rPr>
        <w:t xml:space="preserve"> después de la publicación de la BR IFIC (Servicios Espaciales) </w:t>
      </w:r>
      <w:r w:rsidR="003158A6">
        <w:rPr>
          <w:lang w:val="es-ES_tradnl"/>
        </w:rPr>
        <w:t>número</w:t>
      </w:r>
      <w:r w:rsidRPr="00BB764B">
        <w:rPr>
          <w:lang w:val="es-ES_tradnl"/>
        </w:rPr>
        <w:t xml:space="preserve"> </w:t>
      </w:r>
      <w:r w:rsidRPr="00BB764B">
        <w:rPr>
          <w:lang w:val="es-ES_tradnl" w:eastAsia="zh-CN"/>
        </w:rPr>
        <w:t xml:space="preserve">2759 </w:t>
      </w:r>
      <w:r>
        <w:rPr>
          <w:lang w:val="es-ES_tradnl" w:eastAsia="zh-CN"/>
        </w:rPr>
        <w:t>de</w:t>
      </w:r>
      <w:r w:rsidR="003158A6">
        <w:rPr>
          <w:lang w:val="es-ES_tradnl"/>
        </w:rPr>
        <w:t> </w:t>
      </w:r>
      <w:r w:rsidRPr="00BB764B">
        <w:rPr>
          <w:lang w:val="es-ES_tradnl"/>
        </w:rPr>
        <w:t xml:space="preserve">10 </w:t>
      </w:r>
      <w:r>
        <w:rPr>
          <w:lang w:val="es-ES_tradnl"/>
        </w:rPr>
        <w:t>de diciembre de</w:t>
      </w:r>
      <w:r w:rsidRPr="00BB764B">
        <w:rPr>
          <w:lang w:val="es-ES_tradnl"/>
        </w:rPr>
        <w:t xml:space="preserve"> 2013 </w:t>
      </w:r>
      <w:r>
        <w:rPr>
          <w:lang w:val="es-ES_tradnl"/>
        </w:rPr>
        <w:t>con una solicitud de utilización del control de potencia, el valor de control de potencia se calculará a partir de la base de datos</w:t>
      </w:r>
      <w:r w:rsidRPr="00BB764B">
        <w:rPr>
          <w:lang w:val="es-ES_tradnl"/>
        </w:rPr>
        <w:t xml:space="preserve"> SPS_ALL </w:t>
      </w:r>
      <w:r>
        <w:rPr>
          <w:lang w:val="es-ES_tradnl"/>
        </w:rPr>
        <w:t>en el momento en que la nueva asignación entre en la Lista</w:t>
      </w:r>
      <w:r w:rsidRPr="00BB764B">
        <w:rPr>
          <w:lang w:val="es-ES_tradnl"/>
        </w:rPr>
        <w:t xml:space="preserve">. </w:t>
      </w:r>
    </w:p>
    <w:p w:rsidR="00205F05" w:rsidRPr="00BB764B" w:rsidRDefault="00205F05" w:rsidP="00D61FDD">
      <w:pPr>
        <w:rPr>
          <w:szCs w:val="24"/>
          <w:lang w:val="es-ES_tradnl"/>
        </w:rPr>
      </w:pPr>
      <w:r w:rsidRPr="00BB764B">
        <w:rPr>
          <w:lang w:val="es-ES_tradnl"/>
        </w:rPr>
        <w:t>La Oficina permanece a disposición de su administración</w:t>
      </w:r>
      <w:r>
        <w:rPr>
          <w:lang w:val="es-ES_tradnl"/>
        </w:rPr>
        <w:t xml:space="preserve">, </w:t>
      </w:r>
      <w:r>
        <w:rPr>
          <w:szCs w:val="24"/>
          <w:lang w:val="es-ES_tradnl"/>
        </w:rPr>
        <w:t>en la dirección</w:t>
      </w:r>
      <w:r w:rsidRPr="00BB764B">
        <w:rPr>
          <w:szCs w:val="24"/>
          <w:lang w:val="es-ES_tradnl"/>
        </w:rPr>
        <w:t xml:space="preserve"> </w:t>
      </w:r>
      <w:r w:rsidRPr="00BB764B">
        <w:rPr>
          <w:b/>
          <w:bCs/>
          <w:szCs w:val="24"/>
          <w:lang w:val="es-ES_tradnl"/>
        </w:rPr>
        <w:t>brmail@itu.int</w:t>
      </w:r>
      <w:r>
        <w:rPr>
          <w:b/>
          <w:bCs/>
          <w:szCs w:val="24"/>
          <w:lang w:val="es-ES_tradnl"/>
        </w:rPr>
        <w:t>,</w:t>
      </w:r>
      <w:r w:rsidRPr="00BB764B">
        <w:rPr>
          <w:lang w:val="es-ES_tradnl"/>
        </w:rPr>
        <w:t xml:space="preserve"> para cualquier aclaración adicional que pueda necesitar en relación a los temas tratados por esta Carta Circular</w:t>
      </w:r>
      <w:r w:rsidR="00E776A2">
        <w:rPr>
          <w:szCs w:val="24"/>
          <w:lang w:val="es-ES_tradnl"/>
        </w:rPr>
        <w:t>.</w:t>
      </w:r>
    </w:p>
    <w:p w:rsidR="00205F05" w:rsidRPr="00D61FDD" w:rsidRDefault="00205F05" w:rsidP="007C2452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D61FDD">
        <w:rPr>
          <w:rFonts w:asciiTheme="minorHAnsi" w:hAnsiTheme="minorHAnsi" w:cstheme="minorHAnsi"/>
          <w:szCs w:val="24"/>
          <w:lang w:val="es-ES_tradnl"/>
        </w:rPr>
        <w:t>François Rancy</w:t>
      </w:r>
      <w:r w:rsidR="00D61FDD">
        <w:rPr>
          <w:rFonts w:asciiTheme="minorHAnsi" w:hAnsiTheme="minorHAnsi" w:cstheme="minorHAnsi"/>
          <w:szCs w:val="24"/>
          <w:lang w:val="es-ES_tradnl"/>
        </w:rPr>
        <w:br/>
      </w:r>
      <w:r w:rsidRPr="00D61FDD">
        <w:rPr>
          <w:rFonts w:asciiTheme="minorHAnsi" w:hAnsiTheme="minorHAnsi" w:cstheme="minorHAnsi"/>
          <w:szCs w:val="24"/>
          <w:lang w:val="es-ES_tradnl"/>
        </w:rPr>
        <w:t>Director</w:t>
      </w:r>
    </w:p>
    <w:p w:rsidR="00205F05" w:rsidRPr="00BB764B" w:rsidRDefault="00205F05" w:rsidP="007C245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680"/>
        <w:jc w:val="both"/>
        <w:rPr>
          <w:bCs/>
          <w:sz w:val="18"/>
          <w:szCs w:val="18"/>
          <w:u w:val="single"/>
          <w:lang w:val="es-ES_tradnl"/>
        </w:rPr>
      </w:pPr>
      <w:bookmarkStart w:id="1" w:name="ddistribution"/>
      <w:bookmarkEnd w:id="1"/>
      <w:r w:rsidRPr="00BB764B">
        <w:rPr>
          <w:bCs/>
          <w:sz w:val="18"/>
          <w:szCs w:val="18"/>
          <w:u w:val="single"/>
          <w:lang w:val="es-ES_tradnl"/>
        </w:rPr>
        <w:t>Distribución:</w:t>
      </w:r>
    </w:p>
    <w:p w:rsidR="00205F05" w:rsidRPr="00BB764B" w:rsidRDefault="00205F05" w:rsidP="00BB764B">
      <w:pPr>
        <w:pStyle w:val="enumlev1"/>
        <w:tabs>
          <w:tab w:val="clear" w:pos="794"/>
          <w:tab w:val="left" w:pos="284"/>
        </w:tabs>
        <w:rPr>
          <w:sz w:val="18"/>
          <w:szCs w:val="18"/>
          <w:lang w:val="es-ES_tradnl"/>
        </w:rPr>
      </w:pPr>
      <w:r w:rsidRPr="00BB764B">
        <w:rPr>
          <w:sz w:val="18"/>
          <w:szCs w:val="18"/>
          <w:lang w:val="es-ES_tradnl"/>
        </w:rPr>
        <w:t>–</w:t>
      </w:r>
      <w:r w:rsidRPr="00BB764B">
        <w:rPr>
          <w:sz w:val="18"/>
          <w:szCs w:val="18"/>
          <w:lang w:val="es-ES_tradnl"/>
        </w:rPr>
        <w:tab/>
        <w:t>Administraciones de los Estados Miembros de la UIT</w:t>
      </w:r>
    </w:p>
    <w:p w:rsidR="00205F05" w:rsidRPr="00BB764B" w:rsidRDefault="00205F05" w:rsidP="00BB764B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s-ES_tradnl"/>
        </w:rPr>
      </w:pPr>
      <w:r w:rsidRPr="00BB764B">
        <w:rPr>
          <w:sz w:val="18"/>
          <w:szCs w:val="18"/>
          <w:lang w:val="es-ES_tradnl"/>
        </w:rPr>
        <w:t>–</w:t>
      </w:r>
      <w:r w:rsidRPr="00BB764B">
        <w:rPr>
          <w:sz w:val="18"/>
          <w:szCs w:val="18"/>
          <w:lang w:val="es-ES_tradnl"/>
        </w:rPr>
        <w:tab/>
        <w:t>Miembros de la Junta del Reglamento de Radiocomunicaciones</w:t>
      </w:r>
    </w:p>
    <w:sectPr w:rsidR="00205F05" w:rsidRPr="00BB764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83" w:rsidRDefault="006F7083">
      <w:r>
        <w:separator/>
      </w:r>
    </w:p>
  </w:endnote>
  <w:endnote w:type="continuationSeparator" w:id="0">
    <w:p w:rsidR="006F7083" w:rsidRDefault="006F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>Tel</w:t>
    </w:r>
    <w:r w:rsidR="003158A6">
      <w:rPr>
        <w:sz w:val="18"/>
        <w:szCs w:val="18"/>
        <w:lang w:val="es-ES"/>
      </w:rPr>
      <w:t>.</w:t>
    </w:r>
    <w:r w:rsidRPr="00A96D3A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83" w:rsidRDefault="006F7083">
      <w:r>
        <w:t>____________________</w:t>
      </w:r>
    </w:p>
  </w:footnote>
  <w:footnote w:type="continuationSeparator" w:id="0">
    <w:p w:rsidR="006F7083" w:rsidRDefault="006F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11D31" w:rsidRDefault="00E915AF" w:rsidP="002108A8">
    <w:pPr>
      <w:pStyle w:val="Header"/>
      <w:rPr>
        <w:sz w:val="18"/>
        <w:szCs w:val="18"/>
      </w:rPr>
    </w:pPr>
    <w:r w:rsidRPr="00C11D31">
      <w:rPr>
        <w:sz w:val="18"/>
        <w:szCs w:val="18"/>
      </w:rPr>
      <w:tab/>
    </w:r>
    <w:r w:rsidRPr="00C11D31">
      <w:rPr>
        <w:sz w:val="18"/>
        <w:szCs w:val="18"/>
      </w:rPr>
      <w:tab/>
    </w:r>
    <w:r w:rsidR="002108A8" w:rsidRPr="002108A8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366986966"/>
        <w:docPartObj>
          <w:docPartGallery w:val="Page Numbers (Top of Page)"/>
          <w:docPartUnique/>
        </w:docPartObj>
      </w:sdtPr>
      <w:sdtEndPr/>
      <w:sdtContent>
        <w:r w:rsidR="002108A8" w:rsidRPr="002108A8">
          <w:rPr>
            <w:sz w:val="18"/>
            <w:szCs w:val="18"/>
          </w:rPr>
          <w:fldChar w:fldCharType="begin"/>
        </w:r>
        <w:r w:rsidR="002108A8" w:rsidRPr="002108A8">
          <w:rPr>
            <w:sz w:val="18"/>
            <w:szCs w:val="18"/>
          </w:rPr>
          <w:instrText xml:space="preserve"> PAGE   \* MERGEFORMAT </w:instrText>
        </w:r>
        <w:r w:rsidR="002108A8" w:rsidRPr="002108A8">
          <w:rPr>
            <w:sz w:val="18"/>
            <w:szCs w:val="18"/>
          </w:rPr>
          <w:fldChar w:fldCharType="separate"/>
        </w:r>
        <w:r w:rsidR="00E41309">
          <w:rPr>
            <w:noProof/>
            <w:sz w:val="18"/>
            <w:szCs w:val="18"/>
          </w:rPr>
          <w:t>2</w:t>
        </w:r>
        <w:r w:rsidR="002108A8" w:rsidRPr="002108A8">
          <w:rPr>
            <w:sz w:val="18"/>
            <w:szCs w:val="18"/>
          </w:rPr>
          <w:fldChar w:fldCharType="end"/>
        </w:r>
        <w:r w:rsidR="002108A8" w:rsidRPr="002108A8">
          <w:rPr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30102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s-ES_tradnl" w:eastAsia="zh-CN"/>
      </w:rPr>
      <w:drawing>
        <wp:inline distT="0" distB="0" distL="0" distR="0" wp14:anchorId="300100DA" wp14:editId="318A7C0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604C77"/>
    <w:multiLevelType w:val="hybridMultilevel"/>
    <w:tmpl w:val="7898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05F05"/>
    <w:rsid w:val="00006A31"/>
    <w:rsid w:val="00006C82"/>
    <w:rsid w:val="00010E30"/>
    <w:rsid w:val="00015C76"/>
    <w:rsid w:val="00026CF8"/>
    <w:rsid w:val="00030102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F05"/>
    <w:rsid w:val="002108A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8A6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7083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245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706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1D3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4096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1FDD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1309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6A2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05F05"/>
    <w:pPr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05F05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38AA-4FAC-4AE5-A2C4-083C4E3E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92</TotalTime>
  <Pages>2</Pages>
  <Words>826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Da Silva, Antoine</cp:lastModifiedBy>
  <cp:revision>7</cp:revision>
  <cp:lastPrinted>2014-01-14T10:35:00Z</cp:lastPrinted>
  <dcterms:created xsi:type="dcterms:W3CDTF">2014-01-14T08:54:00Z</dcterms:created>
  <dcterms:modified xsi:type="dcterms:W3CDTF">2014-01-20T10:52:00Z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