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BD5208" w:rsidP="00F96264">
            <w:pPr>
              <w:spacing w:before="0"/>
            </w:pP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U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NIÓN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I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NTERNACIONAL DE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T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DF0EBE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DF0EBE" w:rsidRDefault="00F96264" w:rsidP="00F96264">
      <w:pPr>
        <w:tabs>
          <w:tab w:val="left" w:pos="7513"/>
        </w:tabs>
      </w:pPr>
    </w:p>
    <w:p w:rsidR="00F96264" w:rsidRPr="00DF0EBE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F96264" w:rsidRPr="00F96264">
        <w:trPr>
          <w:cantSplit/>
        </w:trPr>
        <w:tc>
          <w:tcPr>
            <w:tcW w:w="2518" w:type="dxa"/>
          </w:tcPr>
          <w:p w:rsidR="00F96264" w:rsidRPr="004B7DE1" w:rsidRDefault="004B7DE1" w:rsidP="00F96264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t>Carta Circular</w:t>
            </w:r>
          </w:p>
          <w:p w:rsidR="00F96264" w:rsidRPr="004B7DE1" w:rsidRDefault="004B7DE1" w:rsidP="00F96264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CR/343</w:t>
            </w:r>
          </w:p>
        </w:tc>
        <w:tc>
          <w:tcPr>
            <w:tcW w:w="7502" w:type="dxa"/>
          </w:tcPr>
          <w:p w:rsidR="00F96264" w:rsidRPr="004B7DE1" w:rsidRDefault="004B7DE1" w:rsidP="00F96264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31 de enero de 2013</w:t>
            </w:r>
          </w:p>
        </w:tc>
      </w:tr>
    </w:tbl>
    <w:p w:rsidR="00F96264" w:rsidRPr="00F96264" w:rsidRDefault="00F96264" w:rsidP="00F96264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 las Administraciones de los Estados Miembros de la UIT</w:t>
      </w:r>
    </w:p>
    <w:p w:rsidR="00F96264" w:rsidRPr="00F96264" w:rsidRDefault="00F96264" w:rsidP="00F96264">
      <w:pPr>
        <w:tabs>
          <w:tab w:val="left" w:pos="7513"/>
        </w:tabs>
        <w:spacing w:before="480"/>
        <w:jc w:val="center"/>
        <w:rPr>
          <w:b/>
          <w:bCs/>
        </w:rPr>
      </w:pPr>
    </w:p>
    <w:p w:rsidR="00F96264" w:rsidRPr="00DF0EBE" w:rsidRDefault="00F96264" w:rsidP="004B7DE1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</w:pPr>
      <w:r>
        <w:rPr>
          <w:b/>
        </w:rPr>
        <w:t>Asunto</w:t>
      </w:r>
      <w:r>
        <w:t>:</w:t>
      </w:r>
      <w:r w:rsidRPr="00DF0EBE">
        <w:tab/>
      </w:r>
      <w:bookmarkStart w:id="3" w:name="dtitle1"/>
      <w:bookmarkEnd w:id="3"/>
      <w:r w:rsidR="004B7DE1">
        <w:t>Aplicación de las disposiciones relativas a la puesta en servicio y suspensión de una asignación de frecuencia a una estación espacial en la órbita de los satélites geoestacionarios</w:t>
      </w:r>
    </w:p>
    <w:p w:rsidR="00F96264" w:rsidRPr="00F96264" w:rsidRDefault="00F96264" w:rsidP="00F9626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>
        <w:rPr>
          <w:b/>
        </w:rPr>
        <w:t>Al Director General</w:t>
      </w:r>
    </w:p>
    <w:p w:rsidR="00F96264" w:rsidRPr="00FE1623" w:rsidRDefault="00F96264" w:rsidP="00F9626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>
        <w:t>Muy señora mía/Muy señor mío:</w:t>
      </w:r>
    </w:p>
    <w:p w:rsidR="0041294A" w:rsidRDefault="0041294A" w:rsidP="0041294A">
      <w:pPr>
        <w:pStyle w:val="Heading1"/>
      </w:pPr>
      <w:r>
        <w:t>1</w:t>
      </w:r>
      <w:r>
        <w:tab/>
      </w:r>
      <w:r w:rsidR="000819C4">
        <w:t>Introducción</w:t>
      </w:r>
    </w:p>
    <w:p w:rsidR="0041294A" w:rsidRDefault="0041294A" w:rsidP="00C25BB2">
      <w:r>
        <w:t>1.1</w:t>
      </w:r>
      <w:r>
        <w:tab/>
      </w:r>
      <w:r w:rsidR="000819C4">
        <w:t xml:space="preserve">La Conferencia </w:t>
      </w:r>
      <w:r>
        <w:t xml:space="preserve">Mundial de Radiocomunicaciones (Ginebra, 2012) (CMR-12) </w:t>
      </w:r>
      <w:r w:rsidR="000819C4">
        <w:t xml:space="preserve">introdujo disposiciones adicionales en el </w:t>
      </w:r>
      <w:r>
        <w:t xml:space="preserve">Reglamento de Radiocomunicaciones, a saber el </w:t>
      </w:r>
      <w:r w:rsidR="000819C4">
        <w:t xml:space="preserve">número </w:t>
      </w:r>
      <w:r w:rsidRPr="000819C4">
        <w:rPr>
          <w:b/>
          <w:bCs/>
        </w:rPr>
        <w:t>11.44.2</w:t>
      </w:r>
      <w:r>
        <w:t xml:space="preserve"> y el </w:t>
      </w:r>
      <w:r w:rsidR="000819C4">
        <w:t xml:space="preserve">número </w:t>
      </w:r>
      <w:r w:rsidRPr="000819C4">
        <w:rPr>
          <w:b/>
          <w:bCs/>
        </w:rPr>
        <w:t>11.44B</w:t>
      </w:r>
      <w:r>
        <w:t xml:space="preserve"> para definir </w:t>
      </w:r>
      <w:r w:rsidR="000819C4">
        <w:t>más</w:t>
      </w:r>
      <w:r>
        <w:t xml:space="preserve"> adecuadamente la puesta en servicio de una asignación de frecuencia a una estación </w:t>
      </w:r>
      <w:r w:rsidR="005B3BAD">
        <w:t>espacial</w:t>
      </w:r>
      <w:r>
        <w:t xml:space="preserve"> </w:t>
      </w:r>
      <w:r w:rsidR="005B3BAD">
        <w:t>situada</w:t>
      </w:r>
      <w:r>
        <w:t xml:space="preserve"> en la </w:t>
      </w:r>
      <w:r w:rsidR="005B3BAD">
        <w:t>órbita</w:t>
      </w:r>
      <w:r>
        <w:t xml:space="preserve"> de los satélites geoestacionarios (OSG). </w:t>
      </w:r>
      <w:r w:rsidR="0097291E">
        <w:t>Además</w:t>
      </w:r>
      <w:r>
        <w:t xml:space="preserve">, el punto A.2.a del </w:t>
      </w:r>
      <w:r w:rsidR="00CE057C">
        <w:t>Apéndice</w:t>
      </w:r>
      <w:r>
        <w:t xml:space="preserve"> </w:t>
      </w:r>
      <w:r w:rsidRPr="0097291E">
        <w:rPr>
          <w:b/>
          <w:bCs/>
        </w:rPr>
        <w:t>4</w:t>
      </w:r>
      <w:r>
        <w:t xml:space="preserve"> se </w:t>
      </w:r>
      <w:r w:rsidR="0097291E">
        <w:t>modificó</w:t>
      </w:r>
      <w:r>
        <w:t xml:space="preserve"> a fin de que hiciese referencia a los </w:t>
      </w:r>
      <w:r w:rsidR="0097291E">
        <w:t>números </w:t>
      </w:r>
      <w:r w:rsidRPr="0097291E">
        <w:rPr>
          <w:b/>
          <w:bCs/>
        </w:rPr>
        <w:t>11.44.2</w:t>
      </w:r>
      <w:r>
        <w:t xml:space="preserve"> y </w:t>
      </w:r>
      <w:r w:rsidRPr="0097291E">
        <w:rPr>
          <w:b/>
          <w:bCs/>
        </w:rPr>
        <w:t>11.44B</w:t>
      </w:r>
      <w:r>
        <w:t xml:space="preserve"> al determinar la puesta en servicio de una asignación de frecuencia a una estación espacial OSG, incluidas las asignaciones de frecuencia </w:t>
      </w:r>
      <w:r w:rsidR="0097291E">
        <w:t xml:space="preserve">que figuran </w:t>
      </w:r>
      <w:r>
        <w:t xml:space="preserve">en los </w:t>
      </w:r>
      <w:r w:rsidR="0097291E">
        <w:t>Apéndices</w:t>
      </w:r>
      <w:r>
        <w:t xml:space="preserve"> </w:t>
      </w:r>
      <w:r w:rsidRPr="0097291E">
        <w:rPr>
          <w:b/>
          <w:bCs/>
        </w:rPr>
        <w:t>30</w:t>
      </w:r>
      <w:r>
        <w:t xml:space="preserve">, </w:t>
      </w:r>
      <w:r w:rsidRPr="0097291E">
        <w:rPr>
          <w:b/>
          <w:bCs/>
        </w:rPr>
        <w:t>30</w:t>
      </w:r>
      <w:r w:rsidR="0097291E" w:rsidRPr="0097291E">
        <w:rPr>
          <w:b/>
          <w:bCs/>
        </w:rPr>
        <w:t>A</w:t>
      </w:r>
      <w:r>
        <w:t xml:space="preserve"> y </w:t>
      </w:r>
      <w:r w:rsidRPr="0097291E">
        <w:rPr>
          <w:b/>
          <w:bCs/>
        </w:rPr>
        <w:t>30B</w:t>
      </w:r>
      <w:r>
        <w:t xml:space="preserve">. La CMR-12 </w:t>
      </w:r>
      <w:r w:rsidR="00CE057C">
        <w:t>también</w:t>
      </w:r>
      <w:r w:rsidR="007E48EC">
        <w:t xml:space="preserve"> modificó</w:t>
      </w:r>
      <w:r>
        <w:t xml:space="preserve"> el </w:t>
      </w:r>
      <w:r w:rsidR="0094198B">
        <w:t xml:space="preserve">número </w:t>
      </w:r>
      <w:r w:rsidRPr="0094198B">
        <w:rPr>
          <w:b/>
          <w:bCs/>
        </w:rPr>
        <w:t>11.49</w:t>
      </w:r>
      <w:r>
        <w:t xml:space="preserve"> y añadió el </w:t>
      </w:r>
      <w:r w:rsidR="0094198B">
        <w:t xml:space="preserve">número </w:t>
      </w:r>
      <w:r w:rsidRPr="0094198B">
        <w:rPr>
          <w:b/>
          <w:bCs/>
        </w:rPr>
        <w:t>11.49.1</w:t>
      </w:r>
      <w:r>
        <w:t xml:space="preserve"> </w:t>
      </w:r>
      <w:r w:rsidR="0094198B">
        <w:t xml:space="preserve">con objeto </w:t>
      </w:r>
      <w:r>
        <w:t xml:space="preserve">de ampliar </w:t>
      </w:r>
      <w:r w:rsidR="0094198B">
        <w:t xml:space="preserve">a tres (3) años </w:t>
      </w:r>
      <w:r>
        <w:t xml:space="preserve">el periodo permitido para la </w:t>
      </w:r>
      <w:r w:rsidR="0094198B">
        <w:t>suspensión</w:t>
      </w:r>
      <w:r>
        <w:t xml:space="preserve"> del uso </w:t>
      </w:r>
      <w:r w:rsidR="0094198B">
        <w:t>de</w:t>
      </w:r>
      <w:r>
        <w:t xml:space="preserve"> una asignación de frecuencia por una estación espacial, y al mismo tiempo </w:t>
      </w:r>
      <w:r w:rsidR="0094198B">
        <w:t>especificar</w:t>
      </w:r>
      <w:r>
        <w:t xml:space="preserve"> las condiciones para </w:t>
      </w:r>
      <w:r w:rsidR="0094198B">
        <w:t xml:space="preserve">reanudar el funcionamiento de </w:t>
      </w:r>
      <w:r>
        <w:t>una asignación de frecuencia inscrita. De mane</w:t>
      </w:r>
      <w:r w:rsidR="0094198B">
        <w:t>ra similar, se añadieron los §§ </w:t>
      </w:r>
      <w:r>
        <w:t>5.2.10 y 5.2.11 y la nota 20</w:t>
      </w:r>
      <w:r w:rsidRPr="0094198B">
        <w:rPr>
          <w:i/>
          <w:iCs/>
        </w:rPr>
        <w:t>bis</w:t>
      </w:r>
      <w:r>
        <w:t xml:space="preserve"> en el </w:t>
      </w:r>
      <w:r w:rsidR="0094198B">
        <w:t>Apéndice</w:t>
      </w:r>
      <w:r>
        <w:t xml:space="preserve"> </w:t>
      </w:r>
      <w:r w:rsidRPr="0094198B">
        <w:rPr>
          <w:b/>
          <w:bCs/>
        </w:rPr>
        <w:t>30</w:t>
      </w:r>
      <w:r>
        <w:t xml:space="preserve"> y los </w:t>
      </w:r>
      <w:r w:rsidR="0094198B">
        <w:t>§§</w:t>
      </w:r>
      <w:r>
        <w:t xml:space="preserve"> 5.2.10, 5.2.11 y la nota 24</w:t>
      </w:r>
      <w:r w:rsidRPr="0094198B">
        <w:rPr>
          <w:i/>
          <w:iCs/>
        </w:rPr>
        <w:t>bis</w:t>
      </w:r>
      <w:r>
        <w:t xml:space="preserve"> en el </w:t>
      </w:r>
      <w:r w:rsidR="0094198B">
        <w:t>Apéndice</w:t>
      </w:r>
      <w:r>
        <w:t xml:space="preserve"> </w:t>
      </w:r>
      <w:r w:rsidRPr="0094198B">
        <w:rPr>
          <w:b/>
          <w:bCs/>
        </w:rPr>
        <w:t>30</w:t>
      </w:r>
      <w:r w:rsidR="0094198B">
        <w:rPr>
          <w:b/>
          <w:bCs/>
        </w:rPr>
        <w:t>A</w:t>
      </w:r>
      <w:r>
        <w:t xml:space="preserve"> en relación con la suspensión del empleo de una asignación de frecuencia en la Lista. </w:t>
      </w:r>
      <w:r w:rsidR="00C25BB2">
        <w:t>Además, la CMR-12 modificó</w:t>
      </w:r>
      <w:r>
        <w:t xml:space="preserve"> las disposiciones del </w:t>
      </w:r>
      <w:r w:rsidR="00C25BB2">
        <w:t xml:space="preserve">número </w:t>
      </w:r>
      <w:r w:rsidRPr="00C25BB2">
        <w:rPr>
          <w:b/>
          <w:bCs/>
        </w:rPr>
        <w:t>11.41</w:t>
      </w:r>
      <w:r>
        <w:t xml:space="preserve"> y añadió el </w:t>
      </w:r>
      <w:r w:rsidR="00C25BB2">
        <w:t xml:space="preserve">número </w:t>
      </w:r>
      <w:r w:rsidRPr="00C25BB2">
        <w:rPr>
          <w:b/>
          <w:bCs/>
        </w:rPr>
        <w:t>11.41.2</w:t>
      </w:r>
      <w:r>
        <w:t xml:space="preserve"> para especificar las obligaciones que debe cumplir la administración notificante al presentar una notificación en aplicación del </w:t>
      </w:r>
      <w:r w:rsidR="00C25BB2">
        <w:t xml:space="preserve">número </w:t>
      </w:r>
      <w:r w:rsidRPr="00C25BB2">
        <w:rPr>
          <w:b/>
          <w:bCs/>
        </w:rPr>
        <w:t>11.41</w:t>
      </w:r>
      <w:r>
        <w:t>.</w:t>
      </w:r>
    </w:p>
    <w:p w:rsidR="0041294A" w:rsidRDefault="0041294A" w:rsidP="002A471E">
      <w:r>
        <w:t>1.2</w:t>
      </w:r>
      <w:r>
        <w:tab/>
        <w:t xml:space="preserve">La Junta del Reglamento de Radiocomunicaciones, en su 61ª reunión aprobó las Reglas de </w:t>
      </w:r>
      <w:r w:rsidR="00275961">
        <w:t>Procedimiento</w:t>
      </w:r>
      <w:r>
        <w:t xml:space="preserve"> relativas a los </w:t>
      </w:r>
      <w:r w:rsidR="00275961">
        <w:t xml:space="preserve">números </w:t>
      </w:r>
      <w:r w:rsidRPr="00275961">
        <w:rPr>
          <w:b/>
          <w:bCs/>
        </w:rPr>
        <w:t>11.44B</w:t>
      </w:r>
      <w:r>
        <w:t xml:space="preserve"> y </w:t>
      </w:r>
      <w:r w:rsidRPr="00275961">
        <w:rPr>
          <w:b/>
          <w:bCs/>
        </w:rPr>
        <w:t>11.49</w:t>
      </w:r>
      <w:r>
        <w:t xml:space="preserve">, </w:t>
      </w:r>
      <w:r w:rsidR="00275961">
        <w:t>q</w:t>
      </w:r>
      <w:r>
        <w:t xml:space="preserve">ue </w:t>
      </w:r>
      <w:r w:rsidR="00275961">
        <w:t>entraron</w:t>
      </w:r>
      <w:r>
        <w:t xml:space="preserve"> en</w:t>
      </w:r>
      <w:r w:rsidR="00275961">
        <w:t xml:space="preserve"> </w:t>
      </w:r>
      <w:r>
        <w:t xml:space="preserve">vigor el 1 de enero de 2013. De forma similar, en su 60ª reunión, la Junta aprobó las Reglas de Procedimiento relativas al </w:t>
      </w:r>
      <w:r w:rsidR="002A471E">
        <w:t>§ </w:t>
      </w:r>
      <w:r>
        <w:t xml:space="preserve">8.17 </w:t>
      </w:r>
      <w:r>
        <w:lastRenderedPageBreak/>
        <w:t xml:space="preserve">del </w:t>
      </w:r>
      <w:r w:rsidR="002A471E">
        <w:t>Artículo</w:t>
      </w:r>
      <w:r w:rsidRPr="007E48EC">
        <w:t xml:space="preserve"> 8</w:t>
      </w:r>
      <w:r>
        <w:t xml:space="preserve"> del </w:t>
      </w:r>
      <w:r w:rsidR="002A471E">
        <w:t xml:space="preserve">Apéndice </w:t>
      </w:r>
      <w:r w:rsidRPr="002A471E">
        <w:rPr>
          <w:b/>
          <w:bCs/>
        </w:rPr>
        <w:t>30B</w:t>
      </w:r>
      <w:r>
        <w:t xml:space="preserve"> que aclara</w:t>
      </w:r>
      <w:r w:rsidR="00853204">
        <w:t>n</w:t>
      </w:r>
      <w:r>
        <w:t xml:space="preserve"> el procedimiento de suspensión con referencia a las nuevas notas antes mencionadas de los </w:t>
      </w:r>
      <w:r w:rsidR="00853204">
        <w:t>Apéndices</w:t>
      </w:r>
      <w:r>
        <w:t xml:space="preserve"> </w:t>
      </w:r>
      <w:r w:rsidRPr="00853204">
        <w:rPr>
          <w:b/>
          <w:bCs/>
        </w:rPr>
        <w:t>30</w:t>
      </w:r>
      <w:r>
        <w:t xml:space="preserve"> y </w:t>
      </w:r>
      <w:r w:rsidRPr="00853204">
        <w:rPr>
          <w:b/>
          <w:bCs/>
        </w:rPr>
        <w:t>30</w:t>
      </w:r>
      <w:r w:rsidR="00853204">
        <w:rPr>
          <w:b/>
          <w:bCs/>
        </w:rPr>
        <w:t>A</w:t>
      </w:r>
      <w:r>
        <w:t>.</w:t>
      </w:r>
    </w:p>
    <w:p w:rsidR="0041294A" w:rsidRDefault="0041294A" w:rsidP="00B244A3">
      <w:r>
        <w:t>1.3</w:t>
      </w:r>
      <w:r>
        <w:tab/>
      </w:r>
      <w:r w:rsidR="00B244A3">
        <w:t xml:space="preserve">El </w:t>
      </w:r>
      <w:r>
        <w:t xml:space="preserve">objetivo de la presente Carta </w:t>
      </w:r>
      <w:r w:rsidR="00B244A3">
        <w:t xml:space="preserve">Circular </w:t>
      </w:r>
      <w:r>
        <w:t xml:space="preserve">es ofrecer a las administraciones </w:t>
      </w:r>
      <w:r w:rsidR="00B244A3">
        <w:t>información</w:t>
      </w:r>
      <w:r>
        <w:t xml:space="preserve"> sobre la aplicación de las citadas disposiciones </w:t>
      </w:r>
      <w:r w:rsidR="008A4D9D">
        <w:t>por</w:t>
      </w:r>
      <w:r>
        <w:t xml:space="preserve"> la Oficina de Radiocomunicaciones.</w:t>
      </w:r>
    </w:p>
    <w:p w:rsidR="0041294A" w:rsidRDefault="0041294A" w:rsidP="0041294A">
      <w:pPr>
        <w:pStyle w:val="Heading1"/>
      </w:pPr>
      <w:r>
        <w:t>2</w:t>
      </w:r>
      <w:r>
        <w:tab/>
        <w:t>Puesta en servicio</w:t>
      </w:r>
    </w:p>
    <w:p w:rsidR="0041294A" w:rsidRDefault="0041294A" w:rsidP="00493942">
      <w:r>
        <w:t>2.1</w:t>
      </w:r>
      <w:r>
        <w:tab/>
        <w:t xml:space="preserve">El </w:t>
      </w:r>
      <w:r w:rsidR="008A4D9D">
        <w:t xml:space="preserve">número </w:t>
      </w:r>
      <w:r w:rsidRPr="008A4D9D">
        <w:rPr>
          <w:b/>
          <w:bCs/>
        </w:rPr>
        <w:t>11.44</w:t>
      </w:r>
      <w:r>
        <w:t xml:space="preserve">, los </w:t>
      </w:r>
      <w:r w:rsidR="008A4D9D">
        <w:t>§§ </w:t>
      </w:r>
      <w:r>
        <w:t xml:space="preserve">4.1.3 y 4.2.6 de los </w:t>
      </w:r>
      <w:r w:rsidR="008A4D9D">
        <w:t>Apéndices</w:t>
      </w:r>
      <w:r>
        <w:t xml:space="preserve"> </w:t>
      </w:r>
      <w:r w:rsidRPr="008A4D9D">
        <w:rPr>
          <w:b/>
          <w:bCs/>
        </w:rPr>
        <w:t>30</w:t>
      </w:r>
      <w:r>
        <w:t xml:space="preserve"> y </w:t>
      </w:r>
      <w:r w:rsidRPr="008A4D9D">
        <w:rPr>
          <w:b/>
          <w:bCs/>
        </w:rPr>
        <w:t>30</w:t>
      </w:r>
      <w:r w:rsidR="008A4D9D">
        <w:rPr>
          <w:b/>
          <w:bCs/>
        </w:rPr>
        <w:t>A</w:t>
      </w:r>
      <w:r w:rsidR="00493942">
        <w:t xml:space="preserve"> y el § </w:t>
      </w:r>
      <w:r>
        <w:t xml:space="preserve">6.1 del </w:t>
      </w:r>
      <w:r w:rsidR="00493942">
        <w:t>Apéndice </w:t>
      </w:r>
      <w:r w:rsidRPr="00137201">
        <w:rPr>
          <w:b/>
          <w:bCs/>
        </w:rPr>
        <w:t>30B</w:t>
      </w:r>
      <w:r>
        <w:t xml:space="preserve"> </w:t>
      </w:r>
      <w:r w:rsidR="00137201">
        <w:t>establecen</w:t>
      </w:r>
      <w:r>
        <w:t xml:space="preserve"> el plazo de tiempo</w:t>
      </w:r>
      <w:r w:rsidR="00137201">
        <w:rPr>
          <w:rStyle w:val="FootnoteReference"/>
        </w:rPr>
        <w:footnoteReference w:id="1"/>
      </w:r>
      <w:r>
        <w:t xml:space="preserve"> reglamentario para la puesta en servicio de una asignación de frecuencia a una estación espacial de una </w:t>
      </w:r>
      <w:r w:rsidR="00137201">
        <w:t>red</w:t>
      </w:r>
      <w:r>
        <w:t xml:space="preserve"> de satélites.</w:t>
      </w:r>
    </w:p>
    <w:p w:rsidR="0041294A" w:rsidRDefault="0041294A" w:rsidP="00605032">
      <w:r>
        <w:t>2.2</w:t>
      </w:r>
      <w:r>
        <w:tab/>
        <w:t>Para una asignación de frecuencia a una estación espacial</w:t>
      </w:r>
      <w:r w:rsidR="00605032">
        <w:t xml:space="preserve"> en la OSG, la Oficina procesará</w:t>
      </w:r>
      <w:r>
        <w:t xml:space="preserve"> la </w:t>
      </w:r>
      <w:r w:rsidR="00605032">
        <w:t xml:space="preserve">información </w:t>
      </w:r>
      <w:r>
        <w:t xml:space="preserve">de la puesta en servicio en dos pasos: </w:t>
      </w:r>
      <w:r w:rsidR="00605032">
        <w:t xml:space="preserve">información </w:t>
      </w:r>
      <w:r>
        <w:t>inicial y confirmación.</w:t>
      </w:r>
    </w:p>
    <w:p w:rsidR="0041294A" w:rsidRDefault="0041294A" w:rsidP="005112E9">
      <w:r>
        <w:t>2.3</w:t>
      </w:r>
      <w:r>
        <w:tab/>
      </w:r>
      <w:r w:rsidR="00605032">
        <w:t>L</w:t>
      </w:r>
      <w:r>
        <w:t xml:space="preserve">a </w:t>
      </w:r>
      <w:r w:rsidR="00605032">
        <w:t>información</w:t>
      </w:r>
      <w:r w:rsidR="005112E9">
        <w:t xml:space="preserve"> </w:t>
      </w:r>
      <w:r w:rsidR="00605032">
        <w:t xml:space="preserve">sobre </w:t>
      </w:r>
      <w:r>
        <w:t xml:space="preserve">la puesta en servicio de una </w:t>
      </w:r>
      <w:r w:rsidR="0077231B">
        <w:t>asignación</w:t>
      </w:r>
      <w:r>
        <w:t xml:space="preserve"> de frecuencia puede comunicarse a la Oficina de dos formas, como se indica a continuación:</w:t>
      </w:r>
    </w:p>
    <w:p w:rsidR="0041294A" w:rsidRDefault="0041294A" w:rsidP="007E48EC">
      <w:r>
        <w:t>2.3.1</w:t>
      </w:r>
      <w:r>
        <w:tab/>
      </w:r>
      <w:r w:rsidR="008E0F5D">
        <w:t xml:space="preserve">Para </w:t>
      </w:r>
      <w:r>
        <w:t xml:space="preserve">la notificación de una asignación de frecuencia a una </w:t>
      </w:r>
      <w:r w:rsidR="008E0F5D">
        <w:t>red</w:t>
      </w:r>
      <w:r>
        <w:t xml:space="preserve"> de satélites OSG con arreglo al </w:t>
      </w:r>
      <w:r w:rsidR="006B3E10">
        <w:t>Artículo</w:t>
      </w:r>
      <w:r>
        <w:t xml:space="preserve"> </w:t>
      </w:r>
      <w:r w:rsidRPr="006B3E10">
        <w:rPr>
          <w:b/>
          <w:bCs/>
        </w:rPr>
        <w:t>11</w:t>
      </w:r>
      <w:r>
        <w:t xml:space="preserve">, </w:t>
      </w:r>
      <w:r w:rsidR="006B3E10">
        <w:t xml:space="preserve">el </w:t>
      </w:r>
      <w:r>
        <w:t>Art</w:t>
      </w:r>
      <w:r w:rsidR="006B3E10">
        <w:t>í</w:t>
      </w:r>
      <w:r>
        <w:t xml:space="preserve">culo 5 de los </w:t>
      </w:r>
      <w:r w:rsidR="006B3E10">
        <w:t>Apéndices</w:t>
      </w:r>
      <w:r>
        <w:t xml:space="preserve"> </w:t>
      </w:r>
      <w:r w:rsidRPr="006B3E10">
        <w:rPr>
          <w:b/>
          <w:bCs/>
        </w:rPr>
        <w:t>30</w:t>
      </w:r>
      <w:r>
        <w:t xml:space="preserve"> y </w:t>
      </w:r>
      <w:r w:rsidRPr="006B3E10">
        <w:rPr>
          <w:b/>
          <w:bCs/>
        </w:rPr>
        <w:t>30</w:t>
      </w:r>
      <w:r w:rsidR="006B3E10">
        <w:rPr>
          <w:b/>
          <w:bCs/>
        </w:rPr>
        <w:t>A</w:t>
      </w:r>
      <w:r>
        <w:t xml:space="preserve"> y </w:t>
      </w:r>
      <w:r w:rsidR="00382030">
        <w:t xml:space="preserve">el </w:t>
      </w:r>
      <w:r>
        <w:t>Art</w:t>
      </w:r>
      <w:r w:rsidR="006B3E10">
        <w:t>í</w:t>
      </w:r>
      <w:r w:rsidR="00382030">
        <w:t>culo 8</w:t>
      </w:r>
      <w:r>
        <w:t xml:space="preserve"> del </w:t>
      </w:r>
      <w:r w:rsidR="006B3E10">
        <w:t xml:space="preserve">Apéndice </w:t>
      </w:r>
      <w:r w:rsidRPr="006B3E10">
        <w:rPr>
          <w:b/>
          <w:bCs/>
        </w:rPr>
        <w:t>30B</w:t>
      </w:r>
      <w:r>
        <w:t xml:space="preserve"> con una fecha de puesta en servicio (en lo que sigue FPE) anterior a la fecha de recepción de la notificación, la </w:t>
      </w:r>
      <w:r w:rsidR="00382030">
        <w:t xml:space="preserve">información </w:t>
      </w:r>
      <w:r w:rsidR="00377D99">
        <w:t>inicial se considerará</w:t>
      </w:r>
      <w:r>
        <w:t xml:space="preserve"> comunicada a la </w:t>
      </w:r>
      <w:r w:rsidR="00382030">
        <w:t xml:space="preserve">Oficina </w:t>
      </w:r>
      <w:r>
        <w:t xml:space="preserve">cuando la administración notificante proporcione a la Oficina la FPE notificada de </w:t>
      </w:r>
      <w:r w:rsidR="007E48EC">
        <w:t>la</w:t>
      </w:r>
      <w:r>
        <w:t xml:space="preserve"> asignación de frecuencia, con arreglo a los </w:t>
      </w:r>
      <w:r w:rsidR="00377D99">
        <w:t xml:space="preserve">números </w:t>
      </w:r>
      <w:r w:rsidRPr="00377D99">
        <w:rPr>
          <w:b/>
          <w:bCs/>
        </w:rPr>
        <w:t>11.15</w:t>
      </w:r>
      <w:r>
        <w:t>/</w:t>
      </w:r>
      <w:r w:rsidRPr="00377D99">
        <w:rPr>
          <w:b/>
          <w:bCs/>
        </w:rPr>
        <w:t>11.25</w:t>
      </w:r>
      <w:r>
        <w:t>,</w:t>
      </w:r>
      <w:r w:rsidR="00377D99">
        <w:t xml:space="preserve"> el § </w:t>
      </w:r>
      <w:r>
        <w:t xml:space="preserve">5.1.3 del </w:t>
      </w:r>
      <w:r w:rsidR="00377D99">
        <w:t>Apéndice</w:t>
      </w:r>
      <w:r>
        <w:t xml:space="preserve"> </w:t>
      </w:r>
      <w:r w:rsidRPr="00377D99">
        <w:rPr>
          <w:b/>
          <w:bCs/>
        </w:rPr>
        <w:t>30</w:t>
      </w:r>
      <w:r>
        <w:t xml:space="preserve">, </w:t>
      </w:r>
      <w:r w:rsidR="00377D99">
        <w:t>el § </w:t>
      </w:r>
      <w:r>
        <w:t xml:space="preserve">5.1.7 del </w:t>
      </w:r>
      <w:r w:rsidR="00377D99">
        <w:t xml:space="preserve">Apéndice </w:t>
      </w:r>
      <w:r w:rsidRPr="00377D99">
        <w:rPr>
          <w:b/>
          <w:bCs/>
        </w:rPr>
        <w:t>30</w:t>
      </w:r>
      <w:r w:rsidR="00377D99">
        <w:rPr>
          <w:b/>
          <w:bCs/>
        </w:rPr>
        <w:t>A</w:t>
      </w:r>
      <w:r>
        <w:t xml:space="preserve"> y </w:t>
      </w:r>
      <w:r w:rsidR="00377D99">
        <w:t>el § </w:t>
      </w:r>
      <w:r>
        <w:t xml:space="preserve">8.1 del </w:t>
      </w:r>
      <w:r w:rsidR="00377D99">
        <w:t>Apéndice</w:t>
      </w:r>
      <w:r>
        <w:t xml:space="preserve"> </w:t>
      </w:r>
      <w:r w:rsidRPr="00377D99">
        <w:rPr>
          <w:b/>
          <w:bCs/>
        </w:rPr>
        <w:t>30B</w:t>
      </w:r>
      <w:r>
        <w:t>.</w:t>
      </w:r>
    </w:p>
    <w:p w:rsidR="0041294A" w:rsidRDefault="0041294A" w:rsidP="007E48EC">
      <w:r>
        <w:t>2.3.2</w:t>
      </w:r>
      <w:r>
        <w:tab/>
        <w:t xml:space="preserve">Para la notificación de una asignación de frecuencia a un red de satélites OSG con arreglo al </w:t>
      </w:r>
      <w:r w:rsidR="00B61B6E">
        <w:t>Artículo</w:t>
      </w:r>
      <w:r>
        <w:t xml:space="preserve"> </w:t>
      </w:r>
      <w:r w:rsidRPr="007E48EC">
        <w:rPr>
          <w:b/>
          <w:bCs/>
        </w:rPr>
        <w:t>11</w:t>
      </w:r>
      <w:r>
        <w:t xml:space="preserve">, </w:t>
      </w:r>
      <w:r w:rsidR="007E48EC">
        <w:t>a</w:t>
      </w:r>
      <w:r>
        <w:t>l Art</w:t>
      </w:r>
      <w:r w:rsidR="00B61B6E">
        <w:t>í</w:t>
      </w:r>
      <w:r>
        <w:t xml:space="preserve">culo 5 de los </w:t>
      </w:r>
      <w:r w:rsidR="00B61B6E">
        <w:t>Apéndices</w:t>
      </w:r>
      <w:r>
        <w:t xml:space="preserve"> </w:t>
      </w:r>
      <w:r w:rsidRPr="00B61B6E">
        <w:rPr>
          <w:b/>
          <w:bCs/>
        </w:rPr>
        <w:t>30</w:t>
      </w:r>
      <w:r>
        <w:t xml:space="preserve"> y </w:t>
      </w:r>
      <w:r w:rsidRPr="00B61B6E">
        <w:rPr>
          <w:b/>
          <w:bCs/>
        </w:rPr>
        <w:t>30</w:t>
      </w:r>
      <w:r w:rsidR="00B61B6E">
        <w:rPr>
          <w:b/>
          <w:bCs/>
        </w:rPr>
        <w:t>A</w:t>
      </w:r>
      <w:r>
        <w:t xml:space="preserve"> y al </w:t>
      </w:r>
      <w:r w:rsidR="00B61B6E">
        <w:t>Artículo</w:t>
      </w:r>
      <w:r>
        <w:t xml:space="preserve"> 8 del </w:t>
      </w:r>
      <w:r w:rsidR="00B61B6E">
        <w:t>Apéndice</w:t>
      </w:r>
      <w:r>
        <w:t xml:space="preserve"> </w:t>
      </w:r>
      <w:r w:rsidRPr="00B61B6E">
        <w:rPr>
          <w:b/>
          <w:bCs/>
        </w:rPr>
        <w:t>30B</w:t>
      </w:r>
      <w:r>
        <w:t xml:space="preserve"> con una FPE posterior a la fecha de recepción de la notificación, la asign</w:t>
      </w:r>
      <w:r w:rsidR="00B61B6E">
        <w:t>ación de frecuencia se procesará</w:t>
      </w:r>
      <w:r>
        <w:t xml:space="preserve"> de conformidad con el </w:t>
      </w:r>
      <w:r w:rsidR="00B61B6E">
        <w:t xml:space="preserve">número </w:t>
      </w:r>
      <w:r w:rsidRPr="00B61B6E">
        <w:rPr>
          <w:b/>
          <w:bCs/>
        </w:rPr>
        <w:t>11.47</w:t>
      </w:r>
      <w:r>
        <w:t xml:space="preserve">, el </w:t>
      </w:r>
      <w:r w:rsidR="00B61B6E">
        <w:t>§ </w:t>
      </w:r>
      <w:r>
        <w:t xml:space="preserve">5.3.1 de los </w:t>
      </w:r>
      <w:r w:rsidR="00B61B6E">
        <w:t>Apéndices</w:t>
      </w:r>
      <w:r>
        <w:t xml:space="preserve"> </w:t>
      </w:r>
      <w:r w:rsidRPr="00B61B6E">
        <w:rPr>
          <w:b/>
          <w:bCs/>
        </w:rPr>
        <w:t>30</w:t>
      </w:r>
      <w:r>
        <w:t xml:space="preserve"> y </w:t>
      </w:r>
      <w:r w:rsidRPr="00B61B6E">
        <w:rPr>
          <w:b/>
          <w:bCs/>
        </w:rPr>
        <w:t>30</w:t>
      </w:r>
      <w:r w:rsidR="00B61B6E">
        <w:rPr>
          <w:b/>
          <w:bCs/>
        </w:rPr>
        <w:t>A</w:t>
      </w:r>
      <w:r>
        <w:t xml:space="preserve"> y el </w:t>
      </w:r>
      <w:r w:rsidR="00B61B6E">
        <w:t>§ </w:t>
      </w:r>
      <w:r>
        <w:t xml:space="preserve">8.16 del </w:t>
      </w:r>
      <w:r w:rsidR="00B61B6E">
        <w:t>Apéndice </w:t>
      </w:r>
      <w:r w:rsidRPr="00B61B6E">
        <w:rPr>
          <w:b/>
          <w:bCs/>
        </w:rPr>
        <w:t>30B</w:t>
      </w:r>
      <w:r>
        <w:t xml:space="preserve">, según el caso, </w:t>
      </w:r>
      <w:r w:rsidR="00B61B6E">
        <w:t>introduciendo</w:t>
      </w:r>
      <w:r>
        <w:t xml:space="preserve"> una inscripción provisional en el Registro Internacional de Frecuencias.</w:t>
      </w:r>
    </w:p>
    <w:p w:rsidR="0041294A" w:rsidRPr="00B51E92" w:rsidRDefault="0041294A" w:rsidP="00B51E92">
      <w:r>
        <w:t>Posteriormen</w:t>
      </w:r>
      <w:r w:rsidR="00B61B6E">
        <w:t>te, la administración comunicará</w:t>
      </w:r>
      <w:r>
        <w:t xml:space="preserve"> a la Oficina la fecha en la que la </w:t>
      </w:r>
      <w:r w:rsidR="00B61B6E">
        <w:t>asignación a la red</w:t>
      </w:r>
      <w:r>
        <w:t xml:space="preserve"> de satélites entr</w:t>
      </w:r>
      <w:r w:rsidR="00B61B6E">
        <w:t>ó</w:t>
      </w:r>
      <w:r>
        <w:t xml:space="preserve"> realmente en servicio, proporcionando de esa forma una FPE actualizada o confirmada. </w:t>
      </w:r>
      <w:r w:rsidR="00B61B6E">
        <w:t>Esta comunicación se considerará</w:t>
      </w:r>
      <w:r>
        <w:t xml:space="preserve"> como la </w:t>
      </w:r>
      <w:r w:rsidR="00B61B6E">
        <w:t xml:space="preserve">«información </w:t>
      </w:r>
      <w:r>
        <w:t>inicial</w:t>
      </w:r>
      <w:r w:rsidR="00B61B6E">
        <w:t>»</w:t>
      </w:r>
      <w:r>
        <w:t xml:space="preserve">. Esta </w:t>
      </w:r>
      <w:r w:rsidR="00B61B6E">
        <w:t xml:space="preserve">información </w:t>
      </w:r>
      <w:r>
        <w:t>inic</w:t>
      </w:r>
      <w:r w:rsidR="00B61B6E">
        <w:t>ial de puesta en servicio debe</w:t>
      </w:r>
      <w:r>
        <w:t xml:space="preserve"> ser recibida por la </w:t>
      </w:r>
      <w:r w:rsidR="00B61B6E">
        <w:t>Oficina</w:t>
      </w:r>
      <w:r>
        <w:t xml:space="preserve"> antes de que </w:t>
      </w:r>
      <w:r w:rsidR="00B61B6E">
        <w:t xml:space="preserve">hayan transcurrido 30 días desde la expiración del </w:t>
      </w:r>
      <w:r>
        <w:t xml:space="preserve">plazo </w:t>
      </w:r>
      <w:r w:rsidR="00B61B6E">
        <w:t>reglamentario</w:t>
      </w:r>
      <w:r>
        <w:t xml:space="preserve"> </w:t>
      </w:r>
      <w:r w:rsidR="00B61B6E">
        <w:t xml:space="preserve">aplicable (número </w:t>
      </w:r>
      <w:r w:rsidRPr="00B61B6E">
        <w:rPr>
          <w:b/>
          <w:bCs/>
        </w:rPr>
        <w:t>11.47</w:t>
      </w:r>
      <w:r>
        <w:t xml:space="preserve">, </w:t>
      </w:r>
      <w:r w:rsidR="00B61B6E">
        <w:t>§ </w:t>
      </w:r>
      <w:r>
        <w:t xml:space="preserve">5.3.1 de los </w:t>
      </w:r>
      <w:r w:rsidR="004C5451">
        <w:t>Apéndices</w:t>
      </w:r>
      <w:r>
        <w:t xml:space="preserve"> </w:t>
      </w:r>
      <w:r w:rsidRPr="004C5451">
        <w:rPr>
          <w:b/>
          <w:bCs/>
        </w:rPr>
        <w:t>30</w:t>
      </w:r>
      <w:r>
        <w:t xml:space="preserve"> y</w:t>
      </w:r>
      <w:r w:rsidR="004C5451">
        <w:t> </w:t>
      </w:r>
      <w:r w:rsidRPr="004C5451">
        <w:rPr>
          <w:b/>
          <w:bCs/>
        </w:rPr>
        <w:t>30</w:t>
      </w:r>
      <w:r w:rsidR="004C5451" w:rsidRPr="004C5451">
        <w:rPr>
          <w:b/>
          <w:bCs/>
        </w:rPr>
        <w:t>A</w:t>
      </w:r>
      <w:r>
        <w:t xml:space="preserve"> y </w:t>
      </w:r>
      <w:r w:rsidR="004C5451">
        <w:t>§ </w:t>
      </w:r>
      <w:r>
        <w:t xml:space="preserve">8.16 del </w:t>
      </w:r>
      <w:r w:rsidR="004C5451">
        <w:t xml:space="preserve">Apéndice </w:t>
      </w:r>
      <w:r w:rsidRPr="004C5451">
        <w:rPr>
          <w:b/>
          <w:bCs/>
        </w:rPr>
        <w:t>30B</w:t>
      </w:r>
      <w:r>
        <w:t xml:space="preserve">), y la FPE debe </w:t>
      </w:r>
      <w:r w:rsidR="00D6462A">
        <w:t xml:space="preserve">encontrarse </w:t>
      </w:r>
      <w:r>
        <w:t>dentro del plazo reglamentario.</w:t>
      </w:r>
      <w:r w:rsidR="00D6462A">
        <w:t xml:space="preserve"> De no ser así, la Oficina </w:t>
      </w:r>
      <w:r w:rsidR="00F4054D">
        <w:t xml:space="preserve">cancelará la inscripción del Registro Internacional de Frecuencias de conformidad con el número </w:t>
      </w:r>
      <w:r w:rsidR="00F4054D" w:rsidRPr="00F4054D">
        <w:rPr>
          <w:b/>
          <w:bCs/>
        </w:rPr>
        <w:t>11.47</w:t>
      </w:r>
      <w:r w:rsidR="00F4054D" w:rsidRPr="00F4054D">
        <w:t>,</w:t>
      </w:r>
      <w:r w:rsidR="00F4054D">
        <w:t xml:space="preserve"> </w:t>
      </w:r>
      <w:r w:rsidR="00B51E92">
        <w:t xml:space="preserve">el § 5.3.1 de los Apéndices </w:t>
      </w:r>
      <w:r w:rsidR="00B51E92" w:rsidRPr="00B51E92">
        <w:rPr>
          <w:b/>
          <w:bCs/>
        </w:rPr>
        <w:t>30</w:t>
      </w:r>
      <w:r w:rsidR="00B51E92">
        <w:t xml:space="preserve"> y </w:t>
      </w:r>
      <w:r w:rsidR="00B51E92" w:rsidRPr="00B51E92">
        <w:rPr>
          <w:b/>
          <w:bCs/>
        </w:rPr>
        <w:t>30A</w:t>
      </w:r>
      <w:r w:rsidR="00B51E92">
        <w:t xml:space="preserve"> y el § 8.16 del Apéndice </w:t>
      </w:r>
      <w:r w:rsidR="00B51E92" w:rsidRPr="00B51E92">
        <w:rPr>
          <w:b/>
          <w:bCs/>
        </w:rPr>
        <w:t>30B</w:t>
      </w:r>
      <w:r w:rsidR="00B51E92">
        <w:t>, tras haber informado a la administración interesada.</w:t>
      </w:r>
    </w:p>
    <w:p w:rsidR="0041294A" w:rsidRDefault="0041294A" w:rsidP="007E48EC">
      <w:r>
        <w:t>2.3.</w:t>
      </w:r>
      <w:r w:rsidR="00B51E92">
        <w:t>3</w:t>
      </w:r>
      <w:r>
        <w:tab/>
      </w:r>
      <w:r w:rsidR="00B51E92">
        <w:t>La Oficina introducirá</w:t>
      </w:r>
      <w:r>
        <w:t xml:space="preserve"> el estado de la asignación de frecuencia en el SNS </w:t>
      </w:r>
      <w:r w:rsidR="00B51E92">
        <w:t>[</w:t>
      </w:r>
      <w:proofErr w:type="spellStart"/>
      <w:r>
        <w:t>grp.f_biu</w:t>
      </w:r>
      <w:proofErr w:type="spellEnd"/>
      <w:r>
        <w:t>=</w:t>
      </w:r>
      <w:r w:rsidR="007E48EC">
        <w:t>«</w:t>
      </w:r>
      <w:r>
        <w:t>I</w:t>
      </w:r>
      <w:r w:rsidR="007E48EC">
        <w:t>»</w:t>
      </w:r>
      <w:r w:rsidR="00B51E92">
        <w:t>]</w:t>
      </w:r>
      <w:r>
        <w:t xml:space="preserve"> y c</w:t>
      </w:r>
      <w:r w:rsidR="00B51E92">
        <w:t>o</w:t>
      </w:r>
      <w:r>
        <w:t>lga</w:t>
      </w:r>
      <w:r w:rsidR="00B51E92">
        <w:t>rá</w:t>
      </w:r>
      <w:r>
        <w:t xml:space="preserve"> la </w:t>
      </w:r>
      <w:r w:rsidR="00B51E92">
        <w:t>información</w:t>
      </w:r>
      <w:r>
        <w:t xml:space="preserve"> en la </w:t>
      </w:r>
      <w:r w:rsidR="00B51E92">
        <w:t>página</w:t>
      </w:r>
      <w:r>
        <w:t xml:space="preserve"> web de </w:t>
      </w:r>
      <w:r w:rsidR="00B51E92">
        <w:t xml:space="preserve">la </w:t>
      </w:r>
      <w:r>
        <w:t xml:space="preserve">UIT-BR, indicando una </w:t>
      </w:r>
      <w:r w:rsidR="007E48EC">
        <w:t>«</w:t>
      </w:r>
      <w:r>
        <w:t>I</w:t>
      </w:r>
      <w:r w:rsidR="007E48EC">
        <w:t>»</w:t>
      </w:r>
      <w:r>
        <w:t xml:space="preserve"> para la </w:t>
      </w:r>
      <w:r w:rsidR="00B51E92">
        <w:t xml:space="preserve">información </w:t>
      </w:r>
      <w:r>
        <w:t xml:space="preserve">inicial de la </w:t>
      </w:r>
      <w:r w:rsidR="00B51E92">
        <w:t>p</w:t>
      </w:r>
      <w:r>
        <w:t>uesta en servicio en la columna</w:t>
      </w:r>
      <w:r w:rsidR="00B51E92">
        <w:t xml:space="preserve"> situación («status»).</w:t>
      </w:r>
    </w:p>
    <w:p w:rsidR="0041294A" w:rsidRDefault="0041294A" w:rsidP="00D209B5">
      <w:r>
        <w:t>2.3.</w:t>
      </w:r>
      <w:r w:rsidR="00D209B5">
        <w:t>4</w:t>
      </w:r>
      <w:r>
        <w:tab/>
        <w:t xml:space="preserve">La FPE indicada y confirmada en esta fase de </w:t>
      </w:r>
      <w:r w:rsidR="00D209B5">
        <w:t xml:space="preserve">información </w:t>
      </w:r>
      <w:r>
        <w:t xml:space="preserve">inicial será la fecha de inicio del periodo de 90 </w:t>
      </w:r>
      <w:r w:rsidR="00D209B5">
        <w:t>días</w:t>
      </w:r>
      <w:r>
        <w:t xml:space="preserve"> señalado en el </w:t>
      </w:r>
      <w:r w:rsidR="00D209B5">
        <w:t xml:space="preserve">número </w:t>
      </w:r>
      <w:r w:rsidRPr="00D209B5">
        <w:rPr>
          <w:b/>
          <w:bCs/>
        </w:rPr>
        <w:t>11.44.2</w:t>
      </w:r>
      <w:r>
        <w:t>.</w:t>
      </w:r>
    </w:p>
    <w:p w:rsidR="0041294A" w:rsidRDefault="0041294A" w:rsidP="00AD062C">
      <w:r>
        <w:t>2.3.</w:t>
      </w:r>
      <w:r w:rsidR="00217F34">
        <w:t>5</w:t>
      </w:r>
      <w:r>
        <w:tab/>
        <w:t xml:space="preserve">Para satisfacer las disposiciones del </w:t>
      </w:r>
      <w:r w:rsidR="00217F34">
        <w:t xml:space="preserve">número </w:t>
      </w:r>
      <w:r w:rsidRPr="00217F34">
        <w:rPr>
          <w:b/>
          <w:bCs/>
        </w:rPr>
        <w:t>11.44B</w:t>
      </w:r>
      <w:r>
        <w:t xml:space="preserve"> respecto a la confirmación que debe comunicarse dentro de los 30 </w:t>
      </w:r>
      <w:r w:rsidR="00CB2FA5">
        <w:t>días</w:t>
      </w:r>
      <w:r>
        <w:t xml:space="preserve"> una vez </w:t>
      </w:r>
      <w:r w:rsidR="00CB2FA5">
        <w:t>transcurrido</w:t>
      </w:r>
      <w:r>
        <w:t xml:space="preserve"> el periodo de 90 </w:t>
      </w:r>
      <w:r w:rsidR="00CB2FA5">
        <w:t>días</w:t>
      </w:r>
      <w:r>
        <w:t xml:space="preserve">, la fecha de inicio de </w:t>
      </w:r>
      <w:r>
        <w:lastRenderedPageBreak/>
        <w:t xml:space="preserve">ese periodo de 90 </w:t>
      </w:r>
      <w:r w:rsidR="00CB2FA5">
        <w:t>días</w:t>
      </w:r>
      <w:r>
        <w:t xml:space="preserve"> no </w:t>
      </w:r>
      <w:r w:rsidR="00CB2FA5">
        <w:t xml:space="preserve">puede </w:t>
      </w:r>
      <w:r>
        <w:t xml:space="preserve">ser anterior a 120 </w:t>
      </w:r>
      <w:r w:rsidR="00AD062C">
        <w:t>días</w:t>
      </w:r>
      <w:r>
        <w:t xml:space="preserve"> antes de la fecha de recepción de la not</w:t>
      </w:r>
      <w:r w:rsidR="00AD062C">
        <w:t xml:space="preserve">ificación con arreglo al número </w:t>
      </w:r>
      <w:r w:rsidR="00AD062C" w:rsidRPr="00AD062C">
        <w:rPr>
          <w:b/>
          <w:bCs/>
        </w:rPr>
        <w:t>11.4</w:t>
      </w:r>
      <w:r w:rsidRPr="00AD062C">
        <w:rPr>
          <w:b/>
          <w:bCs/>
        </w:rPr>
        <w:t>5</w:t>
      </w:r>
      <w:r w:rsidR="00AD062C">
        <w:t>, el § </w:t>
      </w:r>
      <w:r>
        <w:t xml:space="preserve">5.1.3 del </w:t>
      </w:r>
      <w:r w:rsidR="00AD062C">
        <w:t>Apéndice</w:t>
      </w:r>
      <w:r>
        <w:t xml:space="preserve"> </w:t>
      </w:r>
      <w:r w:rsidRPr="00AD062C">
        <w:rPr>
          <w:b/>
          <w:bCs/>
        </w:rPr>
        <w:t>30</w:t>
      </w:r>
      <w:r>
        <w:t xml:space="preserve">, el </w:t>
      </w:r>
      <w:r w:rsidR="00AD062C">
        <w:t>§ </w:t>
      </w:r>
      <w:r>
        <w:t xml:space="preserve">5.1.7 del </w:t>
      </w:r>
      <w:r w:rsidR="00AD062C">
        <w:t xml:space="preserve">Apéndice </w:t>
      </w:r>
      <w:r w:rsidR="00AD062C" w:rsidRPr="00AD062C">
        <w:rPr>
          <w:b/>
          <w:bCs/>
        </w:rPr>
        <w:t>30A</w:t>
      </w:r>
      <w:r>
        <w:t xml:space="preserve"> y el </w:t>
      </w:r>
      <w:r w:rsidR="00AD062C">
        <w:t>§ </w:t>
      </w:r>
      <w:r>
        <w:t xml:space="preserve">8.1 del </w:t>
      </w:r>
      <w:r w:rsidR="00AD062C">
        <w:t>Apéndice</w:t>
      </w:r>
      <w:r>
        <w:t xml:space="preserve"> </w:t>
      </w:r>
      <w:r w:rsidRPr="00AD062C">
        <w:rPr>
          <w:b/>
          <w:bCs/>
        </w:rPr>
        <w:t>30B</w:t>
      </w:r>
      <w:r>
        <w:t>.</w:t>
      </w:r>
    </w:p>
    <w:p w:rsidR="0041294A" w:rsidRDefault="0041294A" w:rsidP="00DF301F">
      <w:r>
        <w:t>2.4</w:t>
      </w:r>
      <w:r>
        <w:tab/>
      </w:r>
      <w:r w:rsidR="00DF301F">
        <w:t xml:space="preserve">La </w:t>
      </w:r>
      <w:r>
        <w:t xml:space="preserve">confirmación de la puesta en servicio de la asignación de frecuencia </w:t>
      </w:r>
      <w:r w:rsidR="00DF301F">
        <w:t xml:space="preserve">se considerará </w:t>
      </w:r>
      <w:r>
        <w:t xml:space="preserve">comunicada a la Oficina cuando la administración la informe de que una estación </w:t>
      </w:r>
      <w:r w:rsidR="00DF301F">
        <w:t>espacial</w:t>
      </w:r>
      <w:r>
        <w:t xml:space="preserve"> en la OSG con la capacidad de </w:t>
      </w:r>
      <w:r w:rsidR="00DF301F">
        <w:t>transmitir</w:t>
      </w:r>
      <w:r>
        <w:t xml:space="preserve"> o recibir en esa asignación de frecuencia ha sido instalada y mantenida en la posición orbital notificada </w:t>
      </w:r>
      <w:r w:rsidR="00DF301F">
        <w:t>durante</w:t>
      </w:r>
      <w:r>
        <w:t xml:space="preserve"> un periodo continuo de 90 </w:t>
      </w:r>
      <w:r w:rsidR="00DF301F">
        <w:t>días</w:t>
      </w:r>
      <w:r>
        <w:t xml:space="preserve">, como se </w:t>
      </w:r>
      <w:r w:rsidR="00DF301F">
        <w:t>describe</w:t>
      </w:r>
      <w:r>
        <w:t xml:space="preserve"> en el </w:t>
      </w:r>
      <w:r w:rsidR="00DF301F">
        <w:t xml:space="preserve">número </w:t>
      </w:r>
      <w:r w:rsidRPr="00DF301F">
        <w:rPr>
          <w:b/>
          <w:bCs/>
        </w:rPr>
        <w:t>11.44B</w:t>
      </w:r>
      <w:r>
        <w:t>.</w:t>
      </w:r>
    </w:p>
    <w:p w:rsidR="0041294A" w:rsidRDefault="0041294A" w:rsidP="005968BF">
      <w:r>
        <w:t>2.4.</w:t>
      </w:r>
      <w:r w:rsidR="00C85764">
        <w:t>1</w:t>
      </w:r>
      <w:r>
        <w:tab/>
        <w:t xml:space="preserve">Para evitar una posible interpretación errónea del significado de </w:t>
      </w:r>
      <w:r w:rsidR="00C85764">
        <w:t>«</w:t>
      </w:r>
      <w:r>
        <w:t xml:space="preserve">con la capacidad de </w:t>
      </w:r>
      <w:r w:rsidR="00C85764">
        <w:t>transmitir</w:t>
      </w:r>
      <w:r>
        <w:t xml:space="preserve"> o recibir en esa asignación de frecuencia</w:t>
      </w:r>
      <w:r w:rsidR="00C85764">
        <w:t>»</w:t>
      </w:r>
      <w:r>
        <w:t xml:space="preserve"> y determinar la </w:t>
      </w:r>
      <w:r w:rsidR="00C34E6E">
        <w:t>forma</w:t>
      </w:r>
      <w:r>
        <w:t xml:space="preserve"> en que la </w:t>
      </w:r>
      <w:r w:rsidR="00C34E6E">
        <w:t xml:space="preserve">Oficina </w:t>
      </w:r>
      <w:r>
        <w:t>aplicaría est</w:t>
      </w:r>
      <w:r w:rsidR="005968BF">
        <w:t>a disposición</w:t>
      </w:r>
      <w:r>
        <w:t xml:space="preserve">, la propia Oficina ha </w:t>
      </w:r>
      <w:r w:rsidR="005968BF">
        <w:t xml:space="preserve">elaborado </w:t>
      </w:r>
      <w:r>
        <w:t xml:space="preserve">una lista no exhaustiva de posibles tipos de </w:t>
      </w:r>
      <w:r w:rsidR="005968BF">
        <w:t>información</w:t>
      </w:r>
      <w:r>
        <w:t xml:space="preserve"> que puede solicitarse para verificar la capacidad de </w:t>
      </w:r>
      <w:r w:rsidR="005968BF">
        <w:t>transmisión</w:t>
      </w:r>
      <w:r>
        <w:t xml:space="preserve"> y recepción de un satélite</w:t>
      </w:r>
      <w:r w:rsidR="000C6F6D">
        <w:t xml:space="preserve"> una vez recibida la FPE</w:t>
      </w:r>
      <w:r>
        <w:t>, a saber:</w:t>
      </w:r>
    </w:p>
    <w:p w:rsidR="0041294A" w:rsidRDefault="000C6F6D" w:rsidP="000C6F6D">
      <w:pPr>
        <w:pStyle w:val="enumlev1"/>
      </w:pPr>
      <w:r>
        <w:t>•</w:t>
      </w:r>
      <w:r>
        <w:tab/>
      </w:r>
      <w:proofErr w:type="gramStart"/>
      <w:r w:rsidR="0041294A">
        <w:t>el</w:t>
      </w:r>
      <w:proofErr w:type="gramEnd"/>
      <w:r w:rsidR="0041294A">
        <w:t xml:space="preserve"> </w:t>
      </w:r>
      <w:r w:rsidR="00B62082">
        <w:t>nombre comercial del satélite;</w:t>
      </w:r>
    </w:p>
    <w:p w:rsidR="0041294A" w:rsidRDefault="000C6F6D" w:rsidP="002F6FDD">
      <w:pPr>
        <w:pStyle w:val="enumlev1"/>
      </w:pPr>
      <w:r>
        <w:t>•</w:t>
      </w:r>
      <w:r>
        <w:tab/>
      </w:r>
      <w:r w:rsidR="0041294A">
        <w:t xml:space="preserve">un </w:t>
      </w:r>
      <w:r w:rsidR="00B62082">
        <w:t>plan</w:t>
      </w:r>
      <w:r w:rsidR="0041294A">
        <w:t xml:space="preserve"> de frecuencias para el satélite </w:t>
      </w:r>
      <w:r w:rsidR="00B62082">
        <w:t xml:space="preserve">proporcionado por el fabricante y certificado </w:t>
      </w:r>
      <w:r w:rsidR="0041294A">
        <w:t xml:space="preserve">o cualquier </w:t>
      </w:r>
      <w:r w:rsidR="00B62082">
        <w:t>información</w:t>
      </w:r>
      <w:r w:rsidR="0041294A">
        <w:t xml:space="preserve"> sobre la </w:t>
      </w:r>
      <w:r w:rsidR="00B62082">
        <w:t>descripción</w:t>
      </w:r>
      <w:r w:rsidR="0041294A">
        <w:t xml:space="preserve"> de la carga útil (diagrama de bloques, plan de frecuencias, amplificador de tubo de </w:t>
      </w:r>
      <w:r w:rsidR="00B62082">
        <w:t>ondas</w:t>
      </w:r>
      <w:r w:rsidR="0041294A">
        <w:t xml:space="preserve"> progresivas (</w:t>
      </w:r>
      <w:r w:rsidR="00B62082">
        <w:t>A</w:t>
      </w:r>
      <w:r w:rsidR="0041294A">
        <w:t>TOP), n</w:t>
      </w:r>
      <w:r w:rsidR="002F6FDD">
        <w:t>ú</w:t>
      </w:r>
      <w:r w:rsidR="0041294A">
        <w:t xml:space="preserve">mero de </w:t>
      </w:r>
      <w:proofErr w:type="spellStart"/>
      <w:r w:rsidR="0041294A">
        <w:t>tra</w:t>
      </w:r>
      <w:r w:rsidR="00B62082">
        <w:t>n</w:t>
      </w:r>
      <w:r w:rsidR="0041294A">
        <w:t>spondedores</w:t>
      </w:r>
      <w:proofErr w:type="spellEnd"/>
      <w:r w:rsidR="0041294A">
        <w:t xml:space="preserve">, anchura de banda del </w:t>
      </w:r>
      <w:proofErr w:type="spellStart"/>
      <w:r w:rsidR="0041294A">
        <w:t>tra</w:t>
      </w:r>
      <w:r w:rsidR="00B62082">
        <w:t>n</w:t>
      </w:r>
      <w:r w:rsidR="0041294A">
        <w:t>spondedor</w:t>
      </w:r>
      <w:proofErr w:type="spellEnd"/>
      <w:r w:rsidR="0041294A">
        <w:t>, vida útil espe</w:t>
      </w:r>
      <w:r w:rsidR="00B62082">
        <w:t>rada de la misión orbital,…</w:t>
      </w:r>
      <w:r w:rsidR="0041294A">
        <w:t>);</w:t>
      </w:r>
    </w:p>
    <w:p w:rsidR="0041294A" w:rsidRDefault="000C6F6D" w:rsidP="000C6F6D">
      <w:pPr>
        <w:pStyle w:val="enumlev1"/>
      </w:pPr>
      <w:r>
        <w:t>•</w:t>
      </w:r>
      <w:r>
        <w:tab/>
      </w:r>
      <w:proofErr w:type="gramStart"/>
      <w:r w:rsidR="0041294A">
        <w:t>los</w:t>
      </w:r>
      <w:proofErr w:type="gramEnd"/>
      <w:r w:rsidR="0041294A">
        <w:t xml:space="preserve"> </w:t>
      </w:r>
      <w:r w:rsidR="00B62082">
        <w:t>resultados</w:t>
      </w:r>
      <w:r w:rsidR="0041294A">
        <w:t xml:space="preserve"> de las pruebas de </w:t>
      </w:r>
      <w:r w:rsidR="00B62082">
        <w:t xml:space="preserve">la </w:t>
      </w:r>
      <w:r w:rsidR="0041294A">
        <w:t>carga útil/</w:t>
      </w:r>
      <w:r w:rsidR="00B62082">
        <w:t xml:space="preserve">el </w:t>
      </w:r>
      <w:proofErr w:type="spellStart"/>
      <w:r w:rsidR="0041294A">
        <w:t>transpondedor</w:t>
      </w:r>
      <w:proofErr w:type="spellEnd"/>
      <w:r w:rsidR="0041294A">
        <w:t xml:space="preserve"> en </w:t>
      </w:r>
      <w:r w:rsidR="00B62082">
        <w:t>órbita</w:t>
      </w:r>
      <w:r w:rsidR="0041294A">
        <w:t xml:space="preserve"> llevadas a cabo tras la entrega del satélite;</w:t>
      </w:r>
    </w:p>
    <w:p w:rsidR="0041294A" w:rsidRDefault="000C6F6D" w:rsidP="00614440">
      <w:pPr>
        <w:pStyle w:val="enumlev1"/>
      </w:pPr>
      <w:r>
        <w:t>•</w:t>
      </w:r>
      <w:r>
        <w:tab/>
      </w:r>
      <w:proofErr w:type="gramStart"/>
      <w:r w:rsidR="0041294A">
        <w:t>la</w:t>
      </w:r>
      <w:proofErr w:type="gramEnd"/>
      <w:r w:rsidR="0041294A">
        <w:t xml:space="preserve"> aplicación de la licencia del</w:t>
      </w:r>
      <w:r w:rsidR="00614440">
        <w:t xml:space="preserve"> operador</w:t>
      </w:r>
      <w:r w:rsidR="0041294A">
        <w:t xml:space="preserve"> </w:t>
      </w:r>
      <w:r w:rsidR="00614440">
        <w:t xml:space="preserve">de la red de </w:t>
      </w:r>
      <w:r w:rsidR="0041294A">
        <w:t>satélite</w:t>
      </w:r>
      <w:r w:rsidR="00614440">
        <w:t>s</w:t>
      </w:r>
      <w:r w:rsidR="0041294A">
        <w:t xml:space="preserve"> a la administración;</w:t>
      </w:r>
    </w:p>
    <w:p w:rsidR="0041294A" w:rsidRDefault="000C6F6D" w:rsidP="00614440">
      <w:pPr>
        <w:pStyle w:val="enumlev1"/>
      </w:pPr>
      <w:r>
        <w:t>•</w:t>
      </w:r>
      <w:r>
        <w:tab/>
      </w:r>
      <w:proofErr w:type="gramStart"/>
      <w:r w:rsidR="00614440">
        <w:t>los</w:t>
      </w:r>
      <w:proofErr w:type="gramEnd"/>
      <w:r w:rsidR="0041294A">
        <w:t xml:space="preserve"> contratos de arriendo del </w:t>
      </w:r>
      <w:proofErr w:type="spellStart"/>
      <w:r w:rsidR="0041294A">
        <w:t>tra</w:t>
      </w:r>
      <w:r w:rsidR="00614440">
        <w:t>n</w:t>
      </w:r>
      <w:r w:rsidR="0041294A">
        <w:t>spondedor</w:t>
      </w:r>
      <w:proofErr w:type="spellEnd"/>
      <w:r w:rsidR="0041294A">
        <w:t>; etc.</w:t>
      </w:r>
    </w:p>
    <w:p w:rsidR="0041294A" w:rsidRDefault="0041294A" w:rsidP="00A07B36">
      <w:r>
        <w:t>2.4.</w:t>
      </w:r>
      <w:r w:rsidR="000E58F6">
        <w:t>2</w:t>
      </w:r>
      <w:r>
        <w:tab/>
        <w:t>L</w:t>
      </w:r>
      <w:r w:rsidR="000E58F6">
        <w:t>a</w:t>
      </w:r>
      <w:r>
        <w:t xml:space="preserve"> Oficina es consciente </w:t>
      </w:r>
      <w:r w:rsidR="000E58F6">
        <w:t xml:space="preserve">del carácter confidencial </w:t>
      </w:r>
      <w:r>
        <w:t xml:space="preserve">de algunas de las anteriores informaciones y </w:t>
      </w:r>
      <w:r w:rsidR="000E58F6">
        <w:t>está</w:t>
      </w:r>
      <w:r>
        <w:t xml:space="preserve"> dispuesta a considerar la comunicación de esta </w:t>
      </w:r>
      <w:r w:rsidR="00A07B36">
        <w:t>información</w:t>
      </w:r>
      <w:r>
        <w:t xml:space="preserve"> bajo un acuerdo de </w:t>
      </w:r>
      <w:r w:rsidR="00A07B36">
        <w:t xml:space="preserve">no divulgación </w:t>
      </w:r>
      <w:r>
        <w:t>entre la administración y la Oficina.</w:t>
      </w:r>
    </w:p>
    <w:p w:rsidR="0041294A" w:rsidRDefault="0041294A" w:rsidP="002F6FDD">
      <w:r>
        <w:t>2.4.</w:t>
      </w:r>
      <w:r w:rsidR="00A07B36">
        <w:t>3</w:t>
      </w:r>
      <w:r>
        <w:tab/>
        <w:t xml:space="preserve">Al recibir la confirmación </w:t>
      </w:r>
      <w:r w:rsidR="00A07B36">
        <w:t xml:space="preserve">sobre </w:t>
      </w:r>
      <w:r>
        <w:t xml:space="preserve">la puesta en servicio de una administración </w:t>
      </w:r>
      <w:r w:rsidR="00A07B36">
        <w:t xml:space="preserve">antes de que hayan transcurrido 120 días tras expirar el </w:t>
      </w:r>
      <w:r>
        <w:t>plazo de tiempo reglamentario, la Oficina actualiza</w:t>
      </w:r>
      <w:r w:rsidR="00A07B36">
        <w:t>rá</w:t>
      </w:r>
      <w:r>
        <w:t xml:space="preserve"> la situación de</w:t>
      </w:r>
      <w:r w:rsidR="00A07B36">
        <w:t xml:space="preserve"> la red de satélites en el SNS [</w:t>
      </w:r>
      <w:proofErr w:type="spellStart"/>
      <w:r>
        <w:t>grp.f_biu</w:t>
      </w:r>
      <w:proofErr w:type="spellEnd"/>
      <w:r>
        <w:t>=C</w:t>
      </w:r>
      <w:r w:rsidR="00A07B36">
        <w:t>]</w:t>
      </w:r>
      <w:r>
        <w:t xml:space="preserve"> y </w:t>
      </w:r>
      <w:r w:rsidR="00936CAC">
        <w:t>colgará la información</w:t>
      </w:r>
      <w:r>
        <w:t xml:space="preserve"> en la </w:t>
      </w:r>
      <w:r w:rsidR="00936CAC">
        <w:t>página</w:t>
      </w:r>
      <w:r>
        <w:t xml:space="preserve"> web de la UIT-BR, indicando </w:t>
      </w:r>
      <w:r w:rsidR="002F6FDD">
        <w:t>«</w:t>
      </w:r>
      <w:r>
        <w:t>Y</w:t>
      </w:r>
      <w:r w:rsidR="002F6FDD">
        <w:t>»</w:t>
      </w:r>
      <w:r>
        <w:t xml:space="preserve"> para la confirmación de la puesta en servicio en la columna de </w:t>
      </w:r>
      <w:r w:rsidR="00936CAC">
        <w:t>Situación</w:t>
      </w:r>
      <w:r>
        <w:t xml:space="preserve">. La </w:t>
      </w:r>
      <w:r w:rsidR="00936CAC">
        <w:t>Oficina publicará</w:t>
      </w:r>
      <w:r>
        <w:t xml:space="preserve"> esta </w:t>
      </w:r>
      <w:r w:rsidR="00936CAC">
        <w:t>información</w:t>
      </w:r>
      <w:r>
        <w:t xml:space="preserve"> en la </w:t>
      </w:r>
      <w:r w:rsidR="00936CAC">
        <w:t xml:space="preserve">Parte </w:t>
      </w:r>
      <w:r>
        <w:t>II-S de la BR IFIC (</w:t>
      </w:r>
      <w:r w:rsidR="00936CAC">
        <w:t xml:space="preserve">Servicios </w:t>
      </w:r>
      <w:r>
        <w:t>Espaciales) en DVD.</w:t>
      </w:r>
    </w:p>
    <w:p w:rsidR="0041294A" w:rsidRDefault="0041294A" w:rsidP="006220D2">
      <w:r>
        <w:t>2.4.</w:t>
      </w:r>
      <w:r w:rsidR="00936CAC">
        <w:t>4</w:t>
      </w:r>
      <w:r>
        <w:tab/>
        <w:t xml:space="preserve">Si no se recibe de </w:t>
      </w:r>
      <w:r w:rsidR="00936CAC">
        <w:t xml:space="preserve">la </w:t>
      </w:r>
      <w:r>
        <w:t xml:space="preserve">administración ni la </w:t>
      </w:r>
      <w:r w:rsidR="00936CAC">
        <w:t xml:space="preserve">información </w:t>
      </w:r>
      <w:r>
        <w:t xml:space="preserve">ni la confirmación </w:t>
      </w:r>
      <w:r w:rsidR="00936CAC">
        <w:t xml:space="preserve">en el plazo de 120 días </w:t>
      </w:r>
      <w:r>
        <w:t xml:space="preserve">una </w:t>
      </w:r>
      <w:r w:rsidR="00936CAC">
        <w:t>v</w:t>
      </w:r>
      <w:r>
        <w:t xml:space="preserve">ez </w:t>
      </w:r>
      <w:r w:rsidR="00936CAC">
        <w:t>transcurrido</w:t>
      </w:r>
      <w:r>
        <w:t xml:space="preserve"> el periodo </w:t>
      </w:r>
      <w:r w:rsidR="00936CAC">
        <w:t>reglamentario</w:t>
      </w:r>
      <w:r w:rsidR="00973AC6">
        <w:t xml:space="preserve">, la Oficina cancelará las asignaciones </w:t>
      </w:r>
      <w:r>
        <w:t>correspondiente</w:t>
      </w:r>
      <w:r w:rsidR="009615DA">
        <w:t>s</w:t>
      </w:r>
      <w:r>
        <w:t xml:space="preserve"> publicada</w:t>
      </w:r>
      <w:r w:rsidR="009615DA">
        <w:t>s</w:t>
      </w:r>
      <w:r>
        <w:t xml:space="preserve"> con arreglo al </w:t>
      </w:r>
      <w:r w:rsidR="009615DA">
        <w:t>Artículo</w:t>
      </w:r>
      <w:r>
        <w:t xml:space="preserve"> </w:t>
      </w:r>
      <w:r w:rsidRPr="009615DA">
        <w:rPr>
          <w:b/>
          <w:bCs/>
        </w:rPr>
        <w:t>9</w:t>
      </w:r>
      <w:r>
        <w:t xml:space="preserve"> de conformidad con el </w:t>
      </w:r>
      <w:r w:rsidR="009615DA">
        <w:t xml:space="preserve">número </w:t>
      </w:r>
      <w:r w:rsidRPr="009615DA">
        <w:rPr>
          <w:b/>
          <w:bCs/>
        </w:rPr>
        <w:t>11.48</w:t>
      </w:r>
      <w:r>
        <w:t>, de conformidad con el Art</w:t>
      </w:r>
      <w:r w:rsidR="009615DA">
        <w:t>í</w:t>
      </w:r>
      <w:r>
        <w:t xml:space="preserve">culo 4 de los </w:t>
      </w:r>
      <w:r w:rsidR="009615DA">
        <w:t>Apéndices</w:t>
      </w:r>
      <w:r>
        <w:t xml:space="preserve"> </w:t>
      </w:r>
      <w:r w:rsidRPr="009615DA">
        <w:rPr>
          <w:b/>
          <w:bCs/>
        </w:rPr>
        <w:t>30</w:t>
      </w:r>
      <w:r>
        <w:t xml:space="preserve"> y </w:t>
      </w:r>
      <w:r w:rsidRPr="009615DA">
        <w:rPr>
          <w:b/>
          <w:bCs/>
        </w:rPr>
        <w:t>30</w:t>
      </w:r>
      <w:r w:rsidR="009615DA">
        <w:rPr>
          <w:b/>
          <w:bCs/>
        </w:rPr>
        <w:t>A</w:t>
      </w:r>
      <w:r w:rsidR="009615DA">
        <w:t xml:space="preserve"> de acuerdo con los §§ </w:t>
      </w:r>
      <w:r w:rsidR="006220D2">
        <w:t>4.</w:t>
      </w:r>
      <w:r>
        <w:t>1</w:t>
      </w:r>
      <w:r w:rsidR="006220D2">
        <w:t>.</w:t>
      </w:r>
      <w:r>
        <w:t xml:space="preserve">3 y 4.2.6 de los </w:t>
      </w:r>
      <w:r w:rsidR="006220D2">
        <w:t xml:space="preserve">Apéndices </w:t>
      </w:r>
      <w:r w:rsidRPr="006220D2">
        <w:rPr>
          <w:b/>
          <w:bCs/>
        </w:rPr>
        <w:t>30</w:t>
      </w:r>
      <w:r>
        <w:t xml:space="preserve"> y </w:t>
      </w:r>
      <w:r w:rsidRPr="006220D2">
        <w:rPr>
          <w:b/>
          <w:bCs/>
        </w:rPr>
        <w:t>30</w:t>
      </w:r>
      <w:r w:rsidR="006220D2">
        <w:rPr>
          <w:b/>
          <w:bCs/>
        </w:rPr>
        <w:t>A</w:t>
      </w:r>
      <w:r>
        <w:t xml:space="preserve"> y con arreglo al </w:t>
      </w:r>
      <w:r w:rsidR="006220D2">
        <w:t>Artículo</w:t>
      </w:r>
      <w:r>
        <w:t xml:space="preserve"> 6 de acu</w:t>
      </w:r>
      <w:r w:rsidR="006220D2">
        <w:t>e</w:t>
      </w:r>
      <w:r>
        <w:t xml:space="preserve">rdo con el </w:t>
      </w:r>
      <w:r w:rsidR="006220D2">
        <w:t>§</w:t>
      </w:r>
      <w:r>
        <w:t xml:space="preserve"> 6.33 del </w:t>
      </w:r>
      <w:r w:rsidR="006220D2">
        <w:t>Apéndice</w:t>
      </w:r>
      <w:r>
        <w:t xml:space="preserve"> </w:t>
      </w:r>
      <w:r w:rsidRPr="006220D2">
        <w:rPr>
          <w:b/>
          <w:bCs/>
        </w:rPr>
        <w:t>30B</w:t>
      </w:r>
      <w:r>
        <w:t>. En consecuencia</w:t>
      </w:r>
      <w:r w:rsidR="006220D2">
        <w:t>,</w:t>
      </w:r>
      <w:r>
        <w:t xml:space="preserve"> </w:t>
      </w:r>
      <w:r w:rsidR="006220D2">
        <w:t xml:space="preserve">también se cancelará </w:t>
      </w:r>
      <w:r>
        <w:t xml:space="preserve">la correspondiente inscripción en el Registro Internacional de </w:t>
      </w:r>
      <w:r w:rsidR="006220D2">
        <w:t>Frecuencias</w:t>
      </w:r>
      <w:r>
        <w:t>, caso de existir.</w:t>
      </w:r>
    </w:p>
    <w:p w:rsidR="0041294A" w:rsidRDefault="0041294A" w:rsidP="002F6FDD">
      <w:r>
        <w:t>2.5</w:t>
      </w:r>
      <w:r>
        <w:tab/>
        <w:t xml:space="preserve">Una vez comunicada la </w:t>
      </w:r>
      <w:r w:rsidR="00777F7F">
        <w:t>información inicial, se enviará</w:t>
      </w:r>
      <w:r>
        <w:t xml:space="preserve"> a la administración un recordatorio para la </w:t>
      </w:r>
      <w:r w:rsidR="00777F7F">
        <w:t xml:space="preserve">confirmación </w:t>
      </w:r>
      <w:r>
        <w:t xml:space="preserve">con arreglo al </w:t>
      </w:r>
      <w:r w:rsidR="00777F7F">
        <w:t xml:space="preserve">número </w:t>
      </w:r>
      <w:r w:rsidRPr="00777F7F">
        <w:rPr>
          <w:b/>
          <w:bCs/>
        </w:rPr>
        <w:t>11.44B</w:t>
      </w:r>
      <w:r>
        <w:t xml:space="preserve"> en el plazo de 90 </w:t>
      </w:r>
      <w:r w:rsidR="00777F7F">
        <w:t>días</w:t>
      </w:r>
      <w:r>
        <w:t xml:space="preserve"> tras la fecha de puesta en servicio</w:t>
      </w:r>
      <w:r w:rsidR="00777F7F">
        <w:t xml:space="preserve"> comunicada</w:t>
      </w:r>
      <w:r>
        <w:t xml:space="preserve">, salvo en los casos en que se reciba la notificación 90 </w:t>
      </w:r>
      <w:r w:rsidR="00777F7F">
        <w:t>días</w:t>
      </w:r>
      <w:r>
        <w:t xml:space="preserve"> después de la </w:t>
      </w:r>
      <w:r w:rsidR="00777F7F">
        <w:t xml:space="preserve">citada </w:t>
      </w:r>
      <w:r>
        <w:t xml:space="preserve">fecha de puesta en </w:t>
      </w:r>
      <w:r w:rsidR="00777F7F">
        <w:t>servicio</w:t>
      </w:r>
      <w:r>
        <w:t xml:space="preserve"> (</w:t>
      </w:r>
      <w:r w:rsidR="00777F7F">
        <w:t>véase</w:t>
      </w:r>
      <w:r>
        <w:t xml:space="preserve"> también el punto 2.3.</w:t>
      </w:r>
      <w:r w:rsidR="002F6FDD">
        <w:t>4</w:t>
      </w:r>
      <w:r>
        <w:t xml:space="preserve"> anterior).</w:t>
      </w:r>
    </w:p>
    <w:p w:rsidR="000C6F82" w:rsidRDefault="000C6F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1294A" w:rsidRDefault="00777F7F" w:rsidP="00755BBE">
      <w:r>
        <w:t>2.6</w:t>
      </w:r>
      <w:r>
        <w:tab/>
      </w:r>
      <w:r w:rsidR="0041294A">
        <w:t xml:space="preserve">La </w:t>
      </w:r>
      <w:r>
        <w:t>página</w:t>
      </w:r>
      <w:r w:rsidR="0041294A">
        <w:t xml:space="preserve"> web de la UIT-BR </w:t>
      </w:r>
      <w:r>
        <w:t>donde</w:t>
      </w:r>
      <w:r w:rsidR="0041294A">
        <w:t xml:space="preserve"> la </w:t>
      </w:r>
      <w:r>
        <w:t xml:space="preserve">Oficina </w:t>
      </w:r>
      <w:r w:rsidR="0041294A">
        <w:t xml:space="preserve">cuelga la </w:t>
      </w:r>
      <w:r>
        <w:t>información</w:t>
      </w:r>
      <w:r w:rsidR="0041294A">
        <w:t xml:space="preserve"> sobre la situación de la puesta en servicio de las asignaciones a las redes de satélites OSG es:</w:t>
      </w:r>
      <w:r w:rsidR="00755BBE">
        <w:t xml:space="preserve"> </w:t>
      </w:r>
      <w:hyperlink r:id="rId9" w:history="1">
        <w:r w:rsidR="00755BBE" w:rsidRPr="0009155B">
          <w:rPr>
            <w:rStyle w:val="Hyperlink"/>
          </w:rPr>
          <w:t>http://www.itu.int/net/ITU-R/space/snl/listinuse/index.asp</w:t>
        </w:r>
      </w:hyperlink>
      <w:r w:rsidR="00755BBE">
        <w:t>. E</w:t>
      </w:r>
      <w:r w:rsidR="0041294A">
        <w:t xml:space="preserve">n la columna de </w:t>
      </w:r>
      <w:r w:rsidR="00755BBE">
        <w:t xml:space="preserve">Situación </w:t>
      </w:r>
      <w:r w:rsidR="0041294A">
        <w:t>de la puesta en servicio se emplean los siguientes símbolos:</w:t>
      </w:r>
    </w:p>
    <w:p w:rsidR="0041294A" w:rsidRDefault="004A479F" w:rsidP="004A479F">
      <w:pPr>
        <w:pStyle w:val="enumlev1"/>
      </w:pPr>
      <w:r>
        <w:tab/>
      </w:r>
      <w:r w:rsidR="0041294A">
        <w:t>N:</w:t>
      </w:r>
      <w:r>
        <w:tab/>
        <w:t xml:space="preserve">Aún </w:t>
      </w:r>
      <w:r w:rsidR="0041294A">
        <w:t>no se ha puesto en servicio.</w:t>
      </w:r>
    </w:p>
    <w:p w:rsidR="0041294A" w:rsidRDefault="004A479F" w:rsidP="004A479F">
      <w:pPr>
        <w:pStyle w:val="enumlev1"/>
      </w:pPr>
      <w:r>
        <w:tab/>
      </w:r>
      <w:r w:rsidR="0041294A">
        <w:t xml:space="preserve">I: </w:t>
      </w:r>
      <w:r>
        <w:tab/>
        <w:t xml:space="preserve">Información </w:t>
      </w:r>
      <w:r w:rsidR="0041294A">
        <w:t>inicial de la puesta en servicio.</w:t>
      </w:r>
    </w:p>
    <w:p w:rsidR="0041294A" w:rsidRPr="004A479F" w:rsidRDefault="004A479F" w:rsidP="004A479F">
      <w:pPr>
        <w:pStyle w:val="enumlev1"/>
        <w:ind w:left="1191" w:hanging="1191"/>
      </w:pPr>
      <w:r>
        <w:tab/>
      </w:r>
      <w:r w:rsidR="0041294A">
        <w:t xml:space="preserve">C: </w:t>
      </w:r>
      <w:r>
        <w:tab/>
      </w:r>
      <w:r w:rsidR="0041294A">
        <w:t xml:space="preserve">Puesta en servicio confirmada, se cumplen las condiciones estipuladas en el </w:t>
      </w:r>
      <w:r>
        <w:t>número </w:t>
      </w:r>
      <w:r w:rsidR="0041294A" w:rsidRPr="004A479F">
        <w:rPr>
          <w:b/>
          <w:bCs/>
        </w:rPr>
        <w:t>11.44B</w:t>
      </w:r>
      <w:r>
        <w:t>.</w:t>
      </w:r>
    </w:p>
    <w:p w:rsidR="0041294A" w:rsidRDefault="0041294A" w:rsidP="0041294A">
      <w:pPr>
        <w:pStyle w:val="Heading1"/>
      </w:pPr>
      <w:r>
        <w:t>3</w:t>
      </w:r>
      <w:r>
        <w:tab/>
      </w:r>
      <w:r w:rsidR="00B75EA2">
        <w:t>Suspensión</w:t>
      </w:r>
    </w:p>
    <w:p w:rsidR="0041294A" w:rsidRDefault="0041294A" w:rsidP="009D2C45">
      <w:r>
        <w:t>3.1</w:t>
      </w:r>
      <w:r>
        <w:tab/>
        <w:t xml:space="preserve">Con arreglo a las </w:t>
      </w:r>
      <w:r w:rsidR="00B75EA2">
        <w:t>disposiciones</w:t>
      </w:r>
      <w:r>
        <w:t xml:space="preserve"> del </w:t>
      </w:r>
      <w:r w:rsidR="00B75EA2">
        <w:t xml:space="preserve">número </w:t>
      </w:r>
      <w:r w:rsidRPr="00B75EA2">
        <w:rPr>
          <w:b/>
          <w:bCs/>
        </w:rPr>
        <w:t>11.49</w:t>
      </w:r>
      <w:r w:rsidR="00B75EA2">
        <w:t xml:space="preserve"> y el § </w:t>
      </w:r>
      <w:r>
        <w:t xml:space="preserve">5.2.10 de los </w:t>
      </w:r>
      <w:r w:rsidR="00B75EA2">
        <w:t xml:space="preserve">Apéndices </w:t>
      </w:r>
      <w:r w:rsidRPr="00B75EA2">
        <w:rPr>
          <w:b/>
          <w:bCs/>
        </w:rPr>
        <w:t>30</w:t>
      </w:r>
      <w:r>
        <w:t xml:space="preserve"> y </w:t>
      </w:r>
      <w:r w:rsidRPr="00B75EA2">
        <w:rPr>
          <w:b/>
          <w:bCs/>
        </w:rPr>
        <w:t>30</w:t>
      </w:r>
      <w:r w:rsidR="00B75EA2">
        <w:rPr>
          <w:b/>
          <w:bCs/>
        </w:rPr>
        <w:t>A</w:t>
      </w:r>
      <w:r>
        <w:t xml:space="preserve"> y de las Reglas de Procedimiento relativas al </w:t>
      </w:r>
      <w:r w:rsidR="00B75EA2">
        <w:t xml:space="preserve">número </w:t>
      </w:r>
      <w:r w:rsidRPr="00B75EA2">
        <w:rPr>
          <w:b/>
          <w:bCs/>
        </w:rPr>
        <w:t>11.49</w:t>
      </w:r>
      <w:r>
        <w:t xml:space="preserve"> y al </w:t>
      </w:r>
      <w:r w:rsidR="00B75EA2">
        <w:t>§ </w:t>
      </w:r>
      <w:r>
        <w:t xml:space="preserve">8.17 del </w:t>
      </w:r>
      <w:r w:rsidR="00B75EA2">
        <w:t>Apéndice</w:t>
      </w:r>
      <w:r>
        <w:t xml:space="preserve"> </w:t>
      </w:r>
      <w:r w:rsidRPr="00B75EA2">
        <w:rPr>
          <w:b/>
          <w:bCs/>
        </w:rPr>
        <w:t>30B</w:t>
      </w:r>
      <w:r>
        <w:t xml:space="preserve">, el máximo periodo </w:t>
      </w:r>
      <w:r w:rsidR="009D2C45">
        <w:t xml:space="preserve">de </w:t>
      </w:r>
      <w:r>
        <w:t>suspensión del uso de una asignación de frecuencia a una estación espacial es de tres (3</w:t>
      </w:r>
      <w:r w:rsidR="009D2C45">
        <w:t>)</w:t>
      </w:r>
      <w:r>
        <w:t xml:space="preserve"> años. Esto se aplica a las peticiones de suspensión de las asignaciones de frecuencia a una estación espacial recibidas por la </w:t>
      </w:r>
      <w:r w:rsidR="009D2C45">
        <w:t xml:space="preserve">Oficina </w:t>
      </w:r>
      <w:r>
        <w:t>a partir del 1 de enero de 2013.</w:t>
      </w:r>
    </w:p>
    <w:p w:rsidR="0041294A" w:rsidRDefault="0041294A" w:rsidP="005112E9">
      <w:r>
        <w:t>3.2</w:t>
      </w:r>
      <w:r>
        <w:tab/>
        <w:t xml:space="preserve">Como indica el </w:t>
      </w:r>
      <w:r w:rsidR="005B7946">
        <w:t xml:space="preserve">número </w:t>
      </w:r>
      <w:r w:rsidRPr="005B7946">
        <w:rPr>
          <w:b/>
          <w:bCs/>
        </w:rPr>
        <w:t>11.49.1</w:t>
      </w:r>
      <w:r>
        <w:t>, la nota 20</w:t>
      </w:r>
      <w:r w:rsidRPr="00A704A8">
        <w:rPr>
          <w:i/>
          <w:iCs/>
        </w:rPr>
        <w:t>bis</w:t>
      </w:r>
      <w:r>
        <w:t xml:space="preserve"> del </w:t>
      </w:r>
      <w:r w:rsidR="00A704A8">
        <w:t xml:space="preserve">Apéndice </w:t>
      </w:r>
      <w:r w:rsidR="00A704A8" w:rsidRPr="00A704A8">
        <w:rPr>
          <w:b/>
          <w:bCs/>
        </w:rPr>
        <w:t>3</w:t>
      </w:r>
      <w:r w:rsidRPr="00A704A8">
        <w:rPr>
          <w:b/>
          <w:bCs/>
        </w:rPr>
        <w:t>0</w:t>
      </w:r>
      <w:r>
        <w:t>, la nota 24</w:t>
      </w:r>
      <w:r w:rsidRPr="00407866">
        <w:rPr>
          <w:i/>
          <w:iCs/>
        </w:rPr>
        <w:t>bis</w:t>
      </w:r>
      <w:r>
        <w:t xml:space="preserve"> del </w:t>
      </w:r>
      <w:r w:rsidR="00407866">
        <w:t>Apéndice </w:t>
      </w:r>
      <w:r w:rsidR="00407866" w:rsidRPr="00407866">
        <w:rPr>
          <w:b/>
          <w:bCs/>
        </w:rPr>
        <w:t>30A</w:t>
      </w:r>
      <w:r>
        <w:t xml:space="preserve"> y la Regla de </w:t>
      </w:r>
      <w:r w:rsidR="00E87B08">
        <w:t>Procedimiento relativa al § </w:t>
      </w:r>
      <w:r>
        <w:t xml:space="preserve">8.17 del </w:t>
      </w:r>
      <w:r w:rsidR="00E87B08">
        <w:t xml:space="preserve">Apéndice </w:t>
      </w:r>
      <w:r w:rsidRPr="00E87B08">
        <w:rPr>
          <w:b/>
          <w:bCs/>
        </w:rPr>
        <w:t>30B</w:t>
      </w:r>
      <w:r>
        <w:t xml:space="preserve">, el procedimiento </w:t>
      </w:r>
      <w:r w:rsidR="00E87B08">
        <w:t xml:space="preserve">para reanudar el funcionamiento de </w:t>
      </w:r>
      <w:r>
        <w:t>una asignación de frecuencia será similar al procedimiento para la puesta en</w:t>
      </w:r>
      <w:r w:rsidR="00E87B08">
        <w:t xml:space="preserve"> </w:t>
      </w:r>
      <w:r>
        <w:t>servicio descrito en el punto 2 anterior. La fecha de reanudación del funcionamiento</w:t>
      </w:r>
      <w:r w:rsidR="005112E9">
        <w:t xml:space="preserve"> </w:t>
      </w:r>
      <w:r>
        <w:t>de una asignación de frecuencia a una est</w:t>
      </w:r>
      <w:r w:rsidR="005B5310">
        <w:t>ación espacial en la OSG marcará</w:t>
      </w:r>
      <w:r>
        <w:t xml:space="preserve"> el inicio del periodo de 90</w:t>
      </w:r>
      <w:r w:rsidR="005B5310">
        <w:t> días</w:t>
      </w:r>
      <w:r>
        <w:t xml:space="preserve"> definido en el </w:t>
      </w:r>
      <w:r w:rsidR="000E66BD">
        <w:t xml:space="preserve">número </w:t>
      </w:r>
      <w:r w:rsidRPr="000E66BD">
        <w:rPr>
          <w:b/>
          <w:bCs/>
        </w:rPr>
        <w:t>11.49.1</w:t>
      </w:r>
      <w:r w:rsidR="000E66BD">
        <w:t>. Se considerará</w:t>
      </w:r>
      <w:r>
        <w:t xml:space="preserve"> que una asignación de frecuencia a una estación espacial en la </w:t>
      </w:r>
      <w:r w:rsidR="000E66BD">
        <w:t>órbita</w:t>
      </w:r>
      <w:r>
        <w:t xml:space="preserve"> de los satélites geoestacionarios </w:t>
      </w:r>
      <w:r w:rsidR="000E66BD">
        <w:t>ha reanudado su funcionamiento cuando la estación espacial en la OSG con la capacidad de transmitir</w:t>
      </w:r>
      <w:r>
        <w:t xml:space="preserve"> o recibir en esa asignación de frecuencia se ha instalado en la posición orbital notificada y se ha mantenido en ella durante un periodo continuo de 90 </w:t>
      </w:r>
      <w:r w:rsidR="00572596">
        <w:t>días</w:t>
      </w:r>
      <w:r>
        <w:t xml:space="preserve">. La </w:t>
      </w:r>
      <w:r w:rsidR="00572596">
        <w:t>administración notificante informará</w:t>
      </w:r>
      <w:r>
        <w:t xml:space="preserve"> de esta circunstancia a la Oficina en el plazo de 30 </w:t>
      </w:r>
      <w:r w:rsidR="00572596">
        <w:t>días</w:t>
      </w:r>
      <w:r>
        <w:t xml:space="preserve"> a partir del final del periodo de 90 </w:t>
      </w:r>
      <w:r w:rsidR="00572596">
        <w:t>días</w:t>
      </w:r>
      <w:r>
        <w:t>.</w:t>
      </w:r>
    </w:p>
    <w:p w:rsidR="0041294A" w:rsidRDefault="0041294A" w:rsidP="00DF5893">
      <w:r>
        <w:t>3.3</w:t>
      </w:r>
      <w:r>
        <w:tab/>
      </w:r>
      <w:r w:rsidR="000913A5">
        <w:t>En consecuencia</w:t>
      </w:r>
      <w:r>
        <w:t xml:space="preserve">, </w:t>
      </w:r>
      <w:r w:rsidR="0029546A">
        <w:t xml:space="preserve">si la </w:t>
      </w:r>
      <w:r>
        <w:t xml:space="preserve">fecha de reanudación del funcionamiento de una asignación de frecuencia a una estación espacial </w:t>
      </w:r>
      <w:r w:rsidR="00DF5893">
        <w:t xml:space="preserve">rebasa </w:t>
      </w:r>
      <w:r>
        <w:t xml:space="preserve">la fecha de suspensión </w:t>
      </w:r>
      <w:r w:rsidR="00DF5893">
        <w:t xml:space="preserve">más </w:t>
      </w:r>
      <w:r>
        <w:t xml:space="preserve">de 3 años, o en ausencia de confirmación de la reanudación el funcionamiento </w:t>
      </w:r>
      <w:r w:rsidR="00DF5893">
        <w:t>transcurridos</w:t>
      </w:r>
      <w:r>
        <w:t xml:space="preserve"> 3 años y 120 </w:t>
      </w:r>
      <w:r w:rsidR="00DF5893">
        <w:t>días</w:t>
      </w:r>
      <w:r>
        <w:t xml:space="preserve"> tras la fecha de </w:t>
      </w:r>
      <w:r w:rsidR="00DF5893">
        <w:t>suspensión, la Oficina cancelará</w:t>
      </w:r>
      <w:r>
        <w:t xml:space="preserve"> la inscripción en el Registro Internacional de Frecuencias de conformidad con el </w:t>
      </w:r>
      <w:r w:rsidR="00DF5893">
        <w:t xml:space="preserve">número </w:t>
      </w:r>
      <w:r w:rsidRPr="00DF5893">
        <w:rPr>
          <w:b/>
          <w:bCs/>
        </w:rPr>
        <w:t>11.49</w:t>
      </w:r>
      <w:r>
        <w:t xml:space="preserve">, el </w:t>
      </w:r>
      <w:r w:rsidR="00DF5893">
        <w:t>§ </w:t>
      </w:r>
      <w:r>
        <w:t xml:space="preserve">5.2.11 de los </w:t>
      </w:r>
      <w:r w:rsidR="00DF5893">
        <w:t>Apéndices</w:t>
      </w:r>
      <w:r>
        <w:t xml:space="preserve"> </w:t>
      </w:r>
      <w:r w:rsidRPr="00DF5893">
        <w:rPr>
          <w:b/>
          <w:bCs/>
        </w:rPr>
        <w:t>30</w:t>
      </w:r>
      <w:r>
        <w:t xml:space="preserve"> y </w:t>
      </w:r>
      <w:r w:rsidRPr="00DF5893">
        <w:rPr>
          <w:b/>
          <w:bCs/>
        </w:rPr>
        <w:t>30</w:t>
      </w:r>
      <w:r w:rsidR="00DF5893">
        <w:rPr>
          <w:b/>
          <w:bCs/>
        </w:rPr>
        <w:t>A</w:t>
      </w:r>
      <w:r>
        <w:t xml:space="preserve"> y la Regla de </w:t>
      </w:r>
      <w:r w:rsidR="00DF5893">
        <w:t>Procedimiento relativa al § </w:t>
      </w:r>
      <w:r>
        <w:t xml:space="preserve">8.17 del </w:t>
      </w:r>
      <w:r w:rsidR="00DF5893">
        <w:t>Apéndice</w:t>
      </w:r>
      <w:r>
        <w:t xml:space="preserve"> </w:t>
      </w:r>
      <w:r w:rsidRPr="00DF5893">
        <w:rPr>
          <w:b/>
          <w:bCs/>
        </w:rPr>
        <w:t>30B</w:t>
      </w:r>
      <w:r>
        <w:t>.</w:t>
      </w:r>
    </w:p>
    <w:p w:rsidR="0041294A" w:rsidRDefault="0041294A" w:rsidP="00EF17D4">
      <w:r>
        <w:t>3.4</w:t>
      </w:r>
      <w:r>
        <w:tab/>
        <w:t xml:space="preserve">La </w:t>
      </w:r>
      <w:r w:rsidR="00213C1D">
        <w:t>página</w:t>
      </w:r>
      <w:r>
        <w:t xml:space="preserve"> web de la UIT-BR donde la </w:t>
      </w:r>
      <w:r w:rsidR="00213C1D">
        <w:t>Oficina cuelga</w:t>
      </w:r>
      <w:r>
        <w:t xml:space="preserve"> la </w:t>
      </w:r>
      <w:r w:rsidR="00213C1D">
        <w:t>información</w:t>
      </w:r>
      <w:r>
        <w:t xml:space="preserve"> sobre la situación de la suspensión es:</w:t>
      </w:r>
      <w:r w:rsidR="00213C1D">
        <w:t xml:space="preserve"> </w:t>
      </w:r>
      <w:hyperlink r:id="rId10" w:history="1">
        <w:r w:rsidR="00213C1D" w:rsidRPr="0009155B">
          <w:rPr>
            <w:rStyle w:val="Hyperlink"/>
            <w:szCs w:val="24"/>
          </w:rPr>
          <w:t>http://www.itu.int/net/ITU-R/space/snl/list1149/index.asp</w:t>
        </w:r>
      </w:hyperlink>
      <w:r w:rsidR="00213C1D">
        <w:t xml:space="preserve">. </w:t>
      </w:r>
      <w:r>
        <w:t>La reanudación del uso de las asignac</w:t>
      </w:r>
      <w:r w:rsidR="00EF17D4">
        <w:t>iones de frecuencia se publicará</w:t>
      </w:r>
      <w:r>
        <w:t xml:space="preserve"> en la Parte II-S de la BR IFIC (Servicios Espaciales) en DVD </w:t>
      </w:r>
      <w:r w:rsidR="00EF17D4">
        <w:t>únicamente</w:t>
      </w:r>
      <w:r>
        <w:t xml:space="preserve"> cuando se reciba la confirmación. En la columna de </w:t>
      </w:r>
      <w:r w:rsidR="00EF17D4">
        <w:t xml:space="preserve">Situación </w:t>
      </w:r>
      <w:r>
        <w:t>de la puesta en servicio se utilizan los siguientes símbolos:</w:t>
      </w:r>
    </w:p>
    <w:p w:rsidR="0041294A" w:rsidRDefault="00EF17D4" w:rsidP="00EF17D4">
      <w:pPr>
        <w:pStyle w:val="enumlev1"/>
      </w:pPr>
      <w:r>
        <w:tab/>
        <w:t>S:</w:t>
      </w:r>
      <w:r>
        <w:tab/>
        <w:t>Suspendida</w:t>
      </w:r>
      <w:r w:rsidR="007F24C0">
        <w:t>.</w:t>
      </w:r>
    </w:p>
    <w:p w:rsidR="0041294A" w:rsidRDefault="00EF17D4" w:rsidP="00EF17D4">
      <w:pPr>
        <w:pStyle w:val="enumlev1"/>
      </w:pPr>
      <w:r>
        <w:tab/>
        <w:t>J:</w:t>
      </w:r>
      <w:r>
        <w:tab/>
        <w:t xml:space="preserve">Información </w:t>
      </w:r>
      <w:r w:rsidR="0041294A">
        <w:t xml:space="preserve">inicial de la </w:t>
      </w:r>
      <w:r>
        <w:t>reanudación</w:t>
      </w:r>
      <w:r w:rsidR="0041294A">
        <w:t xml:space="preserve"> del funcionamiento</w:t>
      </w:r>
      <w:r w:rsidR="007F24C0">
        <w:t>.</w:t>
      </w:r>
    </w:p>
    <w:p w:rsidR="0041294A" w:rsidRPr="002F6FDD" w:rsidRDefault="00EF17D4" w:rsidP="00EF17D4">
      <w:pPr>
        <w:pStyle w:val="enumlev1"/>
        <w:ind w:left="1191" w:hanging="1191"/>
      </w:pPr>
      <w:r>
        <w:tab/>
      </w:r>
      <w:r w:rsidR="0041294A">
        <w:t>R:</w:t>
      </w:r>
      <w:r>
        <w:tab/>
        <w:t>Reanudación</w:t>
      </w:r>
      <w:r w:rsidR="0041294A">
        <w:t xml:space="preserve"> del funcionamiento confirmada, se satisfacen las condiciones del </w:t>
      </w:r>
      <w:r>
        <w:t>número </w:t>
      </w:r>
      <w:r w:rsidR="002F6FDD" w:rsidRPr="002F6FDD">
        <w:rPr>
          <w:b/>
          <w:bCs/>
        </w:rPr>
        <w:t>1</w:t>
      </w:r>
      <w:r w:rsidR="0041294A" w:rsidRPr="002F6FDD">
        <w:rPr>
          <w:b/>
          <w:bCs/>
        </w:rPr>
        <w:t>1.49.1</w:t>
      </w:r>
      <w:r w:rsidR="002F6FDD">
        <w:t>.</w:t>
      </w:r>
    </w:p>
    <w:p w:rsidR="0041294A" w:rsidRDefault="0041294A" w:rsidP="00EF17D4">
      <w:pPr>
        <w:pStyle w:val="Heading1"/>
      </w:pPr>
      <w:r>
        <w:t>4</w:t>
      </w:r>
      <w:r>
        <w:tab/>
      </w:r>
      <w:r w:rsidR="00EF17D4">
        <w:t xml:space="preserve">Solicitud </w:t>
      </w:r>
      <w:r>
        <w:t xml:space="preserve">de aplicación del </w:t>
      </w:r>
      <w:r w:rsidR="00EF17D4">
        <w:t xml:space="preserve">número </w:t>
      </w:r>
      <w:r>
        <w:t>11.41</w:t>
      </w:r>
    </w:p>
    <w:p w:rsidR="0041294A" w:rsidRDefault="0041294A" w:rsidP="006C6870">
      <w:r>
        <w:t>4.1</w:t>
      </w:r>
      <w:r>
        <w:tab/>
      </w:r>
      <w:r w:rsidR="00EF17D4">
        <w:t xml:space="preserve">Las </w:t>
      </w:r>
      <w:r>
        <w:t xml:space="preserve">disposiciones del </w:t>
      </w:r>
      <w:r w:rsidR="002955C9">
        <w:t xml:space="preserve">número </w:t>
      </w:r>
      <w:r w:rsidRPr="002955C9">
        <w:rPr>
          <w:b/>
          <w:bCs/>
        </w:rPr>
        <w:t>11.41.2</w:t>
      </w:r>
      <w:r>
        <w:t xml:space="preserve"> añadido por la CMR-12 solicitan que la administración notificante cuando presente notificaciones en aplicación del </w:t>
      </w:r>
      <w:r w:rsidR="006C6870">
        <w:t xml:space="preserve">número </w:t>
      </w:r>
      <w:r w:rsidRPr="006C6870">
        <w:rPr>
          <w:b/>
          <w:bCs/>
        </w:rPr>
        <w:t>11.41</w:t>
      </w:r>
      <w:r>
        <w:t xml:space="preserve"> </w:t>
      </w:r>
      <w:r w:rsidR="006C6870">
        <w:t>indique</w:t>
      </w:r>
      <w:r>
        <w:t xml:space="preserve"> a la Oficina que han sido infructuosos los esfuerzos realizados para efectuar la coordinación con las </w:t>
      </w:r>
      <w:r w:rsidR="006C6870">
        <w:t>administraciones</w:t>
      </w:r>
      <w:r>
        <w:t xml:space="preserve"> cuyas asignaciones hayan dado lugar a conclusiones desfavorables con arreglo al </w:t>
      </w:r>
      <w:r w:rsidR="006C6870">
        <w:t xml:space="preserve">número </w:t>
      </w:r>
      <w:r w:rsidRPr="006C6870">
        <w:rPr>
          <w:b/>
          <w:bCs/>
        </w:rPr>
        <w:t>11.38</w:t>
      </w:r>
      <w:r>
        <w:t>.</w:t>
      </w:r>
    </w:p>
    <w:p w:rsidR="0041294A" w:rsidRDefault="0041294A" w:rsidP="006179A4">
      <w:r>
        <w:t>4.2</w:t>
      </w:r>
      <w:r>
        <w:tab/>
      </w:r>
      <w:r w:rsidR="00F645B6">
        <w:t>Al</w:t>
      </w:r>
      <w:r>
        <w:t xml:space="preserve"> recibir una </w:t>
      </w:r>
      <w:r w:rsidR="006179A4">
        <w:t xml:space="preserve">solicitud </w:t>
      </w:r>
      <w:r>
        <w:t xml:space="preserve">de aplicación del </w:t>
      </w:r>
      <w:r w:rsidR="006179A4">
        <w:t xml:space="preserve">número </w:t>
      </w:r>
      <w:r w:rsidRPr="006179A4">
        <w:rPr>
          <w:b/>
          <w:bCs/>
        </w:rPr>
        <w:t>11.41</w:t>
      </w:r>
      <w:r w:rsidR="006179A4">
        <w:t>, la Oficina solicitará</w:t>
      </w:r>
      <w:r>
        <w:t xml:space="preserve"> a la administración notificante la </w:t>
      </w:r>
      <w:r w:rsidR="006179A4">
        <w:t xml:space="preserve">indicación </w:t>
      </w:r>
      <w:r>
        <w:t xml:space="preserve">requerida por el </w:t>
      </w:r>
      <w:r w:rsidR="006179A4">
        <w:t xml:space="preserve">número </w:t>
      </w:r>
      <w:r w:rsidRPr="006179A4">
        <w:rPr>
          <w:b/>
          <w:bCs/>
        </w:rPr>
        <w:t>11.41.2</w:t>
      </w:r>
      <w:r>
        <w:t xml:space="preserve"> y la incluirá en la dirección web de la UIT-BR. La posible </w:t>
      </w:r>
      <w:r w:rsidR="006179A4">
        <w:t>información</w:t>
      </w:r>
      <w:r>
        <w:t xml:space="preserve"> complementaria puede incluir medidas llevadas a cabo en caso de </w:t>
      </w:r>
      <w:r w:rsidR="006179A4">
        <w:t>ausencia</w:t>
      </w:r>
      <w:r>
        <w:t xml:space="preserve"> de respuesta o </w:t>
      </w:r>
      <w:r w:rsidR="006179A4">
        <w:t xml:space="preserve">imposibilidad de </w:t>
      </w:r>
      <w:r>
        <w:t xml:space="preserve">tomar una decisión sobre una </w:t>
      </w:r>
      <w:r w:rsidR="006179A4">
        <w:t>petición</w:t>
      </w:r>
      <w:r>
        <w:t xml:space="preserve"> de coordinación, incluida la solicitud de asistencia de la Oficina, o el </w:t>
      </w:r>
      <w:r w:rsidR="006179A4">
        <w:t>número</w:t>
      </w:r>
      <w:r>
        <w:t xml:space="preserve"> y las fechas de las reuniones de coordinación de la red correspondiente con las administraciones cuyas asignaciones de frecuencia dieron lugar a </w:t>
      </w:r>
      <w:r w:rsidR="006179A4">
        <w:t>una</w:t>
      </w:r>
      <w:r>
        <w:t xml:space="preserve"> conclusión desfavorable, etc.</w:t>
      </w:r>
    </w:p>
    <w:p w:rsidR="0041294A" w:rsidRDefault="0041294A" w:rsidP="003A0195">
      <w:r>
        <w:t>4.3</w:t>
      </w:r>
      <w:r>
        <w:tab/>
      </w:r>
      <w:r w:rsidR="006179A4">
        <w:t xml:space="preserve">La </w:t>
      </w:r>
      <w:r>
        <w:t xml:space="preserve">CMR-12 </w:t>
      </w:r>
      <w:r w:rsidR="006179A4">
        <w:t>suprimió</w:t>
      </w:r>
      <w:r>
        <w:t xml:space="preserve"> con efecto de 1 de </w:t>
      </w:r>
      <w:r w:rsidR="006179A4">
        <w:t>enero</w:t>
      </w:r>
      <w:r>
        <w:t xml:space="preserve"> de 2013 la </w:t>
      </w:r>
      <w:r w:rsidR="006179A4">
        <w:t>noción</w:t>
      </w:r>
      <w:r>
        <w:t xml:space="preserve"> de inscripción provisional/definitiva en el Registro Internacional de Frecuencias de las asignaciones de frecuencia presentadas con arreglo al </w:t>
      </w:r>
      <w:r w:rsidR="006179A4">
        <w:t xml:space="preserve">número </w:t>
      </w:r>
      <w:r w:rsidRPr="006179A4">
        <w:rPr>
          <w:b/>
          <w:bCs/>
        </w:rPr>
        <w:t>11.41</w:t>
      </w:r>
      <w:r>
        <w:t>. En cons</w:t>
      </w:r>
      <w:r w:rsidR="003A0195">
        <w:t>ecuencia, la Oficina actualizará</w:t>
      </w:r>
      <w:r>
        <w:t xml:space="preserve"> las inscripciones existentes </w:t>
      </w:r>
      <w:r w:rsidR="003A0195">
        <w:t xml:space="preserve">en el Registro </w:t>
      </w:r>
      <w:r>
        <w:t xml:space="preserve">de acuerdo con una situación provisional con arreglo al anterior </w:t>
      </w:r>
      <w:r w:rsidR="003A0195">
        <w:t>número </w:t>
      </w:r>
      <w:r w:rsidRPr="003A0195">
        <w:rPr>
          <w:b/>
          <w:bCs/>
        </w:rPr>
        <w:t>11.41</w:t>
      </w:r>
      <w:r>
        <w:t xml:space="preserve">. La </w:t>
      </w:r>
      <w:r w:rsidR="003A0195">
        <w:t>información actualizada se publicará</w:t>
      </w:r>
      <w:r>
        <w:t xml:space="preserve"> en la BR IFIC 2740/19.03.2013.</w:t>
      </w:r>
    </w:p>
    <w:p w:rsidR="0041294A" w:rsidRDefault="0041294A" w:rsidP="0041294A">
      <w:pPr>
        <w:pStyle w:val="Heading1"/>
      </w:pPr>
      <w:r>
        <w:t>5</w:t>
      </w:r>
      <w:r>
        <w:tab/>
        <w:t xml:space="preserve">Anexo 2 a la </w:t>
      </w:r>
      <w:r w:rsidR="003A0195">
        <w:t>Resolución</w:t>
      </w:r>
      <w:r>
        <w:t xml:space="preserve"> 552 (CMR-12): Identidad del </w:t>
      </w:r>
      <w:r w:rsidR="003A0195">
        <w:t>vehículo</w:t>
      </w:r>
      <w:r>
        <w:t xml:space="preserve"> espacial</w:t>
      </w:r>
    </w:p>
    <w:p w:rsidR="0041294A" w:rsidRDefault="0041294A" w:rsidP="00A71721">
      <w:r>
        <w:t>La CMR</w:t>
      </w:r>
      <w:r w:rsidR="002F6FDD">
        <w:t>-12</w:t>
      </w:r>
      <w:r>
        <w:t xml:space="preserve"> adopt</w:t>
      </w:r>
      <w:r w:rsidR="003A0195">
        <w:t>ó</w:t>
      </w:r>
      <w:r>
        <w:t xml:space="preserve"> la </w:t>
      </w:r>
      <w:r w:rsidR="0007696A">
        <w:t>Resolución</w:t>
      </w:r>
      <w:r>
        <w:t xml:space="preserve"> </w:t>
      </w:r>
      <w:r w:rsidRPr="003A0195">
        <w:rPr>
          <w:b/>
          <w:bCs/>
        </w:rPr>
        <w:t>552 (CMR-12)</w:t>
      </w:r>
      <w:r>
        <w:t xml:space="preserve"> sobre </w:t>
      </w:r>
      <w:r w:rsidR="003A0195">
        <w:t>«</w:t>
      </w:r>
      <w:r>
        <w:t>Acceso a largo plazo y desarrollo de la banda 21</w:t>
      </w:r>
      <w:r w:rsidR="003A0195">
        <w:t>,</w:t>
      </w:r>
      <w:r>
        <w:t>4-22 GHz en las Regiones 1 y 3</w:t>
      </w:r>
      <w:r w:rsidR="003A0195">
        <w:t>»</w:t>
      </w:r>
      <w:r>
        <w:t xml:space="preserve">, que solicita la comunicación de cierta </w:t>
      </w:r>
      <w:r w:rsidR="007F6FD6">
        <w:t>información</w:t>
      </w:r>
      <w:r>
        <w:t xml:space="preserve"> </w:t>
      </w:r>
      <w:r w:rsidR="007F6FD6">
        <w:t>específica</w:t>
      </w:r>
      <w:r>
        <w:t xml:space="preserve"> para las redes de satélites geoestacionarios del SRS en la banda 21,4-22 GHz. La </w:t>
      </w:r>
      <w:r w:rsidR="0007696A">
        <w:t>información</w:t>
      </w:r>
      <w:r>
        <w:t xml:space="preserve"> requerida para la identidad del </w:t>
      </w:r>
      <w:r w:rsidR="0007696A">
        <w:t>vehículo</w:t>
      </w:r>
      <w:r>
        <w:t xml:space="preserve"> espacial incluye el </w:t>
      </w:r>
      <w:r w:rsidR="0007696A">
        <w:t>número</w:t>
      </w:r>
      <w:r>
        <w:t xml:space="preserve"> </w:t>
      </w:r>
      <w:r w:rsidR="0007696A">
        <w:t>de identidad (</w:t>
      </w:r>
      <w:r>
        <w:t>ID</w:t>
      </w:r>
      <w:r w:rsidR="0007696A">
        <w:t>) de la UIT (punto 2</w:t>
      </w:r>
      <w:r w:rsidR="00A71721">
        <w:t>a</w:t>
      </w:r>
      <w:r>
        <w:t xml:space="preserve"> del Anexo 2 a la </w:t>
      </w:r>
      <w:r w:rsidR="0007696A">
        <w:t>Resolución</w:t>
      </w:r>
      <w:r>
        <w:t xml:space="preserve"> </w:t>
      </w:r>
      <w:r w:rsidRPr="0007696A">
        <w:rPr>
          <w:b/>
          <w:bCs/>
        </w:rPr>
        <w:t>552</w:t>
      </w:r>
      <w:r>
        <w:t xml:space="preserve">). A </w:t>
      </w:r>
      <w:r w:rsidR="0007696A">
        <w:t>tal efecto, la Oficina utilizará</w:t>
      </w:r>
      <w:r>
        <w:t xml:space="preserve"> el esquema de numeración descrito en el anexo a la presente </w:t>
      </w:r>
      <w:r w:rsidR="002F6FDD">
        <w:t>Carta Circular</w:t>
      </w:r>
      <w:r>
        <w:t>.</w:t>
      </w:r>
    </w:p>
    <w:p w:rsidR="00F96264" w:rsidRPr="00FE1623" w:rsidRDefault="0041294A" w:rsidP="0007696A">
      <w:r w:rsidRPr="009705C5">
        <w:rPr>
          <w:b/>
          <w:bCs/>
        </w:rPr>
        <w:t>6</w:t>
      </w:r>
      <w:r>
        <w:tab/>
        <w:t xml:space="preserve">La </w:t>
      </w:r>
      <w:r w:rsidR="0007696A">
        <w:t xml:space="preserve">Oficina </w:t>
      </w:r>
      <w:r>
        <w:t xml:space="preserve">permanece a disposición de su administración para cualquier aclaración adicional que </w:t>
      </w:r>
      <w:r w:rsidR="0007696A">
        <w:t>pu</w:t>
      </w:r>
      <w:r>
        <w:t xml:space="preserve">eda necesitar en relación a los </w:t>
      </w:r>
      <w:r w:rsidR="0007696A">
        <w:t>temas</w:t>
      </w:r>
      <w:r>
        <w:t xml:space="preserve"> tratados por esta </w:t>
      </w:r>
      <w:r w:rsidR="0007696A">
        <w:t>Carta</w:t>
      </w:r>
      <w:r>
        <w:t xml:space="preserve"> Circular.</w:t>
      </w:r>
    </w:p>
    <w:p w:rsidR="00F96264" w:rsidRPr="00CD1F0D" w:rsidRDefault="00F96264" w:rsidP="00F96264">
      <w:r w:rsidRPr="00CD1F0D">
        <w:t>Atentamente</w:t>
      </w:r>
      <w:r>
        <w:t>,</w:t>
      </w:r>
    </w:p>
    <w:p w:rsidR="00F96264" w:rsidRDefault="00F96264" w:rsidP="00F96264"/>
    <w:p w:rsidR="00F96264" w:rsidRDefault="00F96264" w:rsidP="00F96264"/>
    <w:p w:rsidR="00F96264" w:rsidRPr="00CD1F0D" w:rsidRDefault="00F96264" w:rsidP="00F96264"/>
    <w:p w:rsidR="00F96264" w:rsidRPr="00CD1F0D" w:rsidRDefault="00F96264" w:rsidP="005C68B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/>
      </w:pPr>
      <w:r w:rsidRPr="00CD1F0D">
        <w:tab/>
      </w:r>
      <w:r w:rsidR="005C68B5">
        <w:t xml:space="preserve">François </w:t>
      </w:r>
      <w:proofErr w:type="spellStart"/>
      <w:r w:rsidR="005C68B5">
        <w:t>Rancy</w:t>
      </w:r>
      <w:proofErr w:type="spellEnd"/>
      <w:r w:rsidRPr="00CD1F0D">
        <w:br/>
      </w:r>
      <w:r w:rsidRPr="00CD1F0D">
        <w:tab/>
        <w:t>Director de la Oficina de Radiocomunicaciones</w:t>
      </w:r>
    </w:p>
    <w:p w:rsidR="00F96264" w:rsidRPr="00F96264" w:rsidRDefault="00F96264" w:rsidP="00F96264"/>
    <w:p w:rsidR="00F96264" w:rsidRPr="00F96264" w:rsidRDefault="00F96264" w:rsidP="00F96264"/>
    <w:p w:rsidR="00F96264" w:rsidRPr="00F96264" w:rsidRDefault="00F96264" w:rsidP="00F96264"/>
    <w:p w:rsidR="00F96264" w:rsidRPr="00F96264" w:rsidRDefault="00F96264" w:rsidP="00F96264"/>
    <w:p w:rsidR="004B7DE1" w:rsidRDefault="004B7DE1" w:rsidP="00CE057C">
      <w:pPr>
        <w:rPr>
          <w:b/>
          <w:bCs/>
          <w:sz w:val="18"/>
        </w:rPr>
      </w:pPr>
      <w:bookmarkStart w:id="4" w:name="ddistribution"/>
      <w:bookmarkEnd w:id="4"/>
      <w:r>
        <w:rPr>
          <w:b/>
          <w:bCs/>
          <w:sz w:val="18"/>
        </w:rPr>
        <w:t>Distribución:</w:t>
      </w:r>
    </w:p>
    <w:p w:rsidR="004B7DE1" w:rsidRDefault="004B7DE1" w:rsidP="00CE057C">
      <w:pPr>
        <w:tabs>
          <w:tab w:val="clear" w:pos="794"/>
          <w:tab w:val="left" w:pos="284"/>
        </w:tabs>
      </w:pPr>
      <w:r>
        <w:rPr>
          <w:sz w:val="18"/>
        </w:rPr>
        <w:t>–</w:t>
      </w:r>
      <w:r>
        <w:rPr>
          <w:sz w:val="18"/>
        </w:rPr>
        <w:tab/>
        <w:t>Administraciones de los Estados Miembros de la UIT</w:t>
      </w:r>
      <w:r>
        <w:rPr>
          <w:sz w:val="18"/>
        </w:rPr>
        <w:br/>
        <w:t>–</w:t>
      </w:r>
      <w:r>
        <w:rPr>
          <w:sz w:val="18"/>
        </w:rPr>
        <w:tab/>
        <w:t>Miembros de la Junta del Reglamento de Radiocomunicaciones</w:t>
      </w:r>
    </w:p>
    <w:p w:rsidR="00F96264" w:rsidRPr="00F96264" w:rsidRDefault="00F96264" w:rsidP="004B7DE1">
      <w:pPr>
        <w:spacing w:before="0"/>
      </w:pPr>
    </w:p>
    <w:p w:rsidR="000E0337" w:rsidRDefault="000E033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8B7C7D" w:rsidRDefault="008B7C7D" w:rsidP="00807B88">
      <w:pPr>
        <w:pStyle w:val="AnnexNotitle"/>
      </w:pPr>
      <w:r>
        <w:t>ANEXO</w:t>
      </w:r>
      <w:r>
        <w:br/>
      </w:r>
      <w:r>
        <w:br/>
        <w:t>Esquema de numeración para el n</w:t>
      </w:r>
      <w:r w:rsidR="002F6FDD">
        <w:t>ú</w:t>
      </w:r>
      <w:r>
        <w:t>mero de identidad (ID) de la UIT del</w:t>
      </w:r>
      <w:r w:rsidR="00807B88">
        <w:t xml:space="preserve"> </w:t>
      </w:r>
      <w:r w:rsidR="00807B88">
        <w:br/>
      </w:r>
      <w:r>
        <w:t>vehículo espacial (punto 2</w:t>
      </w:r>
      <w:r w:rsidR="002F6FDD">
        <w:t>a</w:t>
      </w:r>
      <w:r>
        <w:t xml:space="preserve"> del Anexo 2 a la Resolución 552 (CMR-12))</w:t>
      </w:r>
    </w:p>
    <w:p w:rsidR="008B7C7D" w:rsidRDefault="008B7C7D" w:rsidP="00590FEA">
      <w:pPr>
        <w:pStyle w:val="Normalaftertitle"/>
      </w:pPr>
      <w:r>
        <w:t xml:space="preserve">De conformidad con el </w:t>
      </w:r>
      <w:r w:rsidR="00BF3479">
        <w:t xml:space="preserve">Anexo </w:t>
      </w:r>
      <w:r>
        <w:t xml:space="preserve">2 a la </w:t>
      </w:r>
      <w:r w:rsidR="00BF3479">
        <w:t>Resolución</w:t>
      </w:r>
      <w:r>
        <w:t xml:space="preserve"> </w:t>
      </w:r>
      <w:r w:rsidRPr="00BF3479">
        <w:rPr>
          <w:b/>
          <w:bCs/>
        </w:rPr>
        <w:t>552 (CMR-12)</w:t>
      </w:r>
      <w:r>
        <w:t>, se necesita un n</w:t>
      </w:r>
      <w:r w:rsidR="00BF3479">
        <w:t>ú</w:t>
      </w:r>
      <w:r>
        <w:t xml:space="preserve">mero </w:t>
      </w:r>
      <w:r w:rsidR="00BF3479">
        <w:t xml:space="preserve">ID </w:t>
      </w:r>
      <w:r>
        <w:t xml:space="preserve">UIT como parte de la identidad del </w:t>
      </w:r>
      <w:r w:rsidR="00BF3479">
        <w:t>vehículo</w:t>
      </w:r>
      <w:r>
        <w:t xml:space="preserve"> espacial, que debe basarse en el </w:t>
      </w:r>
      <w:r w:rsidR="00590FEA">
        <w:t>número</w:t>
      </w:r>
      <w:r>
        <w:t xml:space="preserve"> de </w:t>
      </w:r>
      <w:r w:rsidR="00590FEA">
        <w:t>notificación</w:t>
      </w:r>
      <w:r>
        <w:t xml:space="preserve"> </w:t>
      </w:r>
      <w:r w:rsidR="00590FEA">
        <w:t>de</w:t>
      </w:r>
      <w:r>
        <w:t xml:space="preserve"> la UIT</w:t>
      </w:r>
      <w:r w:rsidR="00590FEA">
        <w:t>,</w:t>
      </w:r>
      <w:r>
        <w:t xml:space="preserve"> como indica la nota 2 del citado Anexo 2.</w:t>
      </w:r>
    </w:p>
    <w:p w:rsidR="008B7C7D" w:rsidRDefault="008B7C7D" w:rsidP="00590FEA">
      <w:r>
        <w:t xml:space="preserve">El </w:t>
      </w:r>
      <w:r w:rsidR="00590FEA">
        <w:t>número</w:t>
      </w:r>
      <w:r>
        <w:t xml:space="preserve"> de notificación de la UIT (o </w:t>
      </w:r>
      <w:r w:rsidR="00590FEA">
        <w:t>Número</w:t>
      </w:r>
      <w:r>
        <w:t xml:space="preserve"> de identificación de la notificación SNS) para las notificaciones presentadas con arreglo a la </w:t>
      </w:r>
      <w:r w:rsidR="00590FEA">
        <w:t>Resolución</w:t>
      </w:r>
      <w:r>
        <w:t xml:space="preserve"> </w:t>
      </w:r>
      <w:r w:rsidRPr="00590FEA">
        <w:rPr>
          <w:b/>
          <w:bCs/>
        </w:rPr>
        <w:t>552 (CMR-12)</w:t>
      </w:r>
      <w:r>
        <w:t xml:space="preserve"> tendrá en </w:t>
      </w:r>
      <w:r w:rsidR="00590FEA">
        <w:t>medio los números «</w:t>
      </w:r>
      <w:r>
        <w:t>593</w:t>
      </w:r>
      <w:r w:rsidR="00590FEA">
        <w:t>»</w:t>
      </w:r>
      <w:r>
        <w:t xml:space="preserve"> (por </w:t>
      </w:r>
      <w:r w:rsidR="00590FEA">
        <w:t>ejemplo,</w:t>
      </w:r>
      <w:r>
        <w:t xml:space="preserve"> 113</w:t>
      </w:r>
      <w:r w:rsidRPr="00590FEA">
        <w:rPr>
          <w:u w:val="single"/>
        </w:rPr>
        <w:t>593</w:t>
      </w:r>
      <w:r>
        <w:t>001) como identificador único de estas nuevas series de notificación.</w:t>
      </w:r>
    </w:p>
    <w:p w:rsidR="008B7C7D" w:rsidRDefault="008B7C7D" w:rsidP="00590FEA">
      <w:r>
        <w:t xml:space="preserve">El </w:t>
      </w:r>
      <w:r w:rsidR="00590FEA">
        <w:t>número</w:t>
      </w:r>
      <w:r>
        <w:t xml:space="preserve"> ID UIT para el </w:t>
      </w:r>
      <w:r w:rsidR="00590FEA">
        <w:t>vehículo</w:t>
      </w:r>
      <w:r>
        <w:t xml:space="preserve"> </w:t>
      </w:r>
      <w:r w:rsidR="00590FEA">
        <w:t>espacial se basará</w:t>
      </w:r>
      <w:r>
        <w:t xml:space="preserve">, por tanto, en el </w:t>
      </w:r>
      <w:r w:rsidR="00590FEA">
        <w:t>número</w:t>
      </w:r>
      <w:r>
        <w:t xml:space="preserve"> de notificación de la UIT que fue atribuido a la primera presentación de la </w:t>
      </w:r>
      <w:r w:rsidR="00590FEA">
        <w:t>información</w:t>
      </w:r>
      <w:r>
        <w:t xml:space="preserve"> de la </w:t>
      </w:r>
      <w:r w:rsidR="00590FEA">
        <w:t>Resolución</w:t>
      </w:r>
      <w:r>
        <w:t xml:space="preserve"> </w:t>
      </w:r>
      <w:r w:rsidRPr="00590FEA">
        <w:rPr>
          <w:b/>
          <w:bCs/>
        </w:rPr>
        <w:t>552</w:t>
      </w:r>
      <w:r>
        <w:t xml:space="preserve"> para esa notificación, salvo que el conjunto de </w:t>
      </w:r>
      <w:r w:rsidR="00590FEA">
        <w:t>números</w:t>
      </w:r>
      <w:r>
        <w:t xml:space="preserve"> en el medio que indica el tipo de notificación de la</w:t>
      </w:r>
      <w:r w:rsidR="00590FEA">
        <w:t xml:space="preserve"> serie</w:t>
      </w:r>
      <w:r>
        <w:t xml:space="preserve"> </w:t>
      </w:r>
      <w:r w:rsidR="00590FEA">
        <w:t>«</w:t>
      </w:r>
      <w:r>
        <w:t>593</w:t>
      </w:r>
      <w:r w:rsidR="00590FEA">
        <w:t>» se cambiará</w:t>
      </w:r>
      <w:r>
        <w:t xml:space="preserve"> a </w:t>
      </w:r>
      <w:r w:rsidR="00590FEA">
        <w:t>«</w:t>
      </w:r>
      <w:r w:rsidRPr="00590FEA">
        <w:rPr>
          <w:u w:val="single"/>
        </w:rPr>
        <w:t>6</w:t>
      </w:r>
      <w:r>
        <w:t>93</w:t>
      </w:r>
      <w:r w:rsidR="00590FEA">
        <w:t>»</w:t>
      </w:r>
      <w:r>
        <w:t xml:space="preserve"> y la primera cifra será el contador de </w:t>
      </w:r>
      <w:r w:rsidR="00590FEA">
        <w:t>incremento</w:t>
      </w:r>
      <w:r>
        <w:t xml:space="preserve"> para el </w:t>
      </w:r>
      <w:r w:rsidR="00590FEA">
        <w:t>vehículo</w:t>
      </w:r>
      <w:r>
        <w:t xml:space="preserve"> espacial posteriormente utilizado para la notificación, caso de haber.</w:t>
      </w:r>
    </w:p>
    <w:p w:rsidR="008B7C7D" w:rsidRDefault="00590FEA" w:rsidP="002F6FDD">
      <w:r>
        <w:t>Por ejemplo,</w:t>
      </w:r>
      <w:r w:rsidR="008B7C7D">
        <w:t xml:space="preserve"> </w:t>
      </w:r>
      <w:r>
        <w:t xml:space="preserve">para </w:t>
      </w:r>
      <w:r w:rsidR="008B7C7D">
        <w:t xml:space="preserve">una nueva presentación de la </w:t>
      </w:r>
      <w:r>
        <w:t>información</w:t>
      </w:r>
      <w:r w:rsidR="008B7C7D">
        <w:t xml:space="preserve"> de la </w:t>
      </w:r>
      <w:r>
        <w:t>Resolución</w:t>
      </w:r>
      <w:r w:rsidR="008B7C7D">
        <w:t xml:space="preserve"> </w:t>
      </w:r>
      <w:r w:rsidR="008B7C7D" w:rsidRPr="00590FEA">
        <w:rPr>
          <w:b/>
          <w:bCs/>
        </w:rPr>
        <w:t>552</w:t>
      </w:r>
      <w:r w:rsidR="008B7C7D">
        <w:t xml:space="preserve"> recibida en 2013, el </w:t>
      </w:r>
      <w:r>
        <w:t>número</w:t>
      </w:r>
      <w:r w:rsidR="008B7C7D">
        <w:t xml:space="preserve"> de notificación de la UIT para la publicación de la </w:t>
      </w:r>
      <w:r>
        <w:t>Resolución</w:t>
      </w:r>
      <w:r w:rsidR="008B7C7D">
        <w:t xml:space="preserve"> </w:t>
      </w:r>
      <w:r w:rsidR="008B7C7D" w:rsidRPr="00590FEA">
        <w:rPr>
          <w:b/>
          <w:bCs/>
        </w:rPr>
        <w:t>552</w:t>
      </w:r>
      <w:r w:rsidR="008B7C7D">
        <w:t xml:space="preserve"> </w:t>
      </w:r>
      <w:r>
        <w:t>será</w:t>
      </w:r>
      <w:r w:rsidR="008B7C7D">
        <w:t xml:space="preserve"> 113593001</w:t>
      </w:r>
      <w:r w:rsidR="002F6FDD">
        <w:t xml:space="preserve"> </w:t>
      </w:r>
      <w:r w:rsidR="002F6FDD">
        <w:br/>
      </w:r>
      <w:r w:rsidR="008B7C7D">
        <w:t xml:space="preserve">(-13------ </w:t>
      </w:r>
      <w:r>
        <w:t xml:space="preserve">para </w:t>
      </w:r>
      <w:r w:rsidR="008B7C7D">
        <w:t xml:space="preserve">2013 y ---593--- para una presentación de la </w:t>
      </w:r>
      <w:r>
        <w:t>Resolución</w:t>
      </w:r>
      <w:r w:rsidR="008B7C7D">
        <w:t xml:space="preserve"> </w:t>
      </w:r>
      <w:r w:rsidR="008B7C7D" w:rsidRPr="00590FEA">
        <w:rPr>
          <w:b/>
          <w:bCs/>
        </w:rPr>
        <w:t>552</w:t>
      </w:r>
      <w:r w:rsidR="008B7C7D">
        <w:t xml:space="preserve">) y el </w:t>
      </w:r>
      <w:r>
        <w:t>número</w:t>
      </w:r>
      <w:r w:rsidR="008B7C7D">
        <w:t xml:space="preserve"> de ID</w:t>
      </w:r>
      <w:r w:rsidR="002F6FDD">
        <w:t> </w:t>
      </w:r>
      <w:r w:rsidR="008B7C7D">
        <w:t>UIT</w:t>
      </w:r>
      <w:r w:rsidR="002F6FDD">
        <w:t> </w:t>
      </w:r>
      <w:r w:rsidR="008B7C7D">
        <w:t xml:space="preserve">para el primer </w:t>
      </w:r>
      <w:r>
        <w:t>vehículo</w:t>
      </w:r>
      <w:r w:rsidR="008B7C7D">
        <w:t xml:space="preserve"> </w:t>
      </w:r>
      <w:r>
        <w:t>espacial</w:t>
      </w:r>
      <w:r w:rsidR="008B7C7D">
        <w:t xml:space="preserve"> será 113693001 (1-------- para el primer </w:t>
      </w:r>
      <w:r>
        <w:t>vehículo</w:t>
      </w:r>
      <w:r w:rsidR="008B7C7D">
        <w:t xml:space="preserve"> espacial y</w:t>
      </w:r>
      <w:r w:rsidR="002F6FDD">
        <w:t> </w:t>
      </w:r>
      <w:r w:rsidR="008B7C7D">
        <w:t xml:space="preserve">---693--- para las series del </w:t>
      </w:r>
      <w:r>
        <w:t>número</w:t>
      </w:r>
      <w:r w:rsidR="008B7C7D">
        <w:t xml:space="preserve"> ID UIT).</w:t>
      </w:r>
    </w:p>
    <w:p w:rsidR="008B7C7D" w:rsidRDefault="008B7C7D" w:rsidP="007F24C0">
      <w:r>
        <w:t xml:space="preserve">Si este </w:t>
      </w:r>
      <w:r w:rsidR="00590FEA">
        <w:t>vehículo</w:t>
      </w:r>
      <w:r>
        <w:t xml:space="preserve"> espacial se desplaza a otro emplazamiento que soporte una notificación de satélite distinta y con un n</w:t>
      </w:r>
      <w:r w:rsidR="00590FEA">
        <w:t>ú</w:t>
      </w:r>
      <w:r>
        <w:t>mero de notificación UIT diferente, el n</w:t>
      </w:r>
      <w:r w:rsidR="007F24C0">
        <w:t>ú</w:t>
      </w:r>
      <w:r>
        <w:t xml:space="preserve">mero ID UIT para el </w:t>
      </w:r>
      <w:r w:rsidR="00590FEA">
        <w:t>vehículo</w:t>
      </w:r>
      <w:r>
        <w:t xml:space="preserve"> espacial seguirá siendo el mismo (</w:t>
      </w:r>
      <w:r w:rsidRPr="00495420">
        <w:rPr>
          <w:u w:val="single"/>
        </w:rPr>
        <w:t>1</w:t>
      </w:r>
      <w:r>
        <w:t>13</w:t>
      </w:r>
      <w:r w:rsidRPr="00495420">
        <w:rPr>
          <w:u w:val="single"/>
        </w:rPr>
        <w:t>693</w:t>
      </w:r>
      <w:r>
        <w:t>001),</w:t>
      </w:r>
      <w:r w:rsidR="005112E9">
        <w:t xml:space="preserve"> </w:t>
      </w:r>
      <w:r>
        <w:t xml:space="preserve">sin que sea necesario que la administración proporcione </w:t>
      </w:r>
      <w:r w:rsidR="00495420">
        <w:t>información</w:t>
      </w:r>
      <w:r>
        <w:t xml:space="preserve"> sobre el lanzamiento, el fabricante del satélite o la frecuencia a bordo para el </w:t>
      </w:r>
      <w:r w:rsidR="00495420">
        <w:t>vehículo</w:t>
      </w:r>
      <w:r>
        <w:t xml:space="preserve"> espacial, ya que estos datos </w:t>
      </w:r>
      <w:r w:rsidR="00495420">
        <w:t>fueron</w:t>
      </w:r>
      <w:r>
        <w:t xml:space="preserve"> remitidos con anterioridad.</w:t>
      </w:r>
    </w:p>
    <w:p w:rsidR="008B7C7D" w:rsidRDefault="00495420" w:rsidP="002F6FDD">
      <w:r>
        <w:t>Si este</w:t>
      </w:r>
      <w:r w:rsidR="008B7C7D">
        <w:t xml:space="preserve"> </w:t>
      </w:r>
      <w:r>
        <w:t>vehículo</w:t>
      </w:r>
      <w:r w:rsidR="008B7C7D">
        <w:t xml:space="preserve"> espacial ya no se utiliza (fin de su vida útil, salida de orbit</w:t>
      </w:r>
      <w:r>
        <w:t>a,</w:t>
      </w:r>
      <w:r w:rsidR="00BC44FC">
        <w:t xml:space="preserve"> </w:t>
      </w:r>
      <w:r w:rsidR="002F6FDD">
        <w:t>etc.</w:t>
      </w:r>
      <w:r>
        <w:t>)</w:t>
      </w:r>
      <w:r w:rsidR="002F6FDD">
        <w:t>,</w:t>
      </w:r>
      <w:r>
        <w:t xml:space="preserve"> el ID UIT 113593001 dejará</w:t>
      </w:r>
      <w:r w:rsidR="008B7C7D">
        <w:t xml:space="preserve"> de ser utilizado.</w:t>
      </w:r>
    </w:p>
    <w:p w:rsidR="00F96264" w:rsidRDefault="008B7C7D" w:rsidP="008B7C7D">
      <w:r>
        <w:t xml:space="preserve">Al segundo </w:t>
      </w:r>
      <w:r w:rsidR="00495420">
        <w:t>vehículo</w:t>
      </w:r>
      <w:r>
        <w:t xml:space="preserve"> </w:t>
      </w:r>
      <w:r w:rsidR="00495420">
        <w:t>espacial</w:t>
      </w:r>
      <w:r>
        <w:t xml:space="preserve"> situado en </w:t>
      </w:r>
      <w:r w:rsidR="00495420">
        <w:t>órbita</w:t>
      </w:r>
      <w:r>
        <w:t xml:space="preserve"> para la misma notificación (</w:t>
      </w:r>
      <w:r w:rsidR="00495420">
        <w:t>número</w:t>
      </w:r>
      <w:r>
        <w:t xml:space="preserve"> de notificaci</w:t>
      </w:r>
      <w:r w:rsidR="00495420">
        <w:t>ón UIT 113593001) se le asignará</w:t>
      </w:r>
      <w:r>
        <w:t xml:space="preserve"> el </w:t>
      </w:r>
      <w:r w:rsidR="00495420">
        <w:t>número</w:t>
      </w:r>
      <w:r>
        <w:t xml:space="preserve"> ID UIT: </w:t>
      </w:r>
      <w:r w:rsidRPr="00495420">
        <w:rPr>
          <w:u w:val="single"/>
        </w:rPr>
        <w:t>2</w:t>
      </w:r>
      <w:r>
        <w:t>13693001.</w:t>
      </w:r>
    </w:p>
    <w:p w:rsidR="00495420" w:rsidRPr="009705C5" w:rsidRDefault="00495420" w:rsidP="00CE057C">
      <w:pPr>
        <w:pStyle w:val="Reasons"/>
        <w:rPr>
          <w:lang w:val="es-ES_tradnl"/>
        </w:rPr>
      </w:pPr>
    </w:p>
    <w:p w:rsidR="00495420" w:rsidRDefault="00495420">
      <w:pPr>
        <w:jc w:val="center"/>
      </w:pPr>
      <w:r>
        <w:t>______________</w:t>
      </w:r>
    </w:p>
    <w:p w:rsidR="00495420" w:rsidRDefault="00495420" w:rsidP="008B7C7D"/>
    <w:sectPr w:rsidR="004954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7C" w:rsidRDefault="00CE057C">
      <w:r>
        <w:separator/>
      </w:r>
    </w:p>
  </w:endnote>
  <w:endnote w:type="continuationSeparator" w:id="0">
    <w:p w:rsidR="00CE057C" w:rsidRDefault="00CE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E7" w:rsidRDefault="00890E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E7" w:rsidRDefault="00890E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CE057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E057C" w:rsidRDefault="00CE057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CE057C" w:rsidRDefault="00CE057C" w:rsidP="004B7DE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CE057C" w:rsidRDefault="00CE057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E057C" w:rsidRDefault="00CE057C" w:rsidP="004B7DE1">
          <w:pPr>
            <w:pStyle w:val="itu"/>
            <w:tabs>
              <w:tab w:val="clear" w:pos="709"/>
              <w:tab w:val="clear" w:pos="1134"/>
              <w:tab w:val="right" w:pos="2080"/>
            </w:tabs>
            <w:rPr>
              <w:lang w:val="es-ES_tradnl"/>
            </w:rPr>
          </w:pPr>
          <w:r>
            <w:rPr>
              <w:lang w:val="es-ES_tradnl"/>
            </w:rPr>
            <w:t>Correo-e:</w:t>
          </w:r>
          <w:r>
            <w:rPr>
              <w:lang w:val="es-ES_tradnl"/>
            </w:rPr>
            <w:tab/>
            <w:t>itumail@itu.int</w:t>
          </w:r>
        </w:p>
      </w:tc>
    </w:tr>
    <w:tr w:rsidR="00CE057C">
      <w:trPr>
        <w:cantSplit/>
      </w:trPr>
      <w:tc>
        <w:tcPr>
          <w:tcW w:w="1062" w:type="pct"/>
        </w:tcPr>
        <w:p w:rsidR="00CE057C" w:rsidRDefault="00CE057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CE057C" w:rsidRDefault="00CE057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CE057C" w:rsidRDefault="00CE057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CE057C" w:rsidRPr="00890EE7" w:rsidRDefault="00CE057C" w:rsidP="004B7DE1">
          <w:pPr>
            <w:pStyle w:val="itu"/>
            <w:tabs>
              <w:tab w:val="clear" w:pos="709"/>
              <w:tab w:val="clear" w:pos="1134"/>
              <w:tab w:val="right" w:pos="2080"/>
            </w:tabs>
            <w:rPr>
              <w:lang w:val="es-ES_tradnl"/>
            </w:rPr>
          </w:pPr>
          <w:r>
            <w:rPr>
              <w:lang w:val="es-ES_tradnl"/>
            </w:rPr>
            <w:tab/>
          </w:r>
          <w:bookmarkStart w:id="5" w:name="_GoBack"/>
          <w:r w:rsidR="00890EE7" w:rsidRPr="00890EE7">
            <w:fldChar w:fldCharType="begin"/>
          </w:r>
          <w:r w:rsidR="00890EE7" w:rsidRPr="00890EE7">
            <w:instrText xml:space="preserve"> HYPERLINK "http://www.itu.int/" </w:instrText>
          </w:r>
          <w:r w:rsidR="00890EE7" w:rsidRPr="00890EE7">
            <w:fldChar w:fldCharType="separate"/>
          </w:r>
          <w:r w:rsidRPr="00890EE7">
            <w:rPr>
              <w:rStyle w:val="Hyperlink"/>
              <w:color w:val="auto"/>
              <w:u w:val="none"/>
              <w:lang w:val="es-ES_tradnl"/>
            </w:rPr>
            <w:t>http://www.itu.int/</w:t>
          </w:r>
          <w:r w:rsidR="00890EE7" w:rsidRPr="00890EE7">
            <w:rPr>
              <w:rStyle w:val="Hyperlink"/>
              <w:color w:val="auto"/>
              <w:u w:val="none"/>
              <w:lang w:val="es-ES_tradnl"/>
            </w:rPr>
            <w:fldChar w:fldCharType="end"/>
          </w:r>
          <w:bookmarkEnd w:id="5"/>
        </w:p>
      </w:tc>
    </w:tr>
    <w:tr w:rsidR="00CE057C">
      <w:trPr>
        <w:cantSplit/>
      </w:trPr>
      <w:tc>
        <w:tcPr>
          <w:tcW w:w="1062" w:type="pct"/>
        </w:tcPr>
        <w:p w:rsidR="00CE057C" w:rsidRDefault="00CE057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CE057C" w:rsidRDefault="00CE057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CE057C" w:rsidRDefault="00CE057C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CE057C" w:rsidRDefault="00CE057C">
          <w:pPr>
            <w:pStyle w:val="itu"/>
            <w:rPr>
              <w:lang w:val="es-ES_tradnl"/>
            </w:rPr>
          </w:pPr>
        </w:p>
      </w:tc>
    </w:tr>
  </w:tbl>
  <w:p w:rsidR="00CE057C" w:rsidRDefault="00CE057C" w:rsidP="00F96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7C" w:rsidRDefault="00CE057C">
      <w:r>
        <w:t>____________________</w:t>
      </w:r>
    </w:p>
  </w:footnote>
  <w:footnote w:type="continuationSeparator" w:id="0">
    <w:p w:rsidR="00CE057C" w:rsidRDefault="00CE057C">
      <w:r>
        <w:continuationSeparator/>
      </w:r>
    </w:p>
  </w:footnote>
  <w:footnote w:id="1">
    <w:p w:rsidR="00CE057C" w:rsidRDefault="00CE057C" w:rsidP="003925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CC6A7B">
        <w:rPr>
          <w:sz w:val="20"/>
        </w:rPr>
        <w:t xml:space="preserve">El plazo de tiempo reglamentario estipulado en el número </w:t>
      </w:r>
      <w:r w:rsidRPr="00CC6A7B">
        <w:rPr>
          <w:b/>
          <w:bCs/>
          <w:sz w:val="20"/>
        </w:rPr>
        <w:t>11.4</w:t>
      </w:r>
      <w:r w:rsidR="00E123F2" w:rsidRPr="00CC6A7B">
        <w:rPr>
          <w:b/>
          <w:bCs/>
          <w:sz w:val="20"/>
        </w:rPr>
        <w:t>4</w:t>
      </w:r>
      <w:r w:rsidRPr="00CC6A7B">
        <w:rPr>
          <w:sz w:val="20"/>
        </w:rPr>
        <w:t xml:space="preserve"> es de siete (7) años. Los §§ 4.1.3 y 4.2.6 de los Apéndices </w:t>
      </w:r>
      <w:r w:rsidRPr="00CC6A7B">
        <w:rPr>
          <w:b/>
          <w:bCs/>
          <w:sz w:val="20"/>
        </w:rPr>
        <w:t>30</w:t>
      </w:r>
      <w:r w:rsidRPr="00CC6A7B">
        <w:rPr>
          <w:sz w:val="20"/>
        </w:rPr>
        <w:t xml:space="preserve"> y </w:t>
      </w:r>
      <w:r w:rsidRPr="00CC6A7B">
        <w:rPr>
          <w:b/>
          <w:bCs/>
          <w:sz w:val="20"/>
        </w:rPr>
        <w:t>30A</w:t>
      </w:r>
      <w:r w:rsidRPr="00CC6A7B">
        <w:rPr>
          <w:sz w:val="20"/>
        </w:rPr>
        <w:t xml:space="preserve"> establecen un plazo de tiempo reglamentario de ocho (8) años. El § 6.1 del </w:t>
      </w:r>
      <w:r w:rsidR="00E123F2" w:rsidRPr="00CC6A7B">
        <w:rPr>
          <w:sz w:val="20"/>
        </w:rPr>
        <w:t xml:space="preserve">Apéndice </w:t>
      </w:r>
      <w:r w:rsidRPr="00CC6A7B">
        <w:rPr>
          <w:b/>
          <w:bCs/>
          <w:sz w:val="20"/>
        </w:rPr>
        <w:t>30B</w:t>
      </w:r>
      <w:r w:rsidRPr="00CC6A7B">
        <w:rPr>
          <w:sz w:val="20"/>
        </w:rPr>
        <w:t xml:space="preserve"> también fija una plazo de ocho años.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E7" w:rsidRDefault="00890E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57C" w:rsidRDefault="00CE057C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90EE7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CE057C" w:rsidRPr="00F96264" w:rsidRDefault="00CE057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E7" w:rsidRDefault="00890E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E1"/>
    <w:rsid w:val="0007696A"/>
    <w:rsid w:val="000819C4"/>
    <w:rsid w:val="000913A5"/>
    <w:rsid w:val="000C6F6D"/>
    <w:rsid w:val="000C6F82"/>
    <w:rsid w:val="000E0337"/>
    <w:rsid w:val="000E58F6"/>
    <w:rsid w:val="000E66BD"/>
    <w:rsid w:val="00131358"/>
    <w:rsid w:val="00137201"/>
    <w:rsid w:val="00213C1D"/>
    <w:rsid w:val="00217F34"/>
    <w:rsid w:val="00240010"/>
    <w:rsid w:val="00275961"/>
    <w:rsid w:val="0029546A"/>
    <w:rsid w:val="002955C9"/>
    <w:rsid w:val="002A471E"/>
    <w:rsid w:val="002F6FDD"/>
    <w:rsid w:val="00377D99"/>
    <w:rsid w:val="00382030"/>
    <w:rsid w:val="00392505"/>
    <w:rsid w:val="003A0195"/>
    <w:rsid w:val="00407866"/>
    <w:rsid w:val="0041294A"/>
    <w:rsid w:val="00493942"/>
    <w:rsid w:val="00495420"/>
    <w:rsid w:val="004A479F"/>
    <w:rsid w:val="004B7DE1"/>
    <w:rsid w:val="004C5451"/>
    <w:rsid w:val="005112E9"/>
    <w:rsid w:val="00572596"/>
    <w:rsid w:val="00590FEA"/>
    <w:rsid w:val="005968BF"/>
    <w:rsid w:val="005B3BAD"/>
    <w:rsid w:val="005B5310"/>
    <w:rsid w:val="005B7946"/>
    <w:rsid w:val="005C25B2"/>
    <w:rsid w:val="005C5431"/>
    <w:rsid w:val="005C68B5"/>
    <w:rsid w:val="00605032"/>
    <w:rsid w:val="00614440"/>
    <w:rsid w:val="006179A4"/>
    <w:rsid w:val="006220D2"/>
    <w:rsid w:val="006B3E10"/>
    <w:rsid w:val="006C6870"/>
    <w:rsid w:val="00755BBE"/>
    <w:rsid w:val="0077231B"/>
    <w:rsid w:val="00777F7F"/>
    <w:rsid w:val="007E48EC"/>
    <w:rsid w:val="007F24C0"/>
    <w:rsid w:val="007F6FD6"/>
    <w:rsid w:val="00807B88"/>
    <w:rsid w:val="00853204"/>
    <w:rsid w:val="00890EE7"/>
    <w:rsid w:val="008A4D9D"/>
    <w:rsid w:val="008B7C7D"/>
    <w:rsid w:val="008D04C9"/>
    <w:rsid w:val="008E0F5D"/>
    <w:rsid w:val="00936CAC"/>
    <w:rsid w:val="0094198B"/>
    <w:rsid w:val="009615DA"/>
    <w:rsid w:val="009705C5"/>
    <w:rsid w:val="0097291E"/>
    <w:rsid w:val="00973AC6"/>
    <w:rsid w:val="009D2C45"/>
    <w:rsid w:val="00A07B36"/>
    <w:rsid w:val="00A704A8"/>
    <w:rsid w:val="00A71721"/>
    <w:rsid w:val="00AD062C"/>
    <w:rsid w:val="00AE07DC"/>
    <w:rsid w:val="00B17DC6"/>
    <w:rsid w:val="00B244A3"/>
    <w:rsid w:val="00B51E92"/>
    <w:rsid w:val="00B60160"/>
    <w:rsid w:val="00B61B6E"/>
    <w:rsid w:val="00B62082"/>
    <w:rsid w:val="00B75EA2"/>
    <w:rsid w:val="00BC44FC"/>
    <w:rsid w:val="00BD0273"/>
    <w:rsid w:val="00BD5208"/>
    <w:rsid w:val="00BF3479"/>
    <w:rsid w:val="00C25BB2"/>
    <w:rsid w:val="00C34E6E"/>
    <w:rsid w:val="00C85764"/>
    <w:rsid w:val="00CB2FA5"/>
    <w:rsid w:val="00CC6A7B"/>
    <w:rsid w:val="00CC706B"/>
    <w:rsid w:val="00CE057C"/>
    <w:rsid w:val="00D04A11"/>
    <w:rsid w:val="00D209B5"/>
    <w:rsid w:val="00D6462A"/>
    <w:rsid w:val="00DF0EBE"/>
    <w:rsid w:val="00DF301F"/>
    <w:rsid w:val="00DF5893"/>
    <w:rsid w:val="00E123F2"/>
    <w:rsid w:val="00E87B08"/>
    <w:rsid w:val="00EF17D4"/>
    <w:rsid w:val="00F4054D"/>
    <w:rsid w:val="00F645B6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asons">
    <w:name w:val="Reasons"/>
    <w:basedOn w:val="Normal"/>
    <w:qFormat/>
    <w:rsid w:val="004954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asons">
    <w:name w:val="Reasons"/>
    <w:basedOn w:val="Normal"/>
    <w:qFormat/>
    <w:rsid w:val="004954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net/ITU-R/space/snl/list1149/index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net/ITU-R/space/snl/listinuse/index.asp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ivino\Application%20Data\Microsoft\Templates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8C595-D999-40AF-AF2C-990B41B0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PS_BRcirc.dotm</Template>
  <TotalTime>15</TotalTime>
  <Pages>6</Pages>
  <Words>2802</Words>
  <Characters>14434</Characters>
  <Application>Microsoft Office Word</Application>
  <DocSecurity>0</DocSecurity>
  <Lines>120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UNIÓN INTERNACIONAL DE TELECOMUNICACIONES</vt:lpstr>
      <vt:lpstr>1	Introducción</vt:lpstr>
      <vt:lpstr>2	Puesta en servicio</vt:lpstr>
      <vt:lpstr>3	Suspensión</vt:lpstr>
      <vt:lpstr>4	Solicitud de aplicación del número 11.41</vt:lpstr>
      <vt:lpstr>5	Anexo 2 a la Resolución 552 (CMR-12): Identidad del vehículo espacial</vt:lpstr>
    </vt:vector>
  </TitlesOfParts>
  <Company>ITU</Company>
  <LinksUpToDate>false</LinksUpToDate>
  <CharactersWithSpaces>17202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De La Rosa Trivino, Maria Dolores</dc:creator>
  <cp:keywords/>
  <dc:description/>
  <cp:lastModifiedBy>Mondino, Martine</cp:lastModifiedBy>
  <cp:revision>7</cp:revision>
  <cp:lastPrinted>2001-07-17T10:54:00Z</cp:lastPrinted>
  <dcterms:created xsi:type="dcterms:W3CDTF">2013-01-29T14:06:00Z</dcterms:created>
  <dcterms:modified xsi:type="dcterms:W3CDTF">2013-01-30T14:47:00Z</dcterms:modified>
</cp:coreProperties>
</file>