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646BEE" w:rsidRDefault="00D35752" w:rsidP="00D35752">
            <w:pPr>
              <w:spacing w:before="0"/>
              <w:rPr>
                <w:rFonts w:ascii="Futura Lt BT" w:hAnsi="Futura Lt BT" w:cstheme="minorHAnsi"/>
                <w:sz w:val="34"/>
                <w:szCs w:val="34"/>
              </w:rPr>
            </w:pPr>
            <w:bookmarkStart w:id="0" w:name="_GoBack"/>
            <w:bookmarkEnd w:id="0"/>
            <w:r w:rsidRPr="00646BEE">
              <w:rPr>
                <w:rFonts w:ascii="Futura Lt BT" w:hAnsi="Futura Lt BT" w:cstheme="minorHAnsi"/>
                <w:sz w:val="34"/>
                <w:szCs w:val="34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1C7F08" w:rsidRDefault="00B87E04">
            <w:pPr>
              <w:rPr>
                <w:b/>
                <w:smallCaps/>
                <w:sz w:val="20"/>
                <w:lang w:val="fr-CH"/>
              </w:rPr>
            </w:pPr>
            <w:r w:rsidRPr="001C7F08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1C7F08">
              <w:rPr>
                <w:b/>
                <w:sz w:val="18"/>
                <w:lang w:val="fr-CH"/>
              </w:rPr>
              <w:tab/>
            </w:r>
            <w:r w:rsidRPr="001C7F08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1C7F08" w:rsidRDefault="001C7F08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1" w:name="dletter"/>
            <w:bookmarkEnd w:id="1"/>
            <w:r>
              <w:t>Circular Letter</w:t>
            </w:r>
          </w:p>
          <w:p w:rsidR="0071106C" w:rsidRPr="001C7F08" w:rsidRDefault="001C7F08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2" w:name="dnum"/>
            <w:bookmarkEnd w:id="2"/>
            <w:r>
              <w:rPr>
                <w:b/>
                <w:bCs/>
              </w:rPr>
              <w:t>CR/326</w:t>
            </w:r>
          </w:p>
        </w:tc>
        <w:tc>
          <w:tcPr>
            <w:tcW w:w="7502" w:type="dxa"/>
          </w:tcPr>
          <w:p w:rsidR="00B87E04" w:rsidRPr="001C7F08" w:rsidRDefault="007F2D47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3" w:name="ddate"/>
            <w:bookmarkEnd w:id="3"/>
            <w:r>
              <w:rPr>
                <w:bCs/>
              </w:rPr>
              <w:t>17</w:t>
            </w:r>
            <w:r w:rsidR="001C7F08">
              <w:rPr>
                <w:bCs/>
              </w:rPr>
              <w:t xml:space="preserve"> August 2011</w:t>
            </w:r>
          </w:p>
        </w:tc>
      </w:tr>
    </w:tbl>
    <w:p w:rsidR="00B87E04" w:rsidRDefault="005F7F4C">
      <w:pPr>
        <w:tabs>
          <w:tab w:val="left" w:pos="7513"/>
        </w:tabs>
        <w:spacing w:before="480"/>
        <w:jc w:val="center"/>
        <w:rPr>
          <w:b/>
        </w:rPr>
      </w:pPr>
      <w:r w:rsidRPr="005F7F4C">
        <w:rPr>
          <w:b/>
          <w:bCs/>
        </w:rPr>
        <w:t>To Administrations of Member States of ITU</w:t>
      </w:r>
    </w:p>
    <w:p w:rsidR="00B87E04" w:rsidRDefault="00B87E0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Subject</w:t>
      </w:r>
      <w:r>
        <w:t>:</w:t>
      </w:r>
      <w:r>
        <w:tab/>
      </w:r>
      <w:bookmarkStart w:id="4" w:name="dtitle1"/>
      <w:bookmarkEnd w:id="4"/>
      <w:r w:rsidR="001C7F08">
        <w:t>Rules of Procedure approved by the Radio Regulations Board</w:t>
      </w:r>
    </w:p>
    <w:p w:rsidR="001E15AA" w:rsidRPr="009746C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b/>
          <w:bCs/>
        </w:rPr>
      </w:pPr>
      <w:r w:rsidRPr="009746CA">
        <w:rPr>
          <w:b/>
          <w:bCs/>
        </w:rPr>
        <w:t>To the Director-General</w:t>
      </w:r>
    </w:p>
    <w:p w:rsidR="001E15A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t>Dear Sir/Madam</w:t>
      </w:r>
      <w:r w:rsidR="00AB1815">
        <w:t>,</w:t>
      </w:r>
    </w:p>
    <w:p w:rsidR="001E15AA" w:rsidRDefault="001C7F08" w:rsidP="009B0A47">
      <w:pPr>
        <w:pStyle w:val="Normalaftertitle"/>
      </w:pPr>
      <w:r>
        <w:t>1</w:t>
      </w:r>
      <w:r>
        <w:tab/>
        <w:t xml:space="preserve">Pursuant to the provisions of Nos. 13.12 and 13.14 of the Radio Regulations, the Radio </w:t>
      </w:r>
      <w:r w:rsidR="009B0A47">
        <w:t>R</w:t>
      </w:r>
      <w:r>
        <w:t>egulations Board (RRB) at its 57th meeting (13-21 June 2011) approved new Rules of Procedure.</w:t>
      </w:r>
    </w:p>
    <w:p w:rsidR="001C7F08" w:rsidRDefault="001C7F08" w:rsidP="001C7F08">
      <w:r>
        <w:t>2</w:t>
      </w:r>
      <w:r>
        <w:tab/>
        <w:t>The new Rules of Procedure are included in the attached replacement pages for the recently published volume (the 2009 edition of the Rules of Procedure, referred to in CR/307). The new Rules provided in the Annex take effect immediately.</w:t>
      </w:r>
    </w:p>
    <w:p w:rsidR="001E15AA" w:rsidRDefault="001E15AA" w:rsidP="001E15AA"/>
    <w:p w:rsidR="001E15A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</w:pPr>
      <w:r>
        <w:tab/>
        <w:t>Yours faithfully,</w:t>
      </w:r>
    </w:p>
    <w:p w:rsidR="001E15AA" w:rsidRDefault="001E15AA" w:rsidP="00EF7E37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720"/>
      </w:pPr>
      <w:r>
        <w:tab/>
      </w:r>
      <w:r w:rsidR="00EF7E37">
        <w:t>François Rancy</w:t>
      </w:r>
      <w:r>
        <w:br/>
      </w:r>
      <w:r>
        <w:tab/>
        <w:t>Director, Radiocommunication Bureau</w:t>
      </w:r>
    </w:p>
    <w:p w:rsidR="001E15AA" w:rsidRDefault="001E15AA" w:rsidP="001E15AA"/>
    <w:p w:rsidR="004F26AE" w:rsidRDefault="004F26AE" w:rsidP="001E15AA"/>
    <w:p w:rsidR="004F26AE" w:rsidRPr="001C7F08" w:rsidRDefault="001C7F08" w:rsidP="001E15AA">
      <w:r>
        <w:rPr>
          <w:b/>
          <w:bCs/>
        </w:rPr>
        <w:t>Annex:</w:t>
      </w:r>
      <w:r>
        <w:tab/>
      </w:r>
      <w:hyperlink r:id="rId10" w:history="1">
        <w:r w:rsidRPr="00777BC4">
          <w:rPr>
            <w:rStyle w:val="Hyperlink"/>
          </w:rPr>
          <w:t>Rules of Procedure - Edition 2009 - Update 3</w:t>
        </w:r>
      </w:hyperlink>
    </w:p>
    <w:p w:rsidR="004F26AE" w:rsidRDefault="004F26AE" w:rsidP="001E15AA"/>
    <w:p w:rsidR="00F40756" w:rsidRDefault="00F40756" w:rsidP="00C3775F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</w:rPr>
      </w:pPr>
      <w:bookmarkStart w:id="5" w:name="ddistribution"/>
      <w:bookmarkEnd w:id="5"/>
    </w:p>
    <w:p w:rsidR="00F40756" w:rsidRDefault="00F40756" w:rsidP="00F40756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/>
        <w:jc w:val="both"/>
        <w:rPr>
          <w:bCs/>
          <w:sz w:val="18"/>
          <w:szCs w:val="18"/>
        </w:rPr>
      </w:pPr>
    </w:p>
    <w:p w:rsidR="001C7F08" w:rsidRPr="008D4874" w:rsidRDefault="001C7F08" w:rsidP="00F40756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/>
        <w:jc w:val="both"/>
        <w:rPr>
          <w:bCs/>
          <w:sz w:val="18"/>
          <w:szCs w:val="18"/>
        </w:rPr>
      </w:pPr>
      <w:r w:rsidRPr="008D4874">
        <w:rPr>
          <w:bCs/>
          <w:sz w:val="18"/>
          <w:szCs w:val="18"/>
        </w:rPr>
        <w:t>Distribution:</w:t>
      </w:r>
    </w:p>
    <w:p w:rsidR="001C7F08" w:rsidRPr="008D4874" w:rsidRDefault="001C7F08" w:rsidP="00C3775F">
      <w:pPr>
        <w:pStyle w:val="enumlev1"/>
        <w:tabs>
          <w:tab w:val="clear" w:pos="794"/>
          <w:tab w:val="left" w:pos="284"/>
        </w:tabs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  <w:t>Administrations of Member States of ITU</w:t>
      </w:r>
    </w:p>
    <w:p w:rsidR="001C7F08" w:rsidRPr="008D4874" w:rsidRDefault="001C7F08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  <w:t>Members of the Radio Regulations Board</w:t>
      </w:r>
    </w:p>
    <w:p w:rsidR="004F26AE" w:rsidRDefault="004F26AE" w:rsidP="009676DC"/>
    <w:p w:rsidR="008D1187" w:rsidRPr="004B42BF" w:rsidRDefault="004B42BF" w:rsidP="004B42BF">
      <w:pPr>
        <w:pStyle w:val="AnnexNotitle"/>
        <w:rPr>
          <w:b w:val="0"/>
          <w:bCs/>
        </w:rPr>
      </w:pPr>
      <w:r w:rsidRPr="004B42BF">
        <w:rPr>
          <w:b w:val="0"/>
          <w:bCs/>
        </w:rPr>
        <w:lastRenderedPageBreak/>
        <w:t>ANNEX</w:t>
      </w:r>
    </w:p>
    <w:p w:rsidR="004B42BF" w:rsidRPr="004B42BF" w:rsidRDefault="004B42BF" w:rsidP="004B42BF"/>
    <w:p w:rsidR="008D1187" w:rsidRDefault="008D1187" w:rsidP="004B42B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  <w:lang w:val="en-US" w:eastAsia="zh-CN"/>
        </w:rPr>
        <w:t>UPDATES to the</w:t>
      </w:r>
    </w:p>
    <w:p w:rsidR="004B42BF" w:rsidRDefault="004B42BF" w:rsidP="004B42B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sz w:val="28"/>
          <w:szCs w:val="28"/>
          <w:lang w:val="en-US" w:eastAsia="zh-CN"/>
        </w:rPr>
      </w:pPr>
    </w:p>
    <w:p w:rsidR="008D1187" w:rsidRDefault="008D1187" w:rsidP="004B42B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sz w:val="26"/>
          <w:szCs w:val="26"/>
          <w:lang w:val="en-US" w:eastAsia="zh-CN"/>
        </w:rPr>
      </w:pPr>
      <w:r>
        <w:rPr>
          <w:b/>
          <w:bCs/>
          <w:sz w:val="26"/>
          <w:szCs w:val="26"/>
          <w:lang w:val="en-US" w:eastAsia="zh-CN"/>
        </w:rPr>
        <w:t>Rules of Procedure</w:t>
      </w:r>
    </w:p>
    <w:p w:rsidR="004B42BF" w:rsidRDefault="004B42BF" w:rsidP="004B42B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sz w:val="26"/>
          <w:szCs w:val="26"/>
          <w:lang w:val="en-US" w:eastAsia="zh-CN"/>
        </w:rPr>
      </w:pPr>
    </w:p>
    <w:p w:rsidR="008D1187" w:rsidRDefault="008D1187" w:rsidP="004B42B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szCs w:val="24"/>
          <w:lang w:val="en-US" w:eastAsia="zh-CN"/>
        </w:rPr>
      </w:pPr>
      <w:r>
        <w:rPr>
          <w:szCs w:val="24"/>
          <w:lang w:val="en-US" w:eastAsia="zh-CN"/>
        </w:rPr>
        <w:t>(Edition of 2009)</w:t>
      </w:r>
    </w:p>
    <w:p w:rsidR="004B42BF" w:rsidRDefault="004B42BF" w:rsidP="004B42B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szCs w:val="24"/>
          <w:lang w:val="en-US" w:eastAsia="zh-CN"/>
        </w:rPr>
      </w:pPr>
    </w:p>
    <w:p w:rsidR="004B42BF" w:rsidRDefault="004B42BF" w:rsidP="004B42B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szCs w:val="24"/>
          <w:lang w:val="en-US" w:eastAsia="zh-CN"/>
        </w:rPr>
      </w:pPr>
    </w:p>
    <w:p w:rsidR="008D1187" w:rsidRDefault="008D1187" w:rsidP="004B42B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sz w:val="26"/>
          <w:szCs w:val="26"/>
          <w:lang w:val="en-US" w:eastAsia="zh-CN"/>
        </w:rPr>
      </w:pPr>
      <w:r>
        <w:rPr>
          <w:b/>
          <w:bCs/>
          <w:sz w:val="26"/>
          <w:szCs w:val="26"/>
          <w:lang w:val="en-US" w:eastAsia="zh-CN"/>
        </w:rPr>
        <w:t>approved by the Radio Regulations Board</w:t>
      </w:r>
    </w:p>
    <w:p w:rsidR="004B42BF" w:rsidRDefault="004B42BF" w:rsidP="004B42B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sz w:val="26"/>
          <w:szCs w:val="26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4B42BF" w:rsidTr="004B42BF">
        <w:tc>
          <w:tcPr>
            <w:tcW w:w="1642" w:type="dxa"/>
          </w:tcPr>
          <w:p w:rsidR="004B42BF" w:rsidRDefault="004B42BF" w:rsidP="004B42BF">
            <w:pPr>
              <w:pStyle w:val="Tablehead"/>
              <w:rPr>
                <w:sz w:val="26"/>
                <w:szCs w:val="26"/>
                <w:lang w:val="en-US" w:eastAsia="zh-CN"/>
              </w:rPr>
            </w:pPr>
            <w:r>
              <w:rPr>
                <w:lang w:val="en-US" w:eastAsia="zh-CN"/>
              </w:rPr>
              <w:t xml:space="preserve">Revision </w:t>
            </w:r>
            <w:r w:rsidRPr="004B42BF">
              <w:rPr>
                <w:vertAlign w:val="superscript"/>
                <w:lang w:val="en-US" w:eastAsia="zh-CN"/>
              </w:rPr>
              <w:t>(1)</w:t>
            </w:r>
            <w:r>
              <w:rPr>
                <w:sz w:val="16"/>
                <w:szCs w:val="16"/>
                <w:lang w:val="en-US" w:eastAsia="zh-CN"/>
              </w:rPr>
              <w:br/>
            </w:r>
            <w:r>
              <w:rPr>
                <w:lang w:val="en-US" w:eastAsia="zh-CN"/>
              </w:rPr>
              <w:t>(Circular No.)</w:t>
            </w:r>
          </w:p>
        </w:tc>
        <w:tc>
          <w:tcPr>
            <w:tcW w:w="1642" w:type="dxa"/>
          </w:tcPr>
          <w:p w:rsidR="004B42BF" w:rsidRDefault="004B42BF" w:rsidP="004B42BF">
            <w:pPr>
              <w:pStyle w:val="Tablehead"/>
              <w:rPr>
                <w:sz w:val="26"/>
                <w:szCs w:val="26"/>
                <w:lang w:val="en-US" w:eastAsia="zh-CN"/>
              </w:rPr>
            </w:pPr>
            <w:r>
              <w:rPr>
                <w:lang w:val="en-US" w:eastAsia="zh-CN"/>
              </w:rPr>
              <w:t>Date</w:t>
            </w:r>
          </w:p>
        </w:tc>
        <w:tc>
          <w:tcPr>
            <w:tcW w:w="1642" w:type="dxa"/>
          </w:tcPr>
          <w:p w:rsidR="004B42BF" w:rsidRDefault="004B42BF" w:rsidP="004B42BF">
            <w:pPr>
              <w:pStyle w:val="Tablehead"/>
              <w:rPr>
                <w:sz w:val="26"/>
                <w:szCs w:val="26"/>
                <w:lang w:val="en-US" w:eastAsia="zh-CN"/>
              </w:rPr>
            </w:pPr>
            <w:r>
              <w:rPr>
                <w:lang w:val="en-US" w:eastAsia="zh-CN"/>
              </w:rPr>
              <w:t>Part</w:t>
            </w:r>
          </w:p>
        </w:tc>
        <w:tc>
          <w:tcPr>
            <w:tcW w:w="1643" w:type="dxa"/>
          </w:tcPr>
          <w:p w:rsidR="004B42BF" w:rsidRDefault="004B42BF" w:rsidP="004B42BF">
            <w:pPr>
              <w:pStyle w:val="Tablehead"/>
              <w:rPr>
                <w:sz w:val="26"/>
                <w:szCs w:val="26"/>
                <w:lang w:val="en-US" w:eastAsia="zh-CN"/>
              </w:rPr>
            </w:pPr>
            <w:r>
              <w:rPr>
                <w:lang w:val="en-US" w:eastAsia="zh-CN"/>
              </w:rPr>
              <w:t>AR</w:t>
            </w:r>
          </w:p>
        </w:tc>
        <w:tc>
          <w:tcPr>
            <w:tcW w:w="1643" w:type="dxa"/>
          </w:tcPr>
          <w:p w:rsidR="004B42BF" w:rsidRPr="004B42BF" w:rsidRDefault="004B42BF" w:rsidP="004B42BF">
            <w:pPr>
              <w:pStyle w:val="Tablehead"/>
              <w:rPr>
                <w:lang w:val="en-US" w:eastAsia="zh-CN"/>
              </w:rPr>
            </w:pPr>
            <w:r>
              <w:rPr>
                <w:lang w:val="en-US" w:eastAsia="zh-CN"/>
              </w:rPr>
              <w:t>Pages to be</w:t>
            </w:r>
            <w:r>
              <w:rPr>
                <w:lang w:val="en-US" w:eastAsia="zh-CN"/>
              </w:rPr>
              <w:br/>
              <w:t>removed</w:t>
            </w:r>
          </w:p>
        </w:tc>
        <w:tc>
          <w:tcPr>
            <w:tcW w:w="1643" w:type="dxa"/>
          </w:tcPr>
          <w:p w:rsidR="004B42BF" w:rsidRPr="004B42BF" w:rsidRDefault="004B42BF" w:rsidP="004B42BF">
            <w:pPr>
              <w:pStyle w:val="Tablehead"/>
              <w:rPr>
                <w:lang w:val="en-US" w:eastAsia="zh-CN"/>
              </w:rPr>
            </w:pPr>
            <w:r>
              <w:rPr>
                <w:lang w:val="en-US" w:eastAsia="zh-CN"/>
              </w:rPr>
              <w:t>Pages to be</w:t>
            </w:r>
            <w:r>
              <w:rPr>
                <w:lang w:val="en-US" w:eastAsia="zh-CN"/>
              </w:rPr>
              <w:br/>
              <w:t>inserted</w:t>
            </w:r>
          </w:p>
        </w:tc>
      </w:tr>
      <w:tr w:rsidR="004B42BF" w:rsidTr="004B42BF">
        <w:tc>
          <w:tcPr>
            <w:tcW w:w="1642" w:type="dxa"/>
          </w:tcPr>
          <w:p w:rsidR="004B42BF" w:rsidRPr="004B42BF" w:rsidRDefault="004B42BF" w:rsidP="004B42BF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br/>
              <w:t>See CR/307</w:t>
            </w:r>
          </w:p>
        </w:tc>
        <w:tc>
          <w:tcPr>
            <w:tcW w:w="1642" w:type="dxa"/>
          </w:tcPr>
          <w:p w:rsidR="004B42BF" w:rsidRPr="004B42BF" w:rsidRDefault="004B42BF" w:rsidP="004B42BF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br/>
              <w:t>August 2009</w:t>
            </w:r>
          </w:p>
        </w:tc>
        <w:tc>
          <w:tcPr>
            <w:tcW w:w="1642" w:type="dxa"/>
          </w:tcPr>
          <w:p w:rsidR="004B42BF" w:rsidRPr="004B42BF" w:rsidRDefault="004B42BF" w:rsidP="004B42BF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A1</w:t>
            </w:r>
            <w:r>
              <w:rPr>
                <w:lang w:val="en-US" w:eastAsia="zh-CN"/>
              </w:rPr>
              <w:br/>
              <w:t>A10</w:t>
            </w:r>
            <w:r>
              <w:rPr>
                <w:lang w:val="en-US" w:eastAsia="zh-CN"/>
              </w:rPr>
              <w:br/>
              <w:t>B</w:t>
            </w:r>
          </w:p>
        </w:tc>
        <w:tc>
          <w:tcPr>
            <w:tcW w:w="1643" w:type="dxa"/>
          </w:tcPr>
          <w:p w:rsidR="004B42BF" w:rsidRPr="004B42BF" w:rsidRDefault="004B42BF" w:rsidP="004B42BF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AP30B</w:t>
            </w:r>
            <w:r>
              <w:rPr>
                <w:lang w:val="en-US" w:eastAsia="zh-CN"/>
              </w:rPr>
              <w:br/>
              <w:t>GE06</w:t>
            </w:r>
            <w:r>
              <w:rPr>
                <w:lang w:val="en-US" w:eastAsia="zh-CN"/>
              </w:rPr>
              <w:br/>
              <w:t>Section B4</w:t>
            </w:r>
            <w:r>
              <w:rPr>
                <w:lang w:val="en-US" w:eastAsia="zh-CN"/>
              </w:rPr>
              <w:br/>
            </w:r>
            <w:r>
              <w:rPr>
                <w:lang w:val="en-US" w:eastAsia="zh-CN"/>
              </w:rPr>
              <w:br/>
            </w:r>
            <w:r>
              <w:rPr>
                <w:lang w:val="en-US" w:eastAsia="zh-CN"/>
              </w:rPr>
              <w:br/>
              <w:t>Section B6</w:t>
            </w:r>
          </w:p>
        </w:tc>
        <w:tc>
          <w:tcPr>
            <w:tcW w:w="1643" w:type="dxa"/>
          </w:tcPr>
          <w:p w:rsidR="004B42BF" w:rsidRPr="004B42BF" w:rsidRDefault="004B42BF" w:rsidP="004B42BF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  <w:r>
              <w:rPr>
                <w:lang w:val="en-US" w:eastAsia="zh-CN"/>
              </w:rPr>
              <w:br/>
              <w:t>3-4</w:t>
            </w:r>
            <w:r>
              <w:rPr>
                <w:lang w:val="en-US" w:eastAsia="zh-CN"/>
              </w:rPr>
              <w:br/>
              <w:t>1-4</w:t>
            </w:r>
            <w:r>
              <w:rPr>
                <w:lang w:val="en-US" w:eastAsia="zh-CN"/>
              </w:rPr>
              <w:br/>
              <w:t>9-10</w:t>
            </w:r>
            <w:r>
              <w:rPr>
                <w:lang w:val="en-US" w:eastAsia="zh-CN"/>
              </w:rPr>
              <w:br/>
              <w:t>13-16</w:t>
            </w:r>
            <w:r>
              <w:rPr>
                <w:lang w:val="en-US" w:eastAsia="zh-CN"/>
              </w:rPr>
              <w:br/>
              <w:t>1-3</w:t>
            </w:r>
          </w:p>
        </w:tc>
        <w:tc>
          <w:tcPr>
            <w:tcW w:w="1643" w:type="dxa"/>
          </w:tcPr>
          <w:p w:rsidR="004B42BF" w:rsidRPr="004B42BF" w:rsidRDefault="004B42BF" w:rsidP="004B42BF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5-6 (rev.1)</w:t>
            </w:r>
            <w:r>
              <w:rPr>
                <w:lang w:val="en-US" w:eastAsia="zh-CN"/>
              </w:rPr>
              <w:br/>
              <w:t>3-4</w:t>
            </w:r>
            <w:r>
              <w:rPr>
                <w:i/>
                <w:iCs/>
                <w:lang w:val="en-US" w:eastAsia="zh-CN"/>
              </w:rPr>
              <w:t xml:space="preserve">bis </w:t>
            </w:r>
            <w:r>
              <w:rPr>
                <w:lang w:val="en-US" w:eastAsia="zh-CN"/>
              </w:rPr>
              <w:t>(rev.1)</w:t>
            </w:r>
            <w:r>
              <w:rPr>
                <w:lang w:val="en-US" w:eastAsia="zh-CN"/>
              </w:rPr>
              <w:br/>
              <w:t>1-4 (rev.1)</w:t>
            </w:r>
            <w:r>
              <w:rPr>
                <w:lang w:val="en-US" w:eastAsia="zh-CN"/>
              </w:rPr>
              <w:br/>
              <w:t>9-10 (rev.1)</w:t>
            </w:r>
            <w:r>
              <w:rPr>
                <w:lang w:val="en-US" w:eastAsia="zh-CN"/>
              </w:rPr>
              <w:br/>
              <w:t>13-16</w:t>
            </w:r>
            <w:r>
              <w:rPr>
                <w:lang w:val="en-US" w:eastAsia="zh-CN"/>
              </w:rPr>
              <w:br/>
              <w:t>1-3 (rev.1)</w:t>
            </w:r>
          </w:p>
        </w:tc>
      </w:tr>
      <w:tr w:rsidR="004B42BF" w:rsidTr="004B42BF">
        <w:tc>
          <w:tcPr>
            <w:tcW w:w="1642" w:type="dxa"/>
          </w:tcPr>
          <w:p w:rsidR="004B42BF" w:rsidRDefault="004B42BF" w:rsidP="004B42BF">
            <w:pPr>
              <w:pStyle w:val="Tabletext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lang w:val="en-US" w:eastAsia="zh-CN"/>
              </w:rPr>
              <w:t>2</w:t>
            </w:r>
            <w:r>
              <w:rPr>
                <w:lang w:val="en-US" w:eastAsia="zh-CN"/>
              </w:rPr>
              <w:br/>
              <w:t>See CR/312</w:t>
            </w:r>
          </w:p>
        </w:tc>
        <w:tc>
          <w:tcPr>
            <w:tcW w:w="1642" w:type="dxa"/>
          </w:tcPr>
          <w:p w:rsidR="004B42BF" w:rsidRDefault="004B42BF" w:rsidP="004B42BF">
            <w:pPr>
              <w:pStyle w:val="Tabletext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lang w:val="en-US" w:eastAsia="zh-CN"/>
              </w:rPr>
              <w:br/>
              <w:t>March 2010</w:t>
            </w:r>
          </w:p>
        </w:tc>
        <w:tc>
          <w:tcPr>
            <w:tcW w:w="1642" w:type="dxa"/>
          </w:tcPr>
          <w:p w:rsidR="004B42BF" w:rsidRDefault="004B42BF" w:rsidP="004B42BF">
            <w:pPr>
              <w:pStyle w:val="Tabletext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lang w:val="en-US" w:eastAsia="zh-CN"/>
              </w:rPr>
              <w:br/>
              <w:t>A1</w:t>
            </w:r>
          </w:p>
        </w:tc>
        <w:tc>
          <w:tcPr>
            <w:tcW w:w="1643" w:type="dxa"/>
          </w:tcPr>
          <w:p w:rsidR="004B42BF" w:rsidRDefault="004B42BF" w:rsidP="004B42BF">
            <w:pPr>
              <w:pStyle w:val="Tabletext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lang w:val="en-US" w:eastAsia="zh-CN"/>
              </w:rPr>
              <w:br/>
              <w:t>AR5</w:t>
            </w:r>
          </w:p>
        </w:tc>
        <w:tc>
          <w:tcPr>
            <w:tcW w:w="1643" w:type="dxa"/>
          </w:tcPr>
          <w:p w:rsidR="004B42BF" w:rsidRDefault="004B42BF" w:rsidP="004B42BF">
            <w:pPr>
              <w:pStyle w:val="Tabletext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lang w:val="en-US" w:eastAsia="zh-CN"/>
              </w:rPr>
              <w:br/>
              <w:t>19-20</w:t>
            </w:r>
          </w:p>
        </w:tc>
        <w:tc>
          <w:tcPr>
            <w:tcW w:w="1643" w:type="dxa"/>
          </w:tcPr>
          <w:p w:rsidR="004B42BF" w:rsidRPr="004B42BF" w:rsidRDefault="004B42BF" w:rsidP="004B42BF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br/>
              <w:t>19-20 (rev.1)</w:t>
            </w:r>
          </w:p>
        </w:tc>
      </w:tr>
      <w:tr w:rsidR="004B42BF" w:rsidTr="004B42BF">
        <w:tc>
          <w:tcPr>
            <w:tcW w:w="1642" w:type="dxa"/>
            <w:tcBorders>
              <w:bottom w:val="single" w:sz="4" w:space="0" w:color="auto"/>
            </w:tcBorders>
          </w:tcPr>
          <w:p w:rsidR="004B42BF" w:rsidRPr="004B42BF" w:rsidRDefault="004B42BF" w:rsidP="004B42BF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3</w:t>
            </w:r>
            <w:r>
              <w:rPr>
                <w:lang w:val="en-US" w:eastAsia="zh-CN"/>
              </w:rPr>
              <w:br/>
              <w:t>See CR/326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4B42BF" w:rsidRPr="004B42BF" w:rsidRDefault="004B42BF" w:rsidP="004B42BF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br/>
              <w:t>June 2011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4B42BF" w:rsidRDefault="004B42BF" w:rsidP="004B42BF">
            <w:pPr>
              <w:pStyle w:val="Tabletext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lang w:val="en-US" w:eastAsia="zh-CN"/>
              </w:rPr>
              <w:br/>
              <w:t>A1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4B42BF" w:rsidRPr="004B42BF" w:rsidRDefault="004B42BF" w:rsidP="004B42BF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Notifying</w:t>
            </w:r>
            <w:r>
              <w:rPr>
                <w:lang w:val="en-US" w:eastAsia="zh-CN"/>
              </w:rPr>
              <w:br/>
              <w:t>Administration</w:t>
            </w:r>
            <w:r>
              <w:rPr>
                <w:lang w:val="en-US" w:eastAsia="zh-CN"/>
              </w:rPr>
              <w:br/>
              <w:t>ADD new</w:t>
            </w:r>
            <w:r>
              <w:rPr>
                <w:lang w:val="en-US" w:eastAsia="zh-CN"/>
              </w:rPr>
              <w:br/>
              <w:t>section after</w:t>
            </w:r>
            <w:r>
              <w:rPr>
                <w:lang w:val="en-US" w:eastAsia="zh-CN"/>
              </w:rPr>
              <w:br/>
              <w:t>Receivability</w:t>
            </w:r>
            <w:r>
              <w:rPr>
                <w:lang w:val="en-US" w:eastAsia="zh-CN"/>
              </w:rPr>
              <w:br/>
              <w:t>(p.5)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4B42BF" w:rsidRDefault="004B42BF" w:rsidP="004B42BF">
            <w:pPr>
              <w:pStyle w:val="Tabletext"/>
              <w:jc w:val="center"/>
              <w:rPr>
                <w:sz w:val="26"/>
                <w:szCs w:val="26"/>
                <w:lang w:val="en-US" w:eastAsia="zh-CN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4B42BF" w:rsidRPr="004B42BF" w:rsidRDefault="004B42BF" w:rsidP="004B42BF">
            <w:pPr>
              <w:pStyle w:val="Tabletext"/>
              <w:jc w:val="center"/>
              <w:rPr>
                <w:szCs w:val="22"/>
                <w:lang w:val="en-US" w:eastAsia="zh-CN"/>
              </w:rPr>
            </w:pPr>
            <w:r w:rsidRPr="004B42BF">
              <w:rPr>
                <w:szCs w:val="22"/>
                <w:lang w:val="en-US" w:eastAsia="zh-CN"/>
              </w:rPr>
              <w:t>1</w:t>
            </w:r>
          </w:p>
        </w:tc>
      </w:tr>
      <w:tr w:rsidR="004B42BF" w:rsidTr="004B42BF">
        <w:tc>
          <w:tcPr>
            <w:tcW w:w="9855" w:type="dxa"/>
            <w:gridSpan w:val="6"/>
            <w:tcBorders>
              <w:left w:val="nil"/>
              <w:bottom w:val="nil"/>
              <w:right w:val="nil"/>
            </w:tcBorders>
          </w:tcPr>
          <w:p w:rsidR="004B42BF" w:rsidRPr="004B42BF" w:rsidRDefault="004B42BF" w:rsidP="004B42BF">
            <w:pPr>
              <w:pStyle w:val="Tablelegend"/>
              <w:ind w:left="284" w:hanging="284"/>
              <w:rPr>
                <w:lang w:val="en-US" w:eastAsia="zh-CN"/>
              </w:rPr>
            </w:pPr>
            <w:r w:rsidRPr="004B42BF">
              <w:rPr>
                <w:vertAlign w:val="superscript"/>
              </w:rPr>
              <w:t>(1)</w:t>
            </w:r>
            <w:r>
              <w:tab/>
            </w:r>
            <w:r w:rsidRPr="004B42BF">
              <w:t>Refer to the relevant Circular Letter noted in column 1 regarding dates of application of new or modified</w:t>
            </w:r>
            <w:r>
              <w:t>.</w:t>
            </w:r>
            <w:r w:rsidRPr="004B42BF">
              <w:t xml:space="preserve"> Rules of Procedure included in these update pages.</w:t>
            </w:r>
          </w:p>
        </w:tc>
      </w:tr>
    </w:tbl>
    <w:p w:rsidR="004B42BF" w:rsidRDefault="004B42BF" w:rsidP="004B42B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sz w:val="26"/>
          <w:szCs w:val="26"/>
          <w:lang w:val="en-US" w:eastAsia="zh-CN"/>
        </w:rPr>
      </w:pPr>
    </w:p>
    <w:p w:rsidR="004B42BF" w:rsidRDefault="004B42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6"/>
          <w:szCs w:val="16"/>
          <w:lang w:val="en-US" w:eastAsia="zh-CN"/>
        </w:rPr>
      </w:pPr>
      <w:r>
        <w:rPr>
          <w:sz w:val="16"/>
          <w:szCs w:val="16"/>
          <w:lang w:val="en-US" w:eastAsia="zh-CN"/>
        </w:rPr>
        <w:br w:type="page"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971"/>
        <w:gridCol w:w="2673"/>
        <w:gridCol w:w="1560"/>
        <w:gridCol w:w="2268"/>
      </w:tblGrid>
      <w:tr w:rsidR="004B42BF" w:rsidTr="004B42BF">
        <w:trPr>
          <w:jc w:val="right"/>
        </w:trPr>
        <w:tc>
          <w:tcPr>
            <w:tcW w:w="1971" w:type="dxa"/>
          </w:tcPr>
          <w:p w:rsidR="004B42BF" w:rsidRDefault="004B42BF" w:rsidP="002B01A6">
            <w:pPr>
              <w:spacing w:before="40" w:after="40"/>
              <w:rPr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Part A1</w:t>
            </w:r>
          </w:p>
        </w:tc>
        <w:tc>
          <w:tcPr>
            <w:tcW w:w="2673" w:type="dxa"/>
          </w:tcPr>
          <w:p w:rsidR="004B42BF" w:rsidRDefault="004B42BF" w:rsidP="002B01A6">
            <w:pPr>
              <w:spacing w:before="40" w:after="40"/>
              <w:rPr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Notifying administration</w:t>
            </w:r>
          </w:p>
        </w:tc>
        <w:tc>
          <w:tcPr>
            <w:tcW w:w="1560" w:type="dxa"/>
          </w:tcPr>
          <w:p w:rsidR="004B42BF" w:rsidRDefault="004B42BF" w:rsidP="002B01A6">
            <w:pPr>
              <w:spacing w:before="40" w:after="40"/>
              <w:rPr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page 1</w:t>
            </w:r>
          </w:p>
        </w:tc>
        <w:tc>
          <w:tcPr>
            <w:tcW w:w="2268" w:type="dxa"/>
          </w:tcPr>
          <w:p w:rsidR="004B42BF" w:rsidRDefault="004B42BF" w:rsidP="002B01A6">
            <w:pPr>
              <w:spacing w:before="40" w:after="40"/>
              <w:rPr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rev.-</w:t>
            </w:r>
          </w:p>
        </w:tc>
      </w:tr>
    </w:tbl>
    <w:p w:rsidR="004B42BF" w:rsidRDefault="004B42BF" w:rsidP="004B42BF">
      <w:pPr>
        <w:rPr>
          <w:lang w:val="en-US" w:eastAsia="zh-CN"/>
        </w:rPr>
      </w:pPr>
    </w:p>
    <w:p w:rsidR="004B42BF" w:rsidRDefault="004B42BF" w:rsidP="004B42BF">
      <w:pPr>
        <w:rPr>
          <w:lang w:val="en-US" w:eastAsia="zh-CN"/>
        </w:rPr>
      </w:pPr>
    </w:p>
    <w:p w:rsidR="004B42BF" w:rsidRDefault="004B42BF" w:rsidP="004B42B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 w:val="16"/>
          <w:szCs w:val="16"/>
          <w:lang w:val="en-US" w:eastAsia="zh-CN"/>
        </w:rPr>
      </w:pPr>
      <w:r>
        <w:rPr>
          <w:sz w:val="16"/>
          <w:szCs w:val="16"/>
          <w:lang w:val="en-US" w:eastAsia="zh-CN"/>
        </w:rPr>
        <w:t>(ADD RRB11/57)</w:t>
      </w:r>
    </w:p>
    <w:p w:rsidR="004B42BF" w:rsidRDefault="004B42B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sz w:val="28"/>
          <w:szCs w:val="28"/>
          <w:lang w:val="en-US" w:eastAsia="zh-CN"/>
        </w:rPr>
      </w:pPr>
    </w:p>
    <w:p w:rsidR="004B42BF" w:rsidRDefault="004B42B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sz w:val="28"/>
          <w:szCs w:val="28"/>
          <w:lang w:val="en-US" w:eastAsia="zh-CN"/>
        </w:rPr>
      </w:pPr>
    </w:p>
    <w:p w:rsidR="008D1187" w:rsidRDefault="008D1187" w:rsidP="004B42B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  <w:lang w:val="en-US" w:eastAsia="zh-CN"/>
        </w:rPr>
        <w:t xml:space="preserve">Rules concerning the treatment of change of Notifying </w:t>
      </w:r>
      <w:r w:rsidR="002B01A6">
        <w:rPr>
          <w:b/>
          <w:bCs/>
          <w:sz w:val="28"/>
          <w:szCs w:val="28"/>
          <w:lang w:val="en-US" w:eastAsia="zh-CN"/>
        </w:rPr>
        <w:t>A</w:t>
      </w:r>
      <w:r>
        <w:rPr>
          <w:b/>
          <w:bCs/>
          <w:sz w:val="28"/>
          <w:szCs w:val="28"/>
          <w:lang w:val="en-US" w:eastAsia="zh-CN"/>
        </w:rPr>
        <w:t>dministration</w:t>
      </w:r>
      <w:r w:rsidR="004B42BF">
        <w:rPr>
          <w:b/>
          <w:bCs/>
          <w:sz w:val="28"/>
          <w:szCs w:val="28"/>
          <w:lang w:val="en-US" w:eastAsia="zh-CN"/>
        </w:rPr>
        <w:br/>
        <w:t xml:space="preserve"> </w:t>
      </w:r>
      <w:r>
        <w:rPr>
          <w:b/>
          <w:bCs/>
          <w:sz w:val="28"/>
          <w:szCs w:val="28"/>
          <w:lang w:val="en-US" w:eastAsia="zh-CN"/>
        </w:rPr>
        <w:t>which acts as the notifying administration of a satellite network</w:t>
      </w:r>
      <w:r w:rsidR="004B42BF">
        <w:rPr>
          <w:b/>
          <w:bCs/>
          <w:sz w:val="28"/>
          <w:szCs w:val="28"/>
          <w:lang w:val="en-US" w:eastAsia="zh-CN"/>
        </w:rPr>
        <w:br/>
        <w:t xml:space="preserve"> </w:t>
      </w:r>
      <w:r>
        <w:rPr>
          <w:b/>
          <w:bCs/>
          <w:sz w:val="28"/>
          <w:szCs w:val="28"/>
          <w:lang w:val="en-US" w:eastAsia="zh-CN"/>
        </w:rPr>
        <w:t>on behalf of a group of named administrations</w:t>
      </w:r>
    </w:p>
    <w:p w:rsidR="004B42BF" w:rsidRDefault="004B42BF" w:rsidP="008D118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b/>
          <w:bCs/>
          <w:sz w:val="28"/>
          <w:szCs w:val="28"/>
          <w:lang w:val="en-US" w:eastAsia="zh-CN"/>
        </w:rPr>
      </w:pPr>
    </w:p>
    <w:p w:rsidR="004B42BF" w:rsidRDefault="004B42BF" w:rsidP="008D118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b/>
          <w:bCs/>
          <w:sz w:val="28"/>
          <w:szCs w:val="28"/>
          <w:lang w:val="en-US" w:eastAsia="zh-CN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B42BF" w:rsidTr="004B42BF">
        <w:tc>
          <w:tcPr>
            <w:tcW w:w="9747" w:type="dxa"/>
          </w:tcPr>
          <w:p w:rsidR="004B42BF" w:rsidRPr="004B42BF" w:rsidRDefault="004B42BF" w:rsidP="002B01A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jc w:val="both"/>
              <w:textAlignment w:val="auto"/>
              <w:rPr>
                <w:b/>
                <w:bCs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  <w:lang w:val="en-US" w:eastAsia="zh-CN"/>
              </w:rPr>
              <w:t>9.1, 9.6.1, 11.15.1, AP30 (4.1.25, 4.1.3, 4.2.6, 5.1.1), AP30A (4.2.6, 4.1.25, 4.1.3, 5.1.2), AP30B (2.6, 6.1)</w:t>
            </w:r>
          </w:p>
        </w:tc>
      </w:tr>
    </w:tbl>
    <w:p w:rsidR="004B42BF" w:rsidRDefault="004B42BF" w:rsidP="004B42BF">
      <w:pPr>
        <w:rPr>
          <w:lang w:val="en-US" w:eastAsia="zh-CN"/>
        </w:rPr>
      </w:pPr>
    </w:p>
    <w:p w:rsidR="008D1187" w:rsidRDefault="004B42BF" w:rsidP="004B42BF">
      <w:pPr>
        <w:pStyle w:val="Heading1"/>
        <w:spacing w:after="120"/>
        <w:rPr>
          <w:lang w:val="en-US" w:eastAsia="zh-CN"/>
        </w:rPr>
      </w:pPr>
      <w:r>
        <w:rPr>
          <w:lang w:val="en-US" w:eastAsia="zh-CN"/>
        </w:rPr>
        <w:t>1</w:t>
      </w:r>
      <w:r>
        <w:rPr>
          <w:lang w:val="en-US" w:eastAsia="zh-CN"/>
        </w:rPr>
        <w:tab/>
      </w:r>
      <w:r w:rsidR="008D1187">
        <w:rPr>
          <w:lang w:val="en-US" w:eastAsia="zh-CN"/>
        </w:rPr>
        <w:t>Change of Notifying Administration</w:t>
      </w:r>
    </w:p>
    <w:p w:rsidR="008D1187" w:rsidRDefault="008D1187" w:rsidP="004B42B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after="120"/>
        <w:jc w:val="both"/>
        <w:textAlignment w:val="auto"/>
        <w:rPr>
          <w:szCs w:val="24"/>
          <w:lang w:val="en-US" w:eastAsia="zh-CN"/>
        </w:rPr>
      </w:pPr>
      <w:r>
        <w:rPr>
          <w:szCs w:val="24"/>
          <w:lang w:val="en-US" w:eastAsia="zh-CN"/>
        </w:rPr>
        <w:t xml:space="preserve">Certain provisions of the Radio Regulations (Nos </w:t>
      </w:r>
      <w:r>
        <w:rPr>
          <w:b/>
          <w:bCs/>
          <w:szCs w:val="24"/>
          <w:lang w:val="en-US" w:eastAsia="zh-CN"/>
        </w:rPr>
        <w:t xml:space="preserve">9.1, 9.6.1, 11.15.1, </w:t>
      </w:r>
      <w:r>
        <w:rPr>
          <w:szCs w:val="24"/>
          <w:lang w:val="en-US" w:eastAsia="zh-CN"/>
        </w:rPr>
        <w:t xml:space="preserve">Appendix </w:t>
      </w:r>
      <w:r>
        <w:rPr>
          <w:b/>
          <w:bCs/>
          <w:szCs w:val="24"/>
          <w:lang w:val="en-US" w:eastAsia="zh-CN"/>
        </w:rPr>
        <w:t>30 (</w:t>
      </w:r>
      <w:r>
        <w:rPr>
          <w:szCs w:val="24"/>
          <w:lang w:val="en-US" w:eastAsia="zh-CN"/>
        </w:rPr>
        <w:t xml:space="preserve">§ </w:t>
      </w:r>
      <w:r>
        <w:rPr>
          <w:b/>
          <w:bCs/>
          <w:szCs w:val="24"/>
          <w:lang w:val="en-US" w:eastAsia="zh-CN"/>
        </w:rPr>
        <w:t>4.1.25,</w:t>
      </w:r>
      <w:r w:rsidR="004B42BF">
        <w:rPr>
          <w:b/>
          <w:bCs/>
          <w:szCs w:val="24"/>
          <w:lang w:val="en-US" w:eastAsia="zh-CN"/>
        </w:rPr>
        <w:t xml:space="preserve"> </w:t>
      </w:r>
      <w:r>
        <w:rPr>
          <w:b/>
          <w:bCs/>
          <w:szCs w:val="24"/>
          <w:lang w:val="en-US" w:eastAsia="zh-CN"/>
        </w:rPr>
        <w:t xml:space="preserve">4.1.3, 4.2.6 </w:t>
      </w:r>
      <w:r>
        <w:rPr>
          <w:szCs w:val="24"/>
          <w:lang w:val="en-US" w:eastAsia="zh-CN"/>
        </w:rPr>
        <w:t xml:space="preserve">and </w:t>
      </w:r>
      <w:r>
        <w:rPr>
          <w:b/>
          <w:bCs/>
          <w:szCs w:val="24"/>
          <w:lang w:val="en-US" w:eastAsia="zh-CN"/>
        </w:rPr>
        <w:t xml:space="preserve">5.1.1), </w:t>
      </w:r>
      <w:r>
        <w:rPr>
          <w:szCs w:val="24"/>
          <w:lang w:val="en-US" w:eastAsia="zh-CN"/>
        </w:rPr>
        <w:t xml:space="preserve">Appendix </w:t>
      </w:r>
      <w:r>
        <w:rPr>
          <w:b/>
          <w:bCs/>
          <w:szCs w:val="24"/>
          <w:lang w:val="en-US" w:eastAsia="zh-CN"/>
        </w:rPr>
        <w:t>30A (</w:t>
      </w:r>
      <w:r>
        <w:rPr>
          <w:szCs w:val="24"/>
          <w:lang w:val="en-US" w:eastAsia="zh-CN"/>
        </w:rPr>
        <w:t xml:space="preserve">§ </w:t>
      </w:r>
      <w:r>
        <w:rPr>
          <w:b/>
          <w:bCs/>
          <w:szCs w:val="24"/>
          <w:lang w:val="en-US" w:eastAsia="zh-CN"/>
        </w:rPr>
        <w:t xml:space="preserve">4.2.6, 4.1.25, 4.1.3 </w:t>
      </w:r>
      <w:r>
        <w:rPr>
          <w:szCs w:val="24"/>
          <w:lang w:val="en-US" w:eastAsia="zh-CN"/>
        </w:rPr>
        <w:t xml:space="preserve">and </w:t>
      </w:r>
      <w:r>
        <w:rPr>
          <w:b/>
          <w:bCs/>
          <w:szCs w:val="24"/>
          <w:lang w:val="en-US" w:eastAsia="zh-CN"/>
        </w:rPr>
        <w:t xml:space="preserve">5.1.2), </w:t>
      </w:r>
      <w:r>
        <w:rPr>
          <w:szCs w:val="24"/>
          <w:lang w:val="en-US" w:eastAsia="zh-CN"/>
        </w:rPr>
        <w:t xml:space="preserve">Appendix </w:t>
      </w:r>
      <w:r>
        <w:rPr>
          <w:b/>
          <w:bCs/>
          <w:szCs w:val="24"/>
          <w:lang w:val="en-US" w:eastAsia="zh-CN"/>
        </w:rPr>
        <w:t>30B (</w:t>
      </w:r>
      <w:r>
        <w:rPr>
          <w:szCs w:val="24"/>
          <w:lang w:val="en-US" w:eastAsia="zh-CN"/>
        </w:rPr>
        <w:t xml:space="preserve">§ </w:t>
      </w:r>
      <w:r>
        <w:rPr>
          <w:b/>
          <w:bCs/>
          <w:szCs w:val="24"/>
          <w:lang w:val="en-US" w:eastAsia="zh-CN"/>
        </w:rPr>
        <w:t>2.6</w:t>
      </w:r>
      <w:r w:rsidR="004B42BF">
        <w:rPr>
          <w:b/>
          <w:bCs/>
          <w:szCs w:val="24"/>
          <w:lang w:val="en-US" w:eastAsia="zh-CN"/>
        </w:rPr>
        <w:t xml:space="preserve"> </w:t>
      </w:r>
      <w:r>
        <w:rPr>
          <w:szCs w:val="24"/>
          <w:lang w:val="en-US" w:eastAsia="zh-CN"/>
        </w:rPr>
        <w:t xml:space="preserve">and </w:t>
      </w:r>
      <w:r>
        <w:rPr>
          <w:b/>
          <w:bCs/>
          <w:szCs w:val="24"/>
          <w:lang w:val="en-US" w:eastAsia="zh-CN"/>
        </w:rPr>
        <w:t>6.1)</w:t>
      </w:r>
      <w:r>
        <w:rPr>
          <w:szCs w:val="24"/>
          <w:lang w:val="en-US" w:eastAsia="zh-CN"/>
        </w:rPr>
        <w:t>) allow for an administration to act on behalf of a group of named administrations for</w:t>
      </w:r>
      <w:r w:rsidR="004B42BF">
        <w:rPr>
          <w:szCs w:val="24"/>
          <w:lang w:val="en-US" w:eastAsia="zh-CN"/>
        </w:rPr>
        <w:t xml:space="preserve"> </w:t>
      </w:r>
      <w:r>
        <w:rPr>
          <w:szCs w:val="24"/>
          <w:lang w:val="en-US" w:eastAsia="zh-CN"/>
        </w:rPr>
        <w:t>the purpose of notifying the Radiocommunication Bureau of frequency assignments to</w:t>
      </w:r>
      <w:r w:rsidR="004B42BF">
        <w:rPr>
          <w:szCs w:val="24"/>
          <w:lang w:val="en-US" w:eastAsia="zh-CN"/>
        </w:rPr>
        <w:t xml:space="preserve"> </w:t>
      </w:r>
      <w:r>
        <w:rPr>
          <w:szCs w:val="24"/>
          <w:lang w:val="en-US" w:eastAsia="zh-CN"/>
        </w:rPr>
        <w:t>satellite networks. In such cases, the administration acting on behalf of the group is</w:t>
      </w:r>
      <w:r w:rsidR="004B42BF">
        <w:rPr>
          <w:szCs w:val="24"/>
          <w:lang w:val="en-US" w:eastAsia="zh-CN"/>
        </w:rPr>
        <w:t xml:space="preserve"> </w:t>
      </w:r>
      <w:r>
        <w:rPr>
          <w:szCs w:val="24"/>
          <w:lang w:val="en-US" w:eastAsia="zh-CN"/>
        </w:rPr>
        <w:t xml:space="preserve">designated notifying administration for the group within the meaning of the </w:t>
      </w:r>
      <w:r w:rsidR="004B42BF">
        <w:rPr>
          <w:szCs w:val="24"/>
          <w:lang w:val="en-US" w:eastAsia="zh-CN"/>
        </w:rPr>
        <w:t>Radio Regulations</w:t>
      </w:r>
      <w:r>
        <w:rPr>
          <w:szCs w:val="24"/>
          <w:lang w:val="en-US" w:eastAsia="zh-CN"/>
        </w:rPr>
        <w:t>.</w:t>
      </w:r>
    </w:p>
    <w:p w:rsidR="008D1187" w:rsidRDefault="008D1187" w:rsidP="004B42BF">
      <w:pPr>
        <w:jc w:val="both"/>
        <w:rPr>
          <w:lang w:val="en-US" w:eastAsia="zh-CN"/>
        </w:rPr>
      </w:pPr>
      <w:r>
        <w:rPr>
          <w:lang w:val="en-US" w:eastAsia="zh-CN"/>
        </w:rPr>
        <w:t>In some cases, the above-mentioned provisions are used for the benefit of an</w:t>
      </w:r>
      <w:r w:rsidR="004B42BF">
        <w:rPr>
          <w:lang w:val="en-US" w:eastAsia="zh-CN"/>
        </w:rPr>
        <w:t xml:space="preserve"> </w:t>
      </w:r>
      <w:r>
        <w:rPr>
          <w:lang w:val="en-US" w:eastAsia="zh-CN"/>
        </w:rPr>
        <w:t>intergovernmental organization (a grouping of States constituted on the basis of an</w:t>
      </w:r>
      <w:r w:rsidR="004B42BF">
        <w:rPr>
          <w:lang w:val="en-US" w:eastAsia="zh-CN"/>
        </w:rPr>
        <w:t xml:space="preserve"> </w:t>
      </w:r>
      <w:r>
        <w:rPr>
          <w:lang w:val="en-US" w:eastAsia="zh-CN"/>
        </w:rPr>
        <w:t>international treaty and having its own common organs).</w:t>
      </w:r>
    </w:p>
    <w:p w:rsidR="008D1187" w:rsidRDefault="008D1187" w:rsidP="004B42BF">
      <w:pPr>
        <w:jc w:val="both"/>
        <w:rPr>
          <w:lang w:val="en-US" w:eastAsia="zh-CN"/>
        </w:rPr>
      </w:pPr>
      <w:r>
        <w:rPr>
          <w:lang w:val="en-US" w:eastAsia="zh-CN"/>
        </w:rPr>
        <w:t>On several occasions, intergovernmental satellite telecommunication organizations have</w:t>
      </w:r>
      <w:r w:rsidR="004B42BF">
        <w:rPr>
          <w:lang w:val="en-US" w:eastAsia="zh-CN"/>
        </w:rPr>
        <w:t xml:space="preserve"> </w:t>
      </w:r>
      <w:r>
        <w:rPr>
          <w:lang w:val="en-US" w:eastAsia="zh-CN"/>
        </w:rPr>
        <w:t>requested the Bureau to make a change in their notifying administration. In order to clarify the</w:t>
      </w:r>
      <w:r w:rsidR="004B42BF">
        <w:rPr>
          <w:lang w:val="en-US" w:eastAsia="zh-CN"/>
        </w:rPr>
        <w:t xml:space="preserve"> </w:t>
      </w:r>
      <w:r>
        <w:rPr>
          <w:lang w:val="en-US" w:eastAsia="zh-CN"/>
        </w:rPr>
        <w:t>conditions under which the Bureau can effect a change in the name of the notifying</w:t>
      </w:r>
      <w:r w:rsidR="004B42BF">
        <w:rPr>
          <w:lang w:val="en-US" w:eastAsia="zh-CN"/>
        </w:rPr>
        <w:t xml:space="preserve"> </w:t>
      </w:r>
      <w:r>
        <w:rPr>
          <w:lang w:val="en-US" w:eastAsia="zh-CN"/>
        </w:rPr>
        <w:t>administration and update its various databases and the Preface to the BR IFIC (Space</w:t>
      </w:r>
      <w:r w:rsidR="004B42BF">
        <w:rPr>
          <w:lang w:val="en-US" w:eastAsia="zh-CN"/>
        </w:rPr>
        <w:t xml:space="preserve"> </w:t>
      </w:r>
      <w:r>
        <w:rPr>
          <w:lang w:val="en-US" w:eastAsia="zh-CN"/>
        </w:rPr>
        <w:t>Services) (Table 2 and 12A/B), the Board has concluded as follows:</w:t>
      </w:r>
    </w:p>
    <w:p w:rsidR="008D1187" w:rsidRDefault="004B42BF" w:rsidP="004B42BF">
      <w:pPr>
        <w:pStyle w:val="enumlev1"/>
        <w:jc w:val="both"/>
        <w:rPr>
          <w:lang w:val="en-US" w:eastAsia="zh-CN"/>
        </w:rPr>
      </w:pPr>
      <w:r>
        <w:rPr>
          <w:lang w:val="en-US" w:eastAsia="zh-CN"/>
        </w:rPr>
        <w:t>–</w:t>
      </w:r>
      <w:r>
        <w:rPr>
          <w:lang w:val="en-US" w:eastAsia="zh-CN"/>
        </w:rPr>
        <w:tab/>
      </w:r>
      <w:r w:rsidR="008D1187">
        <w:rPr>
          <w:lang w:val="en-US" w:eastAsia="zh-CN"/>
        </w:rPr>
        <w:t>When an intergovernmental satellite telecommunication organization wishes to designate</w:t>
      </w:r>
      <w:r>
        <w:rPr>
          <w:lang w:val="en-US" w:eastAsia="zh-CN"/>
        </w:rPr>
        <w:t xml:space="preserve"> </w:t>
      </w:r>
      <w:r w:rsidR="008D1187">
        <w:rPr>
          <w:lang w:val="en-US" w:eastAsia="zh-CN"/>
        </w:rPr>
        <w:t>a new notifying administration vis-à-vis ITU for its satellite networks, the Bureau shall</w:t>
      </w:r>
      <w:r>
        <w:rPr>
          <w:lang w:val="en-US" w:eastAsia="zh-CN"/>
        </w:rPr>
        <w:t xml:space="preserve"> </w:t>
      </w:r>
      <w:r w:rsidR="008D1187">
        <w:rPr>
          <w:lang w:val="en-US" w:eastAsia="zh-CN"/>
        </w:rPr>
        <w:t>effect the corresponding modifications upon receipt of due written notification to that</w:t>
      </w:r>
      <w:r>
        <w:rPr>
          <w:lang w:val="en-US" w:eastAsia="zh-CN"/>
        </w:rPr>
        <w:t xml:space="preserve"> </w:t>
      </w:r>
      <w:r w:rsidR="008D1187">
        <w:rPr>
          <w:lang w:val="en-US" w:eastAsia="zh-CN"/>
        </w:rPr>
        <w:t>effect by the legal representative of the intergovernmental organization in question under</w:t>
      </w:r>
      <w:r>
        <w:rPr>
          <w:lang w:val="en-US" w:eastAsia="zh-CN"/>
        </w:rPr>
        <w:t xml:space="preserve"> </w:t>
      </w:r>
      <w:r w:rsidR="008D1187">
        <w:rPr>
          <w:lang w:val="en-US" w:eastAsia="zh-CN"/>
        </w:rPr>
        <w:t>the terms of its constitutive Act. This notification shall include the evidence of agreement</w:t>
      </w:r>
      <w:r>
        <w:rPr>
          <w:lang w:val="en-US" w:eastAsia="zh-CN"/>
        </w:rPr>
        <w:t xml:space="preserve"> </w:t>
      </w:r>
      <w:r w:rsidR="008D1187">
        <w:rPr>
          <w:lang w:val="en-US" w:eastAsia="zh-CN"/>
        </w:rPr>
        <w:t>from the newly named administration to act as the notifying administration on behalf of</w:t>
      </w:r>
      <w:r>
        <w:rPr>
          <w:lang w:val="en-US" w:eastAsia="zh-CN"/>
        </w:rPr>
        <w:t xml:space="preserve"> </w:t>
      </w:r>
      <w:r w:rsidR="008D1187">
        <w:rPr>
          <w:lang w:val="en-US" w:eastAsia="zh-CN"/>
        </w:rPr>
        <w:t>the intergovernmental organization.</w:t>
      </w:r>
    </w:p>
    <w:p w:rsidR="004B42BF" w:rsidRDefault="004B42BF">
      <w:pPr>
        <w:jc w:val="center"/>
      </w:pPr>
      <w:r>
        <w:t>______________</w:t>
      </w:r>
    </w:p>
    <w:sectPr w:rsidR="004B42BF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5F" w:rsidRDefault="00C3775F">
      <w:r>
        <w:separator/>
      </w:r>
    </w:p>
  </w:endnote>
  <w:endnote w:type="continuationSeparator" w:id="0">
    <w:p w:rsidR="00C3775F" w:rsidRDefault="00C3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CA" w:rsidRDefault="00A23E6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87CE6">
      <w:t>P:\ENG\ITU-R\BR\DIR\CR\300\326V2e.docx</w:t>
    </w:r>
    <w:r>
      <w:fldChar w:fldCharType="end"/>
    </w:r>
    <w:r w:rsidR="00671FCA">
      <w:t xml:space="preserve"> (311998)</w:t>
    </w:r>
    <w:r w:rsidR="00671FCA">
      <w:tab/>
    </w:r>
    <w:r w:rsidR="00671FCA">
      <w:fldChar w:fldCharType="begin"/>
    </w:r>
    <w:r w:rsidR="00671FCA">
      <w:instrText xml:space="preserve"> SAVEDATE \@ DD.MM.YY </w:instrText>
    </w:r>
    <w:r w:rsidR="00671FCA">
      <w:fldChar w:fldCharType="separate"/>
    </w:r>
    <w:r>
      <w:t>23.08.11</w:t>
    </w:r>
    <w:r w:rsidR="00671FCA">
      <w:fldChar w:fldCharType="end"/>
    </w:r>
    <w:r w:rsidR="00671FCA">
      <w:tab/>
    </w:r>
    <w:r w:rsidR="00671FCA">
      <w:fldChar w:fldCharType="begin"/>
    </w:r>
    <w:r w:rsidR="00671FCA">
      <w:instrText xml:space="preserve"> PRINTDATE \@ DD.MM.YY </w:instrText>
    </w:r>
    <w:r w:rsidR="00671FCA">
      <w:fldChar w:fldCharType="separate"/>
    </w:r>
    <w:r w:rsidR="00287CE6">
      <w:t>23.08.11</w:t>
    </w:r>
    <w:r w:rsidR="00671FC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C3775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3775F" w:rsidRDefault="00C3775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3775F" w:rsidRDefault="00C3775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3775F" w:rsidRDefault="00C3775F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3775F" w:rsidRDefault="00C3775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3775F">
      <w:trPr>
        <w:cantSplit/>
      </w:trPr>
      <w:tc>
        <w:tcPr>
          <w:tcW w:w="1062" w:type="pct"/>
        </w:tcPr>
        <w:p w:rsidR="00C3775F" w:rsidRDefault="00C3775F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3775F" w:rsidRDefault="00C3775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3775F" w:rsidRDefault="00C3775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3775F" w:rsidRDefault="00C3775F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3775F">
      <w:trPr>
        <w:cantSplit/>
      </w:trPr>
      <w:tc>
        <w:tcPr>
          <w:tcW w:w="1062" w:type="pct"/>
        </w:tcPr>
        <w:p w:rsidR="00C3775F" w:rsidRDefault="00C3775F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3775F" w:rsidRDefault="00C3775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3775F" w:rsidRDefault="00C3775F">
          <w:pPr>
            <w:pStyle w:val="itu"/>
          </w:pPr>
        </w:p>
      </w:tc>
      <w:tc>
        <w:tcPr>
          <w:tcW w:w="1131" w:type="pct"/>
        </w:tcPr>
        <w:p w:rsidR="00C3775F" w:rsidRDefault="00C3775F">
          <w:pPr>
            <w:pStyle w:val="itu"/>
          </w:pPr>
        </w:p>
      </w:tc>
    </w:tr>
  </w:tbl>
  <w:p w:rsidR="00C3775F" w:rsidRPr="009E1957" w:rsidRDefault="00C3775F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5F" w:rsidRDefault="00C3775F">
      <w:r>
        <w:t>____________________</w:t>
      </w:r>
    </w:p>
  </w:footnote>
  <w:footnote w:type="continuationSeparator" w:id="0">
    <w:p w:rsidR="00C3775F" w:rsidRDefault="00C3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5F" w:rsidRDefault="00C3775F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3E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3775F" w:rsidRPr="001E15AA" w:rsidRDefault="00C3775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08"/>
    <w:rsid w:val="00016557"/>
    <w:rsid w:val="000D1D2A"/>
    <w:rsid w:val="000E15C1"/>
    <w:rsid w:val="000E64DA"/>
    <w:rsid w:val="000F527D"/>
    <w:rsid w:val="001C7F08"/>
    <w:rsid w:val="001E15AA"/>
    <w:rsid w:val="00210B45"/>
    <w:rsid w:val="00227F65"/>
    <w:rsid w:val="00287CE6"/>
    <w:rsid w:val="002B01A6"/>
    <w:rsid w:val="003D3993"/>
    <w:rsid w:val="0044634B"/>
    <w:rsid w:val="0045046F"/>
    <w:rsid w:val="004A5AB1"/>
    <w:rsid w:val="004B42BF"/>
    <w:rsid w:val="004C1881"/>
    <w:rsid w:val="004F26AE"/>
    <w:rsid w:val="0050552C"/>
    <w:rsid w:val="00595800"/>
    <w:rsid w:val="005F130D"/>
    <w:rsid w:val="005F7F4C"/>
    <w:rsid w:val="006136BC"/>
    <w:rsid w:val="00646BEE"/>
    <w:rsid w:val="00671FCA"/>
    <w:rsid w:val="006B3F95"/>
    <w:rsid w:val="0071106C"/>
    <w:rsid w:val="00746900"/>
    <w:rsid w:val="00777BC4"/>
    <w:rsid w:val="007F2D47"/>
    <w:rsid w:val="00811467"/>
    <w:rsid w:val="00881D43"/>
    <w:rsid w:val="008D1187"/>
    <w:rsid w:val="008D4874"/>
    <w:rsid w:val="0093776F"/>
    <w:rsid w:val="009676DC"/>
    <w:rsid w:val="009746CA"/>
    <w:rsid w:val="009846D5"/>
    <w:rsid w:val="009B0A47"/>
    <w:rsid w:val="009E14F3"/>
    <w:rsid w:val="009E1957"/>
    <w:rsid w:val="00A06093"/>
    <w:rsid w:val="00A23E64"/>
    <w:rsid w:val="00AB07C5"/>
    <w:rsid w:val="00AB1815"/>
    <w:rsid w:val="00B57344"/>
    <w:rsid w:val="00B87E04"/>
    <w:rsid w:val="00C3775F"/>
    <w:rsid w:val="00D35752"/>
    <w:rsid w:val="00D463D0"/>
    <w:rsid w:val="00D61395"/>
    <w:rsid w:val="00D744B4"/>
    <w:rsid w:val="00E40B80"/>
    <w:rsid w:val="00EC710F"/>
    <w:rsid w:val="00EF7E37"/>
    <w:rsid w:val="00F40756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777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777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R-REG-ROP-2009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al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E8D00-6F92-489E-B428-6FFDE57B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1</TotalTime>
  <Pages>3</Pages>
  <Words>520</Words>
  <Characters>3334</Characters>
  <Application>Microsoft Office Word</Application>
  <DocSecurity>4</DocSecurity>
  <Lines>133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3776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neal</dc:creator>
  <cp:lastModifiedBy>faure</cp:lastModifiedBy>
  <cp:revision>2</cp:revision>
  <cp:lastPrinted>2011-08-23T09:30:00Z</cp:lastPrinted>
  <dcterms:created xsi:type="dcterms:W3CDTF">2011-08-24T06:43:00Z</dcterms:created>
  <dcterms:modified xsi:type="dcterms:W3CDTF">2011-08-24T06:43:00Z</dcterms:modified>
</cp:coreProperties>
</file>