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4A424A">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EB31DF">
              <w:rPr>
                <w:rFonts w:asciiTheme="minorHAnsi" w:eastAsiaTheme="majorEastAsia" w:hAnsiTheme="minorHAnsi" w:cstheme="minorHAnsi"/>
                <w:b/>
                <w:bCs/>
                <w:color w:val="808080"/>
                <w:sz w:val="28"/>
                <w:lang w:val="en-GB" w:eastAsia="zh-CN"/>
              </w:rPr>
              <w:t>BR</w:t>
            </w:r>
            <w:r w:rsidRPr="009C6A12">
              <w:rPr>
                <w:rFonts w:asciiTheme="majorEastAsia" w:eastAsiaTheme="majorEastAsia" w:hAnsiTheme="majorEastAsia" w:cstheme="minorHAnsi"/>
                <w:b/>
                <w:bCs/>
                <w:color w:val="808080"/>
                <w:sz w:val="28"/>
                <w:lang w:val="en-GB" w:eastAsia="zh-CN"/>
              </w:rPr>
              <w:t>）</w:t>
            </w:r>
          </w:p>
          <w:p w:rsidR="00E53DCE" w:rsidRDefault="00E53DCE" w:rsidP="004A424A">
            <w:pPr>
              <w:spacing w:before="0" w:line="240" w:lineRule="auto"/>
              <w:jc w:val="left"/>
              <w:rPr>
                <w:rFonts w:cstheme="minorHAnsi"/>
                <w:b/>
                <w:bCs/>
                <w:color w:val="808080"/>
                <w:sz w:val="28"/>
                <w:szCs w:val="28"/>
                <w:lang w:val="en-GB"/>
              </w:rPr>
            </w:pPr>
          </w:p>
          <w:p w:rsidR="00E53DCE" w:rsidRPr="00AF70DA" w:rsidRDefault="00E53DCE" w:rsidP="004A424A">
            <w:pPr>
              <w:spacing w:before="0" w:line="240" w:lineRule="auto"/>
              <w:jc w:val="left"/>
              <w:rPr>
                <w:rFonts w:cs="Times New Roman Bold"/>
                <w:b/>
                <w:bCs/>
                <w:color w:val="808080"/>
                <w:sz w:val="28"/>
                <w:szCs w:val="28"/>
                <w:lang w:val="en-GB"/>
              </w:rPr>
            </w:pPr>
          </w:p>
        </w:tc>
      </w:tr>
      <w:tr w:rsidR="00E53DCE" w:rsidRPr="00650543" w:rsidTr="006160CB">
        <w:tc>
          <w:tcPr>
            <w:tcW w:w="7054" w:type="dxa"/>
            <w:gridSpan w:val="2"/>
            <w:shd w:val="clear" w:color="auto" w:fill="auto"/>
          </w:tcPr>
          <w:p w:rsidR="00BA360F" w:rsidRDefault="00BA360F" w:rsidP="004A424A">
            <w:pPr>
              <w:spacing w:before="0" w:line="240" w:lineRule="auto"/>
              <w:jc w:val="left"/>
              <w:rPr>
                <w:b/>
                <w:bCs/>
                <w:sz w:val="24"/>
                <w:szCs w:val="24"/>
                <w:lang w:val="fr-CH"/>
              </w:rPr>
            </w:pPr>
            <w:r w:rsidRPr="008325A9">
              <w:rPr>
                <w:rFonts w:hint="eastAsia"/>
                <w:lang w:eastAsia="zh-CN"/>
              </w:rPr>
              <w:t>通函</w:t>
            </w:r>
          </w:p>
          <w:p w:rsidR="00E53DCE" w:rsidRPr="00E8238E" w:rsidRDefault="00E53DCE" w:rsidP="004A424A">
            <w:pPr>
              <w:spacing w:before="0" w:line="240" w:lineRule="auto"/>
              <w:jc w:val="left"/>
              <w:rPr>
                <w:sz w:val="24"/>
                <w:szCs w:val="24"/>
                <w:lang w:val="fr-CH" w:eastAsia="zh-CN"/>
              </w:rPr>
            </w:pPr>
            <w:r w:rsidRPr="00EB31DF">
              <w:rPr>
                <w:b/>
                <w:bCs/>
                <w:sz w:val="24"/>
                <w:szCs w:val="24"/>
                <w:lang w:val="fr-CH"/>
              </w:rPr>
              <w:t>C</w:t>
            </w:r>
            <w:r w:rsidR="003A5A3B" w:rsidRPr="00EB31DF">
              <w:rPr>
                <w:rFonts w:hint="eastAsia"/>
                <w:b/>
                <w:bCs/>
                <w:sz w:val="24"/>
                <w:szCs w:val="24"/>
                <w:lang w:val="fr-CH" w:eastAsia="zh-CN"/>
              </w:rPr>
              <w:t>CRR</w:t>
            </w:r>
            <w:r w:rsidRPr="00EB31DF">
              <w:rPr>
                <w:b/>
                <w:bCs/>
                <w:sz w:val="24"/>
                <w:szCs w:val="24"/>
                <w:lang w:val="fr-CH"/>
              </w:rPr>
              <w:t>/</w:t>
            </w:r>
            <w:r w:rsidR="001B5247">
              <w:rPr>
                <w:rFonts w:hint="eastAsia"/>
                <w:b/>
                <w:bCs/>
                <w:sz w:val="24"/>
                <w:szCs w:val="24"/>
                <w:lang w:val="fr-CH" w:eastAsia="zh-CN"/>
              </w:rPr>
              <w:t>50</w:t>
            </w:r>
          </w:p>
        </w:tc>
        <w:tc>
          <w:tcPr>
            <w:tcW w:w="2835" w:type="dxa"/>
            <w:shd w:val="clear" w:color="auto" w:fill="auto"/>
          </w:tcPr>
          <w:p w:rsidR="00E53DCE" w:rsidRPr="00EB31DF" w:rsidRDefault="009C6A12" w:rsidP="004A424A">
            <w:pPr>
              <w:spacing w:before="0" w:line="240" w:lineRule="auto"/>
              <w:jc w:val="right"/>
              <w:rPr>
                <w:sz w:val="24"/>
                <w:szCs w:val="24"/>
                <w:lang w:val="en-GB"/>
              </w:rPr>
            </w:pPr>
            <w:r w:rsidRPr="00EB31DF">
              <w:rPr>
                <w:sz w:val="24"/>
                <w:szCs w:val="24"/>
                <w:lang w:eastAsia="zh-CN"/>
              </w:rPr>
              <w:t>20</w:t>
            </w:r>
            <w:r w:rsidRPr="00EB31DF">
              <w:rPr>
                <w:rFonts w:hint="eastAsia"/>
                <w:sz w:val="24"/>
                <w:szCs w:val="24"/>
                <w:lang w:eastAsia="zh-CN"/>
              </w:rPr>
              <w:t>1</w:t>
            </w:r>
            <w:r w:rsidR="001B5247">
              <w:rPr>
                <w:rFonts w:hint="eastAsia"/>
                <w:sz w:val="24"/>
                <w:szCs w:val="24"/>
                <w:lang w:eastAsia="zh-CN"/>
              </w:rPr>
              <w:t>4</w:t>
            </w:r>
            <w:r w:rsidRPr="00EB31DF">
              <w:rPr>
                <w:rFonts w:ascii="SimSun" w:hAnsi="SimSun" w:hint="eastAsia"/>
                <w:sz w:val="24"/>
                <w:szCs w:val="24"/>
                <w:lang w:eastAsia="zh-CN"/>
              </w:rPr>
              <w:t>年</w:t>
            </w:r>
            <w:r w:rsidR="001B5247">
              <w:rPr>
                <w:rFonts w:hint="eastAsia"/>
                <w:sz w:val="24"/>
                <w:szCs w:val="24"/>
                <w:lang w:eastAsia="zh-CN"/>
              </w:rPr>
              <w:t>5</w:t>
            </w:r>
            <w:r w:rsidRPr="00EB31DF">
              <w:rPr>
                <w:rFonts w:ascii="SimSun" w:hAnsi="SimSun" w:hint="eastAsia"/>
                <w:sz w:val="24"/>
                <w:szCs w:val="24"/>
                <w:lang w:eastAsia="zh-CN"/>
              </w:rPr>
              <w:t>月</w:t>
            </w:r>
            <w:r w:rsidR="001B5247">
              <w:rPr>
                <w:rFonts w:hint="eastAsia"/>
                <w:sz w:val="24"/>
                <w:szCs w:val="24"/>
                <w:lang w:eastAsia="zh-CN"/>
              </w:rPr>
              <w:t>2</w:t>
            </w:r>
            <w:r w:rsidRPr="00EB31DF">
              <w:rPr>
                <w:rFonts w:hint="eastAsia"/>
                <w:sz w:val="24"/>
                <w:szCs w:val="24"/>
                <w:lang w:eastAsia="zh-CN"/>
              </w:rPr>
              <w:t>日</w:t>
            </w:r>
          </w:p>
        </w:tc>
      </w:tr>
      <w:tr w:rsidR="00E53DCE" w:rsidRPr="003266ED" w:rsidTr="006160CB">
        <w:tc>
          <w:tcPr>
            <w:tcW w:w="9889" w:type="dxa"/>
            <w:gridSpan w:val="3"/>
            <w:shd w:val="clear" w:color="auto" w:fill="auto"/>
          </w:tcPr>
          <w:p w:rsidR="00E53DCE" w:rsidRPr="00EB31DF" w:rsidRDefault="00E53DCE" w:rsidP="004A424A">
            <w:pPr>
              <w:spacing w:before="0" w:line="240" w:lineRule="auto"/>
              <w:jc w:val="left"/>
              <w:rPr>
                <w:rFonts w:cs="Arial"/>
                <w:sz w:val="24"/>
                <w:szCs w:val="24"/>
                <w:lang w:val="en-GB"/>
              </w:rPr>
            </w:pPr>
          </w:p>
        </w:tc>
      </w:tr>
      <w:tr w:rsidR="00E53DCE" w:rsidRPr="003266ED" w:rsidTr="006160CB">
        <w:tc>
          <w:tcPr>
            <w:tcW w:w="9889" w:type="dxa"/>
            <w:gridSpan w:val="3"/>
            <w:shd w:val="clear" w:color="auto" w:fill="auto"/>
          </w:tcPr>
          <w:p w:rsidR="00E53DCE" w:rsidRPr="00EB31DF" w:rsidRDefault="00E53DCE" w:rsidP="004A424A">
            <w:pPr>
              <w:spacing w:before="0" w:line="240" w:lineRule="auto"/>
              <w:jc w:val="left"/>
              <w:rPr>
                <w:sz w:val="24"/>
                <w:szCs w:val="24"/>
              </w:rPr>
            </w:pPr>
          </w:p>
        </w:tc>
      </w:tr>
      <w:tr w:rsidR="00E53DCE" w:rsidRPr="003266ED" w:rsidTr="006160CB">
        <w:tc>
          <w:tcPr>
            <w:tcW w:w="9889" w:type="dxa"/>
            <w:gridSpan w:val="3"/>
            <w:shd w:val="clear" w:color="auto" w:fill="auto"/>
          </w:tcPr>
          <w:p w:rsidR="00E53DCE" w:rsidRPr="00EB31DF" w:rsidRDefault="003A5A3B" w:rsidP="004A424A">
            <w:pPr>
              <w:spacing w:before="0" w:line="240" w:lineRule="auto"/>
              <w:jc w:val="left"/>
              <w:rPr>
                <w:b/>
                <w:bCs/>
                <w:sz w:val="24"/>
                <w:szCs w:val="24"/>
                <w:lang w:eastAsia="zh-CN"/>
              </w:rPr>
            </w:pPr>
            <w:r w:rsidRPr="00EB31DF">
              <w:rPr>
                <w:rFonts w:hint="eastAsia"/>
                <w:b/>
                <w:bCs/>
                <w:sz w:val="24"/>
                <w:szCs w:val="24"/>
                <w:lang w:eastAsia="zh-CN"/>
              </w:rPr>
              <w:t>致国际电联各成员国主管部门</w:t>
            </w:r>
          </w:p>
          <w:p w:rsidR="00E53DCE" w:rsidRPr="00EB31DF" w:rsidRDefault="00E53DCE" w:rsidP="004A424A">
            <w:pPr>
              <w:spacing w:before="0" w:line="240" w:lineRule="auto"/>
              <w:jc w:val="left"/>
              <w:rPr>
                <w:b/>
                <w:bCs/>
                <w:sz w:val="24"/>
                <w:szCs w:val="24"/>
                <w:lang w:eastAsia="zh-CN"/>
              </w:rPr>
            </w:pPr>
          </w:p>
        </w:tc>
      </w:tr>
      <w:tr w:rsidR="00E53DCE" w:rsidRPr="003266ED" w:rsidTr="006160CB">
        <w:tc>
          <w:tcPr>
            <w:tcW w:w="9889" w:type="dxa"/>
            <w:gridSpan w:val="3"/>
            <w:shd w:val="clear" w:color="auto" w:fill="auto"/>
          </w:tcPr>
          <w:p w:rsidR="00E53DCE" w:rsidRPr="00EB31DF" w:rsidRDefault="00E53DCE" w:rsidP="004A424A">
            <w:pPr>
              <w:spacing w:before="0" w:line="240" w:lineRule="auto"/>
              <w:jc w:val="left"/>
              <w:rPr>
                <w:sz w:val="24"/>
                <w:szCs w:val="24"/>
                <w:lang w:eastAsia="zh-CN"/>
              </w:rPr>
            </w:pPr>
          </w:p>
        </w:tc>
      </w:tr>
      <w:tr w:rsidR="00E53DCE" w:rsidRPr="003266ED" w:rsidTr="006160CB">
        <w:tc>
          <w:tcPr>
            <w:tcW w:w="9889" w:type="dxa"/>
            <w:gridSpan w:val="3"/>
            <w:shd w:val="clear" w:color="auto" w:fill="auto"/>
          </w:tcPr>
          <w:p w:rsidR="00E53DCE" w:rsidRPr="00EB31DF" w:rsidRDefault="00E53DCE" w:rsidP="004A424A">
            <w:pPr>
              <w:spacing w:before="0" w:line="240" w:lineRule="auto"/>
              <w:jc w:val="left"/>
              <w:rPr>
                <w:sz w:val="24"/>
                <w:szCs w:val="24"/>
                <w:lang w:eastAsia="zh-CN"/>
              </w:rPr>
            </w:pPr>
          </w:p>
        </w:tc>
      </w:tr>
      <w:tr w:rsidR="00E53DCE" w:rsidRPr="003266ED" w:rsidTr="006160CB">
        <w:tc>
          <w:tcPr>
            <w:tcW w:w="1526" w:type="dxa"/>
            <w:shd w:val="clear" w:color="auto" w:fill="auto"/>
          </w:tcPr>
          <w:p w:rsidR="00E53DCE" w:rsidRPr="00EB31DF" w:rsidRDefault="009C6A12" w:rsidP="004A424A">
            <w:pPr>
              <w:tabs>
                <w:tab w:val="clear" w:pos="1588"/>
                <w:tab w:val="left" w:pos="1560"/>
              </w:tabs>
              <w:spacing w:before="0" w:line="240" w:lineRule="auto"/>
              <w:jc w:val="left"/>
              <w:rPr>
                <w:rFonts w:asciiTheme="majorEastAsia" w:eastAsiaTheme="majorEastAsia" w:hAnsiTheme="majorEastAsia"/>
                <w:sz w:val="24"/>
                <w:szCs w:val="24"/>
              </w:rPr>
            </w:pPr>
            <w:proofErr w:type="spellStart"/>
            <w:r w:rsidRPr="00EB31DF">
              <w:rPr>
                <w:rFonts w:asciiTheme="majorEastAsia" w:eastAsiaTheme="majorEastAsia" w:hAnsiTheme="majorEastAsia" w:hint="eastAsia"/>
                <w:sz w:val="24"/>
                <w:szCs w:val="24"/>
                <w:lang w:val="en-CA"/>
              </w:rPr>
              <w:t>事由</w:t>
            </w:r>
            <w:proofErr w:type="spellEnd"/>
            <w:r w:rsidRPr="00EB31DF">
              <w:rPr>
                <w:rFonts w:asciiTheme="majorEastAsia" w:eastAsiaTheme="majorEastAsia" w:hAnsiTheme="majorEastAsia" w:hint="eastAsia"/>
                <w:sz w:val="24"/>
                <w:szCs w:val="24"/>
                <w:lang w:val="en-CA"/>
              </w:rPr>
              <w:t>：</w:t>
            </w:r>
          </w:p>
        </w:tc>
        <w:tc>
          <w:tcPr>
            <w:tcW w:w="8363" w:type="dxa"/>
            <w:gridSpan w:val="2"/>
            <w:vMerge w:val="restart"/>
            <w:shd w:val="clear" w:color="auto" w:fill="auto"/>
          </w:tcPr>
          <w:p w:rsidR="00E53DCE" w:rsidRPr="00EB31DF" w:rsidRDefault="004419F6" w:rsidP="004A424A">
            <w:pPr>
              <w:tabs>
                <w:tab w:val="clear" w:pos="1588"/>
                <w:tab w:val="left" w:pos="1560"/>
              </w:tabs>
              <w:spacing w:before="0" w:line="240" w:lineRule="auto"/>
              <w:rPr>
                <w:b/>
                <w:bCs/>
                <w:sz w:val="24"/>
                <w:szCs w:val="24"/>
                <w:lang w:eastAsia="zh-CN"/>
              </w:rPr>
            </w:pPr>
            <w:r w:rsidRPr="004419F6">
              <w:rPr>
                <w:rFonts w:hint="eastAsia"/>
                <w:b/>
                <w:bCs/>
                <w:sz w:val="24"/>
                <w:szCs w:val="24"/>
                <w:lang w:eastAsia="zh-CN"/>
              </w:rPr>
              <w:t>反映</w:t>
            </w:r>
            <w:r w:rsidRPr="004419F6">
              <w:rPr>
                <w:rFonts w:hint="eastAsia"/>
                <w:b/>
                <w:bCs/>
                <w:sz w:val="24"/>
                <w:szCs w:val="24"/>
                <w:lang w:eastAsia="zh-CN"/>
              </w:rPr>
              <w:t>WRC-12</w:t>
            </w:r>
            <w:r w:rsidRPr="004419F6">
              <w:rPr>
                <w:rFonts w:hint="eastAsia"/>
                <w:b/>
                <w:bCs/>
                <w:sz w:val="24"/>
                <w:szCs w:val="24"/>
                <w:lang w:eastAsia="zh-CN"/>
              </w:rPr>
              <w:t>决定的《程序规则》草案及可能需要更新的现行规则</w:t>
            </w:r>
          </w:p>
        </w:tc>
      </w:tr>
      <w:tr w:rsidR="00E53DCE" w:rsidRPr="003266ED" w:rsidTr="006160CB">
        <w:tc>
          <w:tcPr>
            <w:tcW w:w="1526" w:type="dxa"/>
            <w:shd w:val="clear" w:color="auto" w:fill="auto"/>
          </w:tcPr>
          <w:p w:rsidR="00E53DCE" w:rsidRPr="00650543" w:rsidRDefault="00E53DCE" w:rsidP="004A424A">
            <w:pPr>
              <w:tabs>
                <w:tab w:val="clear" w:pos="1588"/>
                <w:tab w:val="left" w:pos="1560"/>
              </w:tabs>
              <w:spacing w:before="0" w:line="240" w:lineRule="auto"/>
              <w:jc w:val="left"/>
              <w:rPr>
                <w:b/>
                <w:bCs/>
                <w:sz w:val="24"/>
                <w:szCs w:val="24"/>
                <w:lang w:val="en-GB" w:eastAsia="zh-CN"/>
              </w:rPr>
            </w:pPr>
          </w:p>
        </w:tc>
        <w:tc>
          <w:tcPr>
            <w:tcW w:w="8363" w:type="dxa"/>
            <w:gridSpan w:val="2"/>
            <w:vMerge/>
            <w:shd w:val="clear" w:color="auto" w:fill="auto"/>
          </w:tcPr>
          <w:p w:rsidR="00E53DCE" w:rsidRPr="00650543" w:rsidRDefault="00E53DCE" w:rsidP="004A424A">
            <w:pPr>
              <w:tabs>
                <w:tab w:val="clear" w:pos="1588"/>
                <w:tab w:val="left" w:pos="1560"/>
              </w:tabs>
              <w:spacing w:before="0" w:line="240" w:lineRule="auto"/>
              <w:rPr>
                <w:b/>
                <w:bCs/>
                <w:sz w:val="24"/>
                <w:szCs w:val="24"/>
                <w:lang w:val="en-GB" w:eastAsia="zh-CN"/>
              </w:rPr>
            </w:pPr>
          </w:p>
        </w:tc>
      </w:tr>
      <w:tr w:rsidR="00E53DCE" w:rsidRPr="003266ED" w:rsidTr="006160CB">
        <w:tc>
          <w:tcPr>
            <w:tcW w:w="1526" w:type="dxa"/>
            <w:shd w:val="clear" w:color="auto" w:fill="auto"/>
          </w:tcPr>
          <w:p w:rsidR="00E53DCE" w:rsidRPr="00650543" w:rsidRDefault="00E53DCE" w:rsidP="004A424A">
            <w:pPr>
              <w:tabs>
                <w:tab w:val="clear" w:pos="1588"/>
                <w:tab w:val="left" w:pos="1560"/>
              </w:tabs>
              <w:spacing w:before="0" w:line="240" w:lineRule="auto"/>
              <w:jc w:val="left"/>
              <w:rPr>
                <w:b/>
                <w:bCs/>
                <w:sz w:val="24"/>
                <w:szCs w:val="24"/>
                <w:lang w:val="en-GB" w:eastAsia="zh-CN"/>
              </w:rPr>
            </w:pPr>
          </w:p>
        </w:tc>
        <w:tc>
          <w:tcPr>
            <w:tcW w:w="8363" w:type="dxa"/>
            <w:gridSpan w:val="2"/>
            <w:vMerge/>
            <w:shd w:val="clear" w:color="auto" w:fill="auto"/>
          </w:tcPr>
          <w:p w:rsidR="00E53DCE" w:rsidRPr="00650543" w:rsidRDefault="00E53DCE" w:rsidP="004A424A">
            <w:pPr>
              <w:tabs>
                <w:tab w:val="clear" w:pos="1588"/>
                <w:tab w:val="left" w:pos="1560"/>
              </w:tabs>
              <w:spacing w:before="0" w:line="240" w:lineRule="auto"/>
              <w:rPr>
                <w:b/>
                <w:bCs/>
                <w:sz w:val="24"/>
                <w:szCs w:val="24"/>
                <w:lang w:val="en-GB" w:eastAsia="zh-CN"/>
              </w:rPr>
            </w:pPr>
          </w:p>
        </w:tc>
      </w:tr>
      <w:tr w:rsidR="00E53DCE" w:rsidRPr="00EE03A0" w:rsidTr="006160CB">
        <w:tc>
          <w:tcPr>
            <w:tcW w:w="9889" w:type="dxa"/>
            <w:gridSpan w:val="3"/>
            <w:shd w:val="clear" w:color="auto" w:fill="auto"/>
          </w:tcPr>
          <w:p w:rsidR="00E53DCE" w:rsidRPr="00650543" w:rsidRDefault="00E53DCE" w:rsidP="004A424A">
            <w:pPr>
              <w:tabs>
                <w:tab w:val="clear" w:pos="1588"/>
                <w:tab w:val="left" w:pos="1560"/>
              </w:tabs>
              <w:spacing w:before="0" w:line="240" w:lineRule="auto"/>
              <w:jc w:val="left"/>
              <w:rPr>
                <w:sz w:val="24"/>
                <w:szCs w:val="24"/>
                <w:lang w:eastAsia="zh-CN"/>
              </w:rPr>
            </w:pPr>
          </w:p>
        </w:tc>
      </w:tr>
      <w:tr w:rsidR="00E53DCE" w:rsidRPr="0001052C" w:rsidTr="006160CB">
        <w:tc>
          <w:tcPr>
            <w:tcW w:w="9889" w:type="dxa"/>
            <w:gridSpan w:val="3"/>
            <w:shd w:val="clear" w:color="auto" w:fill="auto"/>
          </w:tcPr>
          <w:p w:rsidR="00E53DCE" w:rsidRPr="00650543" w:rsidRDefault="00E53DCE" w:rsidP="004A424A">
            <w:pPr>
              <w:spacing w:before="0" w:line="240" w:lineRule="auto"/>
              <w:jc w:val="left"/>
              <w:rPr>
                <w:b/>
                <w:bCs/>
                <w:sz w:val="24"/>
                <w:szCs w:val="24"/>
                <w:lang w:eastAsia="zh-CN"/>
              </w:rPr>
            </w:pPr>
          </w:p>
        </w:tc>
      </w:tr>
    </w:tbl>
    <w:p w:rsidR="006060B5" w:rsidRPr="006060B5" w:rsidRDefault="006060B5" w:rsidP="000F4251">
      <w:pPr>
        <w:spacing w:before="120" w:line="240" w:lineRule="auto"/>
        <w:ind w:firstLineChars="200" w:firstLine="480"/>
        <w:jc w:val="left"/>
        <w:rPr>
          <w:sz w:val="24"/>
          <w:szCs w:val="24"/>
          <w:lang w:eastAsia="zh-CN"/>
        </w:rPr>
      </w:pPr>
      <w:r w:rsidRPr="006060B5">
        <w:rPr>
          <w:rFonts w:hint="eastAsia"/>
          <w:sz w:val="24"/>
          <w:szCs w:val="24"/>
          <w:lang w:eastAsia="zh-CN"/>
        </w:rPr>
        <w:t>无线电规则委员会在其第</w:t>
      </w:r>
      <w:r w:rsidRPr="006060B5">
        <w:rPr>
          <w:rFonts w:hint="eastAsia"/>
          <w:sz w:val="24"/>
          <w:szCs w:val="24"/>
          <w:lang w:eastAsia="zh-CN"/>
        </w:rPr>
        <w:t>59</w:t>
      </w:r>
      <w:r w:rsidRPr="006060B5">
        <w:rPr>
          <w:rFonts w:hint="eastAsia"/>
          <w:sz w:val="24"/>
          <w:szCs w:val="24"/>
          <w:lang w:eastAsia="zh-CN"/>
        </w:rPr>
        <w:t>次会议（</w:t>
      </w:r>
      <w:r w:rsidRPr="006060B5">
        <w:rPr>
          <w:rFonts w:hint="eastAsia"/>
          <w:sz w:val="24"/>
          <w:szCs w:val="24"/>
          <w:lang w:eastAsia="zh-CN"/>
        </w:rPr>
        <w:t>2012</w:t>
      </w:r>
      <w:r w:rsidRPr="006060B5">
        <w:rPr>
          <w:rFonts w:hint="eastAsia"/>
          <w:sz w:val="24"/>
          <w:szCs w:val="24"/>
          <w:lang w:eastAsia="zh-CN"/>
        </w:rPr>
        <w:t>年</w:t>
      </w:r>
      <w:r w:rsidRPr="006060B5">
        <w:rPr>
          <w:rFonts w:hint="eastAsia"/>
          <w:sz w:val="24"/>
          <w:szCs w:val="24"/>
          <w:lang w:eastAsia="zh-CN"/>
        </w:rPr>
        <w:t>5</w:t>
      </w:r>
      <w:r w:rsidRPr="006060B5">
        <w:rPr>
          <w:rFonts w:hint="eastAsia"/>
          <w:sz w:val="24"/>
          <w:szCs w:val="24"/>
          <w:lang w:eastAsia="zh-CN"/>
        </w:rPr>
        <w:t>月</w:t>
      </w:r>
      <w:r w:rsidRPr="006060B5">
        <w:rPr>
          <w:rFonts w:hint="eastAsia"/>
          <w:sz w:val="24"/>
          <w:szCs w:val="24"/>
          <w:lang w:eastAsia="zh-CN"/>
        </w:rPr>
        <w:t>14-18</w:t>
      </w:r>
      <w:r w:rsidRPr="006060B5">
        <w:rPr>
          <w:rFonts w:hint="eastAsia"/>
          <w:sz w:val="24"/>
          <w:szCs w:val="24"/>
          <w:lang w:eastAsia="zh-CN"/>
        </w:rPr>
        <w:t>日）</w:t>
      </w:r>
      <w:r w:rsidR="0078785A" w:rsidRPr="006060B5">
        <w:rPr>
          <w:rFonts w:hint="eastAsia"/>
          <w:sz w:val="24"/>
          <w:szCs w:val="24"/>
          <w:lang w:eastAsia="zh-CN"/>
        </w:rPr>
        <w:t>上</w:t>
      </w:r>
      <w:r w:rsidRPr="006060B5">
        <w:rPr>
          <w:rFonts w:hint="eastAsia"/>
          <w:sz w:val="24"/>
          <w:szCs w:val="24"/>
          <w:lang w:eastAsia="zh-CN"/>
        </w:rPr>
        <w:t>审议了</w:t>
      </w:r>
      <w:r w:rsidRPr="006060B5">
        <w:rPr>
          <w:rFonts w:hint="eastAsia"/>
          <w:sz w:val="24"/>
          <w:szCs w:val="24"/>
          <w:lang w:eastAsia="zh-CN"/>
        </w:rPr>
        <w:t>WRC-12</w:t>
      </w:r>
      <w:r w:rsidR="004A424A">
        <w:rPr>
          <w:rFonts w:hint="eastAsia"/>
          <w:sz w:val="24"/>
          <w:szCs w:val="24"/>
          <w:lang w:eastAsia="zh-CN"/>
        </w:rPr>
        <w:t>决定</w:t>
      </w:r>
      <w:r w:rsidRPr="006060B5">
        <w:rPr>
          <w:rFonts w:hint="eastAsia"/>
          <w:sz w:val="24"/>
          <w:szCs w:val="24"/>
          <w:lang w:eastAsia="zh-CN"/>
        </w:rPr>
        <w:t>对现行《程序规则》的影响</w:t>
      </w:r>
      <w:r w:rsidR="004A424A">
        <w:rPr>
          <w:rFonts w:hint="eastAsia"/>
          <w:sz w:val="24"/>
          <w:szCs w:val="24"/>
          <w:lang w:eastAsia="zh-CN"/>
        </w:rPr>
        <w:t>，</w:t>
      </w:r>
      <w:r w:rsidRPr="006060B5">
        <w:rPr>
          <w:rFonts w:hint="eastAsia"/>
          <w:sz w:val="24"/>
          <w:szCs w:val="24"/>
          <w:lang w:eastAsia="zh-CN"/>
        </w:rPr>
        <w:t>并就在无线电通信局所提交文件（参见</w:t>
      </w:r>
      <w:r w:rsidRPr="006060B5">
        <w:rPr>
          <w:sz w:val="24"/>
          <w:szCs w:val="24"/>
          <w:lang w:eastAsia="zh-CN"/>
        </w:rPr>
        <w:t>RRB12-1/4</w:t>
      </w:r>
      <w:r w:rsidRPr="006060B5">
        <w:rPr>
          <w:rFonts w:hint="eastAsia"/>
          <w:sz w:val="24"/>
          <w:szCs w:val="24"/>
          <w:lang w:eastAsia="zh-CN"/>
        </w:rPr>
        <w:t>号文件）及委员们所提交其他文件基础上</w:t>
      </w:r>
      <w:r w:rsidR="004A424A">
        <w:rPr>
          <w:rFonts w:hint="eastAsia"/>
          <w:sz w:val="24"/>
          <w:szCs w:val="24"/>
          <w:lang w:eastAsia="zh-CN"/>
        </w:rPr>
        <w:t>，</w:t>
      </w:r>
      <w:r w:rsidRPr="006060B5">
        <w:rPr>
          <w:rFonts w:hint="eastAsia"/>
          <w:sz w:val="24"/>
          <w:szCs w:val="24"/>
          <w:lang w:eastAsia="zh-CN"/>
        </w:rPr>
        <w:t>审议新程序规则草案及修订现有程序规则的时间表达成了一致。委员会责成无线电通信局据此开展工作，条件是该时间表可最终根据补充研究进行调整（参见</w:t>
      </w:r>
      <w:r w:rsidR="00E50754">
        <w:rPr>
          <w:sz w:val="24"/>
          <w:szCs w:val="24"/>
          <w:lang w:eastAsia="zh-CN"/>
        </w:rPr>
        <w:br/>
      </w:r>
      <w:r w:rsidRPr="006060B5">
        <w:rPr>
          <w:sz w:val="24"/>
          <w:szCs w:val="24"/>
          <w:lang w:eastAsia="zh-CN"/>
        </w:rPr>
        <w:t>RRB12-1/4</w:t>
      </w:r>
      <w:r w:rsidRPr="006060B5">
        <w:rPr>
          <w:rFonts w:hint="eastAsia"/>
          <w:sz w:val="24"/>
          <w:szCs w:val="24"/>
          <w:lang w:eastAsia="zh-CN"/>
        </w:rPr>
        <w:t>号文件修订</w:t>
      </w:r>
      <w:r w:rsidR="000F4251">
        <w:rPr>
          <w:sz w:val="24"/>
          <w:szCs w:val="24"/>
          <w:lang w:eastAsia="zh-CN"/>
        </w:rPr>
        <w:t>10</w:t>
      </w:r>
      <w:bookmarkStart w:id="0" w:name="_GoBack"/>
      <w:bookmarkEnd w:id="0"/>
      <w:r w:rsidRPr="006060B5">
        <w:rPr>
          <w:rFonts w:hint="eastAsia"/>
          <w:sz w:val="24"/>
          <w:szCs w:val="24"/>
          <w:lang w:eastAsia="zh-CN"/>
        </w:rPr>
        <w:t>）。</w:t>
      </w:r>
    </w:p>
    <w:p w:rsidR="006060B5" w:rsidRPr="006060B5" w:rsidRDefault="006060B5" w:rsidP="004A424A">
      <w:pPr>
        <w:spacing w:before="120" w:line="240" w:lineRule="auto"/>
        <w:ind w:firstLineChars="200" w:firstLine="480"/>
        <w:jc w:val="left"/>
        <w:rPr>
          <w:sz w:val="24"/>
          <w:szCs w:val="24"/>
          <w:lang w:eastAsia="zh-CN"/>
        </w:rPr>
      </w:pPr>
      <w:r w:rsidRPr="006060B5">
        <w:rPr>
          <w:rFonts w:hint="eastAsia"/>
          <w:sz w:val="24"/>
          <w:szCs w:val="24"/>
          <w:lang w:eastAsia="zh-CN"/>
        </w:rPr>
        <w:t>因此，无线电通信局起草了四套因</w:t>
      </w:r>
      <w:r w:rsidRPr="006060B5">
        <w:rPr>
          <w:rFonts w:hint="eastAsia"/>
          <w:sz w:val="24"/>
          <w:szCs w:val="24"/>
          <w:lang w:eastAsia="zh-CN"/>
        </w:rPr>
        <w:t>WRC-12</w:t>
      </w:r>
      <w:r w:rsidRPr="006060B5">
        <w:rPr>
          <w:rFonts w:hint="eastAsia"/>
          <w:sz w:val="24"/>
          <w:szCs w:val="24"/>
          <w:lang w:eastAsia="zh-CN"/>
        </w:rPr>
        <w:t>的决定而需制定的新</w:t>
      </w:r>
      <w:r w:rsidR="004A424A">
        <w:rPr>
          <w:rFonts w:hint="eastAsia"/>
          <w:sz w:val="24"/>
          <w:szCs w:val="24"/>
          <w:lang w:eastAsia="zh-CN"/>
        </w:rPr>
        <w:t>《</w:t>
      </w:r>
      <w:r w:rsidRPr="006060B5">
        <w:rPr>
          <w:rFonts w:hint="eastAsia"/>
          <w:sz w:val="24"/>
          <w:szCs w:val="24"/>
          <w:lang w:eastAsia="zh-CN"/>
        </w:rPr>
        <w:t>程序规则</w:t>
      </w:r>
      <w:r w:rsidR="004A424A">
        <w:rPr>
          <w:rFonts w:hint="eastAsia"/>
          <w:sz w:val="24"/>
          <w:szCs w:val="24"/>
          <w:lang w:eastAsia="zh-CN"/>
        </w:rPr>
        <w:t>》</w:t>
      </w:r>
      <w:r w:rsidRPr="006060B5">
        <w:rPr>
          <w:rFonts w:hint="eastAsia"/>
          <w:sz w:val="24"/>
          <w:szCs w:val="24"/>
          <w:lang w:eastAsia="zh-CN"/>
        </w:rPr>
        <w:t>或经修订的</w:t>
      </w:r>
      <w:r w:rsidR="004A424A">
        <w:rPr>
          <w:rFonts w:hint="eastAsia"/>
          <w:sz w:val="24"/>
          <w:szCs w:val="24"/>
          <w:lang w:eastAsia="zh-CN"/>
        </w:rPr>
        <w:t>《</w:t>
      </w:r>
      <w:r w:rsidRPr="006060B5">
        <w:rPr>
          <w:rFonts w:hint="eastAsia"/>
          <w:sz w:val="24"/>
          <w:szCs w:val="24"/>
          <w:lang w:eastAsia="zh-CN"/>
        </w:rPr>
        <w:t>程序规则</w:t>
      </w:r>
      <w:r w:rsidR="004A424A">
        <w:rPr>
          <w:rFonts w:hint="eastAsia"/>
          <w:sz w:val="24"/>
          <w:szCs w:val="24"/>
          <w:lang w:eastAsia="zh-CN"/>
        </w:rPr>
        <w:t>》</w:t>
      </w:r>
      <w:r w:rsidRPr="006060B5">
        <w:rPr>
          <w:rFonts w:hint="eastAsia"/>
          <w:sz w:val="24"/>
          <w:szCs w:val="24"/>
          <w:lang w:eastAsia="zh-CN"/>
        </w:rPr>
        <w:t>草案。</w:t>
      </w:r>
    </w:p>
    <w:p w:rsidR="006060B5" w:rsidRDefault="006060B5" w:rsidP="004A424A">
      <w:pPr>
        <w:spacing w:before="120" w:line="240" w:lineRule="auto"/>
        <w:ind w:firstLineChars="200" w:firstLine="480"/>
        <w:jc w:val="left"/>
        <w:rPr>
          <w:sz w:val="24"/>
          <w:szCs w:val="24"/>
          <w:lang w:eastAsia="zh-CN"/>
        </w:rPr>
      </w:pPr>
      <w:r w:rsidRPr="006060B5">
        <w:rPr>
          <w:rFonts w:hint="eastAsia"/>
          <w:sz w:val="24"/>
          <w:szCs w:val="24"/>
          <w:lang w:eastAsia="zh-CN"/>
        </w:rPr>
        <w:t>根据《无线电规则》第</w:t>
      </w:r>
      <w:r w:rsidRPr="006060B5">
        <w:rPr>
          <w:b/>
          <w:bCs/>
          <w:sz w:val="24"/>
          <w:szCs w:val="24"/>
          <w:lang w:eastAsia="zh-CN"/>
        </w:rPr>
        <w:t>13.17</w:t>
      </w:r>
      <w:r w:rsidRPr="006060B5">
        <w:rPr>
          <w:rFonts w:hint="eastAsia"/>
          <w:sz w:val="24"/>
          <w:szCs w:val="24"/>
          <w:lang w:eastAsia="zh-CN"/>
        </w:rPr>
        <w:t>款，这些《程序规则》草案在根据第</w:t>
      </w:r>
      <w:r w:rsidRPr="006060B5">
        <w:rPr>
          <w:b/>
          <w:bCs/>
          <w:sz w:val="24"/>
          <w:szCs w:val="24"/>
          <w:lang w:eastAsia="zh-CN"/>
        </w:rPr>
        <w:t>13.14</w:t>
      </w:r>
      <w:r w:rsidRPr="006060B5">
        <w:rPr>
          <w:rFonts w:hint="eastAsia"/>
          <w:sz w:val="24"/>
          <w:szCs w:val="24"/>
          <w:lang w:eastAsia="zh-CN"/>
        </w:rPr>
        <w:t>款提交给无线电规则委员会之前提供给各主管部门，征求意见。如</w:t>
      </w:r>
      <w:r w:rsidRPr="006060B5">
        <w:rPr>
          <w:sz w:val="24"/>
          <w:szCs w:val="24"/>
          <w:lang w:eastAsia="zh-CN"/>
        </w:rPr>
        <w:t>《无线电规则》</w:t>
      </w:r>
      <w:r w:rsidRPr="006060B5">
        <w:rPr>
          <w:rFonts w:hint="eastAsia"/>
          <w:sz w:val="24"/>
          <w:szCs w:val="24"/>
          <w:lang w:eastAsia="zh-CN"/>
        </w:rPr>
        <w:t>第</w:t>
      </w:r>
      <w:r w:rsidRPr="006060B5">
        <w:rPr>
          <w:b/>
          <w:bCs/>
          <w:sz w:val="24"/>
          <w:szCs w:val="24"/>
          <w:lang w:eastAsia="zh-CN"/>
        </w:rPr>
        <w:t>13.12A</w:t>
      </w:r>
      <w:r w:rsidRPr="006060B5">
        <w:rPr>
          <w:sz w:val="24"/>
          <w:szCs w:val="24"/>
          <w:lang w:eastAsia="zh-CN"/>
        </w:rPr>
        <w:t xml:space="preserve"> </w:t>
      </w:r>
      <w:r w:rsidRPr="006060B5">
        <w:rPr>
          <w:i/>
          <w:iCs/>
          <w:sz w:val="24"/>
          <w:szCs w:val="24"/>
          <w:lang w:eastAsia="zh-CN"/>
        </w:rPr>
        <w:t>d)</w:t>
      </w:r>
      <w:r w:rsidRPr="006060B5">
        <w:rPr>
          <w:rFonts w:hint="eastAsia"/>
          <w:sz w:val="24"/>
          <w:szCs w:val="24"/>
          <w:lang w:eastAsia="zh-CN"/>
        </w:rPr>
        <w:t>款所述，您</w:t>
      </w:r>
      <w:r w:rsidRPr="00E50754">
        <w:rPr>
          <w:rFonts w:hint="eastAsia"/>
          <w:spacing w:val="-3"/>
          <w:sz w:val="24"/>
          <w:szCs w:val="24"/>
          <w:lang w:eastAsia="zh-CN"/>
        </w:rPr>
        <w:t>希望提交的所有意见应不迟于</w:t>
      </w:r>
      <w:r w:rsidRPr="00E50754">
        <w:rPr>
          <w:rFonts w:hint="eastAsia"/>
          <w:b/>
          <w:spacing w:val="-3"/>
          <w:sz w:val="24"/>
          <w:szCs w:val="24"/>
          <w:lang w:eastAsia="zh-CN"/>
        </w:rPr>
        <w:t>201</w:t>
      </w:r>
      <w:r w:rsidR="004A424A">
        <w:rPr>
          <w:rFonts w:hint="eastAsia"/>
          <w:b/>
          <w:spacing w:val="-3"/>
          <w:sz w:val="24"/>
          <w:szCs w:val="24"/>
          <w:lang w:eastAsia="zh-CN"/>
        </w:rPr>
        <w:t>4</w:t>
      </w:r>
      <w:r w:rsidRPr="00E50754">
        <w:rPr>
          <w:rFonts w:hint="eastAsia"/>
          <w:b/>
          <w:spacing w:val="-3"/>
          <w:sz w:val="24"/>
          <w:szCs w:val="24"/>
          <w:lang w:eastAsia="zh-CN"/>
        </w:rPr>
        <w:t>年</w:t>
      </w:r>
      <w:r w:rsidR="001B5247">
        <w:rPr>
          <w:rFonts w:hint="eastAsia"/>
          <w:b/>
          <w:spacing w:val="-3"/>
          <w:sz w:val="24"/>
          <w:szCs w:val="24"/>
          <w:lang w:eastAsia="zh-CN"/>
        </w:rPr>
        <w:t>7</w:t>
      </w:r>
      <w:r w:rsidRPr="00E50754">
        <w:rPr>
          <w:rFonts w:hint="eastAsia"/>
          <w:b/>
          <w:spacing w:val="-3"/>
          <w:sz w:val="24"/>
          <w:szCs w:val="24"/>
          <w:lang w:eastAsia="zh-CN"/>
        </w:rPr>
        <w:t>月</w:t>
      </w:r>
      <w:r w:rsidRPr="00E50754">
        <w:rPr>
          <w:rFonts w:hint="eastAsia"/>
          <w:b/>
          <w:spacing w:val="-3"/>
          <w:sz w:val="24"/>
          <w:szCs w:val="24"/>
          <w:lang w:eastAsia="zh-CN"/>
        </w:rPr>
        <w:t>2</w:t>
      </w:r>
      <w:r w:rsidRPr="00E50754">
        <w:rPr>
          <w:rFonts w:hint="eastAsia"/>
          <w:b/>
          <w:spacing w:val="-3"/>
          <w:sz w:val="24"/>
          <w:szCs w:val="24"/>
          <w:lang w:eastAsia="zh-CN"/>
        </w:rPr>
        <w:t>日</w:t>
      </w:r>
      <w:r w:rsidRPr="00E50754">
        <w:rPr>
          <w:rFonts w:hint="eastAsia"/>
          <w:spacing w:val="-3"/>
          <w:sz w:val="24"/>
          <w:szCs w:val="24"/>
          <w:lang w:eastAsia="zh-CN"/>
        </w:rPr>
        <w:t>送达无线电通信局，以便在定于</w:t>
      </w:r>
      <w:r w:rsidRPr="00E50754">
        <w:rPr>
          <w:rFonts w:hint="eastAsia"/>
          <w:spacing w:val="-3"/>
          <w:sz w:val="24"/>
          <w:szCs w:val="24"/>
          <w:lang w:eastAsia="zh-CN"/>
        </w:rPr>
        <w:t>201</w:t>
      </w:r>
      <w:r w:rsidR="001B5247">
        <w:rPr>
          <w:rFonts w:hint="eastAsia"/>
          <w:spacing w:val="-3"/>
          <w:sz w:val="24"/>
          <w:szCs w:val="24"/>
          <w:lang w:eastAsia="zh-CN"/>
        </w:rPr>
        <w:t>4</w:t>
      </w:r>
      <w:r w:rsidRPr="00E50754">
        <w:rPr>
          <w:rFonts w:hint="eastAsia"/>
          <w:spacing w:val="-3"/>
          <w:sz w:val="24"/>
          <w:szCs w:val="24"/>
          <w:lang w:eastAsia="zh-CN"/>
        </w:rPr>
        <w:t>年</w:t>
      </w:r>
      <w:r w:rsidR="001B5247">
        <w:rPr>
          <w:rFonts w:hint="eastAsia"/>
          <w:spacing w:val="-3"/>
          <w:sz w:val="24"/>
          <w:szCs w:val="24"/>
          <w:lang w:eastAsia="zh-CN"/>
        </w:rPr>
        <w:t>7</w:t>
      </w:r>
      <w:r w:rsidRPr="00E50754">
        <w:rPr>
          <w:rFonts w:hint="eastAsia"/>
          <w:spacing w:val="-3"/>
          <w:sz w:val="24"/>
          <w:szCs w:val="24"/>
          <w:lang w:eastAsia="zh-CN"/>
        </w:rPr>
        <w:t>月</w:t>
      </w:r>
      <w:r w:rsidR="001B5247">
        <w:rPr>
          <w:rFonts w:hint="eastAsia"/>
          <w:spacing w:val="-3"/>
          <w:sz w:val="24"/>
          <w:szCs w:val="24"/>
          <w:lang w:eastAsia="zh-CN"/>
        </w:rPr>
        <w:t>30</w:t>
      </w:r>
      <w:r w:rsidRPr="00E50754">
        <w:rPr>
          <w:rFonts w:hint="eastAsia"/>
          <w:spacing w:val="-3"/>
          <w:sz w:val="24"/>
          <w:szCs w:val="24"/>
          <w:lang w:eastAsia="zh-CN"/>
        </w:rPr>
        <w:t>日</w:t>
      </w:r>
      <w:r w:rsidRPr="00E50754">
        <w:rPr>
          <w:rFonts w:hint="eastAsia"/>
          <w:spacing w:val="-3"/>
          <w:sz w:val="24"/>
          <w:szCs w:val="24"/>
          <w:lang w:eastAsia="zh-CN"/>
        </w:rPr>
        <w:t>-</w:t>
      </w:r>
      <w:r w:rsidR="001B5247">
        <w:rPr>
          <w:rFonts w:hint="eastAsia"/>
          <w:sz w:val="24"/>
          <w:szCs w:val="24"/>
          <w:lang w:eastAsia="zh-CN"/>
        </w:rPr>
        <w:t>8</w:t>
      </w:r>
      <w:r w:rsidRPr="006060B5">
        <w:rPr>
          <w:rFonts w:hint="eastAsia"/>
          <w:sz w:val="24"/>
          <w:szCs w:val="24"/>
          <w:lang w:eastAsia="zh-CN"/>
        </w:rPr>
        <w:t>月</w:t>
      </w:r>
      <w:r w:rsidR="001B5247">
        <w:rPr>
          <w:rFonts w:hint="eastAsia"/>
          <w:sz w:val="24"/>
          <w:szCs w:val="24"/>
          <w:lang w:eastAsia="zh-CN"/>
        </w:rPr>
        <w:t>5</w:t>
      </w:r>
      <w:r w:rsidRPr="006060B5">
        <w:rPr>
          <w:rFonts w:hint="eastAsia"/>
          <w:sz w:val="24"/>
          <w:szCs w:val="24"/>
          <w:lang w:eastAsia="zh-CN"/>
        </w:rPr>
        <w:t>日召开的无线电规则委员会第</w:t>
      </w:r>
      <w:r w:rsidRPr="006060B5">
        <w:rPr>
          <w:rFonts w:hint="eastAsia"/>
          <w:sz w:val="24"/>
          <w:szCs w:val="24"/>
          <w:lang w:eastAsia="zh-CN"/>
        </w:rPr>
        <w:t>6</w:t>
      </w:r>
      <w:r w:rsidR="001B5247">
        <w:rPr>
          <w:rFonts w:hint="eastAsia"/>
          <w:sz w:val="24"/>
          <w:szCs w:val="24"/>
          <w:lang w:eastAsia="zh-CN"/>
        </w:rPr>
        <w:t>6</w:t>
      </w:r>
      <w:r w:rsidRPr="006060B5">
        <w:rPr>
          <w:rFonts w:hint="eastAsia"/>
          <w:sz w:val="24"/>
          <w:szCs w:val="24"/>
          <w:lang w:eastAsia="zh-CN"/>
        </w:rPr>
        <w:t>次会议上进行审议。所有意见</w:t>
      </w:r>
      <w:r w:rsidR="004A424A">
        <w:rPr>
          <w:rFonts w:hint="eastAsia"/>
          <w:sz w:val="24"/>
          <w:szCs w:val="24"/>
          <w:lang w:eastAsia="zh-CN"/>
        </w:rPr>
        <w:t>应通过电传发送至</w:t>
      </w:r>
      <w:r w:rsidR="001B5247">
        <w:rPr>
          <w:sz w:val="24"/>
          <w:szCs w:val="24"/>
          <w:lang w:eastAsia="zh-CN"/>
        </w:rPr>
        <w:t>+41 22 730 5785</w:t>
      </w:r>
      <w:r w:rsidR="001B5247">
        <w:rPr>
          <w:rFonts w:hint="eastAsia"/>
          <w:sz w:val="24"/>
          <w:szCs w:val="24"/>
          <w:lang w:eastAsia="zh-CN"/>
        </w:rPr>
        <w:t>或</w:t>
      </w:r>
      <w:r w:rsidR="004A424A">
        <w:rPr>
          <w:rFonts w:hint="eastAsia"/>
          <w:sz w:val="24"/>
          <w:szCs w:val="24"/>
          <w:lang w:eastAsia="zh-CN"/>
        </w:rPr>
        <w:t>通过</w:t>
      </w:r>
      <w:r w:rsidR="004A424A" w:rsidRPr="006060B5">
        <w:rPr>
          <w:rFonts w:hint="eastAsia"/>
          <w:sz w:val="24"/>
          <w:szCs w:val="24"/>
          <w:lang w:eastAsia="zh-CN"/>
        </w:rPr>
        <w:t>电子邮件应发</w:t>
      </w:r>
      <w:r w:rsidR="004A424A">
        <w:rPr>
          <w:rFonts w:hint="eastAsia"/>
          <w:sz w:val="24"/>
          <w:szCs w:val="24"/>
          <w:lang w:eastAsia="zh-CN"/>
        </w:rPr>
        <w:t>送至</w:t>
      </w:r>
      <w:hyperlink r:id="rId9" w:history="1">
        <w:r w:rsidR="001B5247" w:rsidRPr="00D640E9">
          <w:rPr>
            <w:rStyle w:val="Hyperlink"/>
            <w:sz w:val="24"/>
            <w:szCs w:val="24"/>
            <w:lang w:eastAsia="zh-CN"/>
          </w:rPr>
          <w:t>brmail@itu.int</w:t>
        </w:r>
      </w:hyperlink>
      <w:r w:rsidRPr="006060B5">
        <w:rPr>
          <w:rFonts w:hint="eastAsia"/>
          <w:sz w:val="24"/>
          <w:szCs w:val="24"/>
          <w:lang w:eastAsia="zh-CN"/>
        </w:rPr>
        <w:t>。</w:t>
      </w:r>
    </w:p>
    <w:p w:rsidR="006060B5" w:rsidRDefault="006060B5" w:rsidP="004A424A">
      <w:pPr>
        <w:spacing w:line="240" w:lineRule="auto"/>
        <w:ind w:firstLineChars="200" w:firstLine="480"/>
        <w:rPr>
          <w:sz w:val="24"/>
          <w:szCs w:val="24"/>
          <w:lang w:eastAsia="zh-CN"/>
        </w:rPr>
      </w:pPr>
    </w:p>
    <w:p w:rsidR="002A5DD7" w:rsidRPr="00EE03A0" w:rsidRDefault="002A5DD7" w:rsidP="004A424A">
      <w:pPr>
        <w:spacing w:line="240" w:lineRule="auto"/>
        <w:rPr>
          <w:rFonts w:asciiTheme="minorHAnsi" w:hAnsiTheme="minorHAnsi" w:cstheme="minorHAnsi"/>
          <w:lang w:eastAsia="zh-CN"/>
        </w:rPr>
      </w:pPr>
    </w:p>
    <w:p w:rsidR="00980F19" w:rsidRPr="00EE03A0" w:rsidRDefault="00980F19" w:rsidP="004A424A">
      <w:pPr>
        <w:spacing w:line="240" w:lineRule="auto"/>
        <w:rPr>
          <w:rFonts w:asciiTheme="minorHAnsi" w:hAnsiTheme="minorHAnsi" w:cstheme="minorHAnsi"/>
          <w:lang w:eastAsia="zh-CN"/>
        </w:rPr>
      </w:pPr>
    </w:p>
    <w:p w:rsidR="00031E64" w:rsidRPr="00EB31DF" w:rsidRDefault="009C6A12" w:rsidP="004A424A">
      <w:pPr>
        <w:tabs>
          <w:tab w:val="clear" w:pos="794"/>
          <w:tab w:val="left" w:pos="504"/>
        </w:tabs>
        <w:spacing w:before="120" w:line="240" w:lineRule="auto"/>
        <w:jc w:val="left"/>
        <w:rPr>
          <w:sz w:val="24"/>
          <w:szCs w:val="24"/>
          <w:lang w:eastAsia="zh-CN"/>
        </w:rPr>
      </w:pPr>
      <w:r w:rsidRPr="00EB31DF">
        <w:rPr>
          <w:rFonts w:asciiTheme="majorEastAsia" w:eastAsiaTheme="majorEastAsia" w:hAnsiTheme="majorEastAsia" w:hint="eastAsia"/>
          <w:sz w:val="24"/>
          <w:szCs w:val="24"/>
          <w:lang w:eastAsia="zh-CN"/>
        </w:rPr>
        <w:t>主任</w:t>
      </w:r>
      <w:r w:rsidR="00E53DCE" w:rsidRPr="00471BED">
        <w:rPr>
          <w:rFonts w:asciiTheme="majorEastAsia" w:eastAsiaTheme="majorEastAsia" w:hAnsiTheme="majorEastAsia"/>
          <w:sz w:val="24"/>
          <w:szCs w:val="24"/>
          <w:lang w:eastAsia="zh-CN"/>
        </w:rPr>
        <w:br/>
      </w:r>
      <w:r w:rsidRPr="00EB31DF">
        <w:rPr>
          <w:rFonts w:hint="eastAsia"/>
          <w:sz w:val="24"/>
          <w:szCs w:val="24"/>
          <w:lang w:eastAsia="zh-CN"/>
        </w:rPr>
        <w:t>弗朗索瓦</w:t>
      </w:r>
      <w:r w:rsidRPr="00EB31DF">
        <w:rPr>
          <w:sz w:val="20"/>
          <w:szCs w:val="20"/>
          <w:lang w:eastAsia="zh-CN"/>
        </w:rPr>
        <w:t>•</w:t>
      </w:r>
      <w:r w:rsidRPr="00EB31DF">
        <w:rPr>
          <w:rFonts w:hint="eastAsia"/>
          <w:sz w:val="24"/>
          <w:szCs w:val="24"/>
          <w:lang w:eastAsia="zh-CN"/>
        </w:rPr>
        <w:t>朗西</w:t>
      </w:r>
    </w:p>
    <w:p w:rsidR="00196770" w:rsidRPr="00471BED" w:rsidRDefault="00196770" w:rsidP="004A424A">
      <w:pPr>
        <w:spacing w:before="0" w:line="240" w:lineRule="auto"/>
        <w:jc w:val="left"/>
        <w:rPr>
          <w:rFonts w:asciiTheme="minorHAnsi" w:hAnsiTheme="minorHAnsi" w:cstheme="minorHAnsi"/>
          <w:sz w:val="24"/>
          <w:szCs w:val="24"/>
          <w:lang w:eastAsia="zh-CN"/>
        </w:rPr>
      </w:pPr>
    </w:p>
    <w:p w:rsidR="00EB31DF" w:rsidRPr="00471BED" w:rsidRDefault="00EB31DF" w:rsidP="004A424A">
      <w:pPr>
        <w:spacing w:before="0" w:line="240" w:lineRule="auto"/>
        <w:jc w:val="left"/>
        <w:rPr>
          <w:rFonts w:asciiTheme="minorHAnsi" w:hAnsiTheme="minorHAnsi" w:cstheme="minorHAnsi"/>
          <w:sz w:val="24"/>
          <w:szCs w:val="24"/>
          <w:lang w:eastAsia="zh-CN"/>
        </w:rPr>
      </w:pPr>
    </w:p>
    <w:p w:rsidR="00EB31DF" w:rsidRPr="00471BED" w:rsidRDefault="00EB31DF" w:rsidP="004A424A">
      <w:pPr>
        <w:spacing w:before="0" w:line="240" w:lineRule="auto"/>
        <w:jc w:val="left"/>
        <w:rPr>
          <w:rFonts w:asciiTheme="minorHAnsi" w:hAnsiTheme="minorHAnsi" w:cstheme="minorHAnsi"/>
          <w:sz w:val="24"/>
          <w:szCs w:val="24"/>
          <w:lang w:eastAsia="zh-CN"/>
        </w:rPr>
      </w:pPr>
    </w:p>
    <w:p w:rsidR="009076D7" w:rsidRPr="00471BED" w:rsidRDefault="00EB31DF" w:rsidP="004A424A">
      <w:pPr>
        <w:spacing w:before="0" w:line="240" w:lineRule="auto"/>
        <w:jc w:val="left"/>
        <w:rPr>
          <w:rFonts w:asciiTheme="minorHAnsi" w:hAnsiTheme="minorHAnsi" w:cstheme="minorHAnsi"/>
          <w:b/>
          <w:bCs/>
          <w:sz w:val="24"/>
          <w:szCs w:val="24"/>
          <w:lang w:eastAsia="zh-CN"/>
        </w:rPr>
      </w:pPr>
      <w:r w:rsidRPr="00EB31DF">
        <w:rPr>
          <w:rFonts w:asciiTheme="minorHAnsi" w:hAnsiTheme="minorHAnsi" w:cstheme="minorHAnsi" w:hint="eastAsia"/>
          <w:b/>
          <w:bCs/>
          <w:sz w:val="24"/>
          <w:szCs w:val="24"/>
          <w:lang w:val="fr-CH" w:eastAsia="zh-CN"/>
        </w:rPr>
        <w:t>附件</w:t>
      </w:r>
      <w:r w:rsidRPr="00471BED">
        <w:rPr>
          <w:rFonts w:asciiTheme="minorHAnsi" w:hAnsiTheme="minorHAnsi" w:cstheme="minorHAnsi" w:hint="eastAsia"/>
          <w:b/>
          <w:bCs/>
          <w:sz w:val="24"/>
          <w:szCs w:val="24"/>
          <w:lang w:eastAsia="zh-CN"/>
        </w:rPr>
        <w:t>：</w:t>
      </w:r>
      <w:r w:rsidRPr="00471BED">
        <w:rPr>
          <w:rFonts w:asciiTheme="minorHAnsi" w:hAnsiTheme="minorHAnsi" w:cstheme="minorHAnsi" w:hint="eastAsia"/>
          <w:b/>
          <w:bCs/>
          <w:sz w:val="24"/>
          <w:szCs w:val="24"/>
          <w:lang w:eastAsia="zh-CN"/>
        </w:rPr>
        <w:t>1</w:t>
      </w:r>
      <w:r w:rsidRPr="00EB31DF">
        <w:rPr>
          <w:rFonts w:asciiTheme="minorHAnsi" w:hAnsiTheme="minorHAnsi" w:cstheme="minorHAnsi" w:hint="eastAsia"/>
          <w:b/>
          <w:bCs/>
          <w:sz w:val="24"/>
          <w:szCs w:val="24"/>
          <w:lang w:val="fr-CH" w:eastAsia="zh-CN"/>
        </w:rPr>
        <w:t>件</w:t>
      </w:r>
    </w:p>
    <w:p w:rsidR="00EB31DF" w:rsidRDefault="00EB31DF" w:rsidP="004A424A">
      <w:pPr>
        <w:spacing w:line="240" w:lineRule="auto"/>
        <w:rPr>
          <w:rFonts w:asciiTheme="majorEastAsia" w:eastAsiaTheme="majorEastAsia" w:hAnsiTheme="majorEastAsia"/>
          <w:b/>
          <w:bCs/>
          <w:lang w:eastAsia="zh-CN"/>
        </w:rPr>
      </w:pPr>
    </w:p>
    <w:p w:rsidR="009C6A12" w:rsidRPr="00EB31DF" w:rsidRDefault="009C6A12" w:rsidP="004A424A">
      <w:pPr>
        <w:spacing w:line="240" w:lineRule="auto"/>
        <w:rPr>
          <w:rFonts w:asciiTheme="majorEastAsia" w:eastAsiaTheme="majorEastAsia" w:hAnsiTheme="majorEastAsia"/>
          <w:b/>
          <w:sz w:val="16"/>
          <w:szCs w:val="16"/>
          <w:lang w:eastAsia="zh-CN"/>
        </w:rPr>
      </w:pPr>
      <w:r w:rsidRPr="00EB31DF">
        <w:rPr>
          <w:rFonts w:asciiTheme="majorEastAsia" w:eastAsiaTheme="majorEastAsia" w:hAnsiTheme="majorEastAsia" w:hint="eastAsia"/>
          <w:b/>
          <w:bCs/>
          <w:sz w:val="16"/>
          <w:szCs w:val="16"/>
          <w:lang w:eastAsia="zh-CN"/>
        </w:rPr>
        <w:t>抄送</w:t>
      </w:r>
      <w:r w:rsidRPr="00EB31DF">
        <w:rPr>
          <w:rFonts w:asciiTheme="majorEastAsia" w:eastAsiaTheme="majorEastAsia" w:hAnsiTheme="majorEastAsia" w:hint="eastAsia"/>
          <w:b/>
          <w:sz w:val="16"/>
          <w:szCs w:val="16"/>
          <w:lang w:eastAsia="zh-CN"/>
        </w:rPr>
        <w:t>：</w:t>
      </w:r>
    </w:p>
    <w:p w:rsidR="009C6A12" w:rsidRPr="00EB31DF" w:rsidRDefault="009C6A12" w:rsidP="004A424A">
      <w:pPr>
        <w:tabs>
          <w:tab w:val="left" w:pos="284"/>
        </w:tabs>
        <w:spacing w:before="0" w:line="240" w:lineRule="auto"/>
        <w:ind w:left="284" w:hanging="284"/>
        <w:rPr>
          <w:rFonts w:asciiTheme="majorEastAsia" w:eastAsiaTheme="majorEastAsia" w:hAnsiTheme="majorEastAsia"/>
          <w:sz w:val="16"/>
          <w:szCs w:val="16"/>
          <w:lang w:eastAsia="zh-CN"/>
        </w:rPr>
      </w:pPr>
      <w:r w:rsidRPr="00EB31DF">
        <w:rPr>
          <w:rFonts w:asciiTheme="majorEastAsia" w:eastAsiaTheme="majorEastAsia" w:hAnsiTheme="majorEastAsia"/>
          <w:sz w:val="16"/>
          <w:szCs w:val="16"/>
          <w:lang w:eastAsia="zh-CN"/>
        </w:rPr>
        <w:t>–</w:t>
      </w:r>
      <w:r w:rsidRPr="00EB31DF">
        <w:rPr>
          <w:rFonts w:asciiTheme="majorEastAsia" w:eastAsiaTheme="majorEastAsia" w:hAnsiTheme="majorEastAsia"/>
          <w:sz w:val="16"/>
          <w:szCs w:val="16"/>
          <w:lang w:eastAsia="zh-CN"/>
        </w:rPr>
        <w:tab/>
      </w:r>
      <w:r w:rsidR="003A5A3B" w:rsidRPr="00EB31DF">
        <w:rPr>
          <w:rFonts w:hint="eastAsia"/>
          <w:sz w:val="16"/>
          <w:szCs w:val="16"/>
          <w:lang w:eastAsia="zh-CN"/>
        </w:rPr>
        <w:t>国际电联各成员国主管部门</w:t>
      </w:r>
    </w:p>
    <w:p w:rsidR="003A5A3B" w:rsidRDefault="009C6A12" w:rsidP="004A424A">
      <w:pPr>
        <w:tabs>
          <w:tab w:val="left" w:pos="284"/>
        </w:tabs>
        <w:spacing w:before="0" w:line="240" w:lineRule="auto"/>
        <w:ind w:left="284" w:hanging="284"/>
        <w:rPr>
          <w:sz w:val="18"/>
          <w:szCs w:val="18"/>
          <w:lang w:eastAsia="zh-CN"/>
        </w:rPr>
      </w:pPr>
      <w:r w:rsidRPr="00EB31DF">
        <w:rPr>
          <w:rFonts w:asciiTheme="majorEastAsia" w:eastAsiaTheme="majorEastAsia" w:hAnsiTheme="majorEastAsia"/>
          <w:sz w:val="16"/>
          <w:szCs w:val="16"/>
          <w:lang w:eastAsia="zh-CN"/>
        </w:rPr>
        <w:t>–</w:t>
      </w:r>
      <w:r w:rsidRPr="00EB31DF">
        <w:rPr>
          <w:rFonts w:asciiTheme="majorEastAsia" w:eastAsiaTheme="majorEastAsia" w:hAnsiTheme="majorEastAsia"/>
          <w:sz w:val="16"/>
          <w:szCs w:val="16"/>
          <w:lang w:eastAsia="zh-CN"/>
        </w:rPr>
        <w:tab/>
      </w:r>
      <w:r w:rsidR="003A5A3B" w:rsidRPr="00EB31DF">
        <w:rPr>
          <w:rFonts w:hint="eastAsia"/>
          <w:sz w:val="16"/>
          <w:szCs w:val="16"/>
          <w:lang w:eastAsia="zh-CN"/>
        </w:rPr>
        <w:t>无线电规则委员会委员</w:t>
      </w:r>
      <w:r w:rsidR="003A5A3B">
        <w:rPr>
          <w:sz w:val="18"/>
          <w:szCs w:val="18"/>
          <w:lang w:eastAsia="zh-CN"/>
        </w:rPr>
        <w:br w:type="page"/>
      </w:r>
    </w:p>
    <w:p w:rsidR="003A5A3B" w:rsidRPr="00015437" w:rsidRDefault="003A5A3B" w:rsidP="004A424A">
      <w:pPr>
        <w:pStyle w:val="AnnexNotitle0"/>
        <w:rPr>
          <w:lang w:eastAsia="zh-CN"/>
        </w:rPr>
      </w:pPr>
      <w:r w:rsidRPr="00015437">
        <w:rPr>
          <w:rFonts w:hint="eastAsia"/>
          <w:lang w:eastAsia="zh-CN"/>
        </w:rPr>
        <w:lastRenderedPageBreak/>
        <w:t>附件</w:t>
      </w:r>
    </w:p>
    <w:p w:rsidR="00D14C9B" w:rsidRPr="001140E5" w:rsidRDefault="00D14C9B" w:rsidP="004A424A">
      <w:pPr>
        <w:pStyle w:val="AnnexTitle0"/>
        <w:rPr>
          <w:rFonts w:asciiTheme="minorHAnsi" w:eastAsiaTheme="minorEastAsia" w:hAnsiTheme="minorHAnsi" w:cstheme="minorHAnsi"/>
          <w:color w:val="000000"/>
          <w:szCs w:val="24"/>
          <w:lang w:eastAsia="zh-CN"/>
        </w:rPr>
      </w:pPr>
      <w:r w:rsidRPr="001140E5">
        <w:rPr>
          <w:rFonts w:asciiTheme="minorHAnsi" w:eastAsiaTheme="minorEastAsia" w:hAnsiTheme="minorHAnsi" w:cstheme="minorHAnsi"/>
          <w:color w:val="000000"/>
          <w:szCs w:val="24"/>
          <w:lang w:eastAsia="zh-CN"/>
        </w:rPr>
        <w:t>有关《无线电规则》第</w:t>
      </w:r>
      <w:r w:rsidR="00561B07">
        <w:rPr>
          <w:rFonts w:asciiTheme="minorHAnsi" w:eastAsiaTheme="minorEastAsia" w:hAnsiTheme="minorHAnsi" w:cstheme="minorHAnsi" w:hint="eastAsia"/>
          <w:color w:val="000000"/>
          <w:szCs w:val="24"/>
          <w:lang w:eastAsia="zh-CN"/>
        </w:rPr>
        <w:t>11</w:t>
      </w:r>
      <w:r w:rsidRPr="001140E5">
        <w:rPr>
          <w:rFonts w:asciiTheme="minorHAnsi" w:eastAsiaTheme="minorEastAsia" w:hAnsiTheme="minorHAnsi" w:cstheme="minorHAnsi"/>
          <w:color w:val="000000"/>
          <w:szCs w:val="24"/>
          <w:lang w:eastAsia="zh-CN"/>
        </w:rPr>
        <w:t>条的规则</w:t>
      </w:r>
    </w:p>
    <w:p w:rsidR="00561B07" w:rsidRPr="00FD493B" w:rsidRDefault="00561B07" w:rsidP="004A424A">
      <w:pPr>
        <w:pStyle w:val="enumlev1"/>
        <w:keepNext/>
        <w:spacing w:before="200" w:after="200" w:line="240" w:lineRule="auto"/>
        <w:ind w:left="0" w:firstLine="0"/>
        <w:rPr>
          <w:rFonts w:eastAsia="SimSun"/>
          <w:b/>
          <w:bCs/>
          <w:lang w:eastAsia="zh-CN"/>
        </w:rPr>
      </w:pPr>
      <w:r w:rsidRPr="00FD493B">
        <w:rPr>
          <w:rFonts w:eastAsia="SimSun"/>
          <w:b/>
          <w:bCs/>
          <w:lang w:eastAsia="zh-CN"/>
        </w:rPr>
        <w:t>ADD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tblGrid>
      <w:tr w:rsidR="00561B07" w:rsidRPr="00FD493B" w:rsidTr="007D7C22">
        <w:tc>
          <w:tcPr>
            <w:tcW w:w="993" w:type="dxa"/>
            <w:shd w:val="clear" w:color="auto" w:fill="auto"/>
          </w:tcPr>
          <w:p w:rsidR="00561B07" w:rsidRPr="00FD493B" w:rsidRDefault="00561B07" w:rsidP="004A424A">
            <w:pPr>
              <w:pStyle w:val="Heading8"/>
              <w:spacing w:line="240" w:lineRule="auto"/>
              <w:ind w:left="0" w:right="-108" w:firstLine="0"/>
              <w:rPr>
                <w:rFonts w:eastAsia="SimSun"/>
                <w:color w:val="000000"/>
                <w:lang w:eastAsia="zh-CN"/>
              </w:rPr>
            </w:pPr>
            <w:r w:rsidRPr="00FD493B">
              <w:rPr>
                <w:rFonts w:eastAsia="SimSun"/>
                <w:color w:val="000000"/>
                <w:lang w:eastAsia="zh-CN"/>
              </w:rPr>
              <w:t>11.50</w:t>
            </w:r>
          </w:p>
        </w:tc>
      </w:tr>
    </w:tbl>
    <w:p w:rsidR="00561B07" w:rsidRPr="00FD493B" w:rsidRDefault="00561B07" w:rsidP="004A424A">
      <w:pPr>
        <w:tabs>
          <w:tab w:val="clear" w:pos="794"/>
          <w:tab w:val="clear" w:pos="1191"/>
          <w:tab w:val="clear" w:pos="1588"/>
          <w:tab w:val="clear" w:pos="1985"/>
        </w:tabs>
        <w:overflowPunct/>
        <w:spacing w:before="0" w:line="240" w:lineRule="auto"/>
        <w:textAlignment w:val="auto"/>
        <w:rPr>
          <w:rFonts w:eastAsia="SimSun"/>
          <w:szCs w:val="24"/>
          <w:lang w:eastAsia="zh-CN"/>
        </w:rPr>
      </w:pPr>
    </w:p>
    <w:p w:rsidR="00561B07" w:rsidRPr="004A424A" w:rsidRDefault="00561B07" w:rsidP="004A424A">
      <w:pPr>
        <w:tabs>
          <w:tab w:val="clear" w:pos="794"/>
          <w:tab w:val="clear" w:pos="1191"/>
          <w:tab w:val="clear" w:pos="1588"/>
          <w:tab w:val="clear" w:pos="1985"/>
        </w:tabs>
        <w:overflowPunct/>
        <w:spacing w:before="0" w:line="240" w:lineRule="auto"/>
        <w:ind w:firstLineChars="200" w:firstLine="480"/>
        <w:textAlignment w:val="auto"/>
        <w:rPr>
          <w:rFonts w:eastAsia="SimSun"/>
          <w:sz w:val="24"/>
          <w:szCs w:val="24"/>
          <w:lang w:eastAsia="zh-CN"/>
        </w:rPr>
      </w:pPr>
      <w:r w:rsidRPr="004A424A">
        <w:rPr>
          <w:rFonts w:eastAsia="SimSun" w:hint="eastAsia"/>
          <w:sz w:val="24"/>
          <w:szCs w:val="24"/>
          <w:lang w:eastAsia="zh-CN"/>
        </w:rPr>
        <w:t>本款责成无线电通信局定期审查频率总表（</w:t>
      </w:r>
      <w:r w:rsidRPr="004A424A">
        <w:rPr>
          <w:rFonts w:eastAsia="SimSun"/>
          <w:sz w:val="24"/>
          <w:szCs w:val="24"/>
          <w:lang w:eastAsia="zh-CN"/>
        </w:rPr>
        <w:t>MIFR</w:t>
      </w:r>
      <w:r w:rsidRPr="004A424A">
        <w:rPr>
          <w:rFonts w:eastAsia="SimSun" w:hint="eastAsia"/>
          <w:sz w:val="24"/>
          <w:szCs w:val="24"/>
          <w:lang w:eastAsia="zh-CN"/>
        </w:rPr>
        <w:t>），以维护或提高其准确性，并特别关注对各项审查结论的复审，以便在每届世界无线电通信大会之后根据变化的划分情况对其进行调整。关于该款的后半部分“</w:t>
      </w:r>
      <w:r w:rsidRPr="004A424A">
        <w:rPr>
          <w:rFonts w:eastAsia="SimSun"/>
          <w:sz w:val="24"/>
          <w:szCs w:val="24"/>
          <w:lang w:eastAsia="zh-CN"/>
        </w:rPr>
        <w:t>……</w:t>
      </w:r>
      <w:r w:rsidRPr="004A424A">
        <w:rPr>
          <w:rFonts w:eastAsia="SimSun" w:hint="eastAsia"/>
          <w:sz w:val="24"/>
          <w:szCs w:val="24"/>
          <w:lang w:eastAsia="zh-CN"/>
        </w:rPr>
        <w:t>重点是</w:t>
      </w:r>
      <w:r w:rsidRPr="004A424A">
        <w:rPr>
          <w:rFonts w:eastAsia="SimSun"/>
          <w:sz w:val="24"/>
          <w:szCs w:val="24"/>
          <w:lang w:eastAsia="zh-CN"/>
        </w:rPr>
        <w:t>……</w:t>
      </w:r>
      <w:r w:rsidRPr="004A424A">
        <w:rPr>
          <w:rFonts w:eastAsia="SimSun" w:hint="eastAsia"/>
          <w:sz w:val="24"/>
          <w:szCs w:val="24"/>
          <w:lang w:eastAsia="zh-CN"/>
        </w:rPr>
        <w:t>”，鉴于划分存在多种变更情况且频率总表中有大量字段用于存储审查结论，委员会做出结论，就复审审查结论问题向无线电通信局</w:t>
      </w:r>
      <w:r w:rsidRPr="004A424A">
        <w:rPr>
          <w:rFonts w:eastAsia="SimSun" w:hint="eastAsia"/>
          <w:spacing w:val="-4"/>
          <w:sz w:val="24"/>
          <w:szCs w:val="24"/>
          <w:lang w:eastAsia="zh-CN"/>
        </w:rPr>
        <w:t>做出指示的最适当方式是，确定此类复审的主要要素。因此，委员会决定，在根据第</w:t>
      </w:r>
      <w:r w:rsidRPr="004A424A">
        <w:rPr>
          <w:rFonts w:eastAsia="SimSun" w:hint="eastAsia"/>
          <w:b/>
          <w:bCs/>
          <w:spacing w:val="-4"/>
          <w:sz w:val="24"/>
          <w:szCs w:val="24"/>
          <w:lang w:eastAsia="zh-CN"/>
        </w:rPr>
        <w:t>11.50</w:t>
      </w:r>
      <w:r w:rsidRPr="004A424A">
        <w:rPr>
          <w:rFonts w:eastAsia="SimSun" w:hint="eastAsia"/>
          <w:sz w:val="24"/>
          <w:szCs w:val="24"/>
          <w:lang w:eastAsia="zh-CN"/>
        </w:rPr>
        <w:t>款复审审查结论时，须适用以下主要原则：</w:t>
      </w:r>
    </w:p>
    <w:p w:rsidR="00561B07" w:rsidRPr="004A424A" w:rsidRDefault="00561B07" w:rsidP="004A424A">
      <w:pPr>
        <w:pStyle w:val="enumlev1"/>
        <w:spacing w:line="240" w:lineRule="auto"/>
        <w:rPr>
          <w:rFonts w:eastAsia="SimSun"/>
          <w:sz w:val="24"/>
          <w:szCs w:val="24"/>
          <w:lang w:eastAsia="zh-CN"/>
        </w:rPr>
      </w:pPr>
      <w:r w:rsidRPr="004A424A">
        <w:rPr>
          <w:rFonts w:eastAsia="SimSun" w:hint="eastAsia"/>
          <w:sz w:val="24"/>
          <w:szCs w:val="24"/>
          <w:lang w:eastAsia="zh-CN"/>
        </w:rPr>
        <w:t>1</w:t>
      </w:r>
      <w:r w:rsidRPr="004A424A">
        <w:rPr>
          <w:rFonts w:eastAsia="SimSun" w:hint="eastAsia"/>
          <w:sz w:val="24"/>
          <w:szCs w:val="24"/>
          <w:lang w:eastAsia="zh-CN"/>
        </w:rPr>
        <w:tab/>
      </w:r>
      <w:r w:rsidRPr="004A424A">
        <w:rPr>
          <w:rFonts w:eastAsia="SimSun" w:hint="eastAsia"/>
          <w:sz w:val="24"/>
          <w:szCs w:val="24"/>
          <w:lang w:eastAsia="zh-CN"/>
        </w:rPr>
        <w:t>当新的或修订后的规则条款生效时，相关登记指配的审查结论须由无线电通信局修订和更新，以反映出这些指配是否符合修订后的规则条款</w:t>
      </w:r>
      <w:r w:rsidRPr="004A424A">
        <w:rPr>
          <w:rFonts w:eastAsia="SimSun" w:hint="eastAsia"/>
          <w:sz w:val="24"/>
          <w:szCs w:val="24"/>
          <w:lang w:eastAsia="zh-CN"/>
        </w:rPr>
        <w:t>/</w:t>
      </w:r>
      <w:r w:rsidRPr="004A424A">
        <w:rPr>
          <w:rFonts w:eastAsia="SimSun" w:hint="eastAsia"/>
          <w:sz w:val="24"/>
          <w:szCs w:val="24"/>
          <w:lang w:eastAsia="zh-CN"/>
        </w:rPr>
        <w:t>划分。</w:t>
      </w:r>
    </w:p>
    <w:p w:rsidR="00561B07" w:rsidRPr="004A424A" w:rsidRDefault="00561B07" w:rsidP="004A424A">
      <w:pPr>
        <w:pStyle w:val="enumlev1"/>
        <w:spacing w:line="240" w:lineRule="auto"/>
        <w:rPr>
          <w:rFonts w:eastAsia="SimSun"/>
          <w:sz w:val="24"/>
          <w:szCs w:val="24"/>
          <w:lang w:eastAsia="zh-CN"/>
        </w:rPr>
      </w:pPr>
      <w:r w:rsidRPr="004A424A">
        <w:rPr>
          <w:rFonts w:eastAsia="SimSun" w:hint="eastAsia"/>
          <w:sz w:val="24"/>
          <w:szCs w:val="24"/>
          <w:lang w:eastAsia="zh-CN"/>
        </w:rPr>
        <w:t>2</w:t>
      </w:r>
      <w:r w:rsidRPr="004A424A">
        <w:rPr>
          <w:rFonts w:eastAsia="SimSun" w:hint="eastAsia"/>
          <w:sz w:val="24"/>
          <w:szCs w:val="24"/>
          <w:lang w:eastAsia="zh-CN"/>
        </w:rPr>
        <w:tab/>
      </w:r>
      <w:r w:rsidRPr="004A424A">
        <w:rPr>
          <w:rFonts w:eastAsia="SimSun" w:hint="eastAsia"/>
          <w:sz w:val="24"/>
          <w:szCs w:val="24"/>
          <w:lang w:eastAsia="zh-CN"/>
        </w:rPr>
        <w:t>在采取任何行动前，无线电通信局均须就复审审查结论一事联系各相关通知主管部门，并提供被复审指配的相关信息，要求这些主管部门确认拟采取的行动。如果在无线电通信局规定的截止期限（通常为无线电通信局信函发出后的</w:t>
      </w:r>
      <w:r w:rsidRPr="004A424A">
        <w:rPr>
          <w:rFonts w:eastAsia="SimSun" w:hint="eastAsia"/>
          <w:sz w:val="24"/>
          <w:szCs w:val="24"/>
          <w:lang w:eastAsia="zh-CN"/>
        </w:rPr>
        <w:t>30</w:t>
      </w:r>
      <w:r w:rsidRPr="004A424A">
        <w:rPr>
          <w:rFonts w:eastAsia="SimSun" w:hint="eastAsia"/>
          <w:sz w:val="24"/>
          <w:szCs w:val="24"/>
          <w:lang w:eastAsia="zh-CN"/>
        </w:rPr>
        <w:t>天内）</w:t>
      </w:r>
      <w:r w:rsidR="004A424A" w:rsidRPr="004A424A">
        <w:rPr>
          <w:rFonts w:eastAsia="SimSun" w:hint="eastAsia"/>
          <w:sz w:val="24"/>
          <w:szCs w:val="24"/>
          <w:lang w:eastAsia="zh-CN"/>
        </w:rPr>
        <w:t>内</w:t>
      </w:r>
      <w:r w:rsidRPr="004A424A">
        <w:rPr>
          <w:rFonts w:eastAsia="SimSun" w:hint="eastAsia"/>
          <w:sz w:val="24"/>
          <w:szCs w:val="24"/>
          <w:lang w:eastAsia="zh-CN"/>
        </w:rPr>
        <w:t>未收到回复，无线电通信局须发送提醒函。如果在提醒函发出</w:t>
      </w:r>
      <w:r w:rsidRPr="004A424A">
        <w:rPr>
          <w:rFonts w:eastAsia="SimSun" w:hint="eastAsia"/>
          <w:sz w:val="24"/>
          <w:szCs w:val="24"/>
          <w:lang w:eastAsia="zh-CN"/>
        </w:rPr>
        <w:t>15</w:t>
      </w:r>
      <w:r w:rsidRPr="004A424A">
        <w:rPr>
          <w:rFonts w:eastAsia="SimSun" w:hint="eastAsia"/>
          <w:sz w:val="24"/>
          <w:szCs w:val="24"/>
          <w:lang w:eastAsia="zh-CN"/>
        </w:rPr>
        <w:t>天后仍未收到回复，则无线电通信局须实施以下第</w:t>
      </w:r>
      <w:r w:rsidRPr="004A424A">
        <w:rPr>
          <w:rFonts w:eastAsia="SimSun" w:hint="eastAsia"/>
          <w:sz w:val="24"/>
          <w:szCs w:val="24"/>
          <w:lang w:eastAsia="zh-CN"/>
        </w:rPr>
        <w:t>3-6</w:t>
      </w:r>
      <w:r w:rsidRPr="004A424A">
        <w:rPr>
          <w:rFonts w:eastAsia="SimSun" w:hint="eastAsia"/>
          <w:sz w:val="24"/>
          <w:szCs w:val="24"/>
          <w:lang w:eastAsia="zh-CN"/>
        </w:rPr>
        <w:t>项所述的拟议行动。</w:t>
      </w:r>
      <w:r w:rsidRPr="004A424A">
        <w:rPr>
          <w:rFonts w:eastAsia="SimSun"/>
          <w:sz w:val="24"/>
          <w:szCs w:val="24"/>
          <w:lang w:eastAsia="zh-CN"/>
        </w:rPr>
        <w:t xml:space="preserve"> </w:t>
      </w:r>
    </w:p>
    <w:p w:rsidR="00561B07" w:rsidRPr="004A424A" w:rsidRDefault="00561B07" w:rsidP="004A424A">
      <w:pPr>
        <w:pStyle w:val="enumlev1"/>
        <w:spacing w:line="240" w:lineRule="auto"/>
        <w:rPr>
          <w:rFonts w:eastAsia="SimSun"/>
          <w:sz w:val="24"/>
          <w:szCs w:val="24"/>
          <w:lang w:eastAsia="zh-CN"/>
        </w:rPr>
      </w:pPr>
      <w:r w:rsidRPr="004A424A">
        <w:rPr>
          <w:rFonts w:eastAsia="SimSun" w:hint="eastAsia"/>
          <w:sz w:val="24"/>
          <w:szCs w:val="24"/>
          <w:lang w:eastAsia="zh-CN"/>
        </w:rPr>
        <w:t>3</w:t>
      </w:r>
      <w:r w:rsidRPr="004A424A">
        <w:rPr>
          <w:rFonts w:eastAsia="SimSun" w:hint="eastAsia"/>
          <w:sz w:val="24"/>
          <w:szCs w:val="24"/>
          <w:lang w:eastAsia="zh-CN"/>
        </w:rPr>
        <w:tab/>
      </w:r>
      <w:r w:rsidRPr="004A424A">
        <w:rPr>
          <w:rFonts w:eastAsia="SimSun" w:hint="eastAsia"/>
          <w:sz w:val="24"/>
          <w:szCs w:val="24"/>
          <w:lang w:eastAsia="zh-CN"/>
        </w:rPr>
        <w:t>当第</w:t>
      </w:r>
      <w:r w:rsidRPr="004A424A">
        <w:rPr>
          <w:rFonts w:eastAsia="SimSun" w:hint="eastAsia"/>
          <w:sz w:val="24"/>
          <w:szCs w:val="24"/>
          <w:lang w:eastAsia="zh-CN"/>
        </w:rPr>
        <w:t>5</w:t>
      </w:r>
      <w:r w:rsidRPr="004A424A">
        <w:rPr>
          <w:rFonts w:eastAsia="SimSun" w:hint="eastAsia"/>
          <w:sz w:val="24"/>
          <w:szCs w:val="24"/>
          <w:lang w:eastAsia="zh-CN"/>
        </w:rPr>
        <w:t>条的变更导致某个无线电通信业务的划分被取消时，相关的登记指配应从频率总表中删除。如果通知主管部门明确要求保留该指配，并表示将根据第</w:t>
      </w:r>
      <w:r w:rsidRPr="004A424A">
        <w:rPr>
          <w:rFonts w:eastAsia="SimSun" w:hint="eastAsia"/>
          <w:b/>
          <w:bCs/>
          <w:sz w:val="24"/>
          <w:szCs w:val="24"/>
          <w:lang w:eastAsia="zh-CN"/>
        </w:rPr>
        <w:t>4.4</w:t>
      </w:r>
      <w:r w:rsidRPr="004A424A">
        <w:rPr>
          <w:rFonts w:eastAsia="SimSun" w:hint="eastAsia"/>
          <w:sz w:val="24"/>
          <w:szCs w:val="24"/>
          <w:lang w:eastAsia="zh-CN"/>
        </w:rPr>
        <w:t>款操作该指配，则该指配须根据第</w:t>
      </w:r>
      <w:r w:rsidRPr="004A424A">
        <w:rPr>
          <w:rFonts w:eastAsia="SimSun" w:hint="eastAsia"/>
          <w:b/>
          <w:bCs/>
          <w:sz w:val="24"/>
          <w:szCs w:val="24"/>
          <w:lang w:eastAsia="zh-CN"/>
        </w:rPr>
        <w:t>8.5</w:t>
      </w:r>
      <w:r w:rsidRPr="004A424A">
        <w:rPr>
          <w:rFonts w:eastAsia="SimSun" w:hint="eastAsia"/>
          <w:sz w:val="24"/>
          <w:szCs w:val="24"/>
          <w:lang w:eastAsia="zh-CN"/>
        </w:rPr>
        <w:t>款所规定的条件，作为情况通报而保留在频率总表中。</w:t>
      </w:r>
    </w:p>
    <w:p w:rsidR="00561B07" w:rsidRPr="004A424A" w:rsidRDefault="00561B07" w:rsidP="004A424A">
      <w:pPr>
        <w:pStyle w:val="enumlev1"/>
        <w:spacing w:line="240" w:lineRule="auto"/>
        <w:rPr>
          <w:rFonts w:eastAsia="SimSun"/>
          <w:sz w:val="24"/>
          <w:szCs w:val="24"/>
          <w:lang w:eastAsia="zh-CN"/>
        </w:rPr>
      </w:pPr>
      <w:r w:rsidRPr="004A424A">
        <w:rPr>
          <w:rFonts w:eastAsia="SimSun" w:hint="eastAsia"/>
          <w:sz w:val="24"/>
          <w:szCs w:val="24"/>
          <w:lang w:eastAsia="zh-CN"/>
        </w:rPr>
        <w:t>4</w:t>
      </w:r>
      <w:r w:rsidRPr="004A424A">
        <w:rPr>
          <w:rFonts w:eastAsia="SimSun" w:hint="eastAsia"/>
          <w:sz w:val="24"/>
          <w:szCs w:val="24"/>
          <w:lang w:eastAsia="zh-CN"/>
        </w:rPr>
        <w:tab/>
      </w:r>
      <w:r w:rsidRPr="004A424A">
        <w:rPr>
          <w:rFonts w:eastAsia="SimSun" w:hint="eastAsia"/>
          <w:sz w:val="24"/>
          <w:szCs w:val="24"/>
          <w:lang w:eastAsia="zh-CN"/>
        </w:rPr>
        <w:t>当第</w:t>
      </w:r>
      <w:r w:rsidRPr="004A424A">
        <w:rPr>
          <w:rFonts w:eastAsia="SimSun" w:hint="eastAsia"/>
          <w:sz w:val="24"/>
          <w:szCs w:val="24"/>
          <w:lang w:eastAsia="zh-CN"/>
        </w:rPr>
        <w:t>5</w:t>
      </w:r>
      <w:r w:rsidRPr="004A424A">
        <w:rPr>
          <w:rFonts w:eastAsia="SimSun" w:hint="eastAsia"/>
          <w:sz w:val="24"/>
          <w:szCs w:val="24"/>
          <w:lang w:eastAsia="zh-CN"/>
        </w:rPr>
        <w:t>条的变更导致划分的类别降级且降级后的划分不适用任何额外条件时，相关登记指配的地位亦须相应降级且该指配须保留在频率总表中，除非通知主管部门要求将其删除。当降级后的划分应适用额外的条件时，仅在《无线电规则》所有相关条款均已得到满足且所有可适用协调程序均已成功完成时，该指配才可根据降级后的地位保留在频率总表中。如果未满足条件，与该指配有关的行动</w:t>
      </w:r>
      <w:r w:rsidR="00BB5AFC" w:rsidRPr="004A424A">
        <w:rPr>
          <w:rFonts w:eastAsia="SimSun" w:hint="eastAsia"/>
          <w:sz w:val="24"/>
          <w:szCs w:val="24"/>
          <w:lang w:eastAsia="zh-CN"/>
        </w:rPr>
        <w:t>须</w:t>
      </w:r>
      <w:r w:rsidRPr="004A424A">
        <w:rPr>
          <w:rFonts w:eastAsia="SimSun" w:hint="eastAsia"/>
          <w:sz w:val="24"/>
          <w:szCs w:val="24"/>
          <w:lang w:eastAsia="zh-CN"/>
        </w:rPr>
        <w:t>取决于无线电通信局所进行的以下审查类型：</w:t>
      </w:r>
    </w:p>
    <w:p w:rsidR="00561B07" w:rsidRPr="004A424A" w:rsidRDefault="00561B07" w:rsidP="004A424A">
      <w:pPr>
        <w:pStyle w:val="enumlev2"/>
        <w:spacing w:line="240" w:lineRule="auto"/>
        <w:rPr>
          <w:rFonts w:eastAsia="SimSun"/>
          <w:sz w:val="24"/>
          <w:szCs w:val="24"/>
          <w:lang w:eastAsia="zh-CN"/>
        </w:rPr>
      </w:pPr>
      <w:r w:rsidRPr="004A424A">
        <w:rPr>
          <w:rFonts w:eastAsia="SimSun"/>
          <w:sz w:val="24"/>
          <w:szCs w:val="24"/>
          <w:lang w:eastAsia="zh-CN"/>
        </w:rPr>
        <w:t>4.1</w:t>
      </w:r>
      <w:r w:rsidRPr="004A424A">
        <w:rPr>
          <w:rFonts w:eastAsia="SimSun"/>
          <w:sz w:val="24"/>
          <w:szCs w:val="24"/>
          <w:lang w:eastAsia="zh-CN"/>
        </w:rPr>
        <w:tab/>
      </w:r>
      <w:r w:rsidRPr="004A424A">
        <w:rPr>
          <w:rFonts w:eastAsia="SimSun" w:hint="eastAsia"/>
          <w:sz w:val="24"/>
          <w:szCs w:val="24"/>
          <w:lang w:eastAsia="zh-CN"/>
        </w:rPr>
        <w:t>当未满足与第</w:t>
      </w:r>
      <w:r w:rsidRPr="004A424A">
        <w:rPr>
          <w:rFonts w:eastAsia="SimSun" w:hint="eastAsia"/>
          <w:b/>
          <w:bCs/>
          <w:sz w:val="24"/>
          <w:szCs w:val="24"/>
          <w:lang w:eastAsia="zh-CN"/>
        </w:rPr>
        <w:t>11.31</w:t>
      </w:r>
      <w:r w:rsidRPr="004A424A">
        <w:rPr>
          <w:rFonts w:eastAsia="SimSun" w:hint="eastAsia"/>
          <w:sz w:val="24"/>
          <w:szCs w:val="24"/>
          <w:lang w:eastAsia="zh-CN"/>
        </w:rPr>
        <w:t>款规则审查有关的《无线电规则》条件（如功率限值、限于国内操作、要求根据第</w:t>
      </w:r>
      <w:r w:rsidRPr="004A424A">
        <w:rPr>
          <w:rFonts w:eastAsia="SimSun" w:hint="eastAsia"/>
          <w:b/>
          <w:bCs/>
          <w:sz w:val="24"/>
          <w:szCs w:val="24"/>
          <w:lang w:eastAsia="zh-CN"/>
        </w:rPr>
        <w:t>9.21</w:t>
      </w:r>
      <w:r w:rsidRPr="004A424A">
        <w:rPr>
          <w:rFonts w:eastAsia="SimSun" w:hint="eastAsia"/>
          <w:sz w:val="24"/>
          <w:szCs w:val="24"/>
          <w:lang w:eastAsia="zh-CN"/>
        </w:rPr>
        <w:t>款达成协议、间隔距离等）时，无线电通信局须建议</w:t>
      </w:r>
      <w:r w:rsidR="00BB5AFC" w:rsidRPr="004A424A">
        <w:rPr>
          <w:rFonts w:eastAsia="SimSun" w:hint="eastAsia"/>
          <w:sz w:val="24"/>
          <w:szCs w:val="24"/>
          <w:lang w:eastAsia="zh-CN"/>
        </w:rPr>
        <w:t>发出通知的主管部门</w:t>
      </w:r>
      <w:r w:rsidRPr="004A424A">
        <w:rPr>
          <w:rFonts w:eastAsia="SimSun" w:hint="eastAsia"/>
          <w:sz w:val="24"/>
          <w:szCs w:val="24"/>
          <w:lang w:eastAsia="zh-CN"/>
        </w:rPr>
        <w:t>删除该指配。如果通知主管部门明确要求保留该指配，并表示将根据第</w:t>
      </w:r>
      <w:r w:rsidRPr="004A424A">
        <w:rPr>
          <w:rFonts w:eastAsia="SimSun" w:hint="eastAsia"/>
          <w:b/>
          <w:bCs/>
          <w:sz w:val="24"/>
          <w:szCs w:val="24"/>
          <w:lang w:eastAsia="zh-CN"/>
        </w:rPr>
        <w:t>4.4</w:t>
      </w:r>
      <w:r w:rsidRPr="004A424A">
        <w:rPr>
          <w:rFonts w:eastAsia="SimSun" w:hint="eastAsia"/>
          <w:sz w:val="24"/>
          <w:szCs w:val="24"/>
          <w:lang w:eastAsia="zh-CN"/>
        </w:rPr>
        <w:t>款操作该指配，则该指配须根据第</w:t>
      </w:r>
      <w:r w:rsidRPr="004A424A">
        <w:rPr>
          <w:rFonts w:eastAsia="SimSun" w:hint="eastAsia"/>
          <w:b/>
          <w:bCs/>
          <w:sz w:val="24"/>
          <w:szCs w:val="24"/>
          <w:lang w:eastAsia="zh-CN"/>
        </w:rPr>
        <w:t>8.5</w:t>
      </w:r>
      <w:r w:rsidRPr="004A424A">
        <w:rPr>
          <w:rFonts w:eastAsia="SimSun" w:hint="eastAsia"/>
          <w:sz w:val="24"/>
          <w:szCs w:val="24"/>
          <w:lang w:eastAsia="zh-CN"/>
        </w:rPr>
        <w:t>款所规定的条件，作为情况通报而保留在频率总表中。</w:t>
      </w:r>
    </w:p>
    <w:p w:rsidR="00561B07" w:rsidRPr="004A424A" w:rsidRDefault="00561B07" w:rsidP="004A424A">
      <w:pPr>
        <w:pStyle w:val="enumlev2"/>
        <w:spacing w:line="240" w:lineRule="auto"/>
        <w:rPr>
          <w:rFonts w:eastAsia="SimSun"/>
          <w:b/>
          <w:bCs/>
          <w:sz w:val="24"/>
          <w:szCs w:val="24"/>
          <w:lang w:eastAsia="zh-CN"/>
        </w:rPr>
      </w:pPr>
      <w:r w:rsidRPr="004A424A">
        <w:rPr>
          <w:rFonts w:eastAsia="SimSun"/>
          <w:sz w:val="24"/>
          <w:szCs w:val="24"/>
          <w:lang w:eastAsia="zh-CN"/>
        </w:rPr>
        <w:t>4.2</w:t>
      </w:r>
      <w:r w:rsidRPr="004A424A">
        <w:rPr>
          <w:rFonts w:eastAsia="SimSun" w:hint="eastAsia"/>
          <w:sz w:val="24"/>
          <w:szCs w:val="24"/>
          <w:lang w:eastAsia="zh-CN"/>
        </w:rPr>
        <w:tab/>
      </w:r>
      <w:r w:rsidRPr="004A424A">
        <w:rPr>
          <w:rFonts w:eastAsia="SimSun" w:hint="eastAsia"/>
          <w:sz w:val="24"/>
          <w:szCs w:val="24"/>
          <w:lang w:eastAsia="zh-CN"/>
        </w:rPr>
        <w:t>当与第</w:t>
      </w:r>
      <w:r w:rsidRPr="004A424A">
        <w:rPr>
          <w:rFonts w:eastAsia="SimSun" w:hint="eastAsia"/>
          <w:b/>
          <w:bCs/>
          <w:sz w:val="24"/>
          <w:szCs w:val="24"/>
          <w:lang w:eastAsia="zh-CN"/>
        </w:rPr>
        <w:t>11.32</w:t>
      </w:r>
      <w:r w:rsidRPr="004A424A">
        <w:rPr>
          <w:rFonts w:eastAsia="SimSun" w:hint="eastAsia"/>
          <w:sz w:val="24"/>
          <w:szCs w:val="24"/>
          <w:lang w:eastAsia="zh-CN"/>
        </w:rPr>
        <w:t>款协调审查有关的其他可适用协调程序没有成功完成时，无线电通信局须删除该指配并建议主管部门重新提交资料，履行协调程序。对于地面业务电台，如果通知主管部门要求根据第</w:t>
      </w:r>
      <w:r w:rsidRPr="004A424A">
        <w:rPr>
          <w:rFonts w:eastAsia="SimSun" w:hint="eastAsia"/>
          <w:b/>
          <w:bCs/>
          <w:sz w:val="24"/>
          <w:szCs w:val="24"/>
          <w:lang w:eastAsia="zh-CN"/>
        </w:rPr>
        <w:t>11.33</w:t>
      </w:r>
      <w:r w:rsidRPr="004A424A">
        <w:rPr>
          <w:rFonts w:eastAsia="SimSun" w:hint="eastAsia"/>
          <w:sz w:val="24"/>
          <w:szCs w:val="24"/>
          <w:lang w:eastAsia="zh-CN"/>
        </w:rPr>
        <w:t>款审查该指配产生有害干扰的可能性，且审查得出了合格结论，则该指配须保留在频率总表中，并注明第</w:t>
      </w:r>
      <w:r w:rsidRPr="004A424A">
        <w:rPr>
          <w:rFonts w:eastAsia="SimSun" w:hint="eastAsia"/>
          <w:b/>
          <w:bCs/>
          <w:sz w:val="24"/>
          <w:szCs w:val="24"/>
          <w:lang w:eastAsia="zh-CN"/>
        </w:rPr>
        <w:t>11.38</w:t>
      </w:r>
      <w:r w:rsidRPr="004A424A">
        <w:rPr>
          <w:rFonts w:eastAsia="SimSun" w:hint="eastAsia"/>
          <w:sz w:val="24"/>
          <w:szCs w:val="24"/>
          <w:lang w:eastAsia="zh-CN"/>
        </w:rPr>
        <w:t>款中规定的信息。</w:t>
      </w:r>
    </w:p>
    <w:p w:rsidR="00561B07" w:rsidRPr="004A424A" w:rsidRDefault="00561B07" w:rsidP="004A424A">
      <w:pPr>
        <w:pStyle w:val="enumlev1"/>
        <w:spacing w:line="240" w:lineRule="auto"/>
        <w:rPr>
          <w:rFonts w:eastAsia="SimSun"/>
          <w:sz w:val="24"/>
          <w:szCs w:val="24"/>
          <w:lang w:eastAsia="zh-CN"/>
        </w:rPr>
      </w:pPr>
      <w:r w:rsidRPr="004A424A">
        <w:rPr>
          <w:rFonts w:eastAsia="SimSun" w:hint="eastAsia"/>
          <w:sz w:val="24"/>
          <w:szCs w:val="24"/>
          <w:lang w:eastAsia="zh-CN"/>
        </w:rPr>
        <w:t>5</w:t>
      </w:r>
      <w:r w:rsidRPr="004A424A">
        <w:rPr>
          <w:rFonts w:eastAsia="SimSun" w:hint="eastAsia"/>
          <w:sz w:val="24"/>
          <w:szCs w:val="24"/>
          <w:lang w:eastAsia="zh-CN"/>
        </w:rPr>
        <w:tab/>
      </w:r>
      <w:r w:rsidRPr="004A424A">
        <w:rPr>
          <w:rFonts w:eastAsia="SimSun" w:hint="eastAsia"/>
          <w:sz w:val="24"/>
          <w:szCs w:val="24"/>
          <w:lang w:eastAsia="zh-CN"/>
        </w:rPr>
        <w:t>当第</w:t>
      </w:r>
      <w:r w:rsidRPr="004A424A">
        <w:rPr>
          <w:rFonts w:eastAsia="SimSun" w:hint="eastAsia"/>
          <w:b/>
          <w:bCs/>
          <w:sz w:val="24"/>
          <w:szCs w:val="24"/>
          <w:lang w:eastAsia="zh-CN"/>
        </w:rPr>
        <w:t>5</w:t>
      </w:r>
      <w:r w:rsidRPr="004A424A">
        <w:rPr>
          <w:rFonts w:eastAsia="SimSun" w:hint="eastAsia"/>
          <w:sz w:val="24"/>
          <w:szCs w:val="24"/>
          <w:lang w:eastAsia="zh-CN"/>
        </w:rPr>
        <w:t>条的变更导致为新业务做出了划分或将现有业务的类别升级且新的划分或升级后的划分不适用任何额外条件时，则原先根据第</w:t>
      </w:r>
      <w:r w:rsidRPr="004A424A">
        <w:rPr>
          <w:rFonts w:eastAsia="SimSun" w:hint="eastAsia"/>
          <w:b/>
          <w:bCs/>
          <w:sz w:val="24"/>
          <w:szCs w:val="24"/>
          <w:lang w:eastAsia="zh-CN"/>
        </w:rPr>
        <w:t>4.4</w:t>
      </w:r>
      <w:r w:rsidRPr="004A424A">
        <w:rPr>
          <w:rFonts w:eastAsia="SimSun" w:hint="eastAsia"/>
          <w:sz w:val="24"/>
          <w:szCs w:val="24"/>
          <w:lang w:eastAsia="zh-CN"/>
        </w:rPr>
        <w:t>款的条件登记或具有次要业务地位的指配须升级到更高一级的地位。当新划分</w:t>
      </w:r>
      <w:r w:rsidRPr="004A424A">
        <w:rPr>
          <w:rFonts w:eastAsia="SimSun" w:hint="eastAsia"/>
          <w:sz w:val="24"/>
          <w:szCs w:val="24"/>
          <w:lang w:eastAsia="zh-CN"/>
        </w:rPr>
        <w:t>/</w:t>
      </w:r>
      <w:r w:rsidRPr="004A424A">
        <w:rPr>
          <w:rFonts w:eastAsia="SimSun" w:hint="eastAsia"/>
          <w:sz w:val="24"/>
          <w:szCs w:val="24"/>
          <w:lang w:eastAsia="zh-CN"/>
        </w:rPr>
        <w:t>升级后的划分应适用额外的条件时，</w:t>
      </w:r>
      <w:r w:rsidRPr="004A424A">
        <w:rPr>
          <w:rFonts w:eastAsia="SimSun" w:hint="eastAsia"/>
          <w:spacing w:val="-2"/>
          <w:sz w:val="24"/>
          <w:szCs w:val="24"/>
          <w:lang w:eastAsia="zh-CN"/>
        </w:rPr>
        <w:t>只有在满足《无线电规则》所有相关条款且已成功完成所有可适用协调程序时，该指</w:t>
      </w:r>
      <w:r w:rsidRPr="004A424A">
        <w:rPr>
          <w:rFonts w:eastAsia="SimSun" w:hint="eastAsia"/>
          <w:spacing w:val="-2"/>
          <w:sz w:val="24"/>
          <w:szCs w:val="24"/>
          <w:lang w:eastAsia="zh-CN"/>
        </w:rPr>
        <w:lastRenderedPageBreak/>
        <w:t>配的地位才应升级。如果未满足条件，与该指配有关的行动</w:t>
      </w:r>
      <w:r w:rsidR="003F5B77" w:rsidRPr="004A424A">
        <w:rPr>
          <w:rFonts w:eastAsia="SimSun" w:hint="eastAsia"/>
          <w:spacing w:val="-2"/>
          <w:sz w:val="24"/>
          <w:szCs w:val="24"/>
          <w:lang w:eastAsia="zh-CN"/>
        </w:rPr>
        <w:t>须</w:t>
      </w:r>
      <w:r w:rsidRPr="004A424A">
        <w:rPr>
          <w:rFonts w:eastAsia="SimSun" w:hint="eastAsia"/>
          <w:spacing w:val="-2"/>
          <w:sz w:val="24"/>
          <w:szCs w:val="24"/>
          <w:lang w:eastAsia="zh-CN"/>
        </w:rPr>
        <w:t>取决于以上第</w:t>
      </w:r>
      <w:r w:rsidRPr="004A424A">
        <w:rPr>
          <w:rFonts w:eastAsia="SimSun" w:hint="eastAsia"/>
          <w:spacing w:val="-2"/>
          <w:sz w:val="24"/>
          <w:szCs w:val="24"/>
          <w:lang w:eastAsia="zh-CN"/>
        </w:rPr>
        <w:t>4.1</w:t>
      </w:r>
      <w:r w:rsidRPr="004A424A">
        <w:rPr>
          <w:rFonts w:eastAsia="SimSun" w:hint="eastAsia"/>
          <w:spacing w:val="-2"/>
          <w:sz w:val="24"/>
          <w:szCs w:val="24"/>
          <w:lang w:eastAsia="zh-CN"/>
        </w:rPr>
        <w:t>和</w:t>
      </w:r>
      <w:r w:rsidRPr="004A424A">
        <w:rPr>
          <w:rFonts w:eastAsia="SimSun" w:hint="eastAsia"/>
          <w:spacing w:val="-2"/>
          <w:sz w:val="24"/>
          <w:szCs w:val="24"/>
          <w:lang w:eastAsia="zh-CN"/>
        </w:rPr>
        <w:t>4.2</w:t>
      </w:r>
      <w:r w:rsidRPr="004A424A">
        <w:rPr>
          <w:rFonts w:eastAsia="SimSun" w:hint="eastAsia"/>
          <w:sz w:val="24"/>
          <w:szCs w:val="24"/>
          <w:lang w:eastAsia="zh-CN"/>
        </w:rPr>
        <w:t>项中所述的无线电通信局所进行的审查类型。</w:t>
      </w:r>
    </w:p>
    <w:p w:rsidR="00561B07" w:rsidRPr="004A424A" w:rsidRDefault="00561B07" w:rsidP="004A424A">
      <w:pPr>
        <w:pStyle w:val="enumlev1"/>
        <w:spacing w:line="240" w:lineRule="auto"/>
        <w:rPr>
          <w:rFonts w:eastAsia="SimSun"/>
          <w:sz w:val="24"/>
          <w:szCs w:val="24"/>
          <w:lang w:eastAsia="zh-CN"/>
        </w:rPr>
      </w:pPr>
      <w:proofErr w:type="gramStart"/>
      <w:r w:rsidRPr="004A424A">
        <w:rPr>
          <w:rFonts w:eastAsia="SimSun" w:hint="eastAsia"/>
          <w:sz w:val="24"/>
          <w:szCs w:val="24"/>
          <w:lang w:eastAsia="zh-CN"/>
        </w:rPr>
        <w:t>6</w:t>
      </w:r>
      <w:r w:rsidRPr="004A424A">
        <w:rPr>
          <w:rFonts w:eastAsia="SimSun" w:hint="eastAsia"/>
          <w:sz w:val="24"/>
          <w:szCs w:val="24"/>
          <w:lang w:eastAsia="zh-CN"/>
        </w:rPr>
        <w:tab/>
      </w:r>
      <w:r w:rsidRPr="004A424A">
        <w:rPr>
          <w:rFonts w:eastAsia="SimSun" w:hint="eastAsia"/>
          <w:sz w:val="24"/>
          <w:szCs w:val="24"/>
          <w:lang w:eastAsia="zh-CN"/>
        </w:rPr>
        <w:t>当第</w:t>
      </w:r>
      <w:r w:rsidRPr="004A424A">
        <w:rPr>
          <w:rFonts w:eastAsia="SimSun" w:hint="eastAsia"/>
          <w:b/>
          <w:bCs/>
          <w:sz w:val="24"/>
          <w:szCs w:val="24"/>
          <w:lang w:eastAsia="zh-CN"/>
        </w:rPr>
        <w:t>5</w:t>
      </w:r>
      <w:r w:rsidRPr="004A424A">
        <w:rPr>
          <w:rFonts w:eastAsia="SimSun" w:hint="eastAsia"/>
          <w:sz w:val="24"/>
          <w:szCs w:val="24"/>
          <w:lang w:eastAsia="zh-CN"/>
        </w:rPr>
        <w:t>条的变更修订了某个划分的条件但并未变更划分类别时（如额外的规则</w:t>
      </w:r>
      <w:r w:rsidRPr="004A424A">
        <w:rPr>
          <w:rFonts w:eastAsia="SimSun" w:hint="eastAsia"/>
          <w:sz w:val="24"/>
          <w:szCs w:val="24"/>
          <w:lang w:eastAsia="zh-CN"/>
        </w:rPr>
        <w:t>/</w:t>
      </w:r>
      <w:r w:rsidRPr="004A424A">
        <w:rPr>
          <w:rFonts w:eastAsia="SimSun" w:hint="eastAsia"/>
          <w:sz w:val="24"/>
          <w:szCs w:val="24"/>
          <w:lang w:eastAsia="zh-CN"/>
        </w:rPr>
        <w:t>技术限制或新的</w:t>
      </w:r>
      <w:r w:rsidRPr="004A424A">
        <w:rPr>
          <w:rFonts w:eastAsia="SimSun" w:hint="eastAsia"/>
          <w:sz w:val="24"/>
          <w:szCs w:val="24"/>
          <w:lang w:eastAsia="zh-CN"/>
        </w:rPr>
        <w:t>/</w:t>
      </w:r>
      <w:r w:rsidRPr="004A424A">
        <w:rPr>
          <w:rFonts w:eastAsia="SimSun" w:hint="eastAsia"/>
          <w:sz w:val="24"/>
          <w:szCs w:val="24"/>
          <w:lang w:eastAsia="zh-CN"/>
        </w:rPr>
        <w:t>修订的协调程序等）时，则相关登记指配的原始审查结论可予以保留，只需满足新的条件。</w:t>
      </w:r>
      <w:proofErr w:type="gramEnd"/>
      <w:r w:rsidRPr="004A424A">
        <w:rPr>
          <w:rFonts w:eastAsia="SimSun" w:hint="eastAsia"/>
          <w:sz w:val="24"/>
          <w:szCs w:val="24"/>
          <w:lang w:eastAsia="zh-CN"/>
        </w:rPr>
        <w:t>如果未满足条件，与该指配有关的行动</w:t>
      </w:r>
      <w:r w:rsidR="003F5B77" w:rsidRPr="004A424A">
        <w:rPr>
          <w:rFonts w:eastAsia="SimSun" w:hint="eastAsia"/>
          <w:sz w:val="24"/>
          <w:szCs w:val="24"/>
          <w:lang w:eastAsia="zh-CN"/>
        </w:rPr>
        <w:t>须</w:t>
      </w:r>
      <w:r w:rsidRPr="004A424A">
        <w:rPr>
          <w:rFonts w:eastAsia="SimSun" w:hint="eastAsia"/>
          <w:sz w:val="24"/>
          <w:szCs w:val="24"/>
          <w:lang w:eastAsia="zh-CN"/>
        </w:rPr>
        <w:t>取决于以上第</w:t>
      </w:r>
      <w:r w:rsidRPr="004A424A">
        <w:rPr>
          <w:rFonts w:eastAsia="SimSun" w:hint="eastAsia"/>
          <w:sz w:val="24"/>
          <w:szCs w:val="24"/>
          <w:lang w:eastAsia="zh-CN"/>
        </w:rPr>
        <w:t>4.1</w:t>
      </w:r>
      <w:r w:rsidRPr="004A424A">
        <w:rPr>
          <w:rFonts w:eastAsia="SimSun" w:hint="eastAsia"/>
          <w:sz w:val="24"/>
          <w:szCs w:val="24"/>
          <w:lang w:eastAsia="zh-CN"/>
        </w:rPr>
        <w:t>和</w:t>
      </w:r>
      <w:r w:rsidRPr="004A424A">
        <w:rPr>
          <w:rFonts w:eastAsia="SimSun" w:hint="eastAsia"/>
          <w:sz w:val="24"/>
          <w:szCs w:val="24"/>
          <w:lang w:eastAsia="zh-CN"/>
        </w:rPr>
        <w:t>4.2</w:t>
      </w:r>
      <w:r w:rsidRPr="004A424A">
        <w:rPr>
          <w:rFonts w:eastAsia="SimSun" w:hint="eastAsia"/>
          <w:sz w:val="24"/>
          <w:szCs w:val="24"/>
          <w:lang w:eastAsia="zh-CN"/>
        </w:rPr>
        <w:t>项中所述的无线电通信局所进行的审查类型。</w:t>
      </w:r>
      <w:r w:rsidRPr="004A424A">
        <w:rPr>
          <w:rFonts w:eastAsia="SimSun"/>
          <w:sz w:val="24"/>
          <w:szCs w:val="24"/>
          <w:lang w:eastAsia="zh-CN"/>
        </w:rPr>
        <w:t xml:space="preserve"> </w:t>
      </w:r>
    </w:p>
    <w:p w:rsidR="00561B07" w:rsidRPr="004A424A" w:rsidRDefault="00561B07" w:rsidP="004A424A">
      <w:pPr>
        <w:pStyle w:val="enumlev1"/>
        <w:spacing w:line="240" w:lineRule="auto"/>
        <w:rPr>
          <w:rFonts w:eastAsia="SimSun"/>
          <w:sz w:val="24"/>
          <w:szCs w:val="24"/>
          <w:lang w:eastAsia="zh-CN"/>
        </w:rPr>
      </w:pPr>
      <w:r w:rsidRPr="004A424A">
        <w:rPr>
          <w:rFonts w:hint="eastAsia"/>
          <w:color w:val="000000"/>
          <w:sz w:val="24"/>
          <w:szCs w:val="24"/>
          <w:lang w:eastAsia="zh-CN"/>
        </w:rPr>
        <w:t>7</w:t>
      </w:r>
      <w:r w:rsidRPr="004A424A">
        <w:rPr>
          <w:rFonts w:hint="eastAsia"/>
          <w:color w:val="000000"/>
          <w:sz w:val="24"/>
          <w:szCs w:val="24"/>
          <w:lang w:eastAsia="zh-CN"/>
        </w:rPr>
        <w:tab/>
      </w:r>
      <w:r w:rsidR="003F5B77" w:rsidRPr="004A424A">
        <w:rPr>
          <w:rFonts w:hint="eastAsia"/>
          <w:color w:val="000000"/>
          <w:sz w:val="24"/>
          <w:szCs w:val="24"/>
          <w:lang w:eastAsia="zh-CN"/>
        </w:rPr>
        <w:t>委员会注意到第</w:t>
      </w:r>
      <w:r w:rsidR="003F5B77" w:rsidRPr="004A424A">
        <w:rPr>
          <w:rFonts w:hint="eastAsia"/>
          <w:b/>
          <w:bCs/>
          <w:color w:val="000000"/>
          <w:sz w:val="24"/>
          <w:szCs w:val="24"/>
          <w:lang w:eastAsia="zh-CN"/>
        </w:rPr>
        <w:t>5</w:t>
      </w:r>
      <w:r w:rsidR="003F5B77" w:rsidRPr="004A424A">
        <w:rPr>
          <w:rFonts w:hint="eastAsia"/>
          <w:color w:val="000000"/>
          <w:sz w:val="24"/>
          <w:szCs w:val="24"/>
          <w:lang w:eastAsia="zh-CN"/>
        </w:rPr>
        <w:t>条包含一系列条款，根据这些条款，例如第</w:t>
      </w:r>
      <w:r w:rsidR="003F5B77" w:rsidRPr="004A424A">
        <w:rPr>
          <w:b/>
          <w:bCs/>
          <w:color w:val="000000"/>
          <w:sz w:val="24"/>
          <w:szCs w:val="24"/>
          <w:lang w:eastAsia="zh-CN"/>
        </w:rPr>
        <w:t>5.175</w:t>
      </w:r>
      <w:r w:rsidR="003F5B77" w:rsidRPr="004A424A">
        <w:rPr>
          <w:rFonts w:hint="eastAsia"/>
          <w:color w:val="000000"/>
          <w:sz w:val="24"/>
          <w:szCs w:val="24"/>
          <w:lang w:eastAsia="zh-CN"/>
        </w:rPr>
        <w:t>、</w:t>
      </w:r>
      <w:r w:rsidR="003F5B77" w:rsidRPr="004A424A">
        <w:rPr>
          <w:b/>
          <w:bCs/>
          <w:color w:val="000000"/>
          <w:sz w:val="24"/>
          <w:szCs w:val="24"/>
          <w:lang w:eastAsia="zh-CN"/>
        </w:rPr>
        <w:t>5.188</w:t>
      </w:r>
      <w:r w:rsidR="003F5B77" w:rsidRPr="004A424A">
        <w:rPr>
          <w:rFonts w:hint="eastAsia"/>
          <w:color w:val="000000"/>
          <w:sz w:val="24"/>
          <w:szCs w:val="24"/>
          <w:lang w:eastAsia="zh-CN"/>
        </w:rPr>
        <w:t>款</w:t>
      </w:r>
      <w:r w:rsidR="003F5B77" w:rsidRPr="004A424A">
        <w:rPr>
          <w:rFonts w:hint="eastAsia"/>
          <w:b/>
          <w:bCs/>
          <w:color w:val="000000"/>
          <w:sz w:val="24"/>
          <w:szCs w:val="24"/>
          <w:lang w:eastAsia="zh-CN"/>
        </w:rPr>
        <w:t>，</w:t>
      </w:r>
      <w:r w:rsidR="003F5B77" w:rsidRPr="004A424A">
        <w:rPr>
          <w:rFonts w:hint="eastAsia"/>
          <w:color w:val="000000"/>
          <w:sz w:val="24"/>
          <w:szCs w:val="24"/>
          <w:lang w:eastAsia="zh-CN"/>
        </w:rPr>
        <w:t>无线电业务的划分需要获</w:t>
      </w:r>
      <w:r w:rsidR="004A424A">
        <w:rPr>
          <w:rFonts w:hint="eastAsia"/>
          <w:color w:val="000000"/>
          <w:sz w:val="24"/>
          <w:szCs w:val="24"/>
          <w:lang w:eastAsia="zh-CN"/>
        </w:rPr>
        <w:t>得</w:t>
      </w:r>
      <w:r w:rsidR="003F5B77" w:rsidRPr="004A424A">
        <w:rPr>
          <w:rFonts w:hint="eastAsia"/>
          <w:color w:val="000000"/>
          <w:sz w:val="24"/>
          <w:szCs w:val="24"/>
          <w:lang w:eastAsia="zh-CN"/>
        </w:rPr>
        <w:t>相关主管部门的同意。</w:t>
      </w:r>
      <w:r w:rsidR="00A15680" w:rsidRPr="004A424A">
        <w:rPr>
          <w:rFonts w:hint="eastAsia"/>
          <w:color w:val="000000"/>
          <w:sz w:val="24"/>
          <w:szCs w:val="24"/>
          <w:lang w:eastAsia="zh-CN"/>
        </w:rPr>
        <w:t>此类同意既不受第</w:t>
      </w:r>
      <w:r w:rsidR="00A15680" w:rsidRPr="004A424A">
        <w:rPr>
          <w:rFonts w:hint="eastAsia"/>
          <w:b/>
          <w:bCs/>
          <w:color w:val="000000"/>
          <w:sz w:val="24"/>
          <w:szCs w:val="24"/>
          <w:lang w:eastAsia="zh-CN"/>
        </w:rPr>
        <w:t>9</w:t>
      </w:r>
      <w:r w:rsidR="00A15680" w:rsidRPr="004A424A">
        <w:rPr>
          <w:rFonts w:hint="eastAsia"/>
          <w:color w:val="000000"/>
          <w:sz w:val="24"/>
          <w:szCs w:val="24"/>
          <w:lang w:eastAsia="zh-CN"/>
        </w:rPr>
        <w:t>条的管辖也不受《程序规则》的约束，而是由相关主管部门直接</w:t>
      </w:r>
      <w:r w:rsidR="004A424A">
        <w:rPr>
          <w:rFonts w:hint="eastAsia"/>
          <w:color w:val="000000"/>
          <w:sz w:val="24"/>
          <w:szCs w:val="24"/>
          <w:lang w:eastAsia="zh-CN"/>
        </w:rPr>
        <w:t>达成</w:t>
      </w:r>
      <w:r w:rsidR="00A15680" w:rsidRPr="004A424A">
        <w:rPr>
          <w:rFonts w:hint="eastAsia"/>
          <w:color w:val="000000"/>
          <w:sz w:val="24"/>
          <w:szCs w:val="24"/>
          <w:lang w:eastAsia="zh-CN"/>
        </w:rPr>
        <w:t>。此外，当审议相关频率指配通知时，无线电通信局不会认证此类协议。根据上述情况，委员会决定在审议相关指配审查结果过程中，无线电通信局无须在撰写新审查结</w:t>
      </w:r>
      <w:r w:rsidR="004A424A">
        <w:rPr>
          <w:rFonts w:hint="eastAsia"/>
          <w:color w:val="000000"/>
          <w:sz w:val="24"/>
          <w:szCs w:val="24"/>
          <w:lang w:eastAsia="zh-CN"/>
        </w:rPr>
        <w:t>论</w:t>
      </w:r>
      <w:r w:rsidR="00A15680" w:rsidRPr="004A424A">
        <w:rPr>
          <w:rFonts w:hint="eastAsia"/>
          <w:color w:val="000000"/>
          <w:sz w:val="24"/>
          <w:szCs w:val="24"/>
          <w:lang w:eastAsia="zh-CN"/>
        </w:rPr>
        <w:t>时考虑其它主管部门间是否存在协议。</w:t>
      </w:r>
    </w:p>
    <w:p w:rsidR="00561B07" w:rsidRPr="004A424A" w:rsidRDefault="00561B07" w:rsidP="004A424A">
      <w:pPr>
        <w:pStyle w:val="enumlev1"/>
        <w:spacing w:line="240" w:lineRule="auto"/>
        <w:rPr>
          <w:rFonts w:eastAsia="SimSun"/>
          <w:sz w:val="24"/>
          <w:szCs w:val="24"/>
          <w:lang w:eastAsia="zh-CN"/>
        </w:rPr>
      </w:pPr>
      <w:r w:rsidRPr="004A424A">
        <w:rPr>
          <w:rFonts w:eastAsia="SimSun" w:hint="eastAsia"/>
          <w:sz w:val="24"/>
          <w:szCs w:val="24"/>
          <w:lang w:eastAsia="zh-CN"/>
        </w:rPr>
        <w:t>8</w:t>
      </w:r>
      <w:r w:rsidRPr="004A424A">
        <w:rPr>
          <w:rFonts w:eastAsia="SimSun" w:hint="eastAsia"/>
          <w:sz w:val="24"/>
          <w:szCs w:val="24"/>
          <w:lang w:eastAsia="zh-CN"/>
        </w:rPr>
        <w:tab/>
      </w:r>
      <w:r w:rsidRPr="004A424A">
        <w:rPr>
          <w:rFonts w:eastAsia="SimSun" w:hint="eastAsia"/>
          <w:sz w:val="24"/>
          <w:szCs w:val="24"/>
          <w:lang w:eastAsia="zh-CN"/>
        </w:rPr>
        <w:t>在完成审查结论的复审后，相关频率指配须</w:t>
      </w:r>
      <w:r w:rsidR="003F5B77" w:rsidRPr="004A424A">
        <w:rPr>
          <w:rFonts w:eastAsia="SimSun" w:hint="eastAsia"/>
          <w:sz w:val="24"/>
          <w:szCs w:val="24"/>
          <w:lang w:eastAsia="zh-CN"/>
        </w:rPr>
        <w:t>与修订后审查结论一并</w:t>
      </w:r>
      <w:r w:rsidRPr="004A424A">
        <w:rPr>
          <w:rFonts w:eastAsia="SimSun" w:hint="eastAsia"/>
          <w:sz w:val="24"/>
          <w:szCs w:val="24"/>
          <w:lang w:eastAsia="zh-CN"/>
        </w:rPr>
        <w:t>公布在</w:t>
      </w:r>
      <w:r w:rsidRPr="004A424A">
        <w:rPr>
          <w:rFonts w:eastAsia="SimSun"/>
          <w:sz w:val="24"/>
          <w:szCs w:val="24"/>
          <w:lang w:eastAsia="zh-CN"/>
        </w:rPr>
        <w:t>BR IFIC</w:t>
      </w:r>
      <w:r w:rsidRPr="004A424A">
        <w:rPr>
          <w:rFonts w:eastAsia="SimSun" w:hint="eastAsia"/>
          <w:sz w:val="24"/>
          <w:szCs w:val="24"/>
          <w:lang w:eastAsia="zh-CN"/>
        </w:rPr>
        <w:t>的</w:t>
      </w:r>
      <w:r w:rsidRPr="004A424A">
        <w:rPr>
          <w:rFonts w:eastAsia="SimSun"/>
          <w:sz w:val="24"/>
          <w:szCs w:val="24"/>
          <w:lang w:eastAsia="zh-CN"/>
        </w:rPr>
        <w:t>IIB/II-S</w:t>
      </w:r>
      <w:r w:rsidRPr="004A424A">
        <w:rPr>
          <w:rFonts w:eastAsia="SimSun" w:hint="eastAsia"/>
          <w:sz w:val="24"/>
          <w:szCs w:val="24"/>
          <w:lang w:eastAsia="zh-CN"/>
        </w:rPr>
        <w:t>部分中，并</w:t>
      </w:r>
      <w:r w:rsidR="003F5B77" w:rsidRPr="004A424A">
        <w:rPr>
          <w:rFonts w:eastAsia="SimSun" w:hint="eastAsia"/>
          <w:sz w:val="24"/>
          <w:szCs w:val="24"/>
          <w:lang w:eastAsia="zh-CN"/>
        </w:rPr>
        <w:t>须</w:t>
      </w:r>
      <w:r w:rsidRPr="004A424A">
        <w:rPr>
          <w:rFonts w:eastAsia="SimSun" w:hint="eastAsia"/>
          <w:sz w:val="24"/>
          <w:szCs w:val="24"/>
          <w:lang w:eastAsia="zh-CN"/>
        </w:rPr>
        <w:t>在</w:t>
      </w:r>
      <w:r w:rsidRPr="004A424A">
        <w:rPr>
          <w:rFonts w:eastAsia="SimSun"/>
          <w:sz w:val="24"/>
          <w:szCs w:val="24"/>
          <w:lang w:eastAsia="zh-CN"/>
        </w:rPr>
        <w:t>BR IFIC</w:t>
      </w:r>
      <w:r w:rsidRPr="004A424A">
        <w:rPr>
          <w:rFonts w:eastAsia="SimSun" w:hint="eastAsia"/>
          <w:sz w:val="24"/>
          <w:szCs w:val="24"/>
          <w:lang w:eastAsia="zh-CN"/>
        </w:rPr>
        <w:t>中附上说明注释，提醒主管部门注意审查结论的复审并解释复审的理由和内容。</w:t>
      </w:r>
    </w:p>
    <w:p w:rsidR="00561B07" w:rsidRPr="004A424A" w:rsidRDefault="00561B07" w:rsidP="004A424A">
      <w:pPr>
        <w:spacing w:line="240" w:lineRule="auto"/>
        <w:rPr>
          <w:rFonts w:eastAsia="STKaiti"/>
          <w:sz w:val="24"/>
          <w:szCs w:val="24"/>
          <w:lang w:eastAsia="zh-CN"/>
        </w:rPr>
      </w:pPr>
      <w:r w:rsidRPr="004A424A">
        <w:rPr>
          <w:rFonts w:eastAsia="STKaiti" w:hint="eastAsia"/>
          <w:sz w:val="24"/>
          <w:szCs w:val="24"/>
          <w:lang w:eastAsia="zh-CN"/>
        </w:rPr>
        <w:t>理由：本《程序规则》根据</w:t>
      </w:r>
      <w:r w:rsidRPr="004A424A">
        <w:rPr>
          <w:rFonts w:eastAsia="STKaiti" w:hint="eastAsia"/>
          <w:sz w:val="24"/>
          <w:szCs w:val="24"/>
          <w:lang w:eastAsia="zh-CN"/>
        </w:rPr>
        <w:t>WRC-12</w:t>
      </w:r>
      <w:r w:rsidRPr="004A424A">
        <w:rPr>
          <w:rFonts w:eastAsia="STKaiti" w:hint="eastAsia"/>
          <w:sz w:val="24"/>
          <w:szCs w:val="24"/>
          <w:lang w:eastAsia="zh-CN"/>
        </w:rPr>
        <w:t>全体会议第</w:t>
      </w:r>
      <w:r w:rsidRPr="004A424A">
        <w:rPr>
          <w:rFonts w:eastAsia="STKaiti" w:hint="eastAsia"/>
          <w:sz w:val="24"/>
          <w:szCs w:val="24"/>
          <w:lang w:eastAsia="zh-CN"/>
        </w:rPr>
        <w:t>491</w:t>
      </w:r>
      <w:r w:rsidRPr="004A424A">
        <w:rPr>
          <w:rFonts w:eastAsia="STKaiti" w:hint="eastAsia"/>
          <w:sz w:val="24"/>
          <w:szCs w:val="24"/>
          <w:lang w:eastAsia="zh-CN"/>
        </w:rPr>
        <w:t>号文件中有关制定应用第</w:t>
      </w:r>
      <w:r w:rsidRPr="004A424A">
        <w:rPr>
          <w:rFonts w:eastAsia="STKaiti" w:hint="eastAsia"/>
          <w:b/>
          <w:bCs/>
          <w:sz w:val="24"/>
          <w:szCs w:val="24"/>
          <w:lang w:eastAsia="zh-CN"/>
        </w:rPr>
        <w:t>11.50</w:t>
      </w:r>
      <w:r w:rsidRPr="004A424A">
        <w:rPr>
          <w:rFonts w:eastAsia="STKaiti" w:hint="eastAsia"/>
          <w:sz w:val="24"/>
          <w:szCs w:val="24"/>
          <w:lang w:eastAsia="zh-CN"/>
        </w:rPr>
        <w:t>款的程序规则的决定起草。本程序规则旨在定义并解释无线电通信局就登记在频率总表中的频率指配适用第</w:t>
      </w:r>
      <w:r w:rsidRPr="004A424A">
        <w:rPr>
          <w:rFonts w:eastAsia="STKaiti" w:hint="eastAsia"/>
          <w:b/>
          <w:bCs/>
          <w:sz w:val="24"/>
          <w:szCs w:val="24"/>
          <w:lang w:eastAsia="zh-CN"/>
        </w:rPr>
        <w:t>11.50</w:t>
      </w:r>
      <w:r w:rsidRPr="004A424A">
        <w:rPr>
          <w:rFonts w:eastAsia="STKaiti" w:hint="eastAsia"/>
          <w:sz w:val="24"/>
          <w:szCs w:val="24"/>
          <w:lang w:eastAsia="zh-CN"/>
        </w:rPr>
        <w:t>款时应考虑的主要要素。</w:t>
      </w:r>
      <w:r w:rsidRPr="004A424A">
        <w:rPr>
          <w:rFonts w:eastAsia="STKaiti"/>
          <w:sz w:val="24"/>
          <w:szCs w:val="24"/>
          <w:lang w:eastAsia="zh-CN"/>
        </w:rPr>
        <w:t xml:space="preserve"> </w:t>
      </w:r>
    </w:p>
    <w:p w:rsidR="00561B07" w:rsidRPr="004A424A" w:rsidRDefault="00561B07" w:rsidP="004A424A">
      <w:pPr>
        <w:spacing w:line="240" w:lineRule="auto"/>
        <w:rPr>
          <w:rFonts w:eastAsia="SimSun"/>
          <w:b/>
          <w:bCs/>
          <w:i/>
          <w:iCs/>
          <w:sz w:val="24"/>
          <w:szCs w:val="24"/>
          <w:lang w:eastAsia="zh-CN"/>
        </w:rPr>
      </w:pPr>
    </w:p>
    <w:p w:rsidR="00561B07" w:rsidRPr="004A424A" w:rsidRDefault="00561B07" w:rsidP="004A424A">
      <w:pPr>
        <w:spacing w:line="240" w:lineRule="auto"/>
        <w:rPr>
          <w:rFonts w:ascii="STKaiti" w:eastAsia="STKaiti" w:hAnsi="STKaiti"/>
          <w:sz w:val="24"/>
          <w:szCs w:val="24"/>
          <w:lang w:eastAsia="zh-CN"/>
        </w:rPr>
      </w:pPr>
      <w:r w:rsidRPr="004A424A">
        <w:rPr>
          <w:rFonts w:ascii="STKaiti" w:eastAsia="STKaiti" w:hAnsi="STKaiti" w:hint="eastAsia"/>
          <w:sz w:val="24"/>
          <w:szCs w:val="24"/>
          <w:lang w:eastAsia="zh-CN"/>
        </w:rPr>
        <w:t>本规则的生效日期：批准后立即生效</w:t>
      </w:r>
    </w:p>
    <w:p w:rsidR="00561B07" w:rsidRPr="004A424A" w:rsidRDefault="00561B07" w:rsidP="004A424A">
      <w:pPr>
        <w:spacing w:line="240" w:lineRule="auto"/>
        <w:jc w:val="center"/>
        <w:rPr>
          <w:rFonts w:eastAsia="SimSun"/>
          <w:sz w:val="24"/>
          <w:szCs w:val="24"/>
        </w:rPr>
      </w:pPr>
      <w:r w:rsidRPr="004A424A">
        <w:rPr>
          <w:rFonts w:eastAsia="SimSun"/>
          <w:sz w:val="24"/>
          <w:szCs w:val="24"/>
        </w:rPr>
        <w:t>______________</w:t>
      </w:r>
    </w:p>
    <w:p w:rsidR="00561B07" w:rsidRPr="004A424A" w:rsidRDefault="00561B07" w:rsidP="004A424A">
      <w:pPr>
        <w:spacing w:line="240" w:lineRule="auto"/>
        <w:rPr>
          <w:rFonts w:eastAsia="SimSun"/>
          <w:sz w:val="24"/>
          <w:szCs w:val="24"/>
        </w:rPr>
      </w:pPr>
    </w:p>
    <w:p w:rsidR="003A5A3B" w:rsidRPr="004A424A" w:rsidRDefault="003A5A3B" w:rsidP="004A424A">
      <w:pPr>
        <w:pStyle w:val="Headingb"/>
        <w:spacing w:before="160" w:after="120" w:line="240" w:lineRule="auto"/>
        <w:ind w:left="0" w:firstLine="0"/>
        <w:jc w:val="left"/>
        <w:rPr>
          <w:rFonts w:asciiTheme="majorEastAsia" w:eastAsiaTheme="majorEastAsia" w:hAnsiTheme="majorEastAsia"/>
          <w:sz w:val="24"/>
          <w:szCs w:val="24"/>
          <w:lang w:eastAsia="zh-CN"/>
        </w:rPr>
      </w:pPr>
    </w:p>
    <w:sectPr w:rsidR="003A5A3B" w:rsidRPr="004A424A"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3B" w:rsidRDefault="003A5A3B">
      <w:r>
        <w:separator/>
      </w:r>
    </w:p>
  </w:endnote>
  <w:endnote w:type="continuationSeparator" w:id="0">
    <w:p w:rsidR="003A5A3B" w:rsidRDefault="003A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3B" w:rsidRDefault="003A5A3B">
      <w:r>
        <w:t>____________________</w:t>
      </w:r>
    </w:p>
  </w:footnote>
  <w:footnote w:type="continuationSeparator" w:id="0">
    <w:p w:rsidR="003A5A3B" w:rsidRDefault="003A5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8C04BF" w:rsidRDefault="008C04BF" w:rsidP="008C04BF">
    <w:pPr>
      <w:pStyle w:val="Header"/>
      <w:jc w:val="center"/>
      <w:rPr>
        <w:sz w:val="18"/>
        <w:szCs w:val="18"/>
        <w:lang w:eastAsia="zh-CN"/>
      </w:rPr>
    </w:pPr>
    <w:r w:rsidRPr="008C04BF">
      <w:rPr>
        <w:rStyle w:val="PageNumber"/>
        <w:sz w:val="18"/>
        <w:szCs w:val="18"/>
      </w:rPr>
      <w:t>-</w:t>
    </w:r>
    <w:r>
      <w:rPr>
        <w:rStyle w:val="PageNumber"/>
        <w:sz w:val="18"/>
        <w:szCs w:val="1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8C04BF" w:rsidRDefault="008C04BF" w:rsidP="008C04BF">
    <w:pPr>
      <w:pStyle w:val="Header"/>
      <w:jc w:val="center"/>
      <w:rPr>
        <w:rStyle w:val="PageNumber"/>
        <w:sz w:val="18"/>
        <w:szCs w:val="18"/>
      </w:rPr>
    </w:pPr>
    <w:r w:rsidRPr="008C04BF">
      <w:rPr>
        <w:sz w:val="18"/>
        <w:szCs w:val="18"/>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6E5BA283" wp14:editId="4C765D5F">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A5A3B"/>
    <w:rsid w:val="00006A31"/>
    <w:rsid w:val="00006C82"/>
    <w:rsid w:val="00010E30"/>
    <w:rsid w:val="00011959"/>
    <w:rsid w:val="000123F3"/>
    <w:rsid w:val="00012FB2"/>
    <w:rsid w:val="00015437"/>
    <w:rsid w:val="00015C76"/>
    <w:rsid w:val="00024CC4"/>
    <w:rsid w:val="00026CF8"/>
    <w:rsid w:val="00030BD7"/>
    <w:rsid w:val="00031E64"/>
    <w:rsid w:val="00034340"/>
    <w:rsid w:val="00035C7D"/>
    <w:rsid w:val="00035CB3"/>
    <w:rsid w:val="00045A8D"/>
    <w:rsid w:val="0005167A"/>
    <w:rsid w:val="00052EB3"/>
    <w:rsid w:val="00054E5D"/>
    <w:rsid w:val="00070258"/>
    <w:rsid w:val="0007323C"/>
    <w:rsid w:val="00086D03"/>
    <w:rsid w:val="00090ADD"/>
    <w:rsid w:val="000926F1"/>
    <w:rsid w:val="000A096A"/>
    <w:rsid w:val="000A375E"/>
    <w:rsid w:val="000A7051"/>
    <w:rsid w:val="000B0AF6"/>
    <w:rsid w:val="000B0E9B"/>
    <w:rsid w:val="000B2CAE"/>
    <w:rsid w:val="000C03C7"/>
    <w:rsid w:val="000C2AD0"/>
    <w:rsid w:val="000E3DEE"/>
    <w:rsid w:val="000F4251"/>
    <w:rsid w:val="00100B72"/>
    <w:rsid w:val="00101F7D"/>
    <w:rsid w:val="00103C76"/>
    <w:rsid w:val="0011265F"/>
    <w:rsid w:val="001140E5"/>
    <w:rsid w:val="00117282"/>
    <w:rsid w:val="00117389"/>
    <w:rsid w:val="00121C2D"/>
    <w:rsid w:val="00134404"/>
    <w:rsid w:val="00144189"/>
    <w:rsid w:val="00144DFB"/>
    <w:rsid w:val="0014735A"/>
    <w:rsid w:val="00151223"/>
    <w:rsid w:val="00166312"/>
    <w:rsid w:val="001723F9"/>
    <w:rsid w:val="001807ED"/>
    <w:rsid w:val="00183895"/>
    <w:rsid w:val="00187CA3"/>
    <w:rsid w:val="00192929"/>
    <w:rsid w:val="00196710"/>
    <w:rsid w:val="00196770"/>
    <w:rsid w:val="00197324"/>
    <w:rsid w:val="001B351B"/>
    <w:rsid w:val="001B42C9"/>
    <w:rsid w:val="001B5247"/>
    <w:rsid w:val="001C06DB"/>
    <w:rsid w:val="001C6971"/>
    <w:rsid w:val="001D2785"/>
    <w:rsid w:val="001D45F8"/>
    <w:rsid w:val="001D7070"/>
    <w:rsid w:val="001F2170"/>
    <w:rsid w:val="001F3948"/>
    <w:rsid w:val="001F44EF"/>
    <w:rsid w:val="001F5A49"/>
    <w:rsid w:val="00201097"/>
    <w:rsid w:val="00201B6E"/>
    <w:rsid w:val="002302B3"/>
    <w:rsid w:val="00230C66"/>
    <w:rsid w:val="002342AB"/>
    <w:rsid w:val="00235A29"/>
    <w:rsid w:val="00241526"/>
    <w:rsid w:val="002443A2"/>
    <w:rsid w:val="0024449B"/>
    <w:rsid w:val="00260E6A"/>
    <w:rsid w:val="00266E74"/>
    <w:rsid w:val="00273F4E"/>
    <w:rsid w:val="00283C3B"/>
    <w:rsid w:val="002861E6"/>
    <w:rsid w:val="00287D18"/>
    <w:rsid w:val="002A2618"/>
    <w:rsid w:val="002A5DD7"/>
    <w:rsid w:val="002B0CAC"/>
    <w:rsid w:val="002D5A15"/>
    <w:rsid w:val="002D5BDD"/>
    <w:rsid w:val="002D72E6"/>
    <w:rsid w:val="002E3D27"/>
    <w:rsid w:val="002F0890"/>
    <w:rsid w:val="002F2531"/>
    <w:rsid w:val="002F4967"/>
    <w:rsid w:val="00302F7B"/>
    <w:rsid w:val="00316935"/>
    <w:rsid w:val="0031788F"/>
    <w:rsid w:val="00324BD4"/>
    <w:rsid w:val="003266ED"/>
    <w:rsid w:val="00326C68"/>
    <w:rsid w:val="003370B8"/>
    <w:rsid w:val="00345D38"/>
    <w:rsid w:val="00352097"/>
    <w:rsid w:val="00365C61"/>
    <w:rsid w:val="003666FF"/>
    <w:rsid w:val="0037309C"/>
    <w:rsid w:val="00380841"/>
    <w:rsid w:val="00380A6E"/>
    <w:rsid w:val="003836D4"/>
    <w:rsid w:val="003A1F49"/>
    <w:rsid w:val="003A55ED"/>
    <w:rsid w:val="003A5A3B"/>
    <w:rsid w:val="003A5D52"/>
    <w:rsid w:val="003B2BDA"/>
    <w:rsid w:val="003B55EC"/>
    <w:rsid w:val="003C2EA7"/>
    <w:rsid w:val="003C4471"/>
    <w:rsid w:val="003C7D41"/>
    <w:rsid w:val="003D4A69"/>
    <w:rsid w:val="003E00FD"/>
    <w:rsid w:val="003E0FFB"/>
    <w:rsid w:val="003E504F"/>
    <w:rsid w:val="003E78D6"/>
    <w:rsid w:val="003F236C"/>
    <w:rsid w:val="003F23AD"/>
    <w:rsid w:val="003F4826"/>
    <w:rsid w:val="003F5B77"/>
    <w:rsid w:val="00400573"/>
    <w:rsid w:val="004007A3"/>
    <w:rsid w:val="00406D71"/>
    <w:rsid w:val="0040727F"/>
    <w:rsid w:val="00421AA7"/>
    <w:rsid w:val="004326DB"/>
    <w:rsid w:val="0043682E"/>
    <w:rsid w:val="004419F6"/>
    <w:rsid w:val="0044556F"/>
    <w:rsid w:val="00445943"/>
    <w:rsid w:val="00447741"/>
    <w:rsid w:val="00447ECB"/>
    <w:rsid w:val="004623F7"/>
    <w:rsid w:val="00471BED"/>
    <w:rsid w:val="00480F51"/>
    <w:rsid w:val="00481124"/>
    <w:rsid w:val="004815EB"/>
    <w:rsid w:val="00487569"/>
    <w:rsid w:val="00496864"/>
    <w:rsid w:val="00496920"/>
    <w:rsid w:val="004A424A"/>
    <w:rsid w:val="004A4496"/>
    <w:rsid w:val="004B0C6F"/>
    <w:rsid w:val="004B11AB"/>
    <w:rsid w:val="004B4364"/>
    <w:rsid w:val="004B7C9A"/>
    <w:rsid w:val="004C6779"/>
    <w:rsid w:val="004D733B"/>
    <w:rsid w:val="004E0DC4"/>
    <w:rsid w:val="004E0FB5"/>
    <w:rsid w:val="004E43BB"/>
    <w:rsid w:val="004E460D"/>
    <w:rsid w:val="004F178E"/>
    <w:rsid w:val="004F4543"/>
    <w:rsid w:val="004F57BB"/>
    <w:rsid w:val="00505309"/>
    <w:rsid w:val="0050789B"/>
    <w:rsid w:val="00512081"/>
    <w:rsid w:val="005224A1"/>
    <w:rsid w:val="00534372"/>
    <w:rsid w:val="00543DF8"/>
    <w:rsid w:val="00544DE3"/>
    <w:rsid w:val="00546101"/>
    <w:rsid w:val="00553DD7"/>
    <w:rsid w:val="00561B07"/>
    <w:rsid w:val="005638CF"/>
    <w:rsid w:val="0056741E"/>
    <w:rsid w:val="00570C6A"/>
    <w:rsid w:val="005712D7"/>
    <w:rsid w:val="0057325A"/>
    <w:rsid w:val="0057469A"/>
    <w:rsid w:val="00580814"/>
    <w:rsid w:val="00583A0B"/>
    <w:rsid w:val="005A006F"/>
    <w:rsid w:val="005A03A3"/>
    <w:rsid w:val="005A2B92"/>
    <w:rsid w:val="005A3F66"/>
    <w:rsid w:val="005A79E9"/>
    <w:rsid w:val="005B214C"/>
    <w:rsid w:val="005B4CDA"/>
    <w:rsid w:val="005D3669"/>
    <w:rsid w:val="005E5EB3"/>
    <w:rsid w:val="005F3CB6"/>
    <w:rsid w:val="005F567C"/>
    <w:rsid w:val="005F657C"/>
    <w:rsid w:val="00602D53"/>
    <w:rsid w:val="006047E5"/>
    <w:rsid w:val="006060B5"/>
    <w:rsid w:val="006314D1"/>
    <w:rsid w:val="0064371D"/>
    <w:rsid w:val="00650543"/>
    <w:rsid w:val="00650B2A"/>
    <w:rsid w:val="00650B4C"/>
    <w:rsid w:val="00651777"/>
    <w:rsid w:val="006550F8"/>
    <w:rsid w:val="006829F3"/>
    <w:rsid w:val="00697666"/>
    <w:rsid w:val="006A518B"/>
    <w:rsid w:val="006B0590"/>
    <w:rsid w:val="006B49DA"/>
    <w:rsid w:val="006C1A20"/>
    <w:rsid w:val="006C53F8"/>
    <w:rsid w:val="006C7CDE"/>
    <w:rsid w:val="006F0AAB"/>
    <w:rsid w:val="0070305C"/>
    <w:rsid w:val="007234B1"/>
    <w:rsid w:val="00723D08"/>
    <w:rsid w:val="00725FDA"/>
    <w:rsid w:val="00727816"/>
    <w:rsid w:val="00730B9A"/>
    <w:rsid w:val="00750CFA"/>
    <w:rsid w:val="007553DA"/>
    <w:rsid w:val="007622BB"/>
    <w:rsid w:val="007713E1"/>
    <w:rsid w:val="00775DB8"/>
    <w:rsid w:val="00782354"/>
    <w:rsid w:val="0078469A"/>
    <w:rsid w:val="0078785A"/>
    <w:rsid w:val="007921A7"/>
    <w:rsid w:val="007B3DB1"/>
    <w:rsid w:val="007B68E5"/>
    <w:rsid w:val="007D183E"/>
    <w:rsid w:val="007D43D0"/>
    <w:rsid w:val="007D5E2F"/>
    <w:rsid w:val="007E1833"/>
    <w:rsid w:val="007E2EBA"/>
    <w:rsid w:val="007E2F0F"/>
    <w:rsid w:val="007E3F13"/>
    <w:rsid w:val="007F751A"/>
    <w:rsid w:val="00800012"/>
    <w:rsid w:val="0080261F"/>
    <w:rsid w:val="00806160"/>
    <w:rsid w:val="008143A4"/>
    <w:rsid w:val="0081513E"/>
    <w:rsid w:val="008306DA"/>
    <w:rsid w:val="00854131"/>
    <w:rsid w:val="0085652D"/>
    <w:rsid w:val="00866C6C"/>
    <w:rsid w:val="0087694B"/>
    <w:rsid w:val="00880F4D"/>
    <w:rsid w:val="008817EA"/>
    <w:rsid w:val="0088301C"/>
    <w:rsid w:val="00896AA8"/>
    <w:rsid w:val="008B1583"/>
    <w:rsid w:val="008B35A3"/>
    <w:rsid w:val="008B37E1"/>
    <w:rsid w:val="008B45F8"/>
    <w:rsid w:val="008C04BF"/>
    <w:rsid w:val="008C2E74"/>
    <w:rsid w:val="008D2B97"/>
    <w:rsid w:val="008D5409"/>
    <w:rsid w:val="008E006D"/>
    <w:rsid w:val="008E38B4"/>
    <w:rsid w:val="008E7262"/>
    <w:rsid w:val="008F4F21"/>
    <w:rsid w:val="00904D4A"/>
    <w:rsid w:val="009076D7"/>
    <w:rsid w:val="009151BA"/>
    <w:rsid w:val="00925023"/>
    <w:rsid w:val="009277BC"/>
    <w:rsid w:val="00927D57"/>
    <w:rsid w:val="00931A51"/>
    <w:rsid w:val="00940449"/>
    <w:rsid w:val="00947185"/>
    <w:rsid w:val="009518B3"/>
    <w:rsid w:val="00957525"/>
    <w:rsid w:val="00963D9D"/>
    <w:rsid w:val="0098013E"/>
    <w:rsid w:val="00980F19"/>
    <w:rsid w:val="00981B54"/>
    <w:rsid w:val="009842C3"/>
    <w:rsid w:val="00996684"/>
    <w:rsid w:val="0099694D"/>
    <w:rsid w:val="009A009A"/>
    <w:rsid w:val="009A6BB6"/>
    <w:rsid w:val="009B3F43"/>
    <w:rsid w:val="009B5AB4"/>
    <w:rsid w:val="009B5CFA"/>
    <w:rsid w:val="009C161F"/>
    <w:rsid w:val="009C56B4"/>
    <w:rsid w:val="009C6A12"/>
    <w:rsid w:val="009D51A2"/>
    <w:rsid w:val="009E04A8"/>
    <w:rsid w:val="009E4AEC"/>
    <w:rsid w:val="009E5BD8"/>
    <w:rsid w:val="009E681E"/>
    <w:rsid w:val="00A06978"/>
    <w:rsid w:val="00A119E6"/>
    <w:rsid w:val="00A15680"/>
    <w:rsid w:val="00A20FBC"/>
    <w:rsid w:val="00A31370"/>
    <w:rsid w:val="00A34D6F"/>
    <w:rsid w:val="00A41F91"/>
    <w:rsid w:val="00A63355"/>
    <w:rsid w:val="00A73E69"/>
    <w:rsid w:val="00A7596D"/>
    <w:rsid w:val="00A963DF"/>
    <w:rsid w:val="00AC0C22"/>
    <w:rsid w:val="00AC3896"/>
    <w:rsid w:val="00AD2CF2"/>
    <w:rsid w:val="00AE2D88"/>
    <w:rsid w:val="00AE6F6F"/>
    <w:rsid w:val="00AF3325"/>
    <w:rsid w:val="00AF34D9"/>
    <w:rsid w:val="00AF70DA"/>
    <w:rsid w:val="00B019D3"/>
    <w:rsid w:val="00B13B14"/>
    <w:rsid w:val="00B21284"/>
    <w:rsid w:val="00B34CF9"/>
    <w:rsid w:val="00B37559"/>
    <w:rsid w:val="00B4054B"/>
    <w:rsid w:val="00B468BE"/>
    <w:rsid w:val="00B52233"/>
    <w:rsid w:val="00B579B0"/>
    <w:rsid w:val="00B57D11"/>
    <w:rsid w:val="00B61A1B"/>
    <w:rsid w:val="00B649D7"/>
    <w:rsid w:val="00B71F17"/>
    <w:rsid w:val="00B80971"/>
    <w:rsid w:val="00B81C2F"/>
    <w:rsid w:val="00B90743"/>
    <w:rsid w:val="00B90C45"/>
    <w:rsid w:val="00B933BE"/>
    <w:rsid w:val="00BA360F"/>
    <w:rsid w:val="00BB5AFC"/>
    <w:rsid w:val="00BD6738"/>
    <w:rsid w:val="00BD7E5E"/>
    <w:rsid w:val="00BE63DB"/>
    <w:rsid w:val="00BE6574"/>
    <w:rsid w:val="00BF5B07"/>
    <w:rsid w:val="00C07319"/>
    <w:rsid w:val="00C16FD2"/>
    <w:rsid w:val="00C4395E"/>
    <w:rsid w:val="00C47FFD"/>
    <w:rsid w:val="00C51E92"/>
    <w:rsid w:val="00C52D40"/>
    <w:rsid w:val="00C57E2C"/>
    <w:rsid w:val="00C608B7"/>
    <w:rsid w:val="00C66F24"/>
    <w:rsid w:val="00C76D7F"/>
    <w:rsid w:val="00C80339"/>
    <w:rsid w:val="00C813AA"/>
    <w:rsid w:val="00C9291E"/>
    <w:rsid w:val="00CA2972"/>
    <w:rsid w:val="00CA3F44"/>
    <w:rsid w:val="00CA4E58"/>
    <w:rsid w:val="00CA7D44"/>
    <w:rsid w:val="00CB10AF"/>
    <w:rsid w:val="00CB3771"/>
    <w:rsid w:val="00CB44BF"/>
    <w:rsid w:val="00CB5153"/>
    <w:rsid w:val="00CC38BC"/>
    <w:rsid w:val="00CC5DB0"/>
    <w:rsid w:val="00CE076A"/>
    <w:rsid w:val="00CE463D"/>
    <w:rsid w:val="00D10BA0"/>
    <w:rsid w:val="00D14BF6"/>
    <w:rsid w:val="00D14C9B"/>
    <w:rsid w:val="00D21694"/>
    <w:rsid w:val="00D24EB5"/>
    <w:rsid w:val="00D35AB9"/>
    <w:rsid w:val="00D41571"/>
    <w:rsid w:val="00D416A0"/>
    <w:rsid w:val="00D45771"/>
    <w:rsid w:val="00D47672"/>
    <w:rsid w:val="00D5123C"/>
    <w:rsid w:val="00D55560"/>
    <w:rsid w:val="00D57CED"/>
    <w:rsid w:val="00D61C5A"/>
    <w:rsid w:val="00D6790C"/>
    <w:rsid w:val="00D73277"/>
    <w:rsid w:val="00D76586"/>
    <w:rsid w:val="00D77836"/>
    <w:rsid w:val="00D82657"/>
    <w:rsid w:val="00D83E57"/>
    <w:rsid w:val="00D85774"/>
    <w:rsid w:val="00D87E20"/>
    <w:rsid w:val="00DA1979"/>
    <w:rsid w:val="00DA4037"/>
    <w:rsid w:val="00DC121E"/>
    <w:rsid w:val="00DE66A5"/>
    <w:rsid w:val="00DE7B14"/>
    <w:rsid w:val="00DF030F"/>
    <w:rsid w:val="00DF2B50"/>
    <w:rsid w:val="00E01059"/>
    <w:rsid w:val="00E04C86"/>
    <w:rsid w:val="00E17344"/>
    <w:rsid w:val="00E20C70"/>
    <w:rsid w:val="00E20F30"/>
    <w:rsid w:val="00E2189C"/>
    <w:rsid w:val="00E25BB1"/>
    <w:rsid w:val="00E27BBA"/>
    <w:rsid w:val="00E30E3F"/>
    <w:rsid w:val="00E35E8F"/>
    <w:rsid w:val="00E41290"/>
    <w:rsid w:val="00E428AB"/>
    <w:rsid w:val="00E438E8"/>
    <w:rsid w:val="00E453A3"/>
    <w:rsid w:val="00E50754"/>
    <w:rsid w:val="00E520E2"/>
    <w:rsid w:val="00E530C4"/>
    <w:rsid w:val="00E53DCE"/>
    <w:rsid w:val="00E55996"/>
    <w:rsid w:val="00E64254"/>
    <w:rsid w:val="00E67928"/>
    <w:rsid w:val="00E70FB5"/>
    <w:rsid w:val="00E80EB5"/>
    <w:rsid w:val="00E8238E"/>
    <w:rsid w:val="00E915AF"/>
    <w:rsid w:val="00E96415"/>
    <w:rsid w:val="00EA15B3"/>
    <w:rsid w:val="00EB0A3F"/>
    <w:rsid w:val="00EB2358"/>
    <w:rsid w:val="00EB31DF"/>
    <w:rsid w:val="00EB3EB8"/>
    <w:rsid w:val="00EC00EF"/>
    <w:rsid w:val="00EC02FE"/>
    <w:rsid w:val="00EC4A96"/>
    <w:rsid w:val="00EE03A0"/>
    <w:rsid w:val="00EE38B2"/>
    <w:rsid w:val="00F424BF"/>
    <w:rsid w:val="00F44FC3"/>
    <w:rsid w:val="00F46107"/>
    <w:rsid w:val="00F468C5"/>
    <w:rsid w:val="00F52F39"/>
    <w:rsid w:val="00F54DF8"/>
    <w:rsid w:val="00F6184F"/>
    <w:rsid w:val="00F8310E"/>
    <w:rsid w:val="00F904D5"/>
    <w:rsid w:val="00F914DD"/>
    <w:rsid w:val="00FA2358"/>
    <w:rsid w:val="00FB2592"/>
    <w:rsid w:val="00FB2810"/>
    <w:rsid w:val="00FB7A2C"/>
    <w:rsid w:val="00FC2947"/>
    <w:rsid w:val="00FE0785"/>
    <w:rsid w:val="00FE0818"/>
    <w:rsid w:val="00FE2F7B"/>
    <w:rsid w:val="00FE3532"/>
    <w:rsid w:val="00FE6FB1"/>
    <w:rsid w:val="00FF33EF"/>
    <w:rsid w:val="00FF58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hfbc-2">
    <w:name w:val="hfbc-2"/>
    <w:basedOn w:val="Normal"/>
    <w:rsid w:val="003A5A3B"/>
    <w:pPr>
      <w:tabs>
        <w:tab w:val="clear" w:pos="794"/>
        <w:tab w:val="clear" w:pos="1191"/>
        <w:tab w:val="clear" w:pos="1588"/>
        <w:tab w:val="clear" w:pos="1985"/>
        <w:tab w:val="left" w:pos="850"/>
        <w:tab w:val="left" w:pos="6803"/>
        <w:tab w:val="left" w:pos="7087"/>
      </w:tabs>
      <w:spacing w:before="0" w:line="240" w:lineRule="auto"/>
    </w:pPr>
    <w:rPr>
      <w:rFonts w:ascii="Univers (WN)" w:eastAsia="Times New Roman" w:hAnsi="Univers (WN)" w:cs="Times New Roman"/>
      <w:sz w:val="20"/>
      <w:szCs w:val="20"/>
      <w:lang w:val="en-GB"/>
    </w:rPr>
  </w:style>
  <w:style w:type="paragraph" w:customStyle="1" w:styleId="AnnexNotitle0">
    <w:name w:val="Annex_No &amp; title"/>
    <w:basedOn w:val="Normal"/>
    <w:next w:val="Normalaftertitle"/>
    <w:rsid w:val="003A5A3B"/>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3A5A3B"/>
    <w:pPr>
      <w:tabs>
        <w:tab w:val="clear" w:pos="794"/>
        <w:tab w:val="clear" w:pos="1191"/>
        <w:tab w:val="left" w:pos="1134"/>
      </w:tabs>
      <w:spacing w:before="120" w:line="240" w:lineRule="auto"/>
      <w:jc w:val="left"/>
    </w:pPr>
    <w:rPr>
      <w:rFonts w:ascii="Times New Roman" w:eastAsia="Times New Roman" w:hAnsi="Times New Roman" w:cs="Times New Roman"/>
      <w:sz w:val="24"/>
      <w:szCs w:val="20"/>
      <w:lang w:val="en-GB"/>
    </w:rPr>
  </w:style>
  <w:style w:type="character" w:customStyle="1" w:styleId="Artref">
    <w:name w:val="Art_ref"/>
    <w:basedOn w:val="DefaultParagraphFont"/>
    <w:rsid w:val="00D14C9B"/>
  </w:style>
  <w:style w:type="character" w:customStyle="1" w:styleId="FootnoteTextChar">
    <w:name w:val="Footnote Text Char"/>
    <w:basedOn w:val="DefaultParagraphFont"/>
    <w:link w:val="FootnoteText"/>
    <w:rsid w:val="00D14C9B"/>
    <w:rPr>
      <w:szCs w:val="22"/>
      <w:lang w:val="en-US" w:eastAsia="en-US"/>
    </w:rPr>
  </w:style>
  <w:style w:type="character" w:customStyle="1" w:styleId="Heading1Char">
    <w:name w:val="Heading 1 Char"/>
    <w:link w:val="Heading1"/>
    <w:rsid w:val="00D14C9B"/>
    <w:rPr>
      <w:b/>
      <w:sz w:val="24"/>
      <w:szCs w:val="22"/>
      <w:lang w:val="en-US" w:eastAsia="en-US"/>
    </w:rPr>
  </w:style>
  <w:style w:type="character" w:customStyle="1" w:styleId="Heading2Char">
    <w:name w:val="Heading 2 Char"/>
    <w:link w:val="Heading2"/>
    <w:rsid w:val="00D14C9B"/>
    <w:rPr>
      <w:b/>
      <w:sz w:val="24"/>
      <w:szCs w:val="22"/>
      <w:lang w:val="en-US" w:eastAsia="en-US"/>
    </w:rPr>
  </w:style>
  <w:style w:type="character" w:customStyle="1" w:styleId="Heading8Char">
    <w:name w:val="Heading 8 Char"/>
    <w:link w:val="Heading8"/>
    <w:rsid w:val="00D14C9B"/>
    <w:rPr>
      <w:b/>
      <w:sz w:val="24"/>
      <w:szCs w:val="22"/>
      <w:lang w:val="en-US" w:eastAsia="en-US"/>
    </w:rPr>
  </w:style>
  <w:style w:type="paragraph" w:customStyle="1" w:styleId="Annextitle">
    <w:name w:val="Annex_title"/>
    <w:basedOn w:val="Normal"/>
    <w:next w:val="Normal"/>
    <w:rsid w:val="00D14C9B"/>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table" w:customStyle="1" w:styleId="TableGrid1">
    <w:name w:val="Table Grid1"/>
    <w:basedOn w:val="TableNormal"/>
    <w:next w:val="TableGrid"/>
    <w:uiPriority w:val="59"/>
    <w:rsid w:val="00D14C9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14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1140E5"/>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hfbc-2">
    <w:name w:val="hfbc-2"/>
    <w:basedOn w:val="Normal"/>
    <w:rsid w:val="003A5A3B"/>
    <w:pPr>
      <w:tabs>
        <w:tab w:val="clear" w:pos="794"/>
        <w:tab w:val="clear" w:pos="1191"/>
        <w:tab w:val="clear" w:pos="1588"/>
        <w:tab w:val="clear" w:pos="1985"/>
        <w:tab w:val="left" w:pos="850"/>
        <w:tab w:val="left" w:pos="6803"/>
        <w:tab w:val="left" w:pos="7087"/>
      </w:tabs>
      <w:spacing w:before="0" w:line="240" w:lineRule="auto"/>
    </w:pPr>
    <w:rPr>
      <w:rFonts w:ascii="Univers (WN)" w:eastAsia="Times New Roman" w:hAnsi="Univers (WN)" w:cs="Times New Roman"/>
      <w:sz w:val="20"/>
      <w:szCs w:val="20"/>
      <w:lang w:val="en-GB"/>
    </w:rPr>
  </w:style>
  <w:style w:type="paragraph" w:customStyle="1" w:styleId="AnnexNotitle0">
    <w:name w:val="Annex_No &amp; title"/>
    <w:basedOn w:val="Normal"/>
    <w:next w:val="Normalaftertitle"/>
    <w:rsid w:val="003A5A3B"/>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3A5A3B"/>
    <w:pPr>
      <w:tabs>
        <w:tab w:val="clear" w:pos="794"/>
        <w:tab w:val="clear" w:pos="1191"/>
        <w:tab w:val="left" w:pos="1134"/>
      </w:tabs>
      <w:spacing w:before="120" w:line="240" w:lineRule="auto"/>
      <w:jc w:val="left"/>
    </w:pPr>
    <w:rPr>
      <w:rFonts w:ascii="Times New Roman" w:eastAsia="Times New Roman" w:hAnsi="Times New Roman" w:cs="Times New Roman"/>
      <w:sz w:val="24"/>
      <w:szCs w:val="20"/>
      <w:lang w:val="en-GB"/>
    </w:rPr>
  </w:style>
  <w:style w:type="character" w:customStyle="1" w:styleId="Artref">
    <w:name w:val="Art_ref"/>
    <w:basedOn w:val="DefaultParagraphFont"/>
    <w:rsid w:val="00D14C9B"/>
  </w:style>
  <w:style w:type="character" w:customStyle="1" w:styleId="FootnoteTextChar">
    <w:name w:val="Footnote Text Char"/>
    <w:basedOn w:val="DefaultParagraphFont"/>
    <w:link w:val="FootnoteText"/>
    <w:rsid w:val="00D14C9B"/>
    <w:rPr>
      <w:szCs w:val="22"/>
      <w:lang w:val="en-US" w:eastAsia="en-US"/>
    </w:rPr>
  </w:style>
  <w:style w:type="character" w:customStyle="1" w:styleId="Heading1Char">
    <w:name w:val="Heading 1 Char"/>
    <w:link w:val="Heading1"/>
    <w:rsid w:val="00D14C9B"/>
    <w:rPr>
      <w:b/>
      <w:sz w:val="24"/>
      <w:szCs w:val="22"/>
      <w:lang w:val="en-US" w:eastAsia="en-US"/>
    </w:rPr>
  </w:style>
  <w:style w:type="character" w:customStyle="1" w:styleId="Heading2Char">
    <w:name w:val="Heading 2 Char"/>
    <w:link w:val="Heading2"/>
    <w:rsid w:val="00D14C9B"/>
    <w:rPr>
      <w:b/>
      <w:sz w:val="24"/>
      <w:szCs w:val="22"/>
      <w:lang w:val="en-US" w:eastAsia="en-US"/>
    </w:rPr>
  </w:style>
  <w:style w:type="character" w:customStyle="1" w:styleId="Heading8Char">
    <w:name w:val="Heading 8 Char"/>
    <w:link w:val="Heading8"/>
    <w:rsid w:val="00D14C9B"/>
    <w:rPr>
      <w:b/>
      <w:sz w:val="24"/>
      <w:szCs w:val="22"/>
      <w:lang w:val="en-US" w:eastAsia="en-US"/>
    </w:rPr>
  </w:style>
  <w:style w:type="paragraph" w:customStyle="1" w:styleId="Annextitle">
    <w:name w:val="Annex_title"/>
    <w:basedOn w:val="Normal"/>
    <w:next w:val="Normal"/>
    <w:rsid w:val="00D14C9B"/>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table" w:customStyle="1" w:styleId="TableGrid1">
    <w:name w:val="Table Grid1"/>
    <w:basedOn w:val="TableNormal"/>
    <w:next w:val="TableGrid"/>
    <w:uiPriority w:val="59"/>
    <w:rsid w:val="00D14C9B"/>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14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1140E5"/>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3F6C-AAD5-4910-BB77-EF786453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newBRcirc.dotx</Template>
  <TotalTime>0</TotalTime>
  <Pages>3</Pages>
  <Words>2234</Words>
  <Characters>341</Characters>
  <Application>Microsoft Office Word</Application>
  <DocSecurity>0</DocSecurity>
  <Lines>2</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2570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Gozal, Karine</cp:lastModifiedBy>
  <cp:revision>2</cp:revision>
  <cp:lastPrinted>2014-05-02T08:47:00Z</cp:lastPrinted>
  <dcterms:created xsi:type="dcterms:W3CDTF">2014-05-02T08:47:00Z</dcterms:created>
  <dcterms:modified xsi:type="dcterms:W3CDTF">2014-05-02T08:47:00Z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