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E46867" w:rsidTr="006160CB">
        <w:tc>
          <w:tcPr>
            <w:tcW w:w="9889" w:type="dxa"/>
            <w:gridSpan w:val="3"/>
            <w:shd w:val="clear" w:color="auto" w:fill="auto"/>
          </w:tcPr>
          <w:p w:rsidR="00E53DCE" w:rsidRPr="00E46867" w:rsidRDefault="00A96D3A" w:rsidP="006160CB">
            <w:pPr>
              <w:spacing w:before="0"/>
              <w:jc w:val="left"/>
              <w:rPr>
                <w:rFonts w:cstheme="minorHAnsi"/>
                <w:b/>
                <w:bCs/>
                <w:color w:val="808080"/>
                <w:sz w:val="28"/>
                <w:szCs w:val="28"/>
                <w:lang w:val="es-ES_tradnl"/>
              </w:rPr>
            </w:pPr>
            <w:r w:rsidRPr="00E46867">
              <w:rPr>
                <w:rFonts w:cstheme="minorHAnsi"/>
                <w:b/>
                <w:bCs/>
                <w:color w:val="808080"/>
                <w:sz w:val="28"/>
                <w:szCs w:val="28"/>
                <w:lang w:val="es-ES_tradnl"/>
              </w:rPr>
              <w:t>Oficina de Radiocomunicaciones (BR)</w:t>
            </w:r>
          </w:p>
          <w:p w:rsidR="00E53DCE" w:rsidRPr="00E46867" w:rsidRDefault="00E53DCE" w:rsidP="006160CB">
            <w:pPr>
              <w:spacing w:before="0"/>
              <w:jc w:val="left"/>
              <w:rPr>
                <w:rFonts w:cstheme="minorHAnsi"/>
                <w:b/>
                <w:bCs/>
                <w:color w:val="808080"/>
                <w:sz w:val="28"/>
                <w:szCs w:val="28"/>
                <w:lang w:val="es-ES_tradnl"/>
              </w:rPr>
            </w:pPr>
          </w:p>
          <w:p w:rsidR="00E53DCE" w:rsidRPr="00E46867" w:rsidRDefault="00E53DCE" w:rsidP="006160CB">
            <w:pPr>
              <w:spacing w:before="0"/>
              <w:jc w:val="left"/>
              <w:rPr>
                <w:rFonts w:cs="Times New Roman Bold"/>
                <w:b/>
                <w:bCs/>
                <w:color w:val="808080"/>
                <w:sz w:val="28"/>
                <w:szCs w:val="28"/>
                <w:lang w:val="es-ES_tradnl"/>
              </w:rPr>
            </w:pPr>
          </w:p>
        </w:tc>
      </w:tr>
      <w:tr w:rsidR="00E53DCE" w:rsidRPr="00E46867" w:rsidTr="006160CB">
        <w:tc>
          <w:tcPr>
            <w:tcW w:w="7054" w:type="dxa"/>
            <w:gridSpan w:val="2"/>
            <w:shd w:val="clear" w:color="auto" w:fill="auto"/>
          </w:tcPr>
          <w:p w:rsidR="00DA2FE0" w:rsidRDefault="00DA2FE0" w:rsidP="005C5C2C">
            <w:pPr>
              <w:spacing w:before="0"/>
              <w:jc w:val="left"/>
              <w:rPr>
                <w:b/>
                <w:bCs/>
                <w:szCs w:val="24"/>
                <w:lang w:val="es-ES_tradnl"/>
              </w:rPr>
            </w:pPr>
          </w:p>
          <w:p w:rsidR="00DA2FE0" w:rsidRPr="00DA2FE0" w:rsidRDefault="00DA2FE0" w:rsidP="005C5C2C">
            <w:pPr>
              <w:spacing w:before="0"/>
              <w:jc w:val="left"/>
              <w:rPr>
                <w:szCs w:val="24"/>
                <w:lang w:val="es-ES_tradnl"/>
              </w:rPr>
            </w:pPr>
            <w:r w:rsidRPr="00DA2FE0">
              <w:rPr>
                <w:szCs w:val="24"/>
                <w:lang w:val="es-ES_tradnl"/>
              </w:rPr>
              <w:t>Carta Circular</w:t>
            </w:r>
          </w:p>
          <w:p w:rsidR="00E53DCE" w:rsidRPr="00E46867" w:rsidRDefault="00E53DCE" w:rsidP="005C5C2C">
            <w:pPr>
              <w:spacing w:before="0"/>
              <w:jc w:val="left"/>
              <w:rPr>
                <w:b/>
                <w:bCs/>
                <w:szCs w:val="24"/>
                <w:lang w:val="es-ES_tradnl"/>
              </w:rPr>
            </w:pPr>
            <w:r w:rsidRPr="00E46867">
              <w:rPr>
                <w:b/>
                <w:bCs/>
                <w:szCs w:val="24"/>
                <w:lang w:val="es-ES_tradnl"/>
              </w:rPr>
              <w:t>C</w:t>
            </w:r>
            <w:r w:rsidR="005C5C2C" w:rsidRPr="00E46867">
              <w:rPr>
                <w:b/>
                <w:bCs/>
                <w:szCs w:val="24"/>
                <w:lang w:val="es-ES_tradnl"/>
              </w:rPr>
              <w:t>CRR</w:t>
            </w:r>
            <w:r w:rsidRPr="00E46867">
              <w:rPr>
                <w:b/>
                <w:bCs/>
                <w:szCs w:val="24"/>
                <w:lang w:val="es-ES_tradnl"/>
              </w:rPr>
              <w:t>/</w:t>
            </w:r>
            <w:r w:rsidR="005C5C2C" w:rsidRPr="00E46867">
              <w:rPr>
                <w:b/>
                <w:bCs/>
                <w:szCs w:val="24"/>
                <w:lang w:val="es-ES_tradnl"/>
              </w:rPr>
              <w:t>49</w:t>
            </w:r>
          </w:p>
        </w:tc>
        <w:tc>
          <w:tcPr>
            <w:tcW w:w="2835" w:type="dxa"/>
            <w:shd w:val="clear" w:color="auto" w:fill="auto"/>
          </w:tcPr>
          <w:p w:rsidR="00E53DCE" w:rsidRPr="00E46867" w:rsidRDefault="00A96D3A" w:rsidP="005C5C2C">
            <w:pPr>
              <w:spacing w:before="0"/>
              <w:jc w:val="right"/>
              <w:rPr>
                <w:szCs w:val="24"/>
                <w:lang w:val="es-ES_tradnl"/>
              </w:rPr>
            </w:pPr>
            <w:r w:rsidRPr="00E46867">
              <w:rPr>
                <w:bCs/>
                <w:szCs w:val="24"/>
                <w:lang w:val="es-ES_tradnl"/>
              </w:rPr>
              <w:t>1</w:t>
            </w:r>
            <w:r w:rsidR="005C5C2C" w:rsidRPr="00E46867">
              <w:rPr>
                <w:bCs/>
                <w:szCs w:val="24"/>
                <w:lang w:val="es-ES_tradnl"/>
              </w:rPr>
              <w:t>7</w:t>
            </w:r>
            <w:r w:rsidRPr="00E46867">
              <w:rPr>
                <w:bCs/>
                <w:szCs w:val="24"/>
                <w:lang w:val="es-ES_tradnl"/>
              </w:rPr>
              <w:t xml:space="preserve"> de </w:t>
            </w:r>
            <w:r w:rsidR="005C5C2C" w:rsidRPr="00E46867">
              <w:rPr>
                <w:bCs/>
                <w:szCs w:val="24"/>
                <w:lang w:val="es-ES_tradnl"/>
              </w:rPr>
              <w:t>septiembre</w:t>
            </w:r>
            <w:r w:rsidRPr="00E46867">
              <w:rPr>
                <w:bCs/>
                <w:szCs w:val="24"/>
                <w:lang w:val="es-ES_tradnl"/>
              </w:rPr>
              <w:t xml:space="preserve"> de 2013</w:t>
            </w:r>
          </w:p>
        </w:tc>
      </w:tr>
      <w:tr w:rsidR="00E53DCE" w:rsidRPr="00E46867" w:rsidTr="006160CB">
        <w:tc>
          <w:tcPr>
            <w:tcW w:w="9889" w:type="dxa"/>
            <w:gridSpan w:val="3"/>
            <w:shd w:val="clear" w:color="auto" w:fill="auto"/>
          </w:tcPr>
          <w:p w:rsidR="00E53DCE" w:rsidRPr="00E46867" w:rsidRDefault="00E53DCE" w:rsidP="006160CB">
            <w:pPr>
              <w:spacing w:before="0"/>
              <w:jc w:val="left"/>
              <w:rPr>
                <w:rFonts w:cs="Arial"/>
                <w:szCs w:val="24"/>
                <w:lang w:val="es-ES_tradnl"/>
              </w:rPr>
            </w:pPr>
          </w:p>
        </w:tc>
      </w:tr>
      <w:tr w:rsidR="00E53DCE" w:rsidRPr="00E46867" w:rsidTr="006160CB">
        <w:tc>
          <w:tcPr>
            <w:tcW w:w="9889" w:type="dxa"/>
            <w:gridSpan w:val="3"/>
            <w:shd w:val="clear" w:color="auto" w:fill="auto"/>
          </w:tcPr>
          <w:p w:rsidR="00E53DCE" w:rsidRPr="00E46867" w:rsidRDefault="00E53DCE" w:rsidP="006160CB">
            <w:pPr>
              <w:spacing w:before="0"/>
              <w:jc w:val="left"/>
              <w:rPr>
                <w:szCs w:val="24"/>
                <w:lang w:val="es-ES_tradnl"/>
              </w:rPr>
            </w:pPr>
          </w:p>
        </w:tc>
      </w:tr>
      <w:tr w:rsidR="00E53DCE" w:rsidRPr="00D958DA" w:rsidTr="006160CB">
        <w:tc>
          <w:tcPr>
            <w:tcW w:w="9889" w:type="dxa"/>
            <w:gridSpan w:val="3"/>
            <w:shd w:val="clear" w:color="auto" w:fill="auto"/>
          </w:tcPr>
          <w:p w:rsidR="00E53DCE" w:rsidRPr="00E46867" w:rsidRDefault="00FE4822" w:rsidP="006160CB">
            <w:pPr>
              <w:spacing w:before="0"/>
              <w:jc w:val="left"/>
              <w:rPr>
                <w:b/>
                <w:bCs/>
                <w:szCs w:val="24"/>
                <w:lang w:val="es-ES_tradnl"/>
              </w:rPr>
            </w:pPr>
            <w:r w:rsidRPr="00E46867">
              <w:rPr>
                <w:b/>
                <w:szCs w:val="24"/>
                <w:lang w:val="es-ES_tradnl"/>
              </w:rPr>
              <w:t>A las Administraciones de los Estados Miembros de la UIT</w:t>
            </w:r>
          </w:p>
          <w:p w:rsidR="00E53DCE" w:rsidRPr="00E46867" w:rsidRDefault="00E53DCE" w:rsidP="006160CB">
            <w:pPr>
              <w:spacing w:before="0"/>
              <w:jc w:val="left"/>
              <w:rPr>
                <w:b/>
                <w:bCs/>
                <w:szCs w:val="24"/>
                <w:lang w:val="es-ES_tradnl"/>
              </w:rPr>
            </w:pPr>
          </w:p>
        </w:tc>
      </w:tr>
      <w:tr w:rsidR="00E53DCE" w:rsidRPr="00D958DA" w:rsidTr="006160CB">
        <w:tc>
          <w:tcPr>
            <w:tcW w:w="9889" w:type="dxa"/>
            <w:gridSpan w:val="3"/>
            <w:shd w:val="clear" w:color="auto" w:fill="auto"/>
          </w:tcPr>
          <w:p w:rsidR="00E53DCE" w:rsidRPr="00E46867" w:rsidRDefault="00E53DCE" w:rsidP="006160CB">
            <w:pPr>
              <w:spacing w:before="0"/>
              <w:jc w:val="left"/>
              <w:rPr>
                <w:szCs w:val="24"/>
                <w:lang w:val="es-ES_tradnl"/>
              </w:rPr>
            </w:pPr>
          </w:p>
        </w:tc>
      </w:tr>
      <w:tr w:rsidR="00E53DCE" w:rsidRPr="00D958DA" w:rsidTr="006160CB">
        <w:tc>
          <w:tcPr>
            <w:tcW w:w="9889" w:type="dxa"/>
            <w:gridSpan w:val="3"/>
            <w:shd w:val="clear" w:color="auto" w:fill="auto"/>
          </w:tcPr>
          <w:p w:rsidR="00E53DCE" w:rsidRPr="00E46867" w:rsidRDefault="00E53DCE" w:rsidP="006160CB">
            <w:pPr>
              <w:spacing w:before="0"/>
              <w:jc w:val="left"/>
              <w:rPr>
                <w:szCs w:val="24"/>
                <w:lang w:val="es-ES_tradnl"/>
              </w:rPr>
            </w:pPr>
          </w:p>
        </w:tc>
      </w:tr>
      <w:tr w:rsidR="00E53DCE" w:rsidRPr="00D958DA" w:rsidTr="00995EBA">
        <w:trPr>
          <w:trHeight w:val="397"/>
        </w:trPr>
        <w:tc>
          <w:tcPr>
            <w:tcW w:w="1526" w:type="dxa"/>
            <w:shd w:val="clear" w:color="auto" w:fill="auto"/>
          </w:tcPr>
          <w:p w:rsidR="00E53DCE" w:rsidRPr="00E46867" w:rsidRDefault="005C5C2C" w:rsidP="006160CB">
            <w:pPr>
              <w:tabs>
                <w:tab w:val="clear" w:pos="1588"/>
                <w:tab w:val="left" w:pos="1560"/>
              </w:tabs>
              <w:spacing w:before="0"/>
              <w:jc w:val="left"/>
              <w:rPr>
                <w:szCs w:val="24"/>
                <w:lang w:val="es-ES_tradnl"/>
              </w:rPr>
            </w:pPr>
            <w:r w:rsidRPr="00E46867">
              <w:rPr>
                <w:szCs w:val="24"/>
                <w:lang w:val="es-ES_tradnl"/>
              </w:rPr>
              <w:t>Asunto</w:t>
            </w:r>
            <w:r w:rsidR="00A96D3A" w:rsidRPr="00E46867">
              <w:rPr>
                <w:szCs w:val="24"/>
                <w:lang w:val="es-ES_tradnl"/>
              </w:rPr>
              <w:t>:</w:t>
            </w:r>
          </w:p>
        </w:tc>
        <w:tc>
          <w:tcPr>
            <w:tcW w:w="8363" w:type="dxa"/>
            <w:gridSpan w:val="2"/>
            <w:vMerge w:val="restart"/>
            <w:shd w:val="clear" w:color="auto" w:fill="auto"/>
          </w:tcPr>
          <w:p w:rsidR="00E53DCE" w:rsidRPr="00E46867" w:rsidRDefault="005C5C2C" w:rsidP="00995EBA">
            <w:pPr>
              <w:tabs>
                <w:tab w:val="clear" w:pos="1588"/>
                <w:tab w:val="left" w:pos="1560"/>
              </w:tabs>
              <w:spacing w:before="0"/>
              <w:jc w:val="left"/>
              <w:rPr>
                <w:b/>
                <w:bCs/>
                <w:szCs w:val="24"/>
                <w:lang w:val="es-ES_tradnl"/>
              </w:rPr>
            </w:pPr>
            <w:r w:rsidRPr="00E46867">
              <w:rPr>
                <w:b/>
                <w:bCs/>
                <w:szCs w:val="24"/>
                <w:lang w:val="es-ES_tradnl"/>
              </w:rPr>
              <w:t>Proyecto de Reglas de Procedimiento para contemplar las decisiones de la CMR</w:t>
            </w:r>
            <w:r w:rsidRPr="00E46867">
              <w:rPr>
                <w:b/>
                <w:bCs/>
                <w:szCs w:val="24"/>
                <w:lang w:val="es-ES_tradnl"/>
              </w:rPr>
              <w:noBreakHyphen/>
              <w:t>12 y Reglas existentes que pueden necesitar una actualización</w:t>
            </w:r>
          </w:p>
        </w:tc>
      </w:tr>
      <w:tr w:rsidR="00995EBA" w:rsidRPr="00D958DA" w:rsidTr="00995EBA">
        <w:trPr>
          <w:trHeight w:val="227"/>
        </w:trPr>
        <w:tc>
          <w:tcPr>
            <w:tcW w:w="1526" w:type="dxa"/>
            <w:shd w:val="clear" w:color="auto" w:fill="auto"/>
          </w:tcPr>
          <w:p w:rsidR="00995EBA" w:rsidRPr="00E46867" w:rsidRDefault="00995EBA"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995EBA" w:rsidRPr="00E46867" w:rsidRDefault="00995EBA" w:rsidP="006160CB">
            <w:pPr>
              <w:tabs>
                <w:tab w:val="clear" w:pos="1588"/>
                <w:tab w:val="left" w:pos="1560"/>
              </w:tabs>
              <w:spacing w:before="0"/>
              <w:rPr>
                <w:b/>
                <w:bCs/>
                <w:szCs w:val="24"/>
                <w:lang w:val="es-ES_tradnl"/>
              </w:rPr>
            </w:pPr>
          </w:p>
        </w:tc>
      </w:tr>
    </w:tbl>
    <w:p w:rsidR="00D958DA" w:rsidRDefault="00D958DA" w:rsidP="00995EBA">
      <w:pPr>
        <w:jc w:val="left"/>
        <w:rPr>
          <w:lang w:val="es-ES_tradnl"/>
        </w:rPr>
      </w:pPr>
    </w:p>
    <w:p w:rsidR="005C5C2C" w:rsidRPr="00E46867" w:rsidRDefault="005C5C2C" w:rsidP="00995EBA">
      <w:pPr>
        <w:jc w:val="left"/>
        <w:rPr>
          <w:lang w:val="es-ES_tradnl"/>
        </w:rPr>
      </w:pPr>
      <w:r w:rsidRPr="00E46867">
        <w:rPr>
          <w:lang w:val="es-ES_tradnl"/>
        </w:rPr>
        <w:t>En su 59ª reunión (14-18 de mayo de 2012), la Junta del Reglamento de Radiocomunicaciones estudió la repercusión de las decisiones adoptadas por la CMR-12 con respecto a las actuales Reglas de Procedimiento y estableció un calendario para el examen de los proyectos de Reglas de Procedimiento nuevas y modificadas a partir del documento presentado por la BR (ver Documento</w:t>
      </w:r>
      <w:r w:rsidR="00995EBA">
        <w:rPr>
          <w:lang w:val="es-ES_tradnl"/>
        </w:rPr>
        <w:t> </w:t>
      </w:r>
      <w:r w:rsidRPr="00E46867">
        <w:rPr>
          <w:lang w:val="es-ES_tradnl"/>
        </w:rPr>
        <w:t>RRB12-1/4) y otras contribuciones de los miembros de la Junta. La Junta encargó a la Oficina que procediese convenientemente, entendiéndose que dicho calendario podría posteriormente ajustarse en función de estudios adicionales (ver Revi</w:t>
      </w:r>
      <w:r w:rsidR="00995EBA">
        <w:rPr>
          <w:lang w:val="es-ES_tradnl"/>
        </w:rPr>
        <w:t>sión 7 al Documento RRB12</w:t>
      </w:r>
      <w:r w:rsidR="00995EBA">
        <w:rPr>
          <w:lang w:val="es-ES_tradnl"/>
        </w:rPr>
        <w:noBreakHyphen/>
        <w:t>1/4).</w:t>
      </w:r>
    </w:p>
    <w:p w:rsidR="005C5C2C" w:rsidRPr="00E46867" w:rsidRDefault="005C5C2C" w:rsidP="00995EBA">
      <w:pPr>
        <w:jc w:val="left"/>
        <w:rPr>
          <w:lang w:val="es-ES_tradnl"/>
        </w:rPr>
      </w:pPr>
      <w:r w:rsidRPr="00E46867">
        <w:rPr>
          <w:lang w:val="es-ES_tradnl"/>
        </w:rPr>
        <w:t>Por consiguiente, la Oficina ha preparado una cuarta serie de proyectos de Reglas de Procedimiento nuevas o modificadas en respuesta a las decisiones adoptadas por la CMR-12.</w:t>
      </w:r>
    </w:p>
    <w:p w:rsidR="005C5C2C" w:rsidRPr="00E46867" w:rsidRDefault="005C5C2C" w:rsidP="00995EBA">
      <w:pPr>
        <w:pStyle w:val="Normalaftertitle"/>
        <w:spacing w:before="120"/>
        <w:jc w:val="left"/>
        <w:rPr>
          <w:lang w:val="es-ES_tradnl"/>
        </w:rPr>
      </w:pPr>
      <w:r w:rsidRPr="00E46867">
        <w:rPr>
          <w:lang w:val="es-ES_tradnl"/>
        </w:rPr>
        <w:t xml:space="preserve">De conformidad con el número </w:t>
      </w:r>
      <w:r w:rsidRPr="00E46867">
        <w:rPr>
          <w:b/>
          <w:bCs/>
          <w:lang w:val="es-ES_tradnl"/>
        </w:rPr>
        <w:t>13.17</w:t>
      </w:r>
      <w:r w:rsidRPr="00E46867">
        <w:rPr>
          <w:lang w:val="es-ES_tradnl"/>
        </w:rPr>
        <w:t xml:space="preserve"> del Reglamento de Radiocomunicaciones, estos proyectos de Reglas de Procedimiento se presentan a las administraciones para que formulen comentarios antes de remitirlas a la RRB con arreglo al número </w:t>
      </w:r>
      <w:r w:rsidRPr="00E46867">
        <w:rPr>
          <w:b/>
          <w:bCs/>
          <w:lang w:val="es-ES_tradnl"/>
        </w:rPr>
        <w:t>13.14</w:t>
      </w:r>
      <w:r w:rsidRPr="00E46867">
        <w:rPr>
          <w:lang w:val="es-ES_tradnl"/>
        </w:rPr>
        <w:t xml:space="preserve">. Como se indica en el número </w:t>
      </w:r>
      <w:r w:rsidRPr="00E46867">
        <w:rPr>
          <w:b/>
          <w:bCs/>
          <w:lang w:val="es-ES_tradnl"/>
        </w:rPr>
        <w:t xml:space="preserve">13.12A </w:t>
      </w:r>
      <w:r w:rsidRPr="00E46867">
        <w:rPr>
          <w:i/>
          <w:iCs/>
          <w:lang w:val="es-ES_tradnl"/>
        </w:rPr>
        <w:t xml:space="preserve">d) </w:t>
      </w:r>
      <w:r w:rsidRPr="00E46867">
        <w:rPr>
          <w:lang w:val="es-ES_tradnl"/>
        </w:rPr>
        <w:t xml:space="preserve">del Reglamento de Radiocomunicaciones, todo comentario que desee formular se hará llegar a la Oficina el </w:t>
      </w:r>
      <w:r w:rsidRPr="00E46867">
        <w:rPr>
          <w:b/>
          <w:bCs/>
          <w:lang w:val="es-ES_tradnl"/>
        </w:rPr>
        <w:t xml:space="preserve">29 de octubre de 2013 </w:t>
      </w:r>
      <w:r w:rsidRPr="00E46867">
        <w:rPr>
          <w:lang w:val="es-ES_tradnl"/>
        </w:rPr>
        <w:t xml:space="preserve">a más tardar para que sea examinado en la 64ª reunión de la RRB, prevista del 27 de noviembre al 3 de diciembre de 2013. Los comentarios por correo electrónico deben enviarse a: </w:t>
      </w:r>
      <w:hyperlink r:id="rId9" w:history="1">
        <w:r w:rsidRPr="00E46867">
          <w:rPr>
            <w:color w:val="0000FF"/>
            <w:u w:val="single"/>
            <w:lang w:val="es-ES_tradnl"/>
          </w:rPr>
          <w:t>brmail@itu.int</w:t>
        </w:r>
      </w:hyperlink>
      <w:r w:rsidRPr="00E46867">
        <w:rPr>
          <w:lang w:val="es-ES_tradnl"/>
        </w:rPr>
        <w:t>.</w:t>
      </w:r>
    </w:p>
    <w:p w:rsidR="00031E64" w:rsidRDefault="00E53DCE" w:rsidP="003D3484">
      <w:pPr>
        <w:spacing w:before="1080" w:line="240" w:lineRule="auto"/>
        <w:jc w:val="left"/>
        <w:rPr>
          <w:szCs w:val="24"/>
          <w:lang w:val="es-ES_tradnl"/>
        </w:rPr>
      </w:pPr>
      <w:r w:rsidRPr="00E46867">
        <w:rPr>
          <w:szCs w:val="24"/>
          <w:lang w:val="es-ES_tradnl"/>
        </w:rPr>
        <w:t>François Rancy</w:t>
      </w:r>
      <w:r w:rsidRPr="00E46867">
        <w:rPr>
          <w:szCs w:val="24"/>
          <w:lang w:val="es-ES_tradnl"/>
        </w:rPr>
        <w:br/>
      </w:r>
      <w:r w:rsidR="00A96D3A" w:rsidRPr="00E46867">
        <w:rPr>
          <w:szCs w:val="24"/>
          <w:lang w:val="es-ES_tradnl"/>
        </w:rPr>
        <w:t>Director</w:t>
      </w:r>
    </w:p>
    <w:p w:rsidR="00D958DA" w:rsidRPr="00E46867" w:rsidRDefault="00D958DA" w:rsidP="00D958DA">
      <w:pPr>
        <w:spacing w:before="0" w:line="240" w:lineRule="auto"/>
        <w:jc w:val="left"/>
        <w:rPr>
          <w:szCs w:val="24"/>
          <w:lang w:val="es-ES_tradnl"/>
        </w:rPr>
      </w:pPr>
    </w:p>
    <w:p w:rsidR="005C5C2C" w:rsidRPr="00D958DA" w:rsidRDefault="005C5C2C" w:rsidP="00D958DA">
      <w:pPr>
        <w:tabs>
          <w:tab w:val="clear" w:pos="794"/>
          <w:tab w:val="clear" w:pos="1191"/>
          <w:tab w:val="clear" w:pos="1588"/>
          <w:tab w:val="clear" w:pos="1985"/>
          <w:tab w:val="center" w:pos="7088"/>
        </w:tabs>
        <w:spacing w:before="0" w:line="240" w:lineRule="auto"/>
        <w:jc w:val="left"/>
        <w:rPr>
          <w:b/>
          <w:bCs/>
          <w:lang w:val="es-ES_tradnl"/>
        </w:rPr>
      </w:pPr>
      <w:r w:rsidRPr="00D958DA">
        <w:rPr>
          <w:b/>
          <w:bCs/>
          <w:lang w:val="es-ES_tradnl"/>
        </w:rPr>
        <w:t>Anexo: 1</w:t>
      </w:r>
      <w:bookmarkStart w:id="0" w:name="_GoBack"/>
      <w:bookmarkEnd w:id="0"/>
    </w:p>
    <w:p w:rsidR="005C5C2C" w:rsidRPr="00E46867" w:rsidRDefault="005C5C2C" w:rsidP="003D3484">
      <w:pPr>
        <w:tabs>
          <w:tab w:val="clear" w:pos="794"/>
          <w:tab w:val="left" w:pos="284"/>
        </w:tabs>
        <w:spacing w:before="960" w:line="240" w:lineRule="auto"/>
        <w:jc w:val="left"/>
        <w:rPr>
          <w:b/>
          <w:bCs/>
          <w:sz w:val="16"/>
          <w:szCs w:val="16"/>
          <w:lang w:val="es-ES_tradnl"/>
        </w:rPr>
      </w:pPr>
      <w:r w:rsidRPr="00E46867">
        <w:rPr>
          <w:b/>
          <w:bCs/>
          <w:sz w:val="16"/>
          <w:szCs w:val="16"/>
          <w:lang w:val="es-ES_tradnl"/>
        </w:rPr>
        <w:t>Distribución:</w:t>
      </w:r>
    </w:p>
    <w:p w:rsidR="005C5C2C" w:rsidRPr="00E46867" w:rsidRDefault="005C5C2C" w:rsidP="003D3484">
      <w:pPr>
        <w:tabs>
          <w:tab w:val="clear" w:pos="794"/>
          <w:tab w:val="left" w:pos="284"/>
        </w:tabs>
        <w:spacing w:before="0" w:line="240" w:lineRule="auto"/>
        <w:jc w:val="left"/>
        <w:rPr>
          <w:sz w:val="16"/>
          <w:szCs w:val="16"/>
          <w:lang w:val="es-ES_tradnl"/>
        </w:rPr>
      </w:pPr>
      <w:r w:rsidRPr="00E46867">
        <w:rPr>
          <w:sz w:val="16"/>
          <w:szCs w:val="16"/>
          <w:lang w:val="es-ES_tradnl"/>
        </w:rPr>
        <w:t>–</w:t>
      </w:r>
      <w:r w:rsidRPr="00E46867">
        <w:rPr>
          <w:sz w:val="16"/>
          <w:szCs w:val="16"/>
          <w:lang w:val="es-ES_tradnl"/>
        </w:rPr>
        <w:tab/>
        <w:t>Administraciones de los Estados Miembros de la UIT</w:t>
      </w:r>
    </w:p>
    <w:p w:rsidR="005C5C2C" w:rsidRPr="00E46867" w:rsidRDefault="005C5C2C" w:rsidP="003D3484">
      <w:pPr>
        <w:tabs>
          <w:tab w:val="clear" w:pos="794"/>
          <w:tab w:val="left" w:pos="284"/>
        </w:tabs>
        <w:spacing w:before="0" w:line="240" w:lineRule="auto"/>
        <w:jc w:val="left"/>
        <w:rPr>
          <w:sz w:val="16"/>
          <w:szCs w:val="16"/>
          <w:lang w:val="es-ES_tradnl"/>
        </w:rPr>
      </w:pPr>
      <w:r w:rsidRPr="00E46867">
        <w:rPr>
          <w:sz w:val="16"/>
          <w:szCs w:val="16"/>
          <w:lang w:val="es-ES_tradnl"/>
        </w:rPr>
        <w:t>–</w:t>
      </w:r>
      <w:r w:rsidRPr="00E46867">
        <w:rPr>
          <w:sz w:val="16"/>
          <w:szCs w:val="16"/>
          <w:lang w:val="es-ES_tradnl"/>
        </w:rPr>
        <w:tab/>
        <w:t>Miembros de la Junta del Reglamento de Radiocomunicaciones</w:t>
      </w:r>
    </w:p>
    <w:p w:rsidR="005C5C2C" w:rsidRPr="00E46867" w:rsidRDefault="005C5C2C" w:rsidP="00995EBA">
      <w:pPr>
        <w:tabs>
          <w:tab w:val="clear" w:pos="794"/>
          <w:tab w:val="left" w:pos="284"/>
        </w:tabs>
        <w:spacing w:before="0"/>
        <w:jc w:val="left"/>
        <w:rPr>
          <w:sz w:val="16"/>
          <w:szCs w:val="16"/>
          <w:lang w:val="es-ES_tradnl"/>
        </w:rPr>
      </w:pPr>
      <w:bookmarkStart w:id="1" w:name="ddistribution"/>
      <w:bookmarkEnd w:id="1"/>
      <w:r w:rsidRPr="00E46867">
        <w:rPr>
          <w:lang w:val="es-ES_tradnl"/>
        </w:rPr>
        <w:br w:type="page"/>
      </w:r>
    </w:p>
    <w:p w:rsidR="00B23732" w:rsidRPr="00E46867" w:rsidRDefault="00B23732" w:rsidP="00E46867">
      <w:pPr>
        <w:pStyle w:val="AnnexNoTitle"/>
        <w:rPr>
          <w:lang w:val="es-ES_tradnl"/>
        </w:rPr>
      </w:pPr>
      <w:r w:rsidRPr="00E46867">
        <w:rPr>
          <w:lang w:val="es-ES_tradnl"/>
        </w:rPr>
        <w:lastRenderedPageBreak/>
        <w:t>ANEXO</w:t>
      </w:r>
    </w:p>
    <w:p w:rsidR="00B23732" w:rsidRPr="00D10C84" w:rsidRDefault="00B23732" w:rsidP="000D578A">
      <w:pPr>
        <w:pStyle w:val="Arttitle"/>
        <w:spacing w:before="480"/>
        <w:rPr>
          <w:sz w:val="24"/>
          <w:szCs w:val="24"/>
          <w:lang w:val="es-ES_tradnl"/>
        </w:rPr>
      </w:pPr>
      <w:r w:rsidRPr="00D10C84">
        <w:rPr>
          <w:sz w:val="24"/>
          <w:szCs w:val="24"/>
          <w:lang w:val="es-ES_tradnl"/>
        </w:rPr>
        <w:t>Reglas relativas al</w:t>
      </w:r>
      <w:r w:rsidR="00E46867" w:rsidRPr="00D10C84">
        <w:rPr>
          <w:sz w:val="24"/>
          <w:szCs w:val="24"/>
          <w:lang w:val="es-ES_tradnl"/>
        </w:rPr>
        <w:br/>
      </w:r>
      <w:r w:rsidRPr="00D10C84">
        <w:rPr>
          <w:sz w:val="24"/>
          <w:szCs w:val="24"/>
          <w:lang w:val="es-ES_tradnl"/>
        </w:rPr>
        <w:t>ART</w:t>
      </w:r>
      <w:r w:rsidR="00ED1A67" w:rsidRPr="00D10C84">
        <w:rPr>
          <w:sz w:val="24"/>
          <w:szCs w:val="24"/>
          <w:lang w:val="es-ES_tradnl"/>
        </w:rPr>
        <w:t>Í</w:t>
      </w:r>
      <w:r w:rsidRPr="00D10C84">
        <w:rPr>
          <w:sz w:val="24"/>
          <w:szCs w:val="24"/>
          <w:lang w:val="es-ES_tradnl"/>
        </w:rPr>
        <w:t>CULO 5 del RR</w:t>
      </w:r>
    </w:p>
    <w:p w:rsidR="00E46867" w:rsidRPr="00E46867" w:rsidRDefault="00E46867" w:rsidP="00995EBA">
      <w:pPr>
        <w:pStyle w:val="Proposal"/>
        <w:rPr>
          <w:b/>
          <w:bCs/>
          <w:sz w:val="24"/>
          <w:szCs w:val="24"/>
          <w:lang w:val="es-ES_tradnl"/>
        </w:rPr>
      </w:pPr>
      <w:r w:rsidRPr="00E46867">
        <w:rPr>
          <w:b/>
          <w:bCs/>
          <w:sz w:val="24"/>
          <w:szCs w:val="24"/>
          <w:lang w:val="es-ES_tradnl"/>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E46867" w:rsidRPr="003E706A" w:rsidTr="000D578A">
        <w:tc>
          <w:tcPr>
            <w:tcW w:w="1276" w:type="dxa"/>
            <w:tcBorders>
              <w:top w:val="double" w:sz="4" w:space="0" w:color="auto"/>
              <w:left w:val="double" w:sz="4" w:space="0" w:color="auto"/>
              <w:bottom w:val="double" w:sz="4" w:space="0" w:color="auto"/>
              <w:right w:val="double" w:sz="4" w:space="0" w:color="auto"/>
            </w:tcBorders>
            <w:hideMark/>
          </w:tcPr>
          <w:p w:rsidR="00E46867" w:rsidRPr="003E706A" w:rsidRDefault="00E46867" w:rsidP="00766841">
            <w:pPr>
              <w:spacing w:before="60"/>
              <w:jc w:val="left"/>
              <w:rPr>
                <w:b/>
                <w:bCs/>
                <w:szCs w:val="24"/>
                <w:lang w:val="es-ES_tradnl" w:eastAsia="zh-CN"/>
              </w:rPr>
            </w:pPr>
            <w:r w:rsidRPr="003E706A">
              <w:rPr>
                <w:b/>
                <w:bCs/>
                <w:szCs w:val="24"/>
                <w:lang w:val="es-ES_tradnl" w:eastAsia="zh-CN"/>
              </w:rPr>
              <w:t>5.132A</w:t>
            </w:r>
          </w:p>
        </w:tc>
      </w:tr>
    </w:tbl>
    <w:p w:rsidR="00B23732" w:rsidRPr="00E46867" w:rsidRDefault="00B23732" w:rsidP="00995EBA">
      <w:pPr>
        <w:jc w:val="left"/>
        <w:rPr>
          <w:lang w:val="es-ES_tradnl"/>
        </w:rPr>
      </w:pPr>
      <w:r w:rsidRPr="00E46867">
        <w:rPr>
          <w:lang w:val="es-ES_tradnl"/>
        </w:rPr>
        <w:t>E</w:t>
      </w:r>
      <w:r w:rsidR="00ED1A67" w:rsidRPr="00E46867">
        <w:rPr>
          <w:lang w:val="es-ES_tradnl"/>
        </w:rPr>
        <w:t>s</w:t>
      </w:r>
      <w:r w:rsidRPr="00E46867">
        <w:rPr>
          <w:lang w:val="es-ES_tradnl"/>
        </w:rPr>
        <w:t>ta disposic</w:t>
      </w:r>
      <w:r w:rsidR="00ED1A67" w:rsidRPr="00E46867">
        <w:rPr>
          <w:lang w:val="es-ES_tradnl"/>
        </w:rPr>
        <w:t>ión limita el servicio de radio</w:t>
      </w:r>
      <w:r w:rsidRPr="00E46867">
        <w:rPr>
          <w:lang w:val="es-ES_tradnl"/>
        </w:rPr>
        <w:t>localizaci</w:t>
      </w:r>
      <w:r w:rsidR="00ED1A67" w:rsidRPr="00E46867">
        <w:rPr>
          <w:lang w:val="es-ES_tradnl"/>
        </w:rPr>
        <w:t>ó</w:t>
      </w:r>
      <w:r w:rsidRPr="00E46867">
        <w:rPr>
          <w:lang w:val="es-ES_tradnl"/>
        </w:rPr>
        <w:t>n a los radares oceanogr</w:t>
      </w:r>
      <w:r w:rsidR="00ED1A67" w:rsidRPr="00E46867">
        <w:rPr>
          <w:lang w:val="es-ES_tradnl"/>
        </w:rPr>
        <w:t>á</w:t>
      </w:r>
      <w:r w:rsidRPr="00E46867">
        <w:rPr>
          <w:lang w:val="es-ES_tradnl"/>
        </w:rPr>
        <w:t>ficos que funci</w:t>
      </w:r>
      <w:r w:rsidR="00ED1A67" w:rsidRPr="00E46867">
        <w:rPr>
          <w:lang w:val="es-ES_tradnl"/>
        </w:rPr>
        <w:t>o</w:t>
      </w:r>
      <w:r w:rsidRPr="00E46867">
        <w:rPr>
          <w:lang w:val="es-ES_tradnl"/>
        </w:rPr>
        <w:t>nan de conformidad con la Resoluci</w:t>
      </w:r>
      <w:r w:rsidR="00ED1A67" w:rsidRPr="00E46867">
        <w:rPr>
          <w:lang w:val="es-ES_tradnl"/>
        </w:rPr>
        <w:t>ó</w:t>
      </w:r>
      <w:r w:rsidRPr="00E46867">
        <w:rPr>
          <w:lang w:val="es-ES_tradnl"/>
        </w:rPr>
        <w:t xml:space="preserve">n </w:t>
      </w:r>
      <w:r w:rsidRPr="00E46867">
        <w:rPr>
          <w:b/>
          <w:bCs/>
          <w:lang w:val="es-ES_tradnl"/>
        </w:rPr>
        <w:t>612 (</w:t>
      </w:r>
      <w:r w:rsidR="00ED1A67" w:rsidRPr="00E46867">
        <w:rPr>
          <w:b/>
          <w:bCs/>
          <w:lang w:val="es-ES_tradnl"/>
        </w:rPr>
        <w:t>R</w:t>
      </w:r>
      <w:r w:rsidRPr="00E46867">
        <w:rPr>
          <w:b/>
          <w:bCs/>
          <w:lang w:val="es-ES_tradnl"/>
        </w:rPr>
        <w:t>e</w:t>
      </w:r>
      <w:r w:rsidR="00ED1A67" w:rsidRPr="00E46867">
        <w:rPr>
          <w:b/>
          <w:bCs/>
          <w:lang w:val="es-ES_tradnl"/>
        </w:rPr>
        <w:t>v.</w:t>
      </w:r>
      <w:r w:rsidRPr="00E46867">
        <w:rPr>
          <w:b/>
          <w:bCs/>
          <w:lang w:val="es-ES_tradnl"/>
        </w:rPr>
        <w:t>CMR-12)</w:t>
      </w:r>
      <w:r w:rsidRPr="00E46867">
        <w:rPr>
          <w:lang w:val="es-ES_tradnl"/>
        </w:rPr>
        <w:t xml:space="preserve">. El </w:t>
      </w:r>
      <w:r w:rsidRPr="00E46867">
        <w:rPr>
          <w:i/>
          <w:iCs/>
          <w:lang w:val="es-ES_tradnl"/>
        </w:rPr>
        <w:t>resuelve</w:t>
      </w:r>
      <w:r w:rsidRPr="00E46867">
        <w:rPr>
          <w:lang w:val="es-ES_tradnl"/>
        </w:rPr>
        <w:t xml:space="preserve"> de es</w:t>
      </w:r>
      <w:r w:rsidR="00ED1A67" w:rsidRPr="00E46867">
        <w:rPr>
          <w:lang w:val="es-ES_tradnl"/>
        </w:rPr>
        <w:t>t</w:t>
      </w:r>
      <w:r w:rsidRPr="00E46867">
        <w:rPr>
          <w:lang w:val="es-ES_tradnl"/>
        </w:rPr>
        <w:t>a Resoluci</w:t>
      </w:r>
      <w:r w:rsidR="00ED1A67" w:rsidRPr="00E46867">
        <w:rPr>
          <w:lang w:val="es-ES_tradnl"/>
        </w:rPr>
        <w:t>ó</w:t>
      </w:r>
      <w:r w:rsidRPr="00E46867">
        <w:rPr>
          <w:lang w:val="es-ES_tradnl"/>
        </w:rPr>
        <w:t xml:space="preserve">n entra en la categoría de </w:t>
      </w:r>
      <w:r w:rsidR="00ED1A67" w:rsidRPr="00E46867">
        <w:rPr>
          <w:lang w:val="es-ES_tradnl"/>
        </w:rPr>
        <w:t>«</w:t>
      </w:r>
      <w:r w:rsidRPr="00E46867">
        <w:rPr>
          <w:lang w:val="es-ES_tradnl"/>
        </w:rPr>
        <w:t xml:space="preserve">las </w:t>
      </w:r>
      <w:r w:rsidR="00ED1A67" w:rsidRPr="00E46867">
        <w:rPr>
          <w:lang w:val="es-ES_tradnl"/>
        </w:rPr>
        <w:t>demá</w:t>
      </w:r>
      <w:r w:rsidRPr="00E46867">
        <w:rPr>
          <w:lang w:val="es-ES_tradnl"/>
        </w:rPr>
        <w:t>s disposiciones</w:t>
      </w:r>
      <w:r w:rsidR="00ED1A67" w:rsidRPr="00E46867">
        <w:rPr>
          <w:lang w:val="es-ES_tradnl"/>
        </w:rPr>
        <w:t>»</w:t>
      </w:r>
      <w:r w:rsidRPr="00E46867">
        <w:rPr>
          <w:lang w:val="es-ES_tradnl"/>
        </w:rPr>
        <w:t xml:space="preserve"> a las que se refiere el </w:t>
      </w:r>
      <w:r w:rsidR="0032521F">
        <w:rPr>
          <w:lang w:val="es-ES_tradnl"/>
        </w:rPr>
        <w:t>número</w:t>
      </w:r>
      <w:r w:rsidRPr="00E46867">
        <w:rPr>
          <w:lang w:val="es-ES_tradnl"/>
        </w:rPr>
        <w:t xml:space="preserve"> </w:t>
      </w:r>
      <w:r w:rsidRPr="0069024A">
        <w:rPr>
          <w:lang w:val="es-ES_tradnl"/>
        </w:rPr>
        <w:t>11.31</w:t>
      </w:r>
      <w:r w:rsidRPr="00E46867">
        <w:rPr>
          <w:lang w:val="es-ES_tradnl"/>
        </w:rPr>
        <w:t xml:space="preserve"> y est</w:t>
      </w:r>
      <w:r w:rsidR="00ED1A67" w:rsidRPr="00E46867">
        <w:rPr>
          <w:lang w:val="es-ES_tradnl"/>
        </w:rPr>
        <w:t>á</w:t>
      </w:r>
      <w:r w:rsidRPr="00E46867">
        <w:rPr>
          <w:lang w:val="es-ES_tradnl"/>
        </w:rPr>
        <w:t xml:space="preserve"> s</w:t>
      </w:r>
      <w:r w:rsidR="00ED1A67" w:rsidRPr="00E46867">
        <w:rPr>
          <w:lang w:val="es-ES_tradnl"/>
        </w:rPr>
        <w:t>u</w:t>
      </w:r>
      <w:r w:rsidRPr="00E46867">
        <w:rPr>
          <w:lang w:val="es-ES_tradnl"/>
        </w:rPr>
        <w:t>jet</w:t>
      </w:r>
      <w:r w:rsidR="00ED1A67" w:rsidRPr="00E46867">
        <w:rPr>
          <w:lang w:val="es-ES_tradnl"/>
        </w:rPr>
        <w:t>o</w:t>
      </w:r>
      <w:r w:rsidRPr="00E46867">
        <w:rPr>
          <w:lang w:val="es-ES_tradnl"/>
        </w:rPr>
        <w:t xml:space="preserve"> a examen por parte de la Oficina.</w:t>
      </w:r>
    </w:p>
    <w:p w:rsidR="00B23732" w:rsidRPr="00E46867" w:rsidRDefault="00B23732" w:rsidP="00995EBA">
      <w:pPr>
        <w:jc w:val="left"/>
        <w:rPr>
          <w:lang w:val="es-ES_tradnl"/>
        </w:rPr>
      </w:pPr>
      <w:r w:rsidRPr="00E46867">
        <w:rPr>
          <w:lang w:val="es-ES_tradnl"/>
        </w:rPr>
        <w:t xml:space="preserve">El </w:t>
      </w:r>
      <w:r w:rsidRPr="00E46867">
        <w:rPr>
          <w:i/>
          <w:iCs/>
          <w:lang w:val="es-ES_tradnl"/>
        </w:rPr>
        <w:t>resuelve</w:t>
      </w:r>
      <w:r w:rsidRPr="00E46867">
        <w:rPr>
          <w:lang w:val="es-ES_tradnl"/>
        </w:rPr>
        <w:t xml:space="preserve"> 6 de la Resoluci</w:t>
      </w:r>
      <w:r w:rsidR="00ED1A67" w:rsidRPr="00E46867">
        <w:rPr>
          <w:lang w:val="es-ES_tradnl"/>
        </w:rPr>
        <w:t>ó</w:t>
      </w:r>
      <w:r w:rsidRPr="00E46867">
        <w:rPr>
          <w:lang w:val="es-ES_tradnl"/>
        </w:rPr>
        <w:t xml:space="preserve">n </w:t>
      </w:r>
      <w:r w:rsidRPr="00E46867">
        <w:rPr>
          <w:b/>
          <w:bCs/>
          <w:lang w:val="es-ES_tradnl"/>
        </w:rPr>
        <w:t>612 (</w:t>
      </w:r>
      <w:r w:rsidR="00ED1A67" w:rsidRPr="00E46867">
        <w:rPr>
          <w:b/>
          <w:bCs/>
          <w:lang w:val="es-ES_tradnl"/>
        </w:rPr>
        <w:t>Rev.</w:t>
      </w:r>
      <w:r w:rsidRPr="00E46867">
        <w:rPr>
          <w:b/>
          <w:bCs/>
          <w:lang w:val="es-ES_tradnl"/>
        </w:rPr>
        <w:t>CMR-12)</w:t>
      </w:r>
      <w:r w:rsidRPr="00E46867">
        <w:rPr>
          <w:lang w:val="es-ES_tradnl"/>
        </w:rPr>
        <w:t xml:space="preserve"> </w:t>
      </w:r>
      <w:proofErr w:type="gramStart"/>
      <w:r w:rsidRPr="00E46867">
        <w:rPr>
          <w:lang w:val="es-ES_tradnl"/>
        </w:rPr>
        <w:t>especifica</w:t>
      </w:r>
      <w:proofErr w:type="gramEnd"/>
      <w:r w:rsidRPr="00E46867">
        <w:rPr>
          <w:lang w:val="es-ES_tradnl"/>
        </w:rPr>
        <w:t xml:space="preserve"> las distancias de separación que deben respetarse en los radares oceanográficos en </w:t>
      </w:r>
      <w:r w:rsidR="00ED1A67" w:rsidRPr="00E46867">
        <w:rPr>
          <w:lang w:val="es-ES_tradnl"/>
        </w:rPr>
        <w:t xml:space="preserve">las </w:t>
      </w:r>
      <w:r w:rsidRPr="00E46867">
        <w:rPr>
          <w:lang w:val="es-ES_tradnl"/>
        </w:rPr>
        <w:t xml:space="preserve">zonas </w:t>
      </w:r>
      <w:r w:rsidR="00ED1A67" w:rsidRPr="00E46867">
        <w:rPr>
          <w:lang w:val="es-ES_tradnl"/>
        </w:rPr>
        <w:t>«rural»</w:t>
      </w:r>
      <w:r w:rsidRPr="00E46867">
        <w:rPr>
          <w:lang w:val="es-ES_tradnl"/>
        </w:rPr>
        <w:t xml:space="preserve"> y </w:t>
      </w:r>
      <w:r w:rsidR="00ED1A67" w:rsidRPr="00E46867">
        <w:rPr>
          <w:lang w:val="es-ES_tradnl"/>
        </w:rPr>
        <w:t>«rural</w:t>
      </w:r>
      <w:r w:rsidRPr="00E46867">
        <w:rPr>
          <w:lang w:val="es-ES_tradnl"/>
        </w:rPr>
        <w:t xml:space="preserve"> </w:t>
      </w:r>
      <w:r w:rsidR="00ED1A67" w:rsidRPr="00E46867">
        <w:rPr>
          <w:lang w:val="es-ES_tradnl"/>
        </w:rPr>
        <w:t>tranquila»</w:t>
      </w:r>
      <w:r w:rsidRPr="00E46867">
        <w:rPr>
          <w:lang w:val="es-ES_tradnl"/>
        </w:rPr>
        <w:t xml:space="preserve"> para trayectos de propagación </w:t>
      </w:r>
      <w:r w:rsidR="00ED1A67" w:rsidRPr="00E46867">
        <w:rPr>
          <w:lang w:val="es-ES_tradnl"/>
        </w:rPr>
        <w:t>t</w:t>
      </w:r>
      <w:r w:rsidRPr="00E46867">
        <w:rPr>
          <w:lang w:val="es-ES_tradnl"/>
        </w:rPr>
        <w:t>err</w:t>
      </w:r>
      <w:r w:rsidR="00ED1A67" w:rsidRPr="00E46867">
        <w:rPr>
          <w:lang w:val="es-ES_tradnl"/>
        </w:rPr>
        <w:t>estres</w:t>
      </w:r>
      <w:r w:rsidRPr="00E46867">
        <w:rPr>
          <w:lang w:val="es-ES_tradnl"/>
        </w:rPr>
        <w:t>, mar</w:t>
      </w:r>
      <w:r w:rsidR="00ED1A67" w:rsidRPr="00E46867">
        <w:rPr>
          <w:lang w:val="es-ES_tradnl"/>
        </w:rPr>
        <w:t>ítimos</w:t>
      </w:r>
      <w:r w:rsidRPr="00E46867">
        <w:rPr>
          <w:lang w:val="es-ES_tradnl"/>
        </w:rPr>
        <w:t xml:space="preserve"> y </w:t>
      </w:r>
      <w:r w:rsidR="00E46867" w:rsidRPr="00E46867">
        <w:rPr>
          <w:lang w:val="es-ES_tradnl"/>
        </w:rPr>
        <w:t>mixtos</w:t>
      </w:r>
      <w:r w:rsidRPr="00E46867">
        <w:rPr>
          <w:lang w:val="es-ES_tradnl"/>
        </w:rPr>
        <w:t xml:space="preserve">, a menos que </w:t>
      </w:r>
      <w:r w:rsidR="0069024A">
        <w:rPr>
          <w:lang w:val="es-ES_tradnl"/>
        </w:rPr>
        <w:t>previamente haya</w:t>
      </w:r>
      <w:r w:rsidR="00ED1A67" w:rsidRPr="00E46867">
        <w:rPr>
          <w:lang w:val="es-ES_tradnl"/>
        </w:rPr>
        <w:t xml:space="preserve"> acuerdos explícitos de las adm</w:t>
      </w:r>
      <w:r w:rsidRPr="00E46867">
        <w:rPr>
          <w:lang w:val="es-ES_tradnl"/>
        </w:rPr>
        <w:t>i</w:t>
      </w:r>
      <w:r w:rsidR="00ED1A67" w:rsidRPr="00E46867">
        <w:rPr>
          <w:lang w:val="es-ES_tradnl"/>
        </w:rPr>
        <w:t>ni</w:t>
      </w:r>
      <w:r w:rsidRPr="00E46867">
        <w:rPr>
          <w:lang w:val="es-ES_tradnl"/>
        </w:rPr>
        <w:t xml:space="preserve">straciones afectadas. Con relación a las zonas </w:t>
      </w:r>
      <w:r w:rsidR="00ED1A67" w:rsidRPr="00E46867">
        <w:rPr>
          <w:lang w:val="es-ES_tradnl"/>
        </w:rPr>
        <w:t>«rural»</w:t>
      </w:r>
      <w:r w:rsidRPr="00E46867">
        <w:rPr>
          <w:lang w:val="es-ES_tradnl"/>
        </w:rPr>
        <w:t xml:space="preserve"> y </w:t>
      </w:r>
      <w:r w:rsidR="00ED1A67" w:rsidRPr="00E46867">
        <w:rPr>
          <w:lang w:val="es-ES_tradnl"/>
        </w:rPr>
        <w:t>«rural</w:t>
      </w:r>
      <w:r w:rsidRPr="00E46867">
        <w:rPr>
          <w:lang w:val="es-ES_tradnl"/>
        </w:rPr>
        <w:t xml:space="preserve"> </w:t>
      </w:r>
      <w:r w:rsidR="00ED1A67" w:rsidRPr="00E46867">
        <w:rPr>
          <w:lang w:val="es-ES_tradnl"/>
        </w:rPr>
        <w:t>tranquila»</w:t>
      </w:r>
      <w:r w:rsidRPr="00E46867">
        <w:rPr>
          <w:lang w:val="es-ES_tradnl"/>
        </w:rPr>
        <w:t xml:space="preserve">, la Oficina no tiene medios para identificar si las emisiones procedentes de radares oceanográficos alcanzan una zona </w:t>
      </w:r>
      <w:r w:rsidR="00ED1A67" w:rsidRPr="00E46867">
        <w:rPr>
          <w:lang w:val="es-ES_tradnl"/>
        </w:rPr>
        <w:t>«</w:t>
      </w:r>
      <w:r w:rsidRPr="00E46867">
        <w:rPr>
          <w:lang w:val="es-ES_tradnl"/>
        </w:rPr>
        <w:t>rural</w:t>
      </w:r>
      <w:r w:rsidR="00ED1A67" w:rsidRPr="00E46867">
        <w:rPr>
          <w:lang w:val="es-ES_tradnl"/>
        </w:rPr>
        <w:t>»</w:t>
      </w:r>
      <w:r w:rsidRPr="00E46867">
        <w:rPr>
          <w:lang w:val="es-ES_tradnl"/>
        </w:rPr>
        <w:t xml:space="preserve"> o </w:t>
      </w:r>
      <w:r w:rsidR="00ED1A67" w:rsidRPr="00E46867">
        <w:rPr>
          <w:lang w:val="es-ES_tradnl"/>
        </w:rPr>
        <w:t>«</w:t>
      </w:r>
      <w:r w:rsidRPr="00E46867">
        <w:rPr>
          <w:lang w:val="es-ES_tradnl"/>
        </w:rPr>
        <w:t xml:space="preserve">rural </w:t>
      </w:r>
      <w:r w:rsidR="00ED1A67" w:rsidRPr="00E46867">
        <w:rPr>
          <w:lang w:val="es-ES_tradnl"/>
        </w:rPr>
        <w:t>tranquila»</w:t>
      </w:r>
      <w:r w:rsidRPr="00E46867">
        <w:rPr>
          <w:lang w:val="es-ES_tradnl"/>
        </w:rPr>
        <w:t xml:space="preserve"> en la frontera de otro país</w:t>
      </w:r>
      <w:r w:rsidR="00ED1A67" w:rsidRPr="00E46867">
        <w:rPr>
          <w:lang w:val="es-ES_tradnl"/>
        </w:rPr>
        <w:t>,</w:t>
      </w:r>
      <w:r w:rsidRPr="00E46867">
        <w:rPr>
          <w:lang w:val="es-ES_tradnl"/>
        </w:rPr>
        <w:t xml:space="preserve"> ya que no </w:t>
      </w:r>
      <w:r w:rsidR="00ED1A67" w:rsidRPr="00E46867">
        <w:rPr>
          <w:lang w:val="es-ES_tradnl"/>
        </w:rPr>
        <w:t>dispone de</w:t>
      </w:r>
      <w:r w:rsidRPr="00E46867">
        <w:rPr>
          <w:lang w:val="es-ES_tradnl"/>
        </w:rPr>
        <w:t xml:space="preserve"> l</w:t>
      </w:r>
      <w:r w:rsidR="00ED1A67" w:rsidRPr="00E46867">
        <w:rPr>
          <w:lang w:val="es-ES_tradnl"/>
        </w:rPr>
        <w:t>os dat</w:t>
      </w:r>
      <w:r w:rsidRPr="00E46867">
        <w:rPr>
          <w:lang w:val="es-ES_tradnl"/>
        </w:rPr>
        <w:t>os topográficos pertinentes para determinar esas zonas.</w:t>
      </w:r>
    </w:p>
    <w:p w:rsidR="00B23732" w:rsidRPr="00E46867" w:rsidRDefault="00B23732" w:rsidP="00995EBA">
      <w:pPr>
        <w:jc w:val="left"/>
        <w:rPr>
          <w:lang w:val="es-ES_tradnl"/>
        </w:rPr>
      </w:pPr>
      <w:r w:rsidRPr="00E46867">
        <w:rPr>
          <w:lang w:val="es-ES_tradnl"/>
        </w:rPr>
        <w:t xml:space="preserve">Como la Oficina no </w:t>
      </w:r>
      <w:r w:rsidR="00ED1A67" w:rsidRPr="00E46867">
        <w:rPr>
          <w:lang w:val="es-ES_tradnl"/>
        </w:rPr>
        <w:t>cuenta con</w:t>
      </w:r>
      <w:r w:rsidRPr="00E46867">
        <w:rPr>
          <w:lang w:val="es-ES_tradnl"/>
        </w:rPr>
        <w:t xml:space="preserve"> medios para la identificación de zonas rurales o rurales </w:t>
      </w:r>
      <w:r w:rsidR="00ED1A67" w:rsidRPr="00E46867">
        <w:rPr>
          <w:lang w:val="es-ES_tradnl"/>
        </w:rPr>
        <w:t>tranquil</w:t>
      </w:r>
      <w:r w:rsidRPr="00E46867">
        <w:rPr>
          <w:lang w:val="es-ES_tradnl"/>
        </w:rPr>
        <w:t>as, la Junta decidi</w:t>
      </w:r>
      <w:r w:rsidR="00ED1A67" w:rsidRPr="00E46867">
        <w:rPr>
          <w:lang w:val="es-ES_tradnl"/>
        </w:rPr>
        <w:t>ó</w:t>
      </w:r>
      <w:r w:rsidRPr="00E46867">
        <w:rPr>
          <w:lang w:val="es-ES_tradnl"/>
        </w:rPr>
        <w:t xml:space="preserve"> que para examinar la asignación de frecuencia notificada a una estación del servicio de radiolocalización desde el punto de vista de su conformidad con el </w:t>
      </w:r>
      <w:r w:rsidRPr="00E46867">
        <w:rPr>
          <w:i/>
          <w:iCs/>
          <w:lang w:val="es-ES_tradnl"/>
        </w:rPr>
        <w:t>resuelve</w:t>
      </w:r>
      <w:r w:rsidRPr="00E46867">
        <w:rPr>
          <w:lang w:val="es-ES_tradnl"/>
        </w:rPr>
        <w:t xml:space="preserve"> 6 de la </w:t>
      </w:r>
      <w:r w:rsidR="00ED1A67" w:rsidRPr="00E46867">
        <w:rPr>
          <w:lang w:val="es-ES_tradnl"/>
        </w:rPr>
        <w:t xml:space="preserve">Resolución </w:t>
      </w:r>
      <w:r w:rsidR="00ED1A67" w:rsidRPr="00E46867">
        <w:rPr>
          <w:b/>
          <w:bCs/>
          <w:lang w:val="es-ES_tradnl"/>
        </w:rPr>
        <w:t>612 (Rev.</w:t>
      </w:r>
      <w:r w:rsidRPr="00E46867">
        <w:rPr>
          <w:b/>
          <w:bCs/>
          <w:lang w:val="es-ES_tradnl"/>
        </w:rPr>
        <w:t>CMR-12)</w:t>
      </w:r>
      <w:r w:rsidRPr="00E46867">
        <w:rPr>
          <w:lang w:val="es-ES_tradnl"/>
        </w:rPr>
        <w:t xml:space="preserve">, la </w:t>
      </w:r>
      <w:r w:rsidR="00ED1A67" w:rsidRPr="00E46867">
        <w:rPr>
          <w:lang w:val="es-ES_tradnl"/>
        </w:rPr>
        <w:t>O</w:t>
      </w:r>
      <w:r w:rsidRPr="00E46867">
        <w:rPr>
          <w:lang w:val="es-ES_tradnl"/>
        </w:rPr>
        <w:t xml:space="preserve">ficina deberá utilizar las distancias de separación para trayectos rurales </w:t>
      </w:r>
      <w:r w:rsidR="00ED1A67" w:rsidRPr="00E46867">
        <w:rPr>
          <w:lang w:val="es-ES_tradnl"/>
        </w:rPr>
        <w:t>tranquil</w:t>
      </w:r>
      <w:r w:rsidRPr="00E46867">
        <w:rPr>
          <w:lang w:val="es-ES_tradnl"/>
        </w:rPr>
        <w:t xml:space="preserve">os indicadas en las columnas 3 y 5, según el caso, del </w:t>
      </w:r>
      <w:r w:rsidR="00ED1A67" w:rsidRPr="00E46867">
        <w:rPr>
          <w:lang w:val="es-ES_tradnl"/>
        </w:rPr>
        <w:t>C</w:t>
      </w:r>
      <w:r w:rsidRPr="00E46867">
        <w:rPr>
          <w:lang w:val="es-ES_tradnl"/>
        </w:rPr>
        <w:t xml:space="preserve">uadro del </w:t>
      </w:r>
      <w:r w:rsidRPr="00E46867">
        <w:rPr>
          <w:i/>
          <w:iCs/>
          <w:lang w:val="es-ES_tradnl"/>
        </w:rPr>
        <w:t>resuelve</w:t>
      </w:r>
      <w:r w:rsidRPr="00E46867">
        <w:rPr>
          <w:lang w:val="es-ES_tradnl"/>
        </w:rPr>
        <w:t xml:space="preserve"> 6.</w:t>
      </w:r>
    </w:p>
    <w:p w:rsidR="00B23732" w:rsidRPr="00E46867" w:rsidRDefault="00B23732" w:rsidP="00995EBA">
      <w:pPr>
        <w:jc w:val="left"/>
        <w:rPr>
          <w:i/>
          <w:iCs/>
          <w:lang w:val="es-ES_tradnl"/>
        </w:rPr>
      </w:pPr>
      <w:r w:rsidRPr="00E46867">
        <w:rPr>
          <w:b/>
          <w:bCs/>
          <w:i/>
          <w:iCs/>
          <w:lang w:val="es-ES_tradnl"/>
        </w:rPr>
        <w:t>Motivos:</w:t>
      </w:r>
      <w:r w:rsidRPr="00E46867">
        <w:rPr>
          <w:i/>
          <w:iCs/>
          <w:lang w:val="es-ES_tradnl"/>
        </w:rPr>
        <w:t xml:space="preserve"> </w:t>
      </w:r>
      <w:r w:rsidR="00995EBA">
        <w:rPr>
          <w:i/>
          <w:iCs/>
          <w:lang w:val="es-ES_tradnl"/>
        </w:rPr>
        <w:t>c</w:t>
      </w:r>
      <w:r w:rsidRPr="00E46867">
        <w:rPr>
          <w:i/>
          <w:iCs/>
          <w:lang w:val="es-ES_tradnl"/>
        </w:rPr>
        <w:t xml:space="preserve">omo </w:t>
      </w:r>
      <w:r w:rsidR="001C701C" w:rsidRPr="00E46867">
        <w:rPr>
          <w:i/>
          <w:iCs/>
          <w:lang w:val="es-ES_tradnl"/>
        </w:rPr>
        <w:t>pu</w:t>
      </w:r>
      <w:r w:rsidRPr="00E46867">
        <w:rPr>
          <w:i/>
          <w:iCs/>
          <w:lang w:val="es-ES_tradnl"/>
        </w:rPr>
        <w:t>ede observarse en e</w:t>
      </w:r>
      <w:r w:rsidR="001C701C" w:rsidRPr="00E46867">
        <w:rPr>
          <w:i/>
          <w:iCs/>
          <w:lang w:val="es-ES_tradnl"/>
        </w:rPr>
        <w:t>l</w:t>
      </w:r>
      <w:r w:rsidRPr="00E46867">
        <w:rPr>
          <w:i/>
          <w:iCs/>
          <w:lang w:val="es-ES_tradnl"/>
        </w:rPr>
        <w:t xml:space="preserve"> </w:t>
      </w:r>
      <w:r w:rsidR="001C701C" w:rsidRPr="00E46867">
        <w:rPr>
          <w:i/>
          <w:iCs/>
          <w:lang w:val="es-ES_tradnl"/>
        </w:rPr>
        <w:t>C</w:t>
      </w:r>
      <w:r w:rsidRPr="00E46867">
        <w:rPr>
          <w:i/>
          <w:iCs/>
          <w:lang w:val="es-ES_tradnl"/>
        </w:rPr>
        <w:t>uadro del resuelve 6 de la Resoluci</w:t>
      </w:r>
      <w:r w:rsidR="001C701C" w:rsidRPr="00E46867">
        <w:rPr>
          <w:i/>
          <w:iCs/>
          <w:lang w:val="es-ES_tradnl"/>
        </w:rPr>
        <w:t>ó</w:t>
      </w:r>
      <w:r w:rsidRPr="00E46867">
        <w:rPr>
          <w:i/>
          <w:iCs/>
          <w:lang w:val="es-ES_tradnl"/>
        </w:rPr>
        <w:t xml:space="preserve">n 612 </w:t>
      </w:r>
      <w:r w:rsidR="001C701C" w:rsidRPr="00E46867">
        <w:rPr>
          <w:i/>
          <w:iCs/>
          <w:lang w:val="es-ES_tradnl"/>
        </w:rPr>
        <w:t>(Rev.</w:t>
      </w:r>
      <w:r w:rsidRPr="00E46867">
        <w:rPr>
          <w:i/>
          <w:iCs/>
          <w:lang w:val="es-ES_tradnl"/>
        </w:rPr>
        <w:t>CMR-12), las distancias de separaci</w:t>
      </w:r>
      <w:r w:rsidR="001C701C" w:rsidRPr="00E46867">
        <w:rPr>
          <w:i/>
          <w:iCs/>
          <w:lang w:val="es-ES_tradnl"/>
        </w:rPr>
        <w:t xml:space="preserve">ón </w:t>
      </w:r>
      <w:r w:rsidR="00E46867" w:rsidRPr="00E46867">
        <w:rPr>
          <w:i/>
          <w:iCs/>
          <w:lang w:val="es-ES_tradnl"/>
        </w:rPr>
        <w:t>correspondientes</w:t>
      </w:r>
      <w:r w:rsidR="001C701C" w:rsidRPr="00E46867">
        <w:rPr>
          <w:i/>
          <w:iCs/>
          <w:lang w:val="es-ES_tradnl"/>
        </w:rPr>
        <w:t xml:space="preserve"> a zonas rura</w:t>
      </w:r>
      <w:r w:rsidRPr="00E46867">
        <w:rPr>
          <w:i/>
          <w:iCs/>
          <w:lang w:val="es-ES_tradnl"/>
        </w:rPr>
        <w:t>l</w:t>
      </w:r>
      <w:r w:rsidR="001C701C" w:rsidRPr="00E46867">
        <w:rPr>
          <w:i/>
          <w:iCs/>
          <w:lang w:val="es-ES_tradnl"/>
        </w:rPr>
        <w:t>e</w:t>
      </w:r>
      <w:r w:rsidRPr="00E46867">
        <w:rPr>
          <w:i/>
          <w:iCs/>
          <w:lang w:val="es-ES_tradnl"/>
        </w:rPr>
        <w:t xml:space="preserve">s </w:t>
      </w:r>
      <w:r w:rsidR="001C701C" w:rsidRPr="00E46867">
        <w:rPr>
          <w:i/>
          <w:iCs/>
          <w:lang w:val="es-ES_tradnl"/>
        </w:rPr>
        <w:t>tranquil</w:t>
      </w:r>
      <w:r w:rsidRPr="00E46867">
        <w:rPr>
          <w:i/>
          <w:iCs/>
          <w:lang w:val="es-ES_tradnl"/>
        </w:rPr>
        <w:t xml:space="preserve">as </w:t>
      </w:r>
      <w:r w:rsidR="001C701C" w:rsidRPr="00E46867">
        <w:rPr>
          <w:i/>
          <w:iCs/>
          <w:lang w:val="es-ES_tradnl"/>
        </w:rPr>
        <w:t>s</w:t>
      </w:r>
      <w:r w:rsidRPr="00E46867">
        <w:rPr>
          <w:i/>
          <w:iCs/>
          <w:lang w:val="es-ES_tradnl"/>
        </w:rPr>
        <w:t xml:space="preserve">on mayores que las correspondientes a zonas rurales. </w:t>
      </w:r>
      <w:r w:rsidR="001C701C" w:rsidRPr="00E46867">
        <w:rPr>
          <w:i/>
          <w:iCs/>
          <w:lang w:val="es-ES_tradnl"/>
        </w:rPr>
        <w:t xml:space="preserve">La </w:t>
      </w:r>
      <w:r w:rsidR="00E46867" w:rsidRPr="00E46867">
        <w:rPr>
          <w:i/>
          <w:iCs/>
          <w:lang w:val="es-ES_tradnl"/>
        </w:rPr>
        <w:t>utilización</w:t>
      </w:r>
      <w:r w:rsidR="001C701C" w:rsidRPr="00E46867">
        <w:rPr>
          <w:i/>
          <w:iCs/>
          <w:lang w:val="es-ES_tradnl"/>
        </w:rPr>
        <w:t xml:space="preserve"> de estas distanc</w:t>
      </w:r>
      <w:r w:rsidRPr="00E46867">
        <w:rPr>
          <w:i/>
          <w:iCs/>
          <w:lang w:val="es-ES_tradnl"/>
        </w:rPr>
        <w:t>ias de separación superiores representa un enfoque de caso m</w:t>
      </w:r>
      <w:r w:rsidR="001C701C" w:rsidRPr="00E46867">
        <w:rPr>
          <w:i/>
          <w:iCs/>
          <w:lang w:val="es-ES_tradnl"/>
        </w:rPr>
        <w:t>á</w:t>
      </w:r>
      <w:r w:rsidRPr="00E46867">
        <w:rPr>
          <w:i/>
          <w:iCs/>
          <w:lang w:val="es-ES_tradnl"/>
        </w:rPr>
        <w:t>s desfavorable normalmente empleado por la BR y la RRB e</w:t>
      </w:r>
      <w:r w:rsidR="001C701C" w:rsidRPr="00E46867">
        <w:rPr>
          <w:i/>
          <w:iCs/>
          <w:lang w:val="es-ES_tradnl"/>
        </w:rPr>
        <w:t xml:space="preserve">n ausencia de la </w:t>
      </w:r>
      <w:r w:rsidR="00E46867" w:rsidRPr="00E46867">
        <w:rPr>
          <w:i/>
          <w:iCs/>
          <w:lang w:val="es-ES_tradnl"/>
        </w:rPr>
        <w:t>información</w:t>
      </w:r>
      <w:r w:rsidR="001C701C" w:rsidRPr="00E46867">
        <w:rPr>
          <w:i/>
          <w:iCs/>
          <w:lang w:val="es-ES_tradnl"/>
        </w:rPr>
        <w:t xml:space="preserve"> re</w:t>
      </w:r>
      <w:r w:rsidRPr="00E46867">
        <w:rPr>
          <w:i/>
          <w:iCs/>
          <w:lang w:val="es-ES_tradnl"/>
        </w:rPr>
        <w:t>q</w:t>
      </w:r>
      <w:r w:rsidR="001C701C" w:rsidRPr="00E46867">
        <w:rPr>
          <w:i/>
          <w:iCs/>
          <w:lang w:val="es-ES_tradnl"/>
        </w:rPr>
        <w:t>u</w:t>
      </w:r>
      <w:r w:rsidRPr="00E46867">
        <w:rPr>
          <w:i/>
          <w:iCs/>
          <w:lang w:val="es-ES_tradnl"/>
        </w:rPr>
        <w:t>erida para realizar los c</w:t>
      </w:r>
      <w:r w:rsidR="001C701C" w:rsidRPr="00E46867">
        <w:rPr>
          <w:i/>
          <w:iCs/>
          <w:lang w:val="es-ES_tradnl"/>
        </w:rPr>
        <w:t>álculos en los documentos del UIT-R</w:t>
      </w:r>
      <w:r w:rsidRPr="00E46867">
        <w:rPr>
          <w:i/>
          <w:iCs/>
          <w:lang w:val="es-ES_tradnl"/>
        </w:rPr>
        <w:t>. Este mé</w:t>
      </w:r>
      <w:r w:rsidR="001C701C" w:rsidRPr="00E46867">
        <w:rPr>
          <w:i/>
          <w:iCs/>
          <w:lang w:val="es-ES_tradnl"/>
        </w:rPr>
        <w:t>todo garanti</w:t>
      </w:r>
      <w:r w:rsidRPr="00E46867">
        <w:rPr>
          <w:i/>
          <w:iCs/>
          <w:lang w:val="es-ES_tradnl"/>
        </w:rPr>
        <w:t>zar</w:t>
      </w:r>
      <w:r w:rsidR="001C701C" w:rsidRPr="00E46867">
        <w:rPr>
          <w:i/>
          <w:iCs/>
          <w:lang w:val="es-ES_tradnl"/>
        </w:rPr>
        <w:t>í</w:t>
      </w:r>
      <w:r w:rsidRPr="00E46867">
        <w:rPr>
          <w:i/>
          <w:iCs/>
          <w:lang w:val="es-ES_tradnl"/>
        </w:rPr>
        <w:t>a la pr</w:t>
      </w:r>
      <w:r w:rsidR="001C701C" w:rsidRPr="00E46867">
        <w:rPr>
          <w:i/>
          <w:iCs/>
          <w:lang w:val="es-ES_tradnl"/>
        </w:rPr>
        <w:t>o</w:t>
      </w:r>
      <w:r w:rsidRPr="00E46867">
        <w:rPr>
          <w:i/>
          <w:iCs/>
          <w:lang w:val="es-ES_tradnl"/>
        </w:rPr>
        <w:t>tecci</w:t>
      </w:r>
      <w:r w:rsidR="001C701C" w:rsidRPr="00E46867">
        <w:rPr>
          <w:i/>
          <w:iCs/>
          <w:lang w:val="es-ES_tradnl"/>
        </w:rPr>
        <w:t>ó</w:t>
      </w:r>
      <w:r w:rsidRPr="00E46867">
        <w:rPr>
          <w:i/>
          <w:iCs/>
          <w:lang w:val="es-ES_tradnl"/>
        </w:rPr>
        <w:t>n necesaria contra la posible interferencia procedente de los radares oceanográficos</w:t>
      </w:r>
      <w:r w:rsidR="001C701C" w:rsidRPr="00E46867">
        <w:rPr>
          <w:i/>
          <w:iCs/>
          <w:lang w:val="es-ES_tradnl"/>
        </w:rPr>
        <w:t>,</w:t>
      </w:r>
      <w:r w:rsidRPr="00E46867">
        <w:rPr>
          <w:i/>
          <w:iCs/>
          <w:lang w:val="es-ES_tradnl"/>
        </w:rPr>
        <w:t xml:space="preserve"> desencadenando </w:t>
      </w:r>
      <w:r w:rsidR="001C701C" w:rsidRPr="00E46867">
        <w:rPr>
          <w:i/>
          <w:iCs/>
          <w:lang w:val="es-ES_tradnl"/>
        </w:rPr>
        <w:t>el proceso de</w:t>
      </w:r>
      <w:r w:rsidRPr="00E46867">
        <w:rPr>
          <w:i/>
          <w:iCs/>
          <w:lang w:val="es-ES_tradnl"/>
        </w:rPr>
        <w:t xml:space="preserve"> coordinaci</w:t>
      </w:r>
      <w:r w:rsidR="001C701C" w:rsidRPr="00E46867">
        <w:rPr>
          <w:i/>
          <w:iCs/>
          <w:lang w:val="es-ES_tradnl"/>
        </w:rPr>
        <w:t>ón detallada entre las administ</w:t>
      </w:r>
      <w:r w:rsidRPr="00E46867">
        <w:rPr>
          <w:i/>
          <w:iCs/>
          <w:lang w:val="es-ES_tradnl"/>
        </w:rPr>
        <w:t>raciones implicadas.</w:t>
      </w:r>
    </w:p>
    <w:p w:rsidR="00B23732" w:rsidRPr="00E46867" w:rsidRDefault="00B23732" w:rsidP="00995EBA">
      <w:pPr>
        <w:jc w:val="left"/>
        <w:rPr>
          <w:i/>
          <w:iCs/>
          <w:lang w:val="es-ES_tradnl"/>
        </w:rPr>
      </w:pPr>
      <w:r w:rsidRPr="00E46867">
        <w:rPr>
          <w:i/>
          <w:iCs/>
          <w:lang w:val="es-ES_tradnl"/>
        </w:rPr>
        <w:t>Fecha efectiva de ap</w:t>
      </w:r>
      <w:r w:rsidR="001C701C" w:rsidRPr="00E46867">
        <w:rPr>
          <w:i/>
          <w:iCs/>
          <w:lang w:val="es-ES_tradnl"/>
        </w:rPr>
        <w:t>l</w:t>
      </w:r>
      <w:r w:rsidRPr="00E46867">
        <w:rPr>
          <w:i/>
          <w:iCs/>
          <w:lang w:val="es-ES_tradnl"/>
        </w:rPr>
        <w:t>icaci</w:t>
      </w:r>
      <w:r w:rsidR="001C701C" w:rsidRPr="00E46867">
        <w:rPr>
          <w:i/>
          <w:iCs/>
          <w:lang w:val="es-ES_tradnl"/>
        </w:rPr>
        <w:t>ó</w:t>
      </w:r>
      <w:r w:rsidRPr="00E46867">
        <w:rPr>
          <w:i/>
          <w:iCs/>
          <w:lang w:val="es-ES_tradnl"/>
        </w:rPr>
        <w:t xml:space="preserve">n de </w:t>
      </w:r>
      <w:r w:rsidR="001C701C" w:rsidRPr="00E46867">
        <w:rPr>
          <w:i/>
          <w:iCs/>
          <w:lang w:val="es-ES_tradnl"/>
        </w:rPr>
        <w:t>e</w:t>
      </w:r>
      <w:r w:rsidRPr="00E46867">
        <w:rPr>
          <w:i/>
          <w:iCs/>
          <w:lang w:val="es-ES_tradnl"/>
        </w:rPr>
        <w:t>sta Regla: inmediatamente desp</w:t>
      </w:r>
      <w:r w:rsidR="001C701C" w:rsidRPr="00E46867">
        <w:rPr>
          <w:i/>
          <w:iCs/>
          <w:lang w:val="es-ES_tradnl"/>
        </w:rPr>
        <w:t>ué</w:t>
      </w:r>
      <w:r w:rsidRPr="00E46867">
        <w:rPr>
          <w:i/>
          <w:iCs/>
          <w:lang w:val="es-ES_tradnl"/>
        </w:rPr>
        <w:t>s de su aprobación.</w:t>
      </w:r>
    </w:p>
    <w:p w:rsidR="00E46867" w:rsidRPr="00E46867" w:rsidRDefault="00E46867" w:rsidP="00995EBA">
      <w:pPr>
        <w:pStyle w:val="Proposal"/>
        <w:rPr>
          <w:b/>
          <w:bCs/>
          <w:sz w:val="24"/>
          <w:szCs w:val="24"/>
          <w:lang w:val="es-ES_tradnl"/>
        </w:rPr>
      </w:pPr>
      <w:r w:rsidRPr="00E46867">
        <w:rPr>
          <w:b/>
          <w:bCs/>
          <w:sz w:val="24"/>
          <w:szCs w:val="24"/>
          <w:lang w:val="es-ES_tradnl"/>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E46867" w:rsidRPr="003E706A" w:rsidTr="000D578A">
        <w:tc>
          <w:tcPr>
            <w:tcW w:w="1276" w:type="dxa"/>
            <w:tcBorders>
              <w:top w:val="double" w:sz="4" w:space="0" w:color="auto"/>
              <w:left w:val="double" w:sz="4" w:space="0" w:color="auto"/>
              <w:bottom w:val="double" w:sz="4" w:space="0" w:color="auto"/>
              <w:right w:val="double" w:sz="4" w:space="0" w:color="auto"/>
            </w:tcBorders>
            <w:hideMark/>
          </w:tcPr>
          <w:p w:rsidR="00E46867" w:rsidRPr="003E706A" w:rsidRDefault="00E46867" w:rsidP="00766841">
            <w:pPr>
              <w:spacing w:before="60"/>
              <w:jc w:val="left"/>
              <w:rPr>
                <w:b/>
                <w:bCs/>
                <w:szCs w:val="24"/>
                <w:lang w:val="es-ES_tradnl" w:eastAsia="zh-CN"/>
              </w:rPr>
            </w:pPr>
            <w:r w:rsidRPr="003E706A">
              <w:rPr>
                <w:b/>
                <w:bCs/>
                <w:szCs w:val="24"/>
                <w:lang w:val="es-ES_tradnl" w:eastAsia="zh-CN"/>
              </w:rPr>
              <w:t>5.145A</w:t>
            </w:r>
          </w:p>
        </w:tc>
      </w:tr>
    </w:tbl>
    <w:p w:rsidR="00B23732" w:rsidRPr="00E46867" w:rsidRDefault="00B23732" w:rsidP="00995EBA">
      <w:pPr>
        <w:jc w:val="left"/>
        <w:rPr>
          <w:lang w:val="es-ES_tradnl"/>
        </w:rPr>
      </w:pPr>
      <w:r w:rsidRPr="00E46867">
        <w:rPr>
          <w:lang w:val="es-ES_tradnl"/>
        </w:rPr>
        <w:t>Se aplican los comentarios reali</w:t>
      </w:r>
      <w:r w:rsidR="001C701C" w:rsidRPr="00E46867">
        <w:rPr>
          <w:lang w:val="es-ES_tradnl"/>
        </w:rPr>
        <w:t>z</w:t>
      </w:r>
      <w:r w:rsidRPr="00E46867">
        <w:rPr>
          <w:lang w:val="es-ES_tradnl"/>
        </w:rPr>
        <w:t xml:space="preserve">ados y la decisión tomada </w:t>
      </w:r>
      <w:r w:rsidR="001C701C" w:rsidRPr="00E46867">
        <w:rPr>
          <w:lang w:val="es-ES_tradnl"/>
        </w:rPr>
        <w:t>con respecto a</w:t>
      </w:r>
      <w:r w:rsidRPr="00E46867">
        <w:rPr>
          <w:lang w:val="es-ES_tradnl"/>
        </w:rPr>
        <w:t xml:space="preserve"> la </w:t>
      </w:r>
      <w:r w:rsidR="001C701C" w:rsidRPr="00E46867">
        <w:rPr>
          <w:lang w:val="es-ES_tradnl"/>
        </w:rPr>
        <w:t>R</w:t>
      </w:r>
      <w:r w:rsidRPr="00E46867">
        <w:rPr>
          <w:lang w:val="es-ES_tradnl"/>
        </w:rPr>
        <w:t>egla de Procedimiento rela</w:t>
      </w:r>
      <w:r w:rsidR="001C701C" w:rsidRPr="00E46867">
        <w:rPr>
          <w:lang w:val="es-ES_tradnl"/>
        </w:rPr>
        <w:t xml:space="preserve">tiva al </w:t>
      </w:r>
      <w:r w:rsidR="0032521F">
        <w:rPr>
          <w:lang w:val="es-ES_tradnl"/>
        </w:rPr>
        <w:t>número</w:t>
      </w:r>
      <w:r w:rsidR="001C701C" w:rsidRPr="00E46867">
        <w:rPr>
          <w:lang w:val="es-ES_tradnl"/>
        </w:rPr>
        <w:t xml:space="preserve"> </w:t>
      </w:r>
      <w:r w:rsidR="001C701C" w:rsidRPr="00E46867">
        <w:rPr>
          <w:b/>
          <w:bCs/>
          <w:lang w:val="es-ES_tradnl"/>
        </w:rPr>
        <w:t>5.</w:t>
      </w:r>
      <w:r w:rsidRPr="00E46867">
        <w:rPr>
          <w:b/>
          <w:bCs/>
          <w:lang w:val="es-ES_tradnl"/>
        </w:rPr>
        <w:t>132</w:t>
      </w:r>
      <w:r w:rsidR="001C701C" w:rsidRPr="00E46867">
        <w:rPr>
          <w:b/>
          <w:bCs/>
          <w:lang w:val="es-ES_tradnl"/>
        </w:rPr>
        <w:t>A</w:t>
      </w:r>
      <w:r w:rsidRPr="00E46867">
        <w:rPr>
          <w:lang w:val="es-ES_tradnl"/>
        </w:rPr>
        <w:t>.</w:t>
      </w:r>
    </w:p>
    <w:p w:rsidR="00B23732" w:rsidRPr="00E46867" w:rsidRDefault="00B23732" w:rsidP="00995EBA">
      <w:pPr>
        <w:jc w:val="left"/>
        <w:rPr>
          <w:i/>
          <w:iCs/>
          <w:lang w:val="es-ES_tradnl"/>
        </w:rPr>
      </w:pPr>
      <w:r w:rsidRPr="00E46867">
        <w:rPr>
          <w:b/>
          <w:bCs/>
          <w:i/>
          <w:iCs/>
          <w:lang w:val="es-ES_tradnl"/>
        </w:rPr>
        <w:t>Motivo</w:t>
      </w:r>
      <w:r w:rsidR="00995EBA">
        <w:rPr>
          <w:b/>
          <w:bCs/>
          <w:i/>
          <w:iCs/>
          <w:lang w:val="es-ES_tradnl"/>
        </w:rPr>
        <w:t>s</w:t>
      </w:r>
      <w:r w:rsidRPr="00E46867">
        <w:rPr>
          <w:b/>
          <w:bCs/>
          <w:i/>
          <w:iCs/>
          <w:lang w:val="es-ES_tradnl"/>
        </w:rPr>
        <w:t>:</w:t>
      </w:r>
      <w:r w:rsidRPr="00E46867">
        <w:rPr>
          <w:i/>
          <w:iCs/>
          <w:lang w:val="es-ES_tradnl"/>
        </w:rPr>
        <w:t xml:space="preserve"> el mismo que el </w:t>
      </w:r>
      <w:r w:rsidR="001C701C" w:rsidRPr="00E46867">
        <w:rPr>
          <w:i/>
          <w:iCs/>
          <w:lang w:val="es-ES_tradnl"/>
        </w:rPr>
        <w:t>de la Regla de Procedimiento re</w:t>
      </w:r>
      <w:r w:rsidRPr="00E46867">
        <w:rPr>
          <w:i/>
          <w:iCs/>
          <w:lang w:val="es-ES_tradnl"/>
        </w:rPr>
        <w:t>l</w:t>
      </w:r>
      <w:r w:rsidR="001C701C" w:rsidRPr="00E46867">
        <w:rPr>
          <w:i/>
          <w:iCs/>
          <w:lang w:val="es-ES_tradnl"/>
        </w:rPr>
        <w:t>a</w:t>
      </w:r>
      <w:r w:rsidRPr="00E46867">
        <w:rPr>
          <w:i/>
          <w:iCs/>
          <w:lang w:val="es-ES_tradnl"/>
        </w:rPr>
        <w:t xml:space="preserve">tiva al </w:t>
      </w:r>
      <w:r w:rsidR="0032521F">
        <w:rPr>
          <w:i/>
          <w:iCs/>
          <w:lang w:val="es-ES_tradnl"/>
        </w:rPr>
        <w:t>número</w:t>
      </w:r>
      <w:r w:rsidRPr="00E46867">
        <w:rPr>
          <w:i/>
          <w:iCs/>
          <w:lang w:val="es-ES_tradnl"/>
        </w:rPr>
        <w:t xml:space="preserve"> </w:t>
      </w:r>
      <w:r w:rsidRPr="00E46867">
        <w:rPr>
          <w:b/>
          <w:bCs/>
          <w:i/>
          <w:iCs/>
          <w:lang w:val="es-ES_tradnl"/>
        </w:rPr>
        <w:t>5.132</w:t>
      </w:r>
      <w:r w:rsidR="001C701C" w:rsidRPr="00E46867">
        <w:rPr>
          <w:b/>
          <w:bCs/>
          <w:i/>
          <w:iCs/>
          <w:lang w:val="es-ES_tradnl"/>
        </w:rPr>
        <w:t>A</w:t>
      </w:r>
      <w:r w:rsidRPr="00E46867">
        <w:rPr>
          <w:i/>
          <w:iCs/>
          <w:lang w:val="es-ES_tradnl"/>
        </w:rPr>
        <w:t>.</w:t>
      </w:r>
    </w:p>
    <w:p w:rsidR="00B23732" w:rsidRPr="00E46867" w:rsidRDefault="00B23732" w:rsidP="00995EBA">
      <w:pPr>
        <w:jc w:val="left"/>
        <w:rPr>
          <w:i/>
          <w:iCs/>
          <w:lang w:val="es-ES_tradnl"/>
        </w:rPr>
      </w:pPr>
      <w:r w:rsidRPr="00E46867">
        <w:rPr>
          <w:i/>
          <w:iCs/>
          <w:lang w:val="es-ES_tradnl"/>
        </w:rPr>
        <w:t>Fecha efectiva de aplicación de esta Regla: inmediatamente des</w:t>
      </w:r>
      <w:r w:rsidR="001C701C" w:rsidRPr="00E46867">
        <w:rPr>
          <w:i/>
          <w:iCs/>
          <w:lang w:val="es-ES_tradnl"/>
        </w:rPr>
        <w:t>pué</w:t>
      </w:r>
      <w:r w:rsidRPr="00E46867">
        <w:rPr>
          <w:i/>
          <w:iCs/>
          <w:lang w:val="es-ES_tradnl"/>
        </w:rPr>
        <w:t>s de su aprobación.</w:t>
      </w:r>
    </w:p>
    <w:p w:rsidR="0069024A" w:rsidRDefault="0069024A">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bCs/>
          <w:szCs w:val="24"/>
          <w:lang w:val="es-ES_tradnl"/>
        </w:rPr>
      </w:pPr>
      <w:r>
        <w:rPr>
          <w:b/>
          <w:bCs/>
          <w:szCs w:val="24"/>
          <w:lang w:val="es-ES_tradnl"/>
        </w:rPr>
        <w:br w:type="page"/>
      </w:r>
    </w:p>
    <w:p w:rsidR="00E46867" w:rsidRPr="00E46867" w:rsidRDefault="00E46867" w:rsidP="00995EBA">
      <w:pPr>
        <w:pStyle w:val="Proposal"/>
        <w:rPr>
          <w:b/>
          <w:bCs/>
          <w:sz w:val="24"/>
          <w:szCs w:val="24"/>
          <w:lang w:val="es-ES_tradnl"/>
        </w:rPr>
      </w:pPr>
      <w:r w:rsidRPr="00E46867">
        <w:rPr>
          <w:b/>
          <w:bCs/>
          <w:sz w:val="24"/>
          <w:szCs w:val="24"/>
          <w:lang w:val="es-ES_tradnl"/>
        </w:rPr>
        <w:lastRenderedPageBreak/>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E46867" w:rsidRPr="003E706A" w:rsidTr="000D578A">
        <w:tc>
          <w:tcPr>
            <w:tcW w:w="1276" w:type="dxa"/>
            <w:tcBorders>
              <w:top w:val="double" w:sz="4" w:space="0" w:color="auto"/>
              <w:left w:val="double" w:sz="4" w:space="0" w:color="auto"/>
              <w:bottom w:val="double" w:sz="4" w:space="0" w:color="auto"/>
              <w:right w:val="double" w:sz="4" w:space="0" w:color="auto"/>
            </w:tcBorders>
            <w:hideMark/>
          </w:tcPr>
          <w:p w:rsidR="00E46867" w:rsidRPr="003E706A" w:rsidRDefault="00E46867" w:rsidP="00766841">
            <w:pPr>
              <w:spacing w:before="60"/>
              <w:jc w:val="left"/>
              <w:rPr>
                <w:b/>
                <w:bCs/>
                <w:szCs w:val="24"/>
                <w:lang w:val="es-ES_tradnl" w:eastAsia="zh-CN"/>
              </w:rPr>
            </w:pPr>
            <w:r w:rsidRPr="003E706A">
              <w:rPr>
                <w:b/>
                <w:bCs/>
                <w:szCs w:val="24"/>
                <w:lang w:val="es-ES_tradnl" w:eastAsia="zh-CN"/>
              </w:rPr>
              <w:t>5.161A</w:t>
            </w:r>
          </w:p>
        </w:tc>
      </w:tr>
    </w:tbl>
    <w:p w:rsidR="00B23732" w:rsidRPr="00E46867" w:rsidRDefault="00B23732" w:rsidP="00995EBA">
      <w:pPr>
        <w:jc w:val="left"/>
        <w:rPr>
          <w:lang w:val="es-ES_tradnl"/>
        </w:rPr>
      </w:pPr>
      <w:r w:rsidRPr="00E46867">
        <w:rPr>
          <w:lang w:val="es-ES_tradnl"/>
        </w:rPr>
        <w:t xml:space="preserve">Se aplican los comentarios </w:t>
      </w:r>
      <w:r w:rsidR="007B1382" w:rsidRPr="00E46867">
        <w:rPr>
          <w:lang w:val="es-ES_tradnl"/>
        </w:rPr>
        <w:t xml:space="preserve">realizados </w:t>
      </w:r>
      <w:r w:rsidRPr="00E46867">
        <w:rPr>
          <w:lang w:val="es-ES_tradnl"/>
        </w:rPr>
        <w:t xml:space="preserve">y la decisión tomada </w:t>
      </w:r>
      <w:r w:rsidR="007B1382" w:rsidRPr="00E46867">
        <w:rPr>
          <w:lang w:val="es-ES_tradnl"/>
        </w:rPr>
        <w:t xml:space="preserve">con </w:t>
      </w:r>
      <w:r w:rsidRPr="00E46867">
        <w:rPr>
          <w:lang w:val="es-ES_tradnl"/>
        </w:rPr>
        <w:t>respe</w:t>
      </w:r>
      <w:r w:rsidR="007B1382" w:rsidRPr="00E46867">
        <w:rPr>
          <w:lang w:val="es-ES_tradnl"/>
        </w:rPr>
        <w:t>c</w:t>
      </w:r>
      <w:r w:rsidRPr="00E46867">
        <w:rPr>
          <w:lang w:val="es-ES_tradnl"/>
        </w:rPr>
        <w:t xml:space="preserve">to a la </w:t>
      </w:r>
      <w:r w:rsidR="007B1382" w:rsidRPr="00E46867">
        <w:rPr>
          <w:lang w:val="es-ES_tradnl"/>
        </w:rPr>
        <w:t>R</w:t>
      </w:r>
      <w:r w:rsidRPr="00E46867">
        <w:rPr>
          <w:lang w:val="es-ES_tradnl"/>
        </w:rPr>
        <w:t xml:space="preserve">egla de </w:t>
      </w:r>
      <w:r w:rsidR="00E46867" w:rsidRPr="00E46867">
        <w:rPr>
          <w:lang w:val="es-ES_tradnl"/>
        </w:rPr>
        <w:t>Procedimiento</w:t>
      </w:r>
      <w:r w:rsidRPr="00E46867">
        <w:rPr>
          <w:lang w:val="es-ES_tradnl"/>
        </w:rPr>
        <w:t xml:space="preserve"> relativa al </w:t>
      </w:r>
      <w:r w:rsidR="0032521F">
        <w:rPr>
          <w:lang w:val="es-ES_tradnl"/>
        </w:rPr>
        <w:t>número</w:t>
      </w:r>
      <w:r w:rsidRPr="00E46867">
        <w:rPr>
          <w:lang w:val="es-ES_tradnl"/>
        </w:rPr>
        <w:t xml:space="preserve"> </w:t>
      </w:r>
      <w:r w:rsidRPr="00E46867">
        <w:rPr>
          <w:b/>
          <w:bCs/>
          <w:lang w:val="es-ES_tradnl"/>
        </w:rPr>
        <w:t>5.132</w:t>
      </w:r>
      <w:r w:rsidR="007B1382" w:rsidRPr="00E46867">
        <w:rPr>
          <w:b/>
          <w:bCs/>
          <w:lang w:val="es-ES_tradnl"/>
        </w:rPr>
        <w:t>A</w:t>
      </w:r>
      <w:r w:rsidRPr="00E46867">
        <w:rPr>
          <w:lang w:val="es-ES_tradnl"/>
        </w:rPr>
        <w:t>.</w:t>
      </w:r>
    </w:p>
    <w:p w:rsidR="00B23732" w:rsidRPr="00E46867" w:rsidRDefault="00B23732" w:rsidP="00995EBA">
      <w:pPr>
        <w:jc w:val="left"/>
        <w:rPr>
          <w:i/>
          <w:iCs/>
          <w:lang w:val="es-ES_tradnl"/>
        </w:rPr>
      </w:pPr>
      <w:r w:rsidRPr="00E46867">
        <w:rPr>
          <w:b/>
          <w:bCs/>
          <w:i/>
          <w:iCs/>
          <w:lang w:val="es-ES_tradnl"/>
        </w:rPr>
        <w:t>Motivo</w:t>
      </w:r>
      <w:r w:rsidR="00995EBA">
        <w:rPr>
          <w:b/>
          <w:bCs/>
          <w:i/>
          <w:iCs/>
          <w:lang w:val="es-ES_tradnl"/>
        </w:rPr>
        <w:t>s</w:t>
      </w:r>
      <w:r w:rsidRPr="00E46867">
        <w:rPr>
          <w:b/>
          <w:bCs/>
          <w:i/>
          <w:iCs/>
          <w:lang w:val="es-ES_tradnl"/>
        </w:rPr>
        <w:t>:</w:t>
      </w:r>
      <w:r w:rsidRPr="00E46867">
        <w:rPr>
          <w:i/>
          <w:iCs/>
          <w:lang w:val="es-ES_tradnl"/>
        </w:rPr>
        <w:t xml:space="preserve"> el mismo que en la </w:t>
      </w:r>
      <w:r w:rsidR="007B1382" w:rsidRPr="00E46867">
        <w:rPr>
          <w:i/>
          <w:iCs/>
          <w:lang w:val="es-ES_tradnl"/>
        </w:rPr>
        <w:t>R</w:t>
      </w:r>
      <w:r w:rsidRPr="00E46867">
        <w:rPr>
          <w:i/>
          <w:iCs/>
          <w:lang w:val="es-ES_tradnl"/>
        </w:rPr>
        <w:t xml:space="preserve">egla de Procedimiento relativa al </w:t>
      </w:r>
      <w:r w:rsidR="0032521F">
        <w:rPr>
          <w:i/>
          <w:iCs/>
          <w:lang w:val="es-ES_tradnl"/>
        </w:rPr>
        <w:t>número </w:t>
      </w:r>
      <w:r w:rsidRPr="00E46867">
        <w:rPr>
          <w:b/>
          <w:bCs/>
          <w:i/>
          <w:iCs/>
          <w:lang w:val="es-ES_tradnl"/>
        </w:rPr>
        <w:t>5.132</w:t>
      </w:r>
      <w:r w:rsidR="007B1382" w:rsidRPr="00E46867">
        <w:rPr>
          <w:b/>
          <w:bCs/>
          <w:i/>
          <w:iCs/>
          <w:lang w:val="es-ES_tradnl"/>
        </w:rPr>
        <w:t>A</w:t>
      </w:r>
      <w:r w:rsidRPr="00E46867">
        <w:rPr>
          <w:i/>
          <w:iCs/>
          <w:lang w:val="es-ES_tradnl"/>
        </w:rPr>
        <w:t>.</w:t>
      </w:r>
    </w:p>
    <w:p w:rsidR="00B23732" w:rsidRPr="00E46867" w:rsidRDefault="00B23732" w:rsidP="00995EBA">
      <w:pPr>
        <w:jc w:val="left"/>
        <w:rPr>
          <w:i/>
          <w:iCs/>
          <w:lang w:val="es-ES_tradnl"/>
        </w:rPr>
      </w:pPr>
      <w:r w:rsidRPr="00E46867">
        <w:rPr>
          <w:i/>
          <w:iCs/>
          <w:lang w:val="es-ES_tradnl"/>
        </w:rPr>
        <w:t>Fecha efectiva de aplicación de esta Regla:</w:t>
      </w:r>
      <w:r w:rsidR="007B1382" w:rsidRPr="00E46867">
        <w:rPr>
          <w:i/>
          <w:iCs/>
          <w:lang w:val="es-ES_tradnl"/>
        </w:rPr>
        <w:t xml:space="preserve"> inmediatamente después de su ap</w:t>
      </w:r>
      <w:r w:rsidRPr="00E46867">
        <w:rPr>
          <w:i/>
          <w:iCs/>
          <w:lang w:val="es-ES_tradnl"/>
        </w:rPr>
        <w:t>robaci</w:t>
      </w:r>
      <w:r w:rsidR="007B1382" w:rsidRPr="00E46867">
        <w:rPr>
          <w:i/>
          <w:iCs/>
          <w:lang w:val="es-ES_tradnl"/>
        </w:rPr>
        <w:t>ó</w:t>
      </w:r>
      <w:r w:rsidRPr="00E46867">
        <w:rPr>
          <w:i/>
          <w:iCs/>
          <w:lang w:val="es-ES_tradnl"/>
        </w:rPr>
        <w:t>n.</w:t>
      </w:r>
    </w:p>
    <w:p w:rsidR="00E46867" w:rsidRPr="00E46867" w:rsidRDefault="00E46867" w:rsidP="00995EBA">
      <w:pPr>
        <w:pStyle w:val="Proposal"/>
        <w:rPr>
          <w:b/>
          <w:bCs/>
          <w:sz w:val="24"/>
          <w:szCs w:val="24"/>
          <w:lang w:val="es-ES_tradnl"/>
        </w:rPr>
      </w:pPr>
      <w:r w:rsidRPr="00E46867">
        <w:rPr>
          <w:b/>
          <w:bCs/>
          <w:sz w:val="24"/>
          <w:szCs w:val="24"/>
          <w:lang w:val="es-ES_tradnl"/>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E46867" w:rsidRPr="003E706A" w:rsidTr="000D578A">
        <w:tc>
          <w:tcPr>
            <w:tcW w:w="1276" w:type="dxa"/>
            <w:tcBorders>
              <w:top w:val="double" w:sz="4" w:space="0" w:color="auto"/>
              <w:left w:val="double" w:sz="4" w:space="0" w:color="auto"/>
              <w:bottom w:val="double" w:sz="4" w:space="0" w:color="auto"/>
              <w:right w:val="double" w:sz="4" w:space="0" w:color="auto"/>
            </w:tcBorders>
            <w:hideMark/>
          </w:tcPr>
          <w:p w:rsidR="00E46867" w:rsidRPr="003E706A" w:rsidRDefault="00E46867" w:rsidP="00766841">
            <w:pPr>
              <w:spacing w:before="60"/>
              <w:jc w:val="left"/>
              <w:rPr>
                <w:b/>
                <w:bCs/>
                <w:szCs w:val="24"/>
                <w:lang w:val="es-ES_tradnl" w:eastAsia="zh-CN"/>
              </w:rPr>
            </w:pPr>
            <w:r w:rsidRPr="003E706A">
              <w:rPr>
                <w:b/>
                <w:bCs/>
                <w:szCs w:val="24"/>
                <w:lang w:val="es-ES_tradnl" w:eastAsia="zh-CN"/>
              </w:rPr>
              <w:t>5.399</w:t>
            </w:r>
          </w:p>
        </w:tc>
      </w:tr>
    </w:tbl>
    <w:p w:rsidR="00B23732" w:rsidRPr="00E46867" w:rsidRDefault="00B23732" w:rsidP="0069024A">
      <w:pPr>
        <w:jc w:val="left"/>
        <w:rPr>
          <w:lang w:val="es-ES_tradnl"/>
        </w:rPr>
      </w:pPr>
      <w:r w:rsidRPr="00E46867">
        <w:rPr>
          <w:lang w:val="es-ES_tradnl"/>
        </w:rPr>
        <w:t xml:space="preserve">Se aplica la decisión especificada en el </w:t>
      </w:r>
      <w:r w:rsidR="00E46867" w:rsidRPr="00E46867">
        <w:rPr>
          <w:lang w:val="es-ES_tradnl"/>
        </w:rPr>
        <w:t>último</w:t>
      </w:r>
      <w:r w:rsidRPr="00E46867">
        <w:rPr>
          <w:lang w:val="es-ES_tradnl"/>
        </w:rPr>
        <w:t xml:space="preserve"> párrafo de las Reglas de Procedimiento relativas al </w:t>
      </w:r>
      <w:r w:rsidR="0069024A">
        <w:rPr>
          <w:lang w:val="es-ES_tradnl"/>
        </w:rPr>
        <w:t>número </w:t>
      </w:r>
      <w:r w:rsidRPr="00E46867">
        <w:rPr>
          <w:b/>
          <w:bCs/>
          <w:lang w:val="es-ES_tradnl"/>
        </w:rPr>
        <w:t>5.164</w:t>
      </w:r>
      <w:r w:rsidRPr="00E46867">
        <w:rPr>
          <w:lang w:val="es-ES_tradnl"/>
        </w:rPr>
        <w:t>.</w:t>
      </w:r>
    </w:p>
    <w:p w:rsidR="00B23732" w:rsidRPr="00E46867" w:rsidRDefault="00B23732" w:rsidP="00995EBA">
      <w:pPr>
        <w:jc w:val="left"/>
        <w:rPr>
          <w:i/>
          <w:iCs/>
          <w:lang w:val="es-ES_tradnl"/>
        </w:rPr>
      </w:pPr>
      <w:r w:rsidRPr="00E46867">
        <w:rPr>
          <w:b/>
          <w:bCs/>
          <w:i/>
          <w:iCs/>
          <w:lang w:val="es-ES_tradnl"/>
        </w:rPr>
        <w:t>Motivo</w:t>
      </w:r>
      <w:r w:rsidR="00995EBA">
        <w:rPr>
          <w:b/>
          <w:bCs/>
          <w:i/>
          <w:iCs/>
          <w:lang w:val="es-ES_tradnl"/>
        </w:rPr>
        <w:t>s</w:t>
      </w:r>
      <w:r w:rsidRPr="00E46867">
        <w:rPr>
          <w:b/>
          <w:bCs/>
          <w:i/>
          <w:iCs/>
          <w:lang w:val="es-ES_tradnl"/>
        </w:rPr>
        <w:t>:</w:t>
      </w:r>
      <w:r w:rsidRPr="00E46867">
        <w:rPr>
          <w:i/>
          <w:iCs/>
          <w:lang w:val="es-ES_tradnl"/>
        </w:rPr>
        <w:t xml:space="preserve"> </w:t>
      </w:r>
      <w:r w:rsidR="007B1382" w:rsidRPr="00E46867">
        <w:rPr>
          <w:i/>
          <w:iCs/>
          <w:lang w:val="es-ES_tradnl"/>
        </w:rPr>
        <w:t>a</w:t>
      </w:r>
      <w:r w:rsidRPr="00E46867">
        <w:rPr>
          <w:i/>
          <w:iCs/>
          <w:lang w:val="es-ES_tradnl"/>
        </w:rPr>
        <w:t xml:space="preserve">clarar que </w:t>
      </w:r>
      <w:r w:rsidR="007B1382" w:rsidRPr="00E46867">
        <w:rPr>
          <w:i/>
          <w:iCs/>
          <w:lang w:val="es-ES_tradnl"/>
        </w:rPr>
        <w:t>únicament</w:t>
      </w:r>
      <w:r w:rsidRPr="00E46867">
        <w:rPr>
          <w:i/>
          <w:iCs/>
          <w:lang w:val="es-ES_tradnl"/>
        </w:rPr>
        <w:t xml:space="preserve">e se aplica la parte sustantiva de la Regla de Procedimiento relativa al </w:t>
      </w:r>
      <w:r w:rsidR="0032521F">
        <w:rPr>
          <w:i/>
          <w:iCs/>
          <w:lang w:val="es-ES_tradnl"/>
        </w:rPr>
        <w:t>número</w:t>
      </w:r>
      <w:r w:rsidRPr="00E46867">
        <w:rPr>
          <w:i/>
          <w:iCs/>
          <w:lang w:val="es-ES_tradnl"/>
        </w:rPr>
        <w:t xml:space="preserve"> </w:t>
      </w:r>
      <w:r w:rsidRPr="00E46867">
        <w:rPr>
          <w:b/>
          <w:bCs/>
          <w:i/>
          <w:iCs/>
          <w:lang w:val="es-ES_tradnl"/>
        </w:rPr>
        <w:t>5.164</w:t>
      </w:r>
      <w:r w:rsidRPr="00E46867">
        <w:rPr>
          <w:i/>
          <w:iCs/>
          <w:lang w:val="es-ES_tradnl"/>
        </w:rPr>
        <w:t xml:space="preserve"> en el </w:t>
      </w:r>
      <w:r w:rsidR="00E46867" w:rsidRPr="00E46867">
        <w:rPr>
          <w:i/>
          <w:iCs/>
          <w:lang w:val="es-ES_tradnl"/>
        </w:rPr>
        <w:t>procesamiento</w:t>
      </w:r>
      <w:r w:rsidRPr="00E46867">
        <w:rPr>
          <w:i/>
          <w:iCs/>
          <w:lang w:val="es-ES_tradnl"/>
        </w:rPr>
        <w:t xml:space="preserve"> de asignaciones a estaciones del servicio de </w:t>
      </w:r>
      <w:proofErr w:type="spellStart"/>
      <w:r w:rsidRPr="00E46867">
        <w:rPr>
          <w:i/>
          <w:iCs/>
          <w:lang w:val="es-ES_tradnl"/>
        </w:rPr>
        <w:t>radiodeterminaci</w:t>
      </w:r>
      <w:r w:rsidR="007B1382" w:rsidRPr="00E46867">
        <w:rPr>
          <w:i/>
          <w:iCs/>
          <w:lang w:val="es-ES_tradnl"/>
        </w:rPr>
        <w:t>ó</w:t>
      </w:r>
      <w:r w:rsidRPr="00E46867">
        <w:rPr>
          <w:i/>
          <w:iCs/>
          <w:lang w:val="es-ES_tradnl"/>
        </w:rPr>
        <w:t>n</w:t>
      </w:r>
      <w:proofErr w:type="spellEnd"/>
      <w:r w:rsidRPr="00E46867">
        <w:rPr>
          <w:i/>
          <w:iCs/>
          <w:lang w:val="es-ES_tradnl"/>
        </w:rPr>
        <w:t xml:space="preserve"> por satélite notificada</w:t>
      </w:r>
      <w:r w:rsidR="007B1382" w:rsidRPr="00E46867">
        <w:rPr>
          <w:i/>
          <w:iCs/>
          <w:lang w:val="es-ES_tradnl"/>
        </w:rPr>
        <w:t>s</w:t>
      </w:r>
      <w:r w:rsidRPr="00E46867">
        <w:rPr>
          <w:i/>
          <w:iCs/>
          <w:lang w:val="es-ES_tradnl"/>
        </w:rPr>
        <w:t xml:space="preserve"> con arreglo al </w:t>
      </w:r>
      <w:r w:rsidR="0032521F">
        <w:rPr>
          <w:i/>
          <w:iCs/>
          <w:lang w:val="es-ES_tradnl"/>
        </w:rPr>
        <w:t>número</w:t>
      </w:r>
      <w:r w:rsidRPr="00E46867">
        <w:rPr>
          <w:i/>
          <w:iCs/>
          <w:lang w:val="es-ES_tradnl"/>
        </w:rPr>
        <w:t xml:space="preserve"> </w:t>
      </w:r>
      <w:r w:rsidRPr="00E46867">
        <w:rPr>
          <w:b/>
          <w:bCs/>
          <w:i/>
          <w:iCs/>
          <w:lang w:val="es-ES_tradnl"/>
        </w:rPr>
        <w:t>5.399</w:t>
      </w:r>
      <w:r w:rsidRPr="00E46867">
        <w:rPr>
          <w:i/>
          <w:iCs/>
          <w:lang w:val="es-ES_tradnl"/>
        </w:rPr>
        <w:t>.</w:t>
      </w:r>
    </w:p>
    <w:p w:rsidR="00B23732" w:rsidRPr="00E46867" w:rsidRDefault="00B23732" w:rsidP="00995EBA">
      <w:pPr>
        <w:jc w:val="left"/>
        <w:rPr>
          <w:i/>
          <w:iCs/>
          <w:lang w:val="es-ES_tradnl"/>
        </w:rPr>
      </w:pPr>
      <w:r w:rsidRPr="00E46867">
        <w:rPr>
          <w:i/>
          <w:iCs/>
          <w:lang w:val="es-ES_tradnl"/>
        </w:rPr>
        <w:t>Fecha efectiva de apli</w:t>
      </w:r>
      <w:r w:rsidR="007B1382" w:rsidRPr="00E46867">
        <w:rPr>
          <w:i/>
          <w:iCs/>
          <w:lang w:val="es-ES_tradnl"/>
        </w:rPr>
        <w:t>cación de esta Regla: inmediatam</w:t>
      </w:r>
      <w:r w:rsidRPr="00E46867">
        <w:rPr>
          <w:i/>
          <w:iCs/>
          <w:lang w:val="es-ES_tradnl"/>
        </w:rPr>
        <w:t>e</w:t>
      </w:r>
      <w:r w:rsidR="007B1382" w:rsidRPr="00E46867">
        <w:rPr>
          <w:i/>
          <w:iCs/>
          <w:lang w:val="es-ES_tradnl"/>
        </w:rPr>
        <w:t>n</w:t>
      </w:r>
      <w:r w:rsidRPr="00E46867">
        <w:rPr>
          <w:i/>
          <w:iCs/>
          <w:lang w:val="es-ES_tradnl"/>
        </w:rPr>
        <w:t>te des</w:t>
      </w:r>
      <w:r w:rsidR="007B1382" w:rsidRPr="00E46867">
        <w:rPr>
          <w:i/>
          <w:iCs/>
          <w:lang w:val="es-ES_tradnl"/>
        </w:rPr>
        <w:t>pué</w:t>
      </w:r>
      <w:r w:rsidRPr="00E46867">
        <w:rPr>
          <w:i/>
          <w:iCs/>
          <w:lang w:val="es-ES_tradnl"/>
        </w:rPr>
        <w:t>s de su aprobación.</w:t>
      </w:r>
    </w:p>
    <w:p w:rsidR="00B23732" w:rsidRPr="00D10C84" w:rsidRDefault="00B23732" w:rsidP="000D578A">
      <w:pPr>
        <w:pStyle w:val="Arttitle"/>
        <w:spacing w:before="480"/>
        <w:rPr>
          <w:sz w:val="24"/>
          <w:szCs w:val="24"/>
          <w:lang w:val="es-ES_tradnl"/>
        </w:rPr>
      </w:pPr>
      <w:r w:rsidRPr="00D10C84">
        <w:rPr>
          <w:sz w:val="24"/>
          <w:szCs w:val="24"/>
          <w:lang w:val="es-ES_tradnl"/>
        </w:rPr>
        <w:t>Reglas relativas al</w:t>
      </w:r>
      <w:r w:rsidR="000D578A" w:rsidRPr="00D10C84">
        <w:rPr>
          <w:sz w:val="24"/>
          <w:szCs w:val="24"/>
          <w:lang w:val="es-ES_tradnl"/>
        </w:rPr>
        <w:br/>
      </w:r>
      <w:r w:rsidRPr="00D10C84">
        <w:rPr>
          <w:sz w:val="24"/>
          <w:szCs w:val="24"/>
          <w:lang w:val="es-ES_tradnl"/>
        </w:rPr>
        <w:t>ART</w:t>
      </w:r>
      <w:r w:rsidR="007B1382" w:rsidRPr="00D10C84">
        <w:rPr>
          <w:sz w:val="24"/>
          <w:szCs w:val="24"/>
          <w:lang w:val="es-ES_tradnl"/>
        </w:rPr>
        <w:t>Í</w:t>
      </w:r>
      <w:r w:rsidRPr="00D10C84">
        <w:rPr>
          <w:sz w:val="24"/>
          <w:szCs w:val="24"/>
          <w:lang w:val="es-ES_tradnl"/>
        </w:rPr>
        <w:t>CULO 11 del RR</w:t>
      </w:r>
    </w:p>
    <w:p w:rsidR="00E46867" w:rsidRDefault="00E46867" w:rsidP="00995EBA">
      <w:pPr>
        <w:pStyle w:val="Proposal"/>
        <w:rPr>
          <w:b/>
          <w:bCs/>
          <w:sz w:val="24"/>
          <w:szCs w:val="24"/>
          <w:lang w:val="es-ES_tradnl"/>
        </w:rPr>
      </w:pPr>
      <w:r w:rsidRPr="00E46867">
        <w:rPr>
          <w:b/>
          <w:bCs/>
          <w:sz w:val="24"/>
          <w:szCs w:val="24"/>
          <w:lang w:val="es-ES_tradnl"/>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0D578A" w:rsidRPr="003E706A" w:rsidTr="000D578A">
        <w:tc>
          <w:tcPr>
            <w:tcW w:w="1276" w:type="dxa"/>
            <w:tcBorders>
              <w:top w:val="double" w:sz="4" w:space="0" w:color="auto"/>
              <w:left w:val="double" w:sz="4" w:space="0" w:color="auto"/>
              <w:bottom w:val="double" w:sz="4" w:space="0" w:color="auto"/>
              <w:right w:val="double" w:sz="4" w:space="0" w:color="auto"/>
            </w:tcBorders>
            <w:hideMark/>
          </w:tcPr>
          <w:p w:rsidR="000D578A" w:rsidRPr="003E706A" w:rsidRDefault="000D578A" w:rsidP="000D578A">
            <w:pPr>
              <w:spacing w:before="60"/>
              <w:jc w:val="left"/>
              <w:rPr>
                <w:b/>
                <w:bCs/>
                <w:szCs w:val="24"/>
                <w:lang w:val="es-ES_tradnl" w:eastAsia="zh-CN"/>
              </w:rPr>
            </w:pPr>
            <w:r w:rsidRPr="000D578A">
              <w:rPr>
                <w:b/>
                <w:bCs/>
                <w:szCs w:val="24"/>
                <w:lang w:val="es-ES_tradnl" w:eastAsia="zh-CN"/>
              </w:rPr>
              <w:t>11.41 y 11.41.2</w:t>
            </w:r>
          </w:p>
        </w:tc>
      </w:tr>
    </w:tbl>
    <w:p w:rsidR="00B23732" w:rsidRPr="00E46867" w:rsidRDefault="00B23732" w:rsidP="00995EBA">
      <w:pPr>
        <w:jc w:val="left"/>
        <w:rPr>
          <w:lang w:val="es-ES_tradnl"/>
        </w:rPr>
      </w:pPr>
      <w:r w:rsidRPr="00E46867">
        <w:rPr>
          <w:lang w:val="es-ES_tradnl"/>
        </w:rPr>
        <w:t>1</w:t>
      </w:r>
      <w:r w:rsidR="007B5333" w:rsidRPr="00E46867">
        <w:rPr>
          <w:lang w:val="es-ES_tradnl"/>
        </w:rPr>
        <w:tab/>
        <w:t>L</w:t>
      </w:r>
      <w:r w:rsidRPr="00E46867">
        <w:rPr>
          <w:lang w:val="es-ES_tradnl"/>
        </w:rPr>
        <w:t xml:space="preserve">as disposiciones del </w:t>
      </w:r>
      <w:r w:rsidR="0032521F">
        <w:rPr>
          <w:lang w:val="es-ES_tradnl"/>
        </w:rPr>
        <w:t>número</w:t>
      </w:r>
      <w:r w:rsidRPr="00E46867">
        <w:rPr>
          <w:lang w:val="es-ES_tradnl"/>
        </w:rPr>
        <w:t xml:space="preserve"> </w:t>
      </w:r>
      <w:r w:rsidRPr="00E46867">
        <w:rPr>
          <w:b/>
          <w:bCs/>
          <w:lang w:val="es-ES_tradnl"/>
        </w:rPr>
        <w:t>11.41.2</w:t>
      </w:r>
      <w:r w:rsidRPr="00E46867">
        <w:rPr>
          <w:lang w:val="es-ES_tradnl"/>
        </w:rPr>
        <w:t xml:space="preserve"> exigen que la administración </w:t>
      </w:r>
      <w:r w:rsidR="007B5333" w:rsidRPr="00E46867">
        <w:rPr>
          <w:lang w:val="es-ES_tradnl"/>
        </w:rPr>
        <w:t>notificante, al presentar</w:t>
      </w:r>
      <w:r w:rsidRPr="00E46867">
        <w:rPr>
          <w:lang w:val="es-ES_tradnl"/>
        </w:rPr>
        <w:t xml:space="preserve"> notificaciones en aplicación del </w:t>
      </w:r>
      <w:r w:rsidR="0032521F">
        <w:rPr>
          <w:lang w:val="es-ES_tradnl"/>
        </w:rPr>
        <w:t>número</w:t>
      </w:r>
      <w:r w:rsidRPr="00E46867">
        <w:rPr>
          <w:lang w:val="es-ES_tradnl"/>
        </w:rPr>
        <w:t xml:space="preserve"> </w:t>
      </w:r>
      <w:r w:rsidRPr="00E46867">
        <w:rPr>
          <w:b/>
          <w:bCs/>
          <w:lang w:val="es-ES_tradnl"/>
        </w:rPr>
        <w:t>11.41</w:t>
      </w:r>
      <w:r w:rsidR="007B5333" w:rsidRPr="00E46867">
        <w:rPr>
          <w:lang w:val="es-ES_tradnl"/>
        </w:rPr>
        <w:t xml:space="preserve"> indique a la Oficina que</w:t>
      </w:r>
      <w:r w:rsidRPr="00E46867">
        <w:rPr>
          <w:lang w:val="es-ES_tradnl"/>
        </w:rPr>
        <w:t xml:space="preserve"> han </w:t>
      </w:r>
      <w:r w:rsidR="007B5333" w:rsidRPr="00E46867">
        <w:rPr>
          <w:lang w:val="es-ES_tradnl"/>
        </w:rPr>
        <w:t>sido infructuosos los</w:t>
      </w:r>
      <w:r w:rsidRPr="00E46867">
        <w:rPr>
          <w:lang w:val="es-ES_tradnl"/>
        </w:rPr>
        <w:t xml:space="preserve"> esfuerzos </w:t>
      </w:r>
      <w:r w:rsidR="007B5333" w:rsidRPr="00E46867">
        <w:rPr>
          <w:lang w:val="es-ES_tradnl"/>
        </w:rPr>
        <w:t xml:space="preserve">realizados </w:t>
      </w:r>
      <w:r w:rsidRPr="00E46867">
        <w:rPr>
          <w:lang w:val="es-ES_tradnl"/>
        </w:rPr>
        <w:t xml:space="preserve">para efectuar la coordinación con las administraciones cuyas asignaciones </w:t>
      </w:r>
      <w:r w:rsidR="007B5333" w:rsidRPr="00E46867">
        <w:rPr>
          <w:lang w:val="es-ES_tradnl"/>
        </w:rPr>
        <w:t>hayan dado lugar a</w:t>
      </w:r>
      <w:r w:rsidRPr="00E46867">
        <w:rPr>
          <w:lang w:val="es-ES_tradnl"/>
        </w:rPr>
        <w:t xml:space="preserve"> conclusiones desfavorables con ar</w:t>
      </w:r>
      <w:r w:rsidR="007B5333" w:rsidRPr="00E46867">
        <w:rPr>
          <w:lang w:val="es-ES_tradnl"/>
        </w:rPr>
        <w:t>r</w:t>
      </w:r>
      <w:r w:rsidRPr="00E46867">
        <w:rPr>
          <w:lang w:val="es-ES_tradnl"/>
        </w:rPr>
        <w:t>egl</w:t>
      </w:r>
      <w:r w:rsidR="007B5333" w:rsidRPr="00E46867">
        <w:rPr>
          <w:lang w:val="es-ES_tradnl"/>
        </w:rPr>
        <w:t>o</w:t>
      </w:r>
      <w:r w:rsidRPr="00E46867">
        <w:rPr>
          <w:lang w:val="es-ES_tradnl"/>
        </w:rPr>
        <w:t xml:space="preserve"> al </w:t>
      </w:r>
      <w:r w:rsidR="0032521F">
        <w:rPr>
          <w:lang w:val="es-ES_tradnl"/>
        </w:rPr>
        <w:t>número</w:t>
      </w:r>
      <w:r w:rsidRPr="00E46867">
        <w:rPr>
          <w:lang w:val="es-ES_tradnl"/>
        </w:rPr>
        <w:t xml:space="preserve"> </w:t>
      </w:r>
      <w:r w:rsidRPr="00E46867">
        <w:rPr>
          <w:b/>
          <w:bCs/>
          <w:lang w:val="es-ES_tradnl"/>
        </w:rPr>
        <w:t>11.38</w:t>
      </w:r>
      <w:r w:rsidRPr="00E46867">
        <w:rPr>
          <w:lang w:val="es-ES_tradnl"/>
        </w:rPr>
        <w:t xml:space="preserve">. En ausencia de tal indicación, una nueva </w:t>
      </w:r>
      <w:r w:rsidR="00E46867" w:rsidRPr="00E46867">
        <w:rPr>
          <w:lang w:val="es-ES_tradnl"/>
        </w:rPr>
        <w:t>presentación</w:t>
      </w:r>
      <w:r w:rsidRPr="00E46867">
        <w:rPr>
          <w:lang w:val="es-ES_tradnl"/>
        </w:rPr>
        <w:t xml:space="preserve"> con</w:t>
      </w:r>
      <w:r w:rsidR="007B5333" w:rsidRPr="00E46867">
        <w:rPr>
          <w:lang w:val="es-ES_tradnl"/>
        </w:rPr>
        <w:t>f</w:t>
      </w:r>
      <w:r w:rsidRPr="00E46867">
        <w:rPr>
          <w:lang w:val="es-ES_tradnl"/>
        </w:rPr>
        <w:t>o</w:t>
      </w:r>
      <w:r w:rsidR="007B5333" w:rsidRPr="00E46867">
        <w:rPr>
          <w:lang w:val="es-ES_tradnl"/>
        </w:rPr>
        <w:t>rme</w:t>
      </w:r>
      <w:r w:rsidRPr="00E46867">
        <w:rPr>
          <w:lang w:val="es-ES_tradnl"/>
        </w:rPr>
        <w:t xml:space="preserve"> al </w:t>
      </w:r>
      <w:r w:rsidR="0032521F">
        <w:rPr>
          <w:lang w:val="es-ES_tradnl"/>
        </w:rPr>
        <w:t>número</w:t>
      </w:r>
      <w:r w:rsidRPr="00E46867">
        <w:rPr>
          <w:lang w:val="es-ES_tradnl"/>
        </w:rPr>
        <w:t xml:space="preserve"> </w:t>
      </w:r>
      <w:r w:rsidRPr="00E46867">
        <w:rPr>
          <w:b/>
          <w:bCs/>
          <w:lang w:val="es-ES_tradnl"/>
        </w:rPr>
        <w:t>11.41</w:t>
      </w:r>
      <w:r w:rsidRPr="00E46867">
        <w:rPr>
          <w:lang w:val="es-ES_tradnl"/>
        </w:rPr>
        <w:t xml:space="preserve"> tras la devolución</w:t>
      </w:r>
      <w:r w:rsidR="007B5333" w:rsidRPr="00E46867">
        <w:rPr>
          <w:lang w:val="es-ES_tradnl"/>
        </w:rPr>
        <w:t xml:space="preserve"> de una notificación en v</w:t>
      </w:r>
      <w:r w:rsidRPr="00E46867">
        <w:rPr>
          <w:lang w:val="es-ES_tradnl"/>
        </w:rPr>
        <w:t xml:space="preserve">irtud del </w:t>
      </w:r>
      <w:r w:rsidR="0032521F">
        <w:rPr>
          <w:lang w:val="es-ES_tradnl"/>
        </w:rPr>
        <w:t>número</w:t>
      </w:r>
      <w:r w:rsidRPr="00E46867">
        <w:rPr>
          <w:lang w:val="es-ES_tradnl"/>
        </w:rPr>
        <w:t xml:space="preserve"> </w:t>
      </w:r>
      <w:r w:rsidRPr="00E46867">
        <w:rPr>
          <w:b/>
          <w:bCs/>
          <w:lang w:val="es-ES_tradnl"/>
        </w:rPr>
        <w:t>11.38</w:t>
      </w:r>
      <w:r w:rsidRPr="00E46867">
        <w:rPr>
          <w:lang w:val="es-ES_tradnl"/>
        </w:rPr>
        <w:t xml:space="preserve"> se considerar</w:t>
      </w:r>
      <w:r w:rsidR="007B5333" w:rsidRPr="00E46867">
        <w:rPr>
          <w:lang w:val="es-ES_tradnl"/>
        </w:rPr>
        <w:t>á</w:t>
      </w:r>
      <w:r w:rsidRPr="00E46867">
        <w:rPr>
          <w:lang w:val="es-ES_tradnl"/>
        </w:rPr>
        <w:t xml:space="preserve"> no admisible y se devolverá a la administración correspondiente.</w:t>
      </w:r>
    </w:p>
    <w:p w:rsidR="00B23732" w:rsidRPr="00E46867" w:rsidRDefault="00B23732" w:rsidP="00995EBA">
      <w:pPr>
        <w:jc w:val="left"/>
        <w:rPr>
          <w:lang w:val="es-ES_tradnl"/>
        </w:rPr>
      </w:pPr>
      <w:r w:rsidRPr="00E46867">
        <w:rPr>
          <w:lang w:val="es-ES_tradnl"/>
        </w:rPr>
        <w:t>2</w:t>
      </w:r>
      <w:r w:rsidR="007B5333" w:rsidRPr="00E46867">
        <w:rPr>
          <w:lang w:val="es-ES_tradnl"/>
        </w:rPr>
        <w:tab/>
      </w:r>
      <w:r w:rsidRPr="00E46867">
        <w:rPr>
          <w:lang w:val="es-ES_tradnl"/>
        </w:rPr>
        <w:t>La Junta lleg</w:t>
      </w:r>
      <w:r w:rsidR="007B5333" w:rsidRPr="00E46867">
        <w:rPr>
          <w:lang w:val="es-ES_tradnl"/>
        </w:rPr>
        <w:t>ó</w:t>
      </w:r>
      <w:r w:rsidRPr="00E46867">
        <w:rPr>
          <w:lang w:val="es-ES_tradnl"/>
        </w:rPr>
        <w:t xml:space="preserve"> a la conclusión de que si una administración indica que la administración no</w:t>
      </w:r>
      <w:r w:rsidR="007B5333" w:rsidRPr="00E46867">
        <w:rPr>
          <w:lang w:val="es-ES_tradnl"/>
        </w:rPr>
        <w:t>tificante no</w:t>
      </w:r>
      <w:r w:rsidRPr="00E46867">
        <w:rPr>
          <w:lang w:val="es-ES_tradnl"/>
        </w:rPr>
        <w:t xml:space="preserve"> ha hecho ningún esfuerzo para efectuar la coordinación con ella, la </w:t>
      </w:r>
      <w:r w:rsidR="007B5333" w:rsidRPr="00E46867">
        <w:rPr>
          <w:lang w:val="es-ES_tradnl"/>
        </w:rPr>
        <w:t>O</w:t>
      </w:r>
      <w:r w:rsidRPr="00E46867">
        <w:rPr>
          <w:lang w:val="es-ES_tradnl"/>
        </w:rPr>
        <w:t>ficina investig</w:t>
      </w:r>
      <w:r w:rsidR="007B5333" w:rsidRPr="00E46867">
        <w:rPr>
          <w:lang w:val="es-ES_tradnl"/>
        </w:rPr>
        <w:t>a</w:t>
      </w:r>
      <w:r w:rsidRPr="00E46867">
        <w:rPr>
          <w:lang w:val="es-ES_tradnl"/>
        </w:rPr>
        <w:t>r</w:t>
      </w:r>
      <w:r w:rsidR="007B5333" w:rsidRPr="00E46867">
        <w:rPr>
          <w:lang w:val="es-ES_tradnl"/>
        </w:rPr>
        <w:t>á</w:t>
      </w:r>
      <w:r w:rsidRPr="00E46867">
        <w:rPr>
          <w:lang w:val="es-ES_tradnl"/>
        </w:rPr>
        <w:t xml:space="preserve"> m</w:t>
      </w:r>
      <w:r w:rsidR="007B5333" w:rsidRPr="00E46867">
        <w:rPr>
          <w:lang w:val="es-ES_tradnl"/>
        </w:rPr>
        <w:t>á</w:t>
      </w:r>
      <w:r w:rsidRPr="00E46867">
        <w:rPr>
          <w:lang w:val="es-ES_tradnl"/>
        </w:rPr>
        <w:t>s detenidamente este caso y actuar</w:t>
      </w:r>
      <w:r w:rsidR="007B5333" w:rsidRPr="00E46867">
        <w:rPr>
          <w:lang w:val="es-ES_tradnl"/>
        </w:rPr>
        <w:t>á</w:t>
      </w:r>
      <w:r w:rsidRPr="00E46867">
        <w:rPr>
          <w:lang w:val="es-ES_tradnl"/>
        </w:rPr>
        <w:t xml:space="preserve"> de conformidad con lo di</w:t>
      </w:r>
      <w:r w:rsidR="007B5333" w:rsidRPr="00E46867">
        <w:rPr>
          <w:lang w:val="es-ES_tradnl"/>
        </w:rPr>
        <w:t>s</w:t>
      </w:r>
      <w:r w:rsidRPr="00E46867">
        <w:rPr>
          <w:lang w:val="es-ES_tradnl"/>
        </w:rPr>
        <w:t xml:space="preserve">puesto en el </w:t>
      </w:r>
      <w:r w:rsidR="0032521F">
        <w:rPr>
          <w:lang w:val="es-ES_tradnl"/>
        </w:rPr>
        <w:t>número </w:t>
      </w:r>
      <w:r w:rsidRPr="00E46867">
        <w:rPr>
          <w:b/>
          <w:bCs/>
          <w:lang w:val="es-ES_tradnl"/>
        </w:rPr>
        <w:t>13.3</w:t>
      </w:r>
      <w:r w:rsidRPr="00E46867">
        <w:rPr>
          <w:lang w:val="es-ES_tradnl"/>
        </w:rPr>
        <w:t>.</w:t>
      </w:r>
    </w:p>
    <w:p w:rsidR="00B23732" w:rsidRPr="00E46867" w:rsidRDefault="00B23732" w:rsidP="00995EBA">
      <w:pPr>
        <w:jc w:val="left"/>
        <w:rPr>
          <w:i/>
          <w:iCs/>
          <w:lang w:val="es-ES_tradnl"/>
        </w:rPr>
      </w:pPr>
      <w:r w:rsidRPr="00E46867">
        <w:rPr>
          <w:b/>
          <w:bCs/>
          <w:i/>
          <w:iCs/>
          <w:lang w:val="es-ES_tradnl"/>
        </w:rPr>
        <w:t>Motivo</w:t>
      </w:r>
      <w:r w:rsidR="00995EBA">
        <w:rPr>
          <w:b/>
          <w:bCs/>
          <w:i/>
          <w:iCs/>
          <w:lang w:val="es-ES_tradnl"/>
        </w:rPr>
        <w:t>s</w:t>
      </w:r>
      <w:r w:rsidRPr="00E46867">
        <w:rPr>
          <w:b/>
          <w:bCs/>
          <w:i/>
          <w:iCs/>
          <w:lang w:val="es-ES_tradnl"/>
        </w:rPr>
        <w:t>:</w:t>
      </w:r>
      <w:r w:rsidRPr="00E46867">
        <w:rPr>
          <w:i/>
          <w:iCs/>
          <w:lang w:val="es-ES_tradnl"/>
        </w:rPr>
        <w:t xml:space="preserve"> aplica</w:t>
      </w:r>
      <w:r w:rsidR="007B5333" w:rsidRPr="00E46867">
        <w:rPr>
          <w:i/>
          <w:iCs/>
          <w:lang w:val="es-ES_tradnl"/>
        </w:rPr>
        <w:t>c</w:t>
      </w:r>
      <w:r w:rsidRPr="00E46867">
        <w:rPr>
          <w:i/>
          <w:iCs/>
          <w:lang w:val="es-ES_tradnl"/>
        </w:rPr>
        <w:t>i</w:t>
      </w:r>
      <w:r w:rsidR="007B5333" w:rsidRPr="00E46867">
        <w:rPr>
          <w:i/>
          <w:iCs/>
          <w:lang w:val="es-ES_tradnl"/>
        </w:rPr>
        <w:t>ó</w:t>
      </w:r>
      <w:r w:rsidRPr="00E46867">
        <w:rPr>
          <w:i/>
          <w:iCs/>
          <w:lang w:val="es-ES_tradnl"/>
        </w:rPr>
        <w:t xml:space="preserve">n de la decisión RRB-63 del </w:t>
      </w:r>
      <w:r w:rsidR="007B5333" w:rsidRPr="00E46867">
        <w:rPr>
          <w:i/>
          <w:iCs/>
          <w:lang w:val="es-ES_tradnl"/>
        </w:rPr>
        <w:t>D</w:t>
      </w:r>
      <w:r w:rsidRPr="00E46867">
        <w:rPr>
          <w:i/>
          <w:iCs/>
          <w:lang w:val="es-ES_tradnl"/>
        </w:rPr>
        <w:t>ocumento RRB13-2/11.</w:t>
      </w:r>
    </w:p>
    <w:p w:rsidR="00B23732" w:rsidRPr="00E46867" w:rsidRDefault="007B5333" w:rsidP="00995EBA">
      <w:pPr>
        <w:jc w:val="left"/>
        <w:rPr>
          <w:i/>
          <w:iCs/>
          <w:lang w:val="es-ES_tradnl"/>
        </w:rPr>
      </w:pPr>
      <w:r w:rsidRPr="00E46867">
        <w:rPr>
          <w:i/>
          <w:iCs/>
          <w:lang w:val="es-ES_tradnl"/>
        </w:rPr>
        <w:t>Fecha efecti</w:t>
      </w:r>
      <w:r w:rsidR="00B23732" w:rsidRPr="00E46867">
        <w:rPr>
          <w:i/>
          <w:iCs/>
          <w:lang w:val="es-ES_tradnl"/>
        </w:rPr>
        <w:t>va de aplicación de esta Regla: 1 de enero de 2014.</w:t>
      </w:r>
    </w:p>
    <w:p w:rsidR="0069024A" w:rsidRDefault="0069024A">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bCs/>
          <w:szCs w:val="24"/>
          <w:lang w:val="es-ES_tradnl"/>
        </w:rPr>
      </w:pPr>
      <w:r>
        <w:rPr>
          <w:b/>
          <w:bCs/>
          <w:szCs w:val="24"/>
          <w:lang w:val="es-ES_tradnl"/>
        </w:rPr>
        <w:br w:type="page"/>
      </w:r>
    </w:p>
    <w:p w:rsidR="00E46867" w:rsidRDefault="00E46867" w:rsidP="00995EBA">
      <w:pPr>
        <w:pStyle w:val="Proposal"/>
        <w:rPr>
          <w:b/>
          <w:bCs/>
          <w:sz w:val="24"/>
          <w:szCs w:val="24"/>
          <w:lang w:val="es-ES_tradnl"/>
        </w:rPr>
      </w:pPr>
      <w:r w:rsidRPr="00E46867">
        <w:rPr>
          <w:b/>
          <w:bCs/>
          <w:sz w:val="24"/>
          <w:szCs w:val="24"/>
          <w:lang w:val="es-ES_tradnl"/>
        </w:rPr>
        <w:lastRenderedPageBreak/>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0D578A" w:rsidRPr="0096197F" w:rsidTr="000D578A">
        <w:tc>
          <w:tcPr>
            <w:tcW w:w="1276" w:type="dxa"/>
            <w:tcBorders>
              <w:top w:val="double" w:sz="4" w:space="0" w:color="auto"/>
              <w:left w:val="double" w:sz="4" w:space="0" w:color="auto"/>
              <w:bottom w:val="double" w:sz="4" w:space="0" w:color="auto"/>
              <w:right w:val="double" w:sz="4" w:space="0" w:color="auto"/>
            </w:tcBorders>
            <w:hideMark/>
          </w:tcPr>
          <w:p w:rsidR="000D578A" w:rsidRPr="0096197F" w:rsidRDefault="000D578A" w:rsidP="00766841">
            <w:pPr>
              <w:spacing w:before="60"/>
              <w:jc w:val="left"/>
              <w:rPr>
                <w:b/>
                <w:bCs/>
                <w:szCs w:val="24"/>
                <w:lang w:val="es-ES_tradnl" w:eastAsia="zh-CN"/>
              </w:rPr>
            </w:pPr>
            <w:r w:rsidRPr="000D578A">
              <w:rPr>
                <w:b/>
                <w:bCs/>
                <w:szCs w:val="24"/>
                <w:lang w:val="es-ES_tradnl" w:eastAsia="zh-CN"/>
              </w:rPr>
              <w:t>11.44</w:t>
            </w:r>
          </w:p>
        </w:tc>
      </w:tr>
    </w:tbl>
    <w:p w:rsidR="00B23732" w:rsidRPr="000D578A" w:rsidRDefault="00B23732" w:rsidP="000D578A">
      <w:pPr>
        <w:pStyle w:val="Proposal"/>
        <w:rPr>
          <w:b/>
          <w:bCs/>
          <w:sz w:val="24"/>
          <w:szCs w:val="24"/>
          <w:lang w:val="es-ES_tradnl"/>
        </w:rPr>
      </w:pPr>
      <w:r w:rsidRPr="000D578A">
        <w:rPr>
          <w:b/>
          <w:bCs/>
          <w:sz w:val="24"/>
          <w:szCs w:val="24"/>
          <w:lang w:val="es-ES_tradnl"/>
        </w:rPr>
        <w:t>NOC 1</w:t>
      </w:r>
    </w:p>
    <w:p w:rsidR="00B23732" w:rsidRPr="00E46867" w:rsidRDefault="00B23732" w:rsidP="00995EBA">
      <w:pPr>
        <w:jc w:val="left"/>
        <w:rPr>
          <w:lang w:val="es-ES_tradnl"/>
        </w:rPr>
      </w:pPr>
      <w:r w:rsidRPr="00E46867">
        <w:rPr>
          <w:b/>
          <w:bCs/>
          <w:lang w:val="es-ES_tradnl"/>
        </w:rPr>
        <w:t>ADD 2</w:t>
      </w:r>
      <w:r w:rsidR="007B5333" w:rsidRPr="00E46867">
        <w:rPr>
          <w:lang w:val="es-ES_tradnl"/>
        </w:rPr>
        <w:tab/>
      </w:r>
      <w:r w:rsidRPr="00E46867">
        <w:rPr>
          <w:lang w:val="es-ES_tradnl"/>
        </w:rPr>
        <w:t>La Junta consider</w:t>
      </w:r>
      <w:r w:rsidR="007B5333" w:rsidRPr="00E46867">
        <w:rPr>
          <w:lang w:val="es-ES_tradnl"/>
        </w:rPr>
        <w:t>ó</w:t>
      </w:r>
      <w:r w:rsidRPr="00E46867">
        <w:rPr>
          <w:lang w:val="es-ES_tradnl"/>
        </w:rPr>
        <w:t xml:space="preserve"> los posibles medios para asegurar que la informaci</w:t>
      </w:r>
      <w:r w:rsidR="007B5333" w:rsidRPr="00E46867">
        <w:rPr>
          <w:lang w:val="es-ES_tradnl"/>
        </w:rPr>
        <w:t>ó</w:t>
      </w:r>
      <w:r w:rsidRPr="00E46867">
        <w:rPr>
          <w:lang w:val="es-ES_tradnl"/>
        </w:rPr>
        <w:t>n relativa a la puesta en ser</w:t>
      </w:r>
      <w:r w:rsidR="007B5333" w:rsidRPr="00E46867">
        <w:rPr>
          <w:lang w:val="es-ES_tradnl"/>
        </w:rPr>
        <w:t>vi</w:t>
      </w:r>
      <w:r w:rsidRPr="00E46867">
        <w:rPr>
          <w:lang w:val="es-ES_tradnl"/>
        </w:rPr>
        <w:t xml:space="preserve">cio de asignaciones de frecuencia </w:t>
      </w:r>
      <w:r w:rsidR="007B5333" w:rsidRPr="00E46867">
        <w:rPr>
          <w:lang w:val="es-ES_tradnl"/>
        </w:rPr>
        <w:t>de una red</w:t>
      </w:r>
      <w:r w:rsidRPr="00E46867">
        <w:rPr>
          <w:lang w:val="es-ES_tradnl"/>
        </w:rPr>
        <w:t xml:space="preserve"> de satélites con arreglo a los </w:t>
      </w:r>
      <w:r w:rsidR="0032521F">
        <w:rPr>
          <w:lang w:val="es-ES_tradnl"/>
        </w:rPr>
        <w:t>números</w:t>
      </w:r>
      <w:r w:rsidR="007B5333" w:rsidRPr="00E46867">
        <w:rPr>
          <w:lang w:val="es-ES_tradnl"/>
        </w:rPr>
        <w:t> </w:t>
      </w:r>
      <w:r w:rsidRPr="00E46867">
        <w:rPr>
          <w:b/>
          <w:bCs/>
          <w:lang w:val="es-ES_tradnl"/>
        </w:rPr>
        <w:t>11.44/11.44B</w:t>
      </w:r>
      <w:r w:rsidRPr="00E46867">
        <w:rPr>
          <w:lang w:val="es-ES_tradnl"/>
        </w:rPr>
        <w:t xml:space="preserve"> corresponde a la ocupación real de la </w:t>
      </w:r>
      <w:r w:rsidR="007B5333" w:rsidRPr="00E46867">
        <w:rPr>
          <w:lang w:val="es-ES_tradnl"/>
        </w:rPr>
        <w:t>ó</w:t>
      </w:r>
      <w:r w:rsidRPr="00E46867">
        <w:rPr>
          <w:lang w:val="es-ES_tradnl"/>
        </w:rPr>
        <w:t>rbita de los satélites geoestaciona</w:t>
      </w:r>
      <w:r w:rsidR="007B5333" w:rsidRPr="00E46867">
        <w:rPr>
          <w:lang w:val="es-ES_tradnl"/>
        </w:rPr>
        <w:t>rios, incluida la capacidad de tr</w:t>
      </w:r>
      <w:r w:rsidRPr="00E46867">
        <w:rPr>
          <w:lang w:val="es-ES_tradnl"/>
        </w:rPr>
        <w:t>a</w:t>
      </w:r>
      <w:r w:rsidR="007B5333" w:rsidRPr="00E46867">
        <w:rPr>
          <w:lang w:val="es-ES_tradnl"/>
        </w:rPr>
        <w:t>n</w:t>
      </w:r>
      <w:r w:rsidRPr="00E46867">
        <w:rPr>
          <w:lang w:val="es-ES_tradnl"/>
        </w:rPr>
        <w:t>smisi</w:t>
      </w:r>
      <w:r w:rsidR="007B5333" w:rsidRPr="00E46867">
        <w:rPr>
          <w:lang w:val="es-ES_tradnl"/>
        </w:rPr>
        <w:t>ó</w:t>
      </w:r>
      <w:r w:rsidRPr="00E46867">
        <w:rPr>
          <w:lang w:val="es-ES_tradnl"/>
        </w:rPr>
        <w:t>n o recepción real del satélite considerado. La Junta lleg</w:t>
      </w:r>
      <w:r w:rsidR="007B5333" w:rsidRPr="00E46867">
        <w:rPr>
          <w:lang w:val="es-ES_tradnl"/>
        </w:rPr>
        <w:t>ó</w:t>
      </w:r>
      <w:r w:rsidRPr="00E46867">
        <w:rPr>
          <w:lang w:val="es-ES_tradnl"/>
        </w:rPr>
        <w:t xml:space="preserve"> a la conclusión </w:t>
      </w:r>
      <w:r w:rsidR="007B5333" w:rsidRPr="00E46867">
        <w:rPr>
          <w:lang w:val="es-ES_tradnl"/>
        </w:rPr>
        <w:t>de que si</w:t>
      </w:r>
      <w:r w:rsidRPr="00E46867">
        <w:rPr>
          <w:lang w:val="es-ES_tradnl"/>
        </w:rPr>
        <w:t xml:space="preserve"> según una fuente de informaci</w:t>
      </w:r>
      <w:r w:rsidR="007B5333" w:rsidRPr="00E46867">
        <w:rPr>
          <w:lang w:val="es-ES_tradnl"/>
        </w:rPr>
        <w:t>ón disponible fiable una asig</w:t>
      </w:r>
      <w:r w:rsidRPr="00E46867">
        <w:rPr>
          <w:lang w:val="es-ES_tradnl"/>
        </w:rPr>
        <w:t>n</w:t>
      </w:r>
      <w:r w:rsidR="007B5333" w:rsidRPr="00E46867">
        <w:rPr>
          <w:lang w:val="es-ES_tradnl"/>
        </w:rPr>
        <w:t>a</w:t>
      </w:r>
      <w:r w:rsidRPr="00E46867">
        <w:rPr>
          <w:lang w:val="es-ES_tradnl"/>
        </w:rPr>
        <w:t>ci</w:t>
      </w:r>
      <w:r w:rsidR="007B5333" w:rsidRPr="00E46867">
        <w:rPr>
          <w:lang w:val="es-ES_tradnl"/>
        </w:rPr>
        <w:t>ó</w:t>
      </w:r>
      <w:r w:rsidRPr="00E46867">
        <w:rPr>
          <w:lang w:val="es-ES_tradnl"/>
        </w:rPr>
        <w:t>n no entr</w:t>
      </w:r>
      <w:r w:rsidR="007B5333" w:rsidRPr="00E46867">
        <w:rPr>
          <w:lang w:val="es-ES_tradnl"/>
        </w:rPr>
        <w:t>ó</w:t>
      </w:r>
      <w:r w:rsidRPr="00E46867">
        <w:rPr>
          <w:lang w:val="es-ES_tradnl"/>
        </w:rPr>
        <w:t xml:space="preserve"> en</w:t>
      </w:r>
      <w:r w:rsidR="007B5333" w:rsidRPr="00E46867">
        <w:rPr>
          <w:lang w:val="es-ES_tradnl"/>
        </w:rPr>
        <w:t xml:space="preserve"> servicio en virtud de los </w:t>
      </w:r>
      <w:r w:rsidR="0032521F">
        <w:rPr>
          <w:lang w:val="es-ES_tradnl"/>
        </w:rPr>
        <w:t>números</w:t>
      </w:r>
      <w:r w:rsidR="007B5333" w:rsidRPr="00E46867">
        <w:rPr>
          <w:lang w:val="es-ES_tradnl"/>
        </w:rPr>
        <w:t xml:space="preserve"> </w:t>
      </w:r>
      <w:r w:rsidRPr="00E46867">
        <w:rPr>
          <w:b/>
          <w:bCs/>
          <w:lang w:val="es-ES_tradnl"/>
        </w:rPr>
        <w:t>11.44/11.44B</w:t>
      </w:r>
      <w:r w:rsidRPr="00E46867">
        <w:rPr>
          <w:lang w:val="es-ES_tradnl"/>
        </w:rPr>
        <w:t>, se aplicar</w:t>
      </w:r>
      <w:r w:rsidR="007B5333" w:rsidRPr="00E46867">
        <w:rPr>
          <w:lang w:val="es-ES_tradnl"/>
        </w:rPr>
        <w:t>á</w:t>
      </w:r>
      <w:r w:rsidRPr="00E46867">
        <w:rPr>
          <w:lang w:val="es-ES_tradnl"/>
        </w:rPr>
        <w:t xml:space="preserve">n las disposiciones del </w:t>
      </w:r>
      <w:r w:rsidR="0032521F">
        <w:rPr>
          <w:lang w:val="es-ES_tradnl"/>
        </w:rPr>
        <w:t>número</w:t>
      </w:r>
      <w:r w:rsidRPr="00E46867">
        <w:rPr>
          <w:lang w:val="es-ES_tradnl"/>
        </w:rPr>
        <w:t xml:space="preserve"> </w:t>
      </w:r>
      <w:r w:rsidRPr="00E46867">
        <w:rPr>
          <w:b/>
          <w:bCs/>
          <w:lang w:val="es-ES_tradnl"/>
        </w:rPr>
        <w:t>13.6</w:t>
      </w:r>
      <w:r w:rsidR="007B5333" w:rsidRPr="00E46867">
        <w:rPr>
          <w:lang w:val="es-ES_tradnl"/>
        </w:rPr>
        <w:t>.</w:t>
      </w:r>
    </w:p>
    <w:p w:rsidR="00B23732" w:rsidRPr="00E46867" w:rsidRDefault="00B23732" w:rsidP="00995EBA">
      <w:pPr>
        <w:jc w:val="left"/>
        <w:rPr>
          <w:i/>
          <w:iCs/>
          <w:lang w:val="es-ES_tradnl"/>
        </w:rPr>
      </w:pPr>
      <w:r w:rsidRPr="00E46867">
        <w:rPr>
          <w:b/>
          <w:bCs/>
          <w:i/>
          <w:iCs/>
          <w:lang w:val="es-ES_tradnl"/>
        </w:rPr>
        <w:t>Motivos:</w:t>
      </w:r>
      <w:r w:rsidRPr="00E46867">
        <w:rPr>
          <w:i/>
          <w:iCs/>
          <w:lang w:val="es-ES_tradnl"/>
        </w:rPr>
        <w:t xml:space="preserve"> </w:t>
      </w:r>
      <w:r w:rsidR="007B5333" w:rsidRPr="00E46867">
        <w:rPr>
          <w:i/>
          <w:iCs/>
          <w:lang w:val="es-ES_tradnl"/>
        </w:rPr>
        <w:t>a</w:t>
      </w:r>
      <w:r w:rsidRPr="00E46867">
        <w:rPr>
          <w:i/>
          <w:iCs/>
          <w:lang w:val="es-ES_tradnl"/>
        </w:rPr>
        <w:t xml:space="preserve">plicación de la decisión RRB-63 del </w:t>
      </w:r>
      <w:r w:rsidR="007B5333" w:rsidRPr="00E46867">
        <w:rPr>
          <w:i/>
          <w:iCs/>
          <w:lang w:val="es-ES_tradnl"/>
        </w:rPr>
        <w:t>D</w:t>
      </w:r>
      <w:r w:rsidRPr="00E46867">
        <w:rPr>
          <w:i/>
          <w:iCs/>
          <w:lang w:val="es-ES_tradnl"/>
        </w:rPr>
        <w:t>ocumento RRB13-2/11.</w:t>
      </w:r>
    </w:p>
    <w:p w:rsidR="00B23732" w:rsidRPr="00E46867" w:rsidRDefault="00B23732" w:rsidP="00995EBA">
      <w:pPr>
        <w:jc w:val="left"/>
        <w:rPr>
          <w:i/>
          <w:iCs/>
          <w:lang w:val="es-ES_tradnl"/>
        </w:rPr>
      </w:pPr>
      <w:r w:rsidRPr="00E46867">
        <w:rPr>
          <w:i/>
          <w:iCs/>
          <w:lang w:val="es-ES_tradnl"/>
        </w:rPr>
        <w:t>Fecha efect</w:t>
      </w:r>
      <w:r w:rsidR="00E46867" w:rsidRPr="00E46867">
        <w:rPr>
          <w:i/>
          <w:iCs/>
          <w:lang w:val="es-ES_tradnl"/>
        </w:rPr>
        <w:t>iva de aplicación de esta Regla</w:t>
      </w:r>
      <w:r w:rsidRPr="00E46867">
        <w:rPr>
          <w:i/>
          <w:iCs/>
          <w:lang w:val="es-ES_tradnl"/>
        </w:rPr>
        <w:t>: 1 de enero de 2014.</w:t>
      </w:r>
    </w:p>
    <w:p w:rsidR="000D578A" w:rsidRPr="0096197F" w:rsidRDefault="00E46867" w:rsidP="000D578A">
      <w:pPr>
        <w:pStyle w:val="Proposal"/>
        <w:rPr>
          <w:b/>
          <w:bCs/>
          <w:sz w:val="24"/>
          <w:szCs w:val="24"/>
          <w:lang w:val="es-ES_tradnl"/>
        </w:rPr>
      </w:pPr>
      <w:r w:rsidRPr="00E46867">
        <w:rPr>
          <w:b/>
          <w:bCs/>
          <w:sz w:val="24"/>
          <w:szCs w:val="24"/>
          <w:lang w:val="es-ES_tradnl"/>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tblGrid>
      <w:tr w:rsidR="000D578A" w:rsidRPr="0096197F" w:rsidTr="000D578A">
        <w:tc>
          <w:tcPr>
            <w:tcW w:w="1276" w:type="dxa"/>
            <w:tcBorders>
              <w:top w:val="double" w:sz="4" w:space="0" w:color="auto"/>
              <w:left w:val="double" w:sz="4" w:space="0" w:color="auto"/>
              <w:bottom w:val="double" w:sz="4" w:space="0" w:color="auto"/>
              <w:right w:val="double" w:sz="4" w:space="0" w:color="auto"/>
            </w:tcBorders>
            <w:hideMark/>
          </w:tcPr>
          <w:p w:rsidR="000D578A" w:rsidRPr="0096197F" w:rsidRDefault="000D578A" w:rsidP="00766841">
            <w:pPr>
              <w:spacing w:before="60"/>
              <w:jc w:val="left"/>
              <w:rPr>
                <w:b/>
                <w:bCs/>
                <w:szCs w:val="24"/>
                <w:lang w:val="es-ES_tradnl" w:eastAsia="zh-CN"/>
              </w:rPr>
            </w:pPr>
            <w:r w:rsidRPr="000D578A">
              <w:rPr>
                <w:b/>
                <w:bCs/>
                <w:szCs w:val="24"/>
                <w:lang w:val="es-ES_tradnl" w:eastAsia="zh-CN"/>
              </w:rPr>
              <w:t>11.44B</w:t>
            </w:r>
          </w:p>
        </w:tc>
      </w:tr>
    </w:tbl>
    <w:p w:rsidR="00B23732" w:rsidRPr="00E46867" w:rsidRDefault="00B23732" w:rsidP="00995EBA">
      <w:pPr>
        <w:pStyle w:val="Proposal"/>
        <w:rPr>
          <w:b/>
          <w:bCs/>
          <w:sz w:val="24"/>
          <w:szCs w:val="24"/>
          <w:lang w:val="es-ES_tradnl"/>
        </w:rPr>
      </w:pPr>
      <w:r w:rsidRPr="00E46867">
        <w:rPr>
          <w:b/>
          <w:bCs/>
          <w:sz w:val="24"/>
          <w:szCs w:val="24"/>
          <w:lang w:val="es-ES_tradnl"/>
        </w:rPr>
        <w:t>NOC 1</w:t>
      </w:r>
    </w:p>
    <w:p w:rsidR="00B23732" w:rsidRPr="00E46867" w:rsidRDefault="00B23732" w:rsidP="00995EBA">
      <w:pPr>
        <w:pStyle w:val="Proposal"/>
        <w:rPr>
          <w:b/>
          <w:bCs/>
          <w:sz w:val="24"/>
          <w:szCs w:val="24"/>
          <w:lang w:val="es-ES_tradnl"/>
        </w:rPr>
      </w:pPr>
      <w:r w:rsidRPr="00E46867">
        <w:rPr>
          <w:b/>
          <w:bCs/>
          <w:sz w:val="24"/>
          <w:szCs w:val="24"/>
          <w:lang w:val="es-ES_tradnl"/>
        </w:rPr>
        <w:t>NOC 2</w:t>
      </w:r>
    </w:p>
    <w:p w:rsidR="00B23732" w:rsidRPr="00E46867" w:rsidRDefault="00B23732" w:rsidP="00995EBA">
      <w:pPr>
        <w:pStyle w:val="Proposal"/>
        <w:rPr>
          <w:b/>
          <w:bCs/>
          <w:sz w:val="24"/>
          <w:szCs w:val="24"/>
          <w:lang w:val="es-ES_tradnl"/>
        </w:rPr>
      </w:pPr>
      <w:r w:rsidRPr="00E46867">
        <w:rPr>
          <w:b/>
          <w:bCs/>
          <w:sz w:val="24"/>
          <w:szCs w:val="24"/>
          <w:lang w:val="es-ES_tradnl"/>
        </w:rPr>
        <w:t>NOC 3</w:t>
      </w:r>
    </w:p>
    <w:p w:rsidR="00B23732" w:rsidRPr="00E46867" w:rsidRDefault="00B23732" w:rsidP="00995EBA">
      <w:pPr>
        <w:pStyle w:val="Proposal"/>
        <w:rPr>
          <w:b/>
          <w:bCs/>
          <w:sz w:val="24"/>
          <w:szCs w:val="24"/>
          <w:lang w:val="es-ES_tradnl"/>
        </w:rPr>
      </w:pPr>
      <w:r w:rsidRPr="00E46867">
        <w:rPr>
          <w:b/>
          <w:bCs/>
          <w:sz w:val="24"/>
          <w:szCs w:val="24"/>
          <w:lang w:val="es-ES_tradnl"/>
        </w:rPr>
        <w:t>NOC</w:t>
      </w:r>
    </w:p>
    <w:p w:rsidR="00B23732" w:rsidRPr="00E46867" w:rsidRDefault="00B23732" w:rsidP="00995EBA">
      <w:pPr>
        <w:jc w:val="left"/>
        <w:rPr>
          <w:lang w:val="es-ES_tradnl"/>
        </w:rPr>
      </w:pPr>
      <w:r w:rsidRPr="00E46867">
        <w:rPr>
          <w:b/>
          <w:bCs/>
          <w:lang w:val="es-ES_tradnl"/>
        </w:rPr>
        <w:t>ADD 5</w:t>
      </w:r>
      <w:r w:rsidR="007B5333" w:rsidRPr="00E46867">
        <w:rPr>
          <w:lang w:val="es-ES_tradnl"/>
        </w:rPr>
        <w:tab/>
      </w:r>
      <w:r w:rsidRPr="00E46867">
        <w:rPr>
          <w:lang w:val="es-ES_tradnl"/>
        </w:rPr>
        <w:t>Cuando la notifica</w:t>
      </w:r>
      <w:r w:rsidR="007B5333" w:rsidRPr="00E46867">
        <w:rPr>
          <w:lang w:val="es-ES_tradnl"/>
        </w:rPr>
        <w:t>c</w:t>
      </w:r>
      <w:r w:rsidRPr="00E46867">
        <w:rPr>
          <w:lang w:val="es-ES_tradnl"/>
        </w:rPr>
        <w:t>i</w:t>
      </w:r>
      <w:r w:rsidR="007B5333" w:rsidRPr="00E46867">
        <w:rPr>
          <w:lang w:val="es-ES_tradnl"/>
        </w:rPr>
        <w:t>ó</w:t>
      </w:r>
      <w:r w:rsidRPr="00E46867">
        <w:rPr>
          <w:lang w:val="es-ES_tradnl"/>
        </w:rPr>
        <w:t>n de una asignación de f</w:t>
      </w:r>
      <w:r w:rsidR="007B5333" w:rsidRPr="00E46867">
        <w:rPr>
          <w:lang w:val="es-ES_tradnl"/>
        </w:rPr>
        <w:t xml:space="preserve">recuencia con arreglo a los </w:t>
      </w:r>
      <w:r w:rsidR="0032521F">
        <w:rPr>
          <w:lang w:val="es-ES_tradnl"/>
        </w:rPr>
        <w:t>números </w:t>
      </w:r>
      <w:r w:rsidR="007B5333" w:rsidRPr="00E46867">
        <w:rPr>
          <w:b/>
          <w:bCs/>
          <w:lang w:val="es-ES_tradnl"/>
        </w:rPr>
        <w:t xml:space="preserve">11.15/11.25, </w:t>
      </w:r>
      <w:r w:rsidR="006A6864" w:rsidRPr="00E46867">
        <w:rPr>
          <w:lang w:val="es-ES_tradnl"/>
        </w:rPr>
        <w:t>al §</w:t>
      </w:r>
      <w:r w:rsidR="00995EBA">
        <w:rPr>
          <w:lang w:val="es-ES_tradnl"/>
        </w:rPr>
        <w:t> </w:t>
      </w:r>
      <w:r w:rsidRPr="00E46867">
        <w:rPr>
          <w:lang w:val="es-ES_tradnl"/>
        </w:rPr>
        <w:t>5.1.3 del Ap</w:t>
      </w:r>
      <w:r w:rsidR="006A6864" w:rsidRPr="00E46867">
        <w:rPr>
          <w:lang w:val="es-ES_tradnl"/>
        </w:rPr>
        <w:t>é</w:t>
      </w:r>
      <w:r w:rsidRPr="00E46867">
        <w:rPr>
          <w:lang w:val="es-ES_tradnl"/>
        </w:rPr>
        <w:t xml:space="preserve">ndice </w:t>
      </w:r>
      <w:r w:rsidRPr="00E46867">
        <w:rPr>
          <w:b/>
          <w:bCs/>
          <w:lang w:val="es-ES_tradnl"/>
        </w:rPr>
        <w:t>30</w:t>
      </w:r>
      <w:r w:rsidRPr="00E46867">
        <w:rPr>
          <w:lang w:val="es-ES_tradnl"/>
        </w:rPr>
        <w:t xml:space="preserve">, </w:t>
      </w:r>
      <w:r w:rsidR="006A6864" w:rsidRPr="00E46867">
        <w:rPr>
          <w:lang w:val="es-ES_tradnl"/>
        </w:rPr>
        <w:t>al §</w:t>
      </w:r>
      <w:r w:rsidR="00995EBA">
        <w:rPr>
          <w:lang w:val="es-ES_tradnl"/>
        </w:rPr>
        <w:t> </w:t>
      </w:r>
      <w:r w:rsidRPr="00E46867">
        <w:rPr>
          <w:lang w:val="es-ES_tradnl"/>
        </w:rPr>
        <w:t>5.1.7 del Ap</w:t>
      </w:r>
      <w:r w:rsidR="006A6864" w:rsidRPr="00E46867">
        <w:rPr>
          <w:lang w:val="es-ES_tradnl"/>
        </w:rPr>
        <w:t>é</w:t>
      </w:r>
      <w:r w:rsidRPr="00E46867">
        <w:rPr>
          <w:lang w:val="es-ES_tradnl"/>
        </w:rPr>
        <w:t xml:space="preserve">ndice </w:t>
      </w:r>
      <w:r w:rsidRPr="00E46867">
        <w:rPr>
          <w:b/>
          <w:bCs/>
          <w:lang w:val="es-ES_tradnl"/>
        </w:rPr>
        <w:t>30</w:t>
      </w:r>
      <w:r w:rsidR="006A6864" w:rsidRPr="00E46867">
        <w:rPr>
          <w:b/>
          <w:bCs/>
          <w:lang w:val="es-ES_tradnl"/>
        </w:rPr>
        <w:t>A</w:t>
      </w:r>
      <w:r w:rsidRPr="00E46867">
        <w:rPr>
          <w:lang w:val="es-ES_tradnl"/>
        </w:rPr>
        <w:t xml:space="preserve"> o </w:t>
      </w:r>
      <w:r w:rsidR="006A6864" w:rsidRPr="00E46867">
        <w:rPr>
          <w:lang w:val="es-ES_tradnl"/>
        </w:rPr>
        <w:t>a</w:t>
      </w:r>
      <w:r w:rsidRPr="00E46867">
        <w:rPr>
          <w:lang w:val="es-ES_tradnl"/>
        </w:rPr>
        <w:t xml:space="preserve">l </w:t>
      </w:r>
      <w:r w:rsidR="006A6864" w:rsidRPr="00E46867">
        <w:rPr>
          <w:lang w:val="es-ES_tradnl"/>
        </w:rPr>
        <w:t>§</w:t>
      </w:r>
      <w:r w:rsidR="00995EBA">
        <w:rPr>
          <w:lang w:val="es-ES_tradnl"/>
        </w:rPr>
        <w:t> </w:t>
      </w:r>
      <w:r w:rsidRPr="00E46867">
        <w:rPr>
          <w:lang w:val="es-ES_tradnl"/>
        </w:rPr>
        <w:t>8.1 del Ap</w:t>
      </w:r>
      <w:r w:rsidR="006A6864" w:rsidRPr="00E46867">
        <w:rPr>
          <w:lang w:val="es-ES_tradnl"/>
        </w:rPr>
        <w:t>é</w:t>
      </w:r>
      <w:r w:rsidRPr="00E46867">
        <w:rPr>
          <w:lang w:val="es-ES_tradnl"/>
        </w:rPr>
        <w:t xml:space="preserve">ndice </w:t>
      </w:r>
      <w:r w:rsidRPr="00E46867">
        <w:rPr>
          <w:b/>
          <w:bCs/>
          <w:lang w:val="es-ES_tradnl"/>
        </w:rPr>
        <w:t>30B</w:t>
      </w:r>
      <w:r w:rsidRPr="00E46867">
        <w:rPr>
          <w:lang w:val="es-ES_tradnl"/>
        </w:rPr>
        <w:t>, según el caso, incluye una fecha de puesta en ser</w:t>
      </w:r>
      <w:r w:rsidR="006A6864" w:rsidRPr="00E46867">
        <w:rPr>
          <w:lang w:val="es-ES_tradnl"/>
        </w:rPr>
        <w:t>v</w:t>
      </w:r>
      <w:r w:rsidRPr="00E46867">
        <w:rPr>
          <w:lang w:val="es-ES_tradnl"/>
        </w:rPr>
        <w:t>icio anterior a la fecha de recepción de la notificación, esta fecha no deberá ser anterior a 120 d</w:t>
      </w:r>
      <w:r w:rsidR="006A6864" w:rsidRPr="00E46867">
        <w:rPr>
          <w:lang w:val="es-ES_tradnl"/>
        </w:rPr>
        <w:t>í</w:t>
      </w:r>
      <w:r w:rsidRPr="00E46867">
        <w:rPr>
          <w:lang w:val="es-ES_tradnl"/>
        </w:rPr>
        <w:t>as (noventa días para la instalación de la estación espacial m</w:t>
      </w:r>
      <w:r w:rsidR="006A6864" w:rsidRPr="00E46867">
        <w:rPr>
          <w:lang w:val="es-ES_tradnl"/>
        </w:rPr>
        <w:t>á</w:t>
      </w:r>
      <w:r w:rsidRPr="00E46867">
        <w:rPr>
          <w:lang w:val="es-ES_tradnl"/>
        </w:rPr>
        <w:t>s treinta días de confirmación) antes de la fecha de recepción de la informaci</w:t>
      </w:r>
      <w:r w:rsidR="006A6864" w:rsidRPr="00E46867">
        <w:rPr>
          <w:lang w:val="es-ES_tradnl"/>
        </w:rPr>
        <w:t>ó</w:t>
      </w:r>
      <w:r w:rsidRPr="00E46867">
        <w:rPr>
          <w:lang w:val="es-ES_tradnl"/>
        </w:rPr>
        <w:t>n de notificación con la confirmación de la puesta en servicio con ar</w:t>
      </w:r>
      <w:r w:rsidR="006A6864" w:rsidRPr="00E46867">
        <w:rPr>
          <w:lang w:val="es-ES_tradnl"/>
        </w:rPr>
        <w:t>r</w:t>
      </w:r>
      <w:r w:rsidRPr="00E46867">
        <w:rPr>
          <w:lang w:val="es-ES_tradnl"/>
        </w:rPr>
        <w:t xml:space="preserve">eglo al </w:t>
      </w:r>
      <w:r w:rsidR="0032521F">
        <w:rPr>
          <w:lang w:val="es-ES_tradnl"/>
        </w:rPr>
        <w:t>número </w:t>
      </w:r>
      <w:r w:rsidRPr="00E46867">
        <w:rPr>
          <w:b/>
          <w:bCs/>
          <w:lang w:val="es-ES_tradnl"/>
        </w:rPr>
        <w:t>11.44B</w:t>
      </w:r>
      <w:r w:rsidRPr="00E46867">
        <w:rPr>
          <w:lang w:val="es-ES_tradnl"/>
        </w:rPr>
        <w:t xml:space="preserve"> que </w:t>
      </w:r>
      <w:r w:rsidR="006A6864" w:rsidRPr="00E46867">
        <w:rPr>
          <w:lang w:val="es-ES_tradnl"/>
        </w:rPr>
        <w:t>deberá comunicarse a</w:t>
      </w:r>
      <w:r w:rsidRPr="00E46867">
        <w:rPr>
          <w:lang w:val="es-ES_tradnl"/>
        </w:rPr>
        <w:t xml:space="preserve"> la </w:t>
      </w:r>
      <w:r w:rsidR="006A6864" w:rsidRPr="00E46867">
        <w:rPr>
          <w:lang w:val="es-ES_tradnl"/>
        </w:rPr>
        <w:t xml:space="preserve">Oficina en el plazo </w:t>
      </w:r>
      <w:r w:rsidRPr="00E46867">
        <w:rPr>
          <w:lang w:val="es-ES_tradnl"/>
        </w:rPr>
        <w:t xml:space="preserve">de </w:t>
      </w:r>
      <w:r w:rsidR="00E46867" w:rsidRPr="00E46867">
        <w:rPr>
          <w:lang w:val="es-ES_tradnl"/>
        </w:rPr>
        <w:t>treinta</w:t>
      </w:r>
      <w:r w:rsidRPr="00E46867">
        <w:rPr>
          <w:lang w:val="es-ES_tradnl"/>
        </w:rPr>
        <w:t xml:space="preserve"> días a partir del final del periodo de noventa días, para que la asignación pueda </w:t>
      </w:r>
      <w:r w:rsidR="006A6864" w:rsidRPr="00E46867">
        <w:rPr>
          <w:lang w:val="es-ES_tradnl"/>
        </w:rPr>
        <w:t>goza</w:t>
      </w:r>
      <w:r w:rsidRPr="00E46867">
        <w:rPr>
          <w:lang w:val="es-ES_tradnl"/>
        </w:rPr>
        <w:t>r</w:t>
      </w:r>
      <w:r w:rsidR="006A6864" w:rsidRPr="00E46867">
        <w:rPr>
          <w:lang w:val="es-ES_tradnl"/>
        </w:rPr>
        <w:t xml:space="preserve"> de</w:t>
      </w:r>
      <w:r w:rsidRPr="00E46867">
        <w:rPr>
          <w:lang w:val="es-ES_tradnl"/>
        </w:rPr>
        <w:t xml:space="preserve"> los derechos y obligacion</w:t>
      </w:r>
      <w:r w:rsidR="006A6864" w:rsidRPr="00E46867">
        <w:rPr>
          <w:lang w:val="es-ES_tradnl"/>
        </w:rPr>
        <w:t>e</w:t>
      </w:r>
      <w:r w:rsidRPr="00E46867">
        <w:rPr>
          <w:lang w:val="es-ES_tradnl"/>
        </w:rPr>
        <w:t>s derivad</w:t>
      </w:r>
      <w:r w:rsidR="006A6864" w:rsidRPr="00E46867">
        <w:rPr>
          <w:lang w:val="es-ES_tradnl"/>
        </w:rPr>
        <w:t>o</w:t>
      </w:r>
      <w:r w:rsidRPr="00E46867">
        <w:rPr>
          <w:lang w:val="es-ES_tradnl"/>
        </w:rPr>
        <w:t>s de su inscripción e</w:t>
      </w:r>
      <w:r w:rsidR="006A6864" w:rsidRPr="00E46867">
        <w:rPr>
          <w:lang w:val="es-ES_tradnl"/>
        </w:rPr>
        <w:t>n el MIFR, especialmente lo</w:t>
      </w:r>
      <w:r w:rsidRPr="00E46867">
        <w:rPr>
          <w:lang w:val="es-ES_tradnl"/>
        </w:rPr>
        <w:t xml:space="preserve"> referente al derecho de reconocimiento internacional y la aplicación de las disposiciones relativas a</w:t>
      </w:r>
      <w:r w:rsidR="006A6864" w:rsidRPr="00E46867">
        <w:rPr>
          <w:lang w:val="es-ES_tradnl"/>
        </w:rPr>
        <w:t xml:space="preserve"> la supresión de la interferenc</w:t>
      </w:r>
      <w:r w:rsidRPr="00E46867">
        <w:rPr>
          <w:lang w:val="es-ES_tradnl"/>
        </w:rPr>
        <w:t>ia perjudicial y suspensión de utilizaci</w:t>
      </w:r>
      <w:r w:rsidR="006A6864" w:rsidRPr="00E46867">
        <w:rPr>
          <w:lang w:val="es-ES_tradnl"/>
        </w:rPr>
        <w:t>ó</w:t>
      </w:r>
      <w:r w:rsidRPr="00E46867">
        <w:rPr>
          <w:lang w:val="es-ES_tradnl"/>
        </w:rPr>
        <w:t xml:space="preserve">n </w:t>
      </w:r>
      <w:r w:rsidR="006A6864" w:rsidRPr="00E46867">
        <w:rPr>
          <w:lang w:val="es-ES_tradnl"/>
        </w:rPr>
        <w:t>(</w:t>
      </w:r>
      <w:r w:rsidR="0032521F">
        <w:rPr>
          <w:lang w:val="es-ES_tradnl"/>
        </w:rPr>
        <w:t>números</w:t>
      </w:r>
      <w:r w:rsidR="006A6864" w:rsidRPr="00E46867">
        <w:rPr>
          <w:lang w:val="es-ES_tradnl"/>
        </w:rPr>
        <w:t> </w:t>
      </w:r>
      <w:r w:rsidRPr="00E46867">
        <w:rPr>
          <w:b/>
          <w:bCs/>
          <w:lang w:val="es-ES_tradnl"/>
        </w:rPr>
        <w:t>11.42</w:t>
      </w:r>
      <w:r w:rsidRPr="00E46867">
        <w:rPr>
          <w:lang w:val="es-ES_tradnl"/>
        </w:rPr>
        <w:t xml:space="preserve"> y </w:t>
      </w:r>
      <w:r w:rsidRPr="00E46867">
        <w:rPr>
          <w:b/>
          <w:bCs/>
          <w:lang w:val="es-ES_tradnl"/>
        </w:rPr>
        <w:t>11.49</w:t>
      </w:r>
      <w:r w:rsidRPr="00E46867">
        <w:rPr>
          <w:lang w:val="es-ES_tradnl"/>
        </w:rPr>
        <w:t>).</w:t>
      </w:r>
    </w:p>
    <w:p w:rsidR="00B23732" w:rsidRPr="00D107BD" w:rsidRDefault="00B23732" w:rsidP="00886DA4">
      <w:pPr>
        <w:jc w:val="left"/>
        <w:rPr>
          <w:lang w:val="es-ES_tradnl"/>
        </w:rPr>
      </w:pPr>
      <w:r w:rsidRPr="00E46867">
        <w:rPr>
          <w:b/>
          <w:bCs/>
          <w:lang w:val="es-ES_tradnl"/>
        </w:rPr>
        <w:t>ADD 6</w:t>
      </w:r>
      <w:r w:rsidR="006A6864" w:rsidRPr="00E46867">
        <w:rPr>
          <w:lang w:val="es-ES_tradnl"/>
        </w:rPr>
        <w:tab/>
        <w:t>S</w:t>
      </w:r>
      <w:r w:rsidRPr="00E46867">
        <w:rPr>
          <w:lang w:val="es-ES_tradnl"/>
        </w:rPr>
        <w:t xml:space="preserve">i la </w:t>
      </w:r>
      <w:r w:rsidR="006A6864" w:rsidRPr="00E46867">
        <w:rPr>
          <w:lang w:val="es-ES_tradnl"/>
        </w:rPr>
        <w:t>O</w:t>
      </w:r>
      <w:r w:rsidRPr="00E46867">
        <w:rPr>
          <w:lang w:val="es-ES_tradnl"/>
        </w:rPr>
        <w:t>ficina recibe una notificación completa para la inscripción de una asignación de frecuencia en el MIFR con la informaci</w:t>
      </w:r>
      <w:r w:rsidR="006A6864" w:rsidRPr="00E46867">
        <w:rPr>
          <w:lang w:val="es-ES_tradnl"/>
        </w:rPr>
        <w:t>ó</w:t>
      </w:r>
      <w:r w:rsidRPr="00E46867">
        <w:rPr>
          <w:lang w:val="es-ES_tradnl"/>
        </w:rPr>
        <w:t xml:space="preserve">n de que la asignación ya </w:t>
      </w:r>
      <w:r w:rsidR="006A6864" w:rsidRPr="00E46867">
        <w:rPr>
          <w:lang w:val="es-ES_tradnl"/>
        </w:rPr>
        <w:t>fue puesta</w:t>
      </w:r>
      <w:r w:rsidRPr="00E46867">
        <w:rPr>
          <w:lang w:val="es-ES_tradnl"/>
        </w:rPr>
        <w:t xml:space="preserve"> en servicio m</w:t>
      </w:r>
      <w:r w:rsidR="006A6864" w:rsidRPr="00E46867">
        <w:rPr>
          <w:lang w:val="es-ES_tradnl"/>
        </w:rPr>
        <w:t>á</w:t>
      </w:r>
      <w:r w:rsidRPr="00E46867">
        <w:rPr>
          <w:lang w:val="es-ES_tradnl"/>
        </w:rPr>
        <w:t>s de 120 d</w:t>
      </w:r>
      <w:r w:rsidR="006A6864" w:rsidRPr="00E46867">
        <w:rPr>
          <w:lang w:val="es-ES_tradnl"/>
        </w:rPr>
        <w:t>í</w:t>
      </w:r>
      <w:r w:rsidRPr="00E46867">
        <w:rPr>
          <w:lang w:val="es-ES_tradnl"/>
        </w:rPr>
        <w:t xml:space="preserve">as antes de la fecha de recepción de la notificación por parte de la </w:t>
      </w:r>
      <w:r w:rsidR="000B0432" w:rsidRPr="00E46867">
        <w:rPr>
          <w:lang w:val="es-ES_tradnl"/>
        </w:rPr>
        <w:t>O</w:t>
      </w:r>
      <w:r w:rsidRPr="00E46867">
        <w:rPr>
          <w:lang w:val="es-ES_tradnl"/>
        </w:rPr>
        <w:t>ficina, la notificación se considerar</w:t>
      </w:r>
      <w:r w:rsidR="000B0432" w:rsidRPr="00E46867">
        <w:rPr>
          <w:lang w:val="es-ES_tradnl"/>
        </w:rPr>
        <w:t xml:space="preserve">á admisible y la </w:t>
      </w:r>
      <w:r w:rsidRPr="00E46867">
        <w:rPr>
          <w:lang w:val="es-ES_tradnl"/>
        </w:rPr>
        <w:t>Oficina la tramitar</w:t>
      </w:r>
      <w:r w:rsidR="000B0432" w:rsidRPr="00E46867">
        <w:rPr>
          <w:lang w:val="es-ES_tradnl"/>
        </w:rPr>
        <w:t>á</w:t>
      </w:r>
      <w:r w:rsidRPr="00E46867">
        <w:rPr>
          <w:lang w:val="es-ES_tradnl"/>
        </w:rPr>
        <w:t xml:space="preserve">. Sin embargo, </w:t>
      </w:r>
      <w:r w:rsidR="000B0432" w:rsidRPr="00E46867">
        <w:rPr>
          <w:lang w:val="es-ES_tradnl"/>
        </w:rPr>
        <w:t xml:space="preserve">se considerará que </w:t>
      </w:r>
      <w:r w:rsidRPr="00E46867">
        <w:rPr>
          <w:lang w:val="es-ES_tradnl"/>
        </w:rPr>
        <w:t>la fecha notificada de puesta en servicio de la asignación no est</w:t>
      </w:r>
      <w:r w:rsidR="000B0432" w:rsidRPr="00E46867">
        <w:rPr>
          <w:lang w:val="es-ES_tradnl"/>
        </w:rPr>
        <w:t>á</w:t>
      </w:r>
      <w:r w:rsidRPr="00E46867">
        <w:rPr>
          <w:lang w:val="es-ES_tradnl"/>
        </w:rPr>
        <w:t xml:space="preserve"> de conformidad con los requ</w:t>
      </w:r>
      <w:r w:rsidR="000B0432" w:rsidRPr="00E46867">
        <w:rPr>
          <w:lang w:val="es-ES_tradnl"/>
        </w:rPr>
        <w:t xml:space="preserve">isitos establecidos en el </w:t>
      </w:r>
      <w:r w:rsidR="0032521F">
        <w:rPr>
          <w:lang w:val="es-ES_tradnl"/>
        </w:rPr>
        <w:t>número </w:t>
      </w:r>
      <w:r w:rsidRPr="00E46867">
        <w:rPr>
          <w:b/>
          <w:bCs/>
          <w:lang w:val="es-ES_tradnl"/>
        </w:rPr>
        <w:t>11.44B</w:t>
      </w:r>
      <w:r w:rsidRPr="00E46867">
        <w:rPr>
          <w:lang w:val="es-ES_tradnl"/>
        </w:rPr>
        <w:t xml:space="preserve"> y las disposiciones relativas a la supresión de la interferencia perjudicial y la suspensión de la utilizaci</w:t>
      </w:r>
      <w:r w:rsidR="000B0432" w:rsidRPr="00E46867">
        <w:rPr>
          <w:lang w:val="es-ES_tradnl"/>
        </w:rPr>
        <w:t>ó</w:t>
      </w:r>
      <w:r w:rsidRPr="00E46867">
        <w:rPr>
          <w:lang w:val="es-ES_tradnl"/>
        </w:rPr>
        <w:t>n no serán aplicables durante el periodo comprendido entre la fecha notificada de puesta en servicio y 120 d</w:t>
      </w:r>
      <w:r w:rsidR="000B0432" w:rsidRPr="00E46867">
        <w:rPr>
          <w:lang w:val="es-ES_tradnl"/>
        </w:rPr>
        <w:t>í</w:t>
      </w:r>
      <w:r w:rsidRPr="00E46867">
        <w:rPr>
          <w:lang w:val="es-ES_tradnl"/>
        </w:rPr>
        <w:t xml:space="preserve">as antes de la fecha de recepción de la notificación. </w:t>
      </w:r>
      <w:r w:rsidR="000B0432" w:rsidRPr="00E46867">
        <w:rPr>
          <w:lang w:val="es-ES_tradnl"/>
        </w:rPr>
        <w:t>En el MIFR se inscribirá l</w:t>
      </w:r>
      <w:r w:rsidRPr="00E46867">
        <w:rPr>
          <w:lang w:val="es-ES_tradnl"/>
        </w:rPr>
        <w:t>a fecha confirmada de puesta en servicio, 120 d</w:t>
      </w:r>
      <w:r w:rsidR="000B0432" w:rsidRPr="00E46867">
        <w:rPr>
          <w:lang w:val="es-ES_tradnl"/>
        </w:rPr>
        <w:t>ías antes de la fecha de recep</w:t>
      </w:r>
      <w:r w:rsidRPr="00E46867">
        <w:rPr>
          <w:lang w:val="es-ES_tradnl"/>
        </w:rPr>
        <w:t>ci</w:t>
      </w:r>
      <w:r w:rsidR="000B0432" w:rsidRPr="00E46867">
        <w:rPr>
          <w:lang w:val="es-ES_tradnl"/>
        </w:rPr>
        <w:t>ó</w:t>
      </w:r>
      <w:r w:rsidRPr="00E46867">
        <w:rPr>
          <w:lang w:val="es-ES_tradnl"/>
        </w:rPr>
        <w:t>n de la informaci</w:t>
      </w:r>
      <w:r w:rsidR="000B0432" w:rsidRPr="00E46867">
        <w:rPr>
          <w:lang w:val="es-ES_tradnl"/>
        </w:rPr>
        <w:t>ó</w:t>
      </w:r>
      <w:r w:rsidRPr="00E46867">
        <w:rPr>
          <w:lang w:val="es-ES_tradnl"/>
        </w:rPr>
        <w:t>n de notificación completa</w:t>
      </w:r>
      <w:r w:rsidR="0069024A">
        <w:rPr>
          <w:lang w:val="es-ES_tradnl"/>
        </w:rPr>
        <w:t>,</w:t>
      </w:r>
      <w:r w:rsidRPr="00E46867">
        <w:rPr>
          <w:lang w:val="es-ES_tradnl"/>
        </w:rPr>
        <w:t xml:space="preserve"> en vez de la fecha notificada presentada en el formulario del </w:t>
      </w:r>
      <w:r w:rsidR="000B0432" w:rsidRPr="00E46867">
        <w:rPr>
          <w:lang w:val="es-ES_tradnl"/>
        </w:rPr>
        <w:t>A</w:t>
      </w:r>
      <w:r w:rsidRPr="00E46867">
        <w:rPr>
          <w:lang w:val="es-ES_tradnl"/>
        </w:rPr>
        <w:t>péndice 4, remitiendo a la Of</w:t>
      </w:r>
      <w:r w:rsidR="000B0432" w:rsidRPr="00E46867">
        <w:rPr>
          <w:lang w:val="es-ES_tradnl"/>
        </w:rPr>
        <w:t>icina una nota adjunta a la asi</w:t>
      </w:r>
      <w:r w:rsidRPr="00E46867">
        <w:rPr>
          <w:lang w:val="es-ES_tradnl"/>
        </w:rPr>
        <w:t>gnaci</w:t>
      </w:r>
      <w:r w:rsidR="000B0432" w:rsidRPr="00E46867">
        <w:rPr>
          <w:lang w:val="es-ES_tradnl"/>
        </w:rPr>
        <w:t>ó</w:t>
      </w:r>
      <w:r w:rsidRPr="00E46867">
        <w:rPr>
          <w:lang w:val="es-ES_tradnl"/>
        </w:rPr>
        <w:t xml:space="preserve">n que indique que </w:t>
      </w:r>
      <w:r w:rsidR="000B0432" w:rsidRPr="00D107BD">
        <w:rPr>
          <w:lang w:val="es-ES_tradnl"/>
        </w:rPr>
        <w:t>«</w:t>
      </w:r>
      <w:r w:rsidRPr="00D107BD">
        <w:rPr>
          <w:lang w:val="es-ES_tradnl"/>
        </w:rPr>
        <w:t xml:space="preserve">satélite </w:t>
      </w:r>
      <w:r w:rsidR="00886DA4" w:rsidRPr="00D107BD">
        <w:rPr>
          <w:lang w:val="es-ES_tradnl"/>
        </w:rPr>
        <w:t>«</w:t>
      </w:r>
      <w:r w:rsidRPr="00D107BD">
        <w:rPr>
          <w:i/>
          <w:iCs/>
          <w:lang w:val="es-ES_tradnl"/>
        </w:rPr>
        <w:t>AAA</w:t>
      </w:r>
      <w:r w:rsidR="00886DA4" w:rsidRPr="00D107BD">
        <w:rPr>
          <w:lang w:val="es-ES_tradnl"/>
        </w:rPr>
        <w:t>»</w:t>
      </w:r>
      <w:r w:rsidRPr="00D107BD">
        <w:rPr>
          <w:lang w:val="es-ES_tradnl"/>
        </w:rPr>
        <w:t xml:space="preserve"> (</w:t>
      </w:r>
      <w:r w:rsidR="000B0432" w:rsidRPr="00D107BD">
        <w:rPr>
          <w:lang w:val="es-ES_tradnl"/>
        </w:rPr>
        <w:t xml:space="preserve">Nombre </w:t>
      </w:r>
      <w:r w:rsidRPr="00D107BD">
        <w:rPr>
          <w:lang w:val="es-ES_tradnl"/>
        </w:rPr>
        <w:t>del satélite, punto A h) del Anexo 2 a la Resoluci</w:t>
      </w:r>
      <w:r w:rsidR="000B0432" w:rsidRPr="00D107BD">
        <w:rPr>
          <w:lang w:val="es-ES_tradnl"/>
        </w:rPr>
        <w:t>ó</w:t>
      </w:r>
      <w:r w:rsidRPr="00D107BD">
        <w:rPr>
          <w:lang w:val="es-ES_tradnl"/>
        </w:rPr>
        <w:t xml:space="preserve">n 49) se ha instalado por primera vez y explotado en la longitud geográfica nominal </w:t>
      </w:r>
      <w:r w:rsidR="00886DA4" w:rsidRPr="00D107BD">
        <w:rPr>
          <w:lang w:val="es-ES_tradnl"/>
        </w:rPr>
        <w:t>«</w:t>
      </w:r>
      <w:r w:rsidR="00886DA4" w:rsidRPr="00D107BD">
        <w:rPr>
          <w:i/>
          <w:iCs/>
          <w:lang w:val="es-ES_tradnl"/>
        </w:rPr>
        <w:t>XXX</w:t>
      </w:r>
      <w:r w:rsidR="00886DA4" w:rsidRPr="00D107BD">
        <w:rPr>
          <w:lang w:val="es-ES_tradnl"/>
        </w:rPr>
        <w:t xml:space="preserve">» (longitud, </w:t>
      </w:r>
      <w:r w:rsidR="00886DA4" w:rsidRPr="00D107BD">
        <w:rPr>
          <w:lang w:val="es-ES_tradnl"/>
        </w:rPr>
        <w:lastRenderedPageBreak/>
        <w:t xml:space="preserve">punto A.4.a.1 del Apéndice 4) </w:t>
      </w:r>
      <w:r w:rsidRPr="00D107BD">
        <w:rPr>
          <w:lang w:val="es-ES_tradnl"/>
        </w:rPr>
        <w:t xml:space="preserve">en la </w:t>
      </w:r>
      <w:r w:rsidR="000B0432" w:rsidRPr="00D107BD">
        <w:rPr>
          <w:lang w:val="es-ES_tradnl"/>
        </w:rPr>
        <w:t>ó</w:t>
      </w:r>
      <w:r w:rsidRPr="00D107BD">
        <w:rPr>
          <w:lang w:val="es-ES_tradnl"/>
        </w:rPr>
        <w:t>rbita de los satélites geoestacionarios desde la fecha</w:t>
      </w:r>
      <w:r w:rsidR="00886DA4" w:rsidRPr="00D107BD">
        <w:rPr>
          <w:lang w:val="es-ES_tradnl"/>
        </w:rPr>
        <w:t xml:space="preserve"> «</w:t>
      </w:r>
      <w:r w:rsidR="00886DA4" w:rsidRPr="00D107BD">
        <w:rPr>
          <w:i/>
          <w:iCs/>
          <w:lang w:val="es-ES_tradnl"/>
        </w:rPr>
        <w:t>DD.MM.YYYY</w:t>
      </w:r>
      <w:r w:rsidR="00886DA4" w:rsidRPr="00D107BD">
        <w:rPr>
          <w:lang w:val="es-ES_tradnl"/>
        </w:rPr>
        <w:t>» (Fecha, punto A.2.a del Apéndice 4)</w:t>
      </w:r>
      <w:r w:rsidR="000B0432" w:rsidRPr="00D107BD">
        <w:rPr>
          <w:lang w:val="es-ES_tradnl"/>
        </w:rPr>
        <w:t xml:space="preserve"> indicada en</w:t>
      </w:r>
      <w:r w:rsidRPr="00D107BD">
        <w:rPr>
          <w:lang w:val="es-ES_tradnl"/>
        </w:rPr>
        <w:t xml:space="preserve"> la </w:t>
      </w:r>
      <w:r w:rsidR="00E46867" w:rsidRPr="00D107BD">
        <w:rPr>
          <w:lang w:val="es-ES_tradnl"/>
        </w:rPr>
        <w:t>presentación</w:t>
      </w:r>
      <w:r w:rsidRPr="00D107BD">
        <w:rPr>
          <w:lang w:val="es-ES_tradnl"/>
        </w:rPr>
        <w:t xml:space="preserve"> origi</w:t>
      </w:r>
      <w:r w:rsidR="000B0432" w:rsidRPr="00D107BD">
        <w:rPr>
          <w:lang w:val="es-ES_tradnl"/>
        </w:rPr>
        <w:t>n</w:t>
      </w:r>
      <w:r w:rsidRPr="00D107BD">
        <w:rPr>
          <w:lang w:val="es-ES_tradnl"/>
        </w:rPr>
        <w:t>al del Ap</w:t>
      </w:r>
      <w:r w:rsidR="000B0432" w:rsidRPr="00D107BD">
        <w:rPr>
          <w:lang w:val="es-ES_tradnl"/>
        </w:rPr>
        <w:t>é</w:t>
      </w:r>
      <w:r w:rsidRPr="00D107BD">
        <w:rPr>
          <w:lang w:val="es-ES_tradnl"/>
        </w:rPr>
        <w:t>ndice 4 bajo las asignaci</w:t>
      </w:r>
      <w:r w:rsidR="000B0432" w:rsidRPr="00D107BD">
        <w:rPr>
          <w:lang w:val="es-ES_tradnl"/>
        </w:rPr>
        <w:t>o</w:t>
      </w:r>
      <w:r w:rsidRPr="00D107BD">
        <w:rPr>
          <w:lang w:val="es-ES_tradnl"/>
        </w:rPr>
        <w:t>nes de frecuencia de la red de satélites pertinente</w:t>
      </w:r>
      <w:r w:rsidR="00886DA4" w:rsidRPr="00D107BD">
        <w:rPr>
          <w:lang w:val="es-ES_tradnl"/>
        </w:rPr>
        <w:t xml:space="preserve"> «</w:t>
      </w:r>
      <w:r w:rsidR="00886DA4" w:rsidRPr="00D107BD">
        <w:rPr>
          <w:i/>
          <w:iCs/>
          <w:lang w:val="es-ES_tradnl"/>
        </w:rPr>
        <w:t>BBB</w:t>
      </w:r>
      <w:r w:rsidR="00886DA4" w:rsidRPr="00D107BD">
        <w:rPr>
          <w:lang w:val="es-ES_tradnl"/>
        </w:rPr>
        <w:t>»</w:t>
      </w:r>
      <w:r w:rsidRPr="00D107BD">
        <w:rPr>
          <w:lang w:val="es-ES_tradnl"/>
        </w:rPr>
        <w:t xml:space="preserve"> </w:t>
      </w:r>
      <w:r w:rsidR="000B0432" w:rsidRPr="00D107BD">
        <w:rPr>
          <w:lang w:val="es-ES_tradnl"/>
        </w:rPr>
        <w:t>(</w:t>
      </w:r>
      <w:r w:rsidR="00886DA4" w:rsidRPr="00D107BD">
        <w:rPr>
          <w:lang w:val="es-ES_tradnl"/>
        </w:rPr>
        <w:t xml:space="preserve">Identidad de la red de satélites, </w:t>
      </w:r>
      <w:r w:rsidR="000B0432" w:rsidRPr="00D107BD">
        <w:rPr>
          <w:lang w:val="es-ES_tradnl"/>
        </w:rPr>
        <w:t>p</w:t>
      </w:r>
      <w:r w:rsidRPr="00D107BD">
        <w:rPr>
          <w:lang w:val="es-ES_tradnl"/>
        </w:rPr>
        <w:t>unto A.1.a del Ap</w:t>
      </w:r>
      <w:r w:rsidR="000B0432" w:rsidRPr="00D107BD">
        <w:rPr>
          <w:lang w:val="es-ES_tradnl"/>
        </w:rPr>
        <w:t>é</w:t>
      </w:r>
      <w:r w:rsidRPr="00D107BD">
        <w:rPr>
          <w:lang w:val="es-ES_tradnl"/>
        </w:rPr>
        <w:t>ndice 4)</w:t>
      </w:r>
      <w:r w:rsidR="000B0432" w:rsidRPr="00D107BD">
        <w:rPr>
          <w:lang w:val="es-ES_tradnl"/>
        </w:rPr>
        <w:t>»</w:t>
      </w:r>
      <w:r w:rsidRPr="00D107BD">
        <w:rPr>
          <w:lang w:val="es-ES_tradnl"/>
        </w:rPr>
        <w:t>.</w:t>
      </w:r>
    </w:p>
    <w:p w:rsidR="000D578A" w:rsidRPr="00AD15F5" w:rsidRDefault="000D578A" w:rsidP="007E4ED6">
      <w:pPr>
        <w:jc w:val="left"/>
        <w:rPr>
          <w:i/>
          <w:iCs/>
          <w:lang w:val="es-ES_tradnl"/>
        </w:rPr>
      </w:pPr>
      <w:r w:rsidRPr="00AD15F5">
        <w:rPr>
          <w:b/>
          <w:bCs/>
          <w:i/>
          <w:iCs/>
          <w:lang w:val="es-ES_tradnl"/>
        </w:rPr>
        <w:t>Motivos</w:t>
      </w:r>
      <w:r w:rsidRPr="00AD15F5">
        <w:rPr>
          <w:i/>
          <w:iCs/>
          <w:lang w:val="es-ES_tradnl"/>
        </w:rPr>
        <w:t>: aplicación de la decisión RRB-63 del Documento RRB13-2/11.</w:t>
      </w:r>
    </w:p>
    <w:p w:rsidR="000D578A" w:rsidRPr="00AD15F5" w:rsidRDefault="000D578A" w:rsidP="007E4ED6">
      <w:pPr>
        <w:jc w:val="left"/>
        <w:rPr>
          <w:i/>
          <w:iCs/>
          <w:lang w:val="es-ES_tradnl"/>
        </w:rPr>
      </w:pPr>
      <w:r>
        <w:rPr>
          <w:i/>
          <w:iCs/>
          <w:lang w:val="es-ES_tradnl"/>
        </w:rPr>
        <w:t>El número</w:t>
      </w:r>
      <w:r w:rsidRPr="00AD15F5">
        <w:rPr>
          <w:i/>
          <w:iCs/>
          <w:lang w:val="es-ES_tradnl"/>
        </w:rPr>
        <w:t xml:space="preserve"> </w:t>
      </w:r>
      <w:r w:rsidRPr="00AD15F5">
        <w:rPr>
          <w:b/>
          <w:bCs/>
          <w:i/>
          <w:iCs/>
          <w:lang w:val="es-ES_tradnl"/>
        </w:rPr>
        <w:t>11.44B</w:t>
      </w:r>
      <w:r w:rsidRPr="00AD15F5">
        <w:rPr>
          <w:i/>
          <w:iCs/>
          <w:lang w:val="es-ES_tradnl"/>
        </w:rPr>
        <w:t xml:space="preserve"> indica un plazo de tiempo para proporcionar la confirmación de la puesta en servicio de las asignaciones de frecuencia (a saber, un máximo de treinta días a partir del final del periodo de noventa días de instalación del satélite). El </w:t>
      </w:r>
      <w:r>
        <w:rPr>
          <w:i/>
          <w:iCs/>
          <w:lang w:val="es-ES_tradnl"/>
        </w:rPr>
        <w:t>número</w:t>
      </w:r>
      <w:r w:rsidRPr="00AD15F5">
        <w:rPr>
          <w:i/>
          <w:iCs/>
          <w:lang w:val="es-ES_tradnl"/>
        </w:rPr>
        <w:t xml:space="preserve"> </w:t>
      </w:r>
      <w:r w:rsidRPr="00AD15F5">
        <w:rPr>
          <w:b/>
          <w:bCs/>
          <w:i/>
          <w:iCs/>
          <w:lang w:val="es-ES_tradnl"/>
        </w:rPr>
        <w:t>11.44.2</w:t>
      </w:r>
      <w:r w:rsidRPr="00AD15F5">
        <w:rPr>
          <w:i/>
          <w:iCs/>
          <w:lang w:val="es-ES_tradnl"/>
        </w:rPr>
        <w:t xml:space="preserve"> señala que la fecha notificada de puesta en servicio deberá ser la fecha de inicio del periodo de noventa días. El punto</w:t>
      </w:r>
      <w:r>
        <w:rPr>
          <w:i/>
          <w:iCs/>
          <w:lang w:val="es-ES_tradnl"/>
        </w:rPr>
        <w:t> </w:t>
      </w:r>
      <w:r w:rsidRPr="00AD15F5">
        <w:rPr>
          <w:i/>
          <w:iCs/>
          <w:lang w:val="es-ES_tradnl"/>
        </w:rPr>
        <w:t xml:space="preserve">A.2.a del Apéndice </w:t>
      </w:r>
      <w:r w:rsidRPr="00AD15F5">
        <w:rPr>
          <w:b/>
          <w:bCs/>
          <w:i/>
          <w:iCs/>
          <w:lang w:val="es-ES_tradnl"/>
        </w:rPr>
        <w:t>4</w:t>
      </w:r>
      <w:r w:rsidRPr="00AD15F5">
        <w:rPr>
          <w:i/>
          <w:iCs/>
          <w:lang w:val="es-ES_tradnl"/>
        </w:rPr>
        <w:t xml:space="preserve"> que también se aplica a las notificaciones con arreglo a los Apéndices</w:t>
      </w:r>
      <w:r>
        <w:rPr>
          <w:i/>
          <w:iCs/>
          <w:lang w:val="es-ES_tradnl"/>
        </w:rPr>
        <w:t> </w:t>
      </w:r>
      <w:r w:rsidRPr="00AD15F5">
        <w:rPr>
          <w:b/>
          <w:bCs/>
          <w:i/>
          <w:iCs/>
          <w:lang w:val="es-ES_tradnl"/>
        </w:rPr>
        <w:t>30</w:t>
      </w:r>
      <w:r w:rsidRPr="00AD15F5">
        <w:rPr>
          <w:i/>
          <w:iCs/>
          <w:lang w:val="es-ES_tradnl"/>
        </w:rPr>
        <w:t xml:space="preserve">, </w:t>
      </w:r>
      <w:r w:rsidRPr="00AD15F5">
        <w:rPr>
          <w:b/>
          <w:bCs/>
          <w:i/>
          <w:iCs/>
          <w:lang w:val="es-ES_tradnl"/>
        </w:rPr>
        <w:t>30A</w:t>
      </w:r>
      <w:r w:rsidRPr="00AD15F5">
        <w:rPr>
          <w:i/>
          <w:iCs/>
          <w:lang w:val="es-ES_tradnl"/>
        </w:rPr>
        <w:t xml:space="preserve"> y </w:t>
      </w:r>
      <w:r w:rsidR="003D3484">
        <w:rPr>
          <w:b/>
          <w:bCs/>
          <w:i/>
          <w:iCs/>
          <w:lang w:val="es-ES_tradnl"/>
        </w:rPr>
        <w:t>30</w:t>
      </w:r>
      <w:r w:rsidRPr="00AD15F5">
        <w:rPr>
          <w:b/>
          <w:bCs/>
          <w:i/>
          <w:iCs/>
          <w:lang w:val="es-ES_tradnl"/>
        </w:rPr>
        <w:t>B</w:t>
      </w:r>
      <w:r w:rsidRPr="007E4ED6">
        <w:rPr>
          <w:i/>
          <w:iCs/>
          <w:lang w:val="es-ES_tradnl"/>
        </w:rPr>
        <w:t>,</w:t>
      </w:r>
      <w:r w:rsidRPr="00AD15F5">
        <w:rPr>
          <w:i/>
          <w:iCs/>
          <w:lang w:val="es-ES_tradnl"/>
        </w:rPr>
        <w:t xml:space="preserve"> solicita que la información referente a la puesta en servicio se comunique en los formularios de notificación </w:t>
      </w:r>
      <w:r>
        <w:rPr>
          <w:i/>
          <w:iCs/>
          <w:lang w:val="es-ES_tradnl"/>
        </w:rPr>
        <w:t>d</w:t>
      </w:r>
      <w:r w:rsidRPr="00AD15F5">
        <w:rPr>
          <w:i/>
          <w:iCs/>
          <w:lang w:val="es-ES_tradnl"/>
        </w:rPr>
        <w:t xml:space="preserve">el AP4. Además, la Regla de Procedimiento relativa al </w:t>
      </w:r>
      <w:r>
        <w:rPr>
          <w:i/>
          <w:iCs/>
          <w:lang w:val="es-ES_tradnl"/>
        </w:rPr>
        <w:t>número</w:t>
      </w:r>
      <w:r w:rsidRPr="00AD15F5">
        <w:rPr>
          <w:i/>
          <w:iCs/>
          <w:lang w:val="es-ES_tradnl"/>
        </w:rPr>
        <w:t xml:space="preserve"> </w:t>
      </w:r>
      <w:r w:rsidRPr="00AD15F5">
        <w:rPr>
          <w:b/>
          <w:bCs/>
          <w:i/>
          <w:iCs/>
          <w:lang w:val="es-ES_tradnl"/>
        </w:rPr>
        <w:t>11.44</w:t>
      </w:r>
      <w:r w:rsidRPr="00AD15F5">
        <w:rPr>
          <w:i/>
          <w:iCs/>
          <w:lang w:val="es-ES_tradnl"/>
        </w:rPr>
        <w:t xml:space="preserve"> indica que la información relativa a la fecha de puesta en servicio debe indicarse en los formularios de notificación del AP4 cuando se presente en virtud del </w:t>
      </w:r>
      <w:r>
        <w:rPr>
          <w:i/>
          <w:iCs/>
          <w:lang w:val="es-ES_tradnl"/>
        </w:rPr>
        <w:t>número</w:t>
      </w:r>
      <w:r w:rsidRPr="00AD15F5">
        <w:rPr>
          <w:i/>
          <w:iCs/>
          <w:lang w:val="es-ES_tradnl"/>
        </w:rPr>
        <w:t xml:space="preserve"> </w:t>
      </w:r>
      <w:r w:rsidRPr="00AD15F5">
        <w:rPr>
          <w:b/>
          <w:bCs/>
          <w:i/>
          <w:iCs/>
          <w:lang w:val="es-ES_tradnl"/>
        </w:rPr>
        <w:t>11.15</w:t>
      </w:r>
      <w:r w:rsidRPr="00AD15F5">
        <w:rPr>
          <w:i/>
          <w:iCs/>
          <w:lang w:val="es-ES_tradnl"/>
        </w:rPr>
        <w:t xml:space="preserve"> salvo para su confirmación, cuya información puede presentarse a la Oficina en cualquier medio disponible para la transmisión de correspondencia (correo, correo-e o fax). La misma regla también indica que la fecha de puesta en servicio deberá comunicarse para cada asignación o grupo de asignaciones. A fin de satisfacer los anteriores requisitos, la fecha de inicio del periodo de noventa días (es decir, la fecha de puesta en servicio) no puede ser, por tanto, anterior a 120 días antes de la fecha de recepción de la información de notificación con arreglo a los </w:t>
      </w:r>
      <w:r>
        <w:rPr>
          <w:i/>
          <w:iCs/>
          <w:lang w:val="es-ES_tradnl"/>
        </w:rPr>
        <w:t>n</w:t>
      </w:r>
      <w:r w:rsidRPr="00AD15F5">
        <w:rPr>
          <w:i/>
          <w:iCs/>
          <w:lang w:val="es-ES_tradnl"/>
        </w:rPr>
        <w:t xml:space="preserve">úmeros </w:t>
      </w:r>
      <w:r w:rsidRPr="00AD15F5">
        <w:rPr>
          <w:b/>
          <w:bCs/>
          <w:i/>
          <w:iCs/>
          <w:lang w:val="es-ES_tradnl"/>
        </w:rPr>
        <w:t>11.15/11.25</w:t>
      </w:r>
      <w:r w:rsidRPr="00AD15F5">
        <w:rPr>
          <w:i/>
          <w:iCs/>
          <w:lang w:val="es-ES_tradnl"/>
        </w:rPr>
        <w:t>, al</w:t>
      </w:r>
      <w:r>
        <w:rPr>
          <w:i/>
          <w:iCs/>
          <w:lang w:val="es-ES_tradnl"/>
        </w:rPr>
        <w:t> </w:t>
      </w:r>
      <w:r w:rsidRPr="00AD15F5">
        <w:rPr>
          <w:i/>
          <w:iCs/>
          <w:lang w:val="es-ES_tradnl"/>
        </w:rPr>
        <w:t>§</w:t>
      </w:r>
      <w:r>
        <w:rPr>
          <w:i/>
          <w:iCs/>
          <w:lang w:val="es-ES_tradnl"/>
        </w:rPr>
        <w:t> </w:t>
      </w:r>
      <w:r w:rsidRPr="00AD15F5">
        <w:rPr>
          <w:i/>
          <w:iCs/>
          <w:lang w:val="es-ES_tradnl"/>
        </w:rPr>
        <w:t xml:space="preserve">5.1.3 del Apéndice </w:t>
      </w:r>
      <w:r w:rsidRPr="00AD15F5">
        <w:rPr>
          <w:b/>
          <w:bCs/>
          <w:i/>
          <w:iCs/>
          <w:lang w:val="es-ES_tradnl"/>
        </w:rPr>
        <w:t>30</w:t>
      </w:r>
      <w:r w:rsidRPr="00AD15F5">
        <w:rPr>
          <w:i/>
          <w:iCs/>
          <w:lang w:val="es-ES_tradnl"/>
        </w:rPr>
        <w:t xml:space="preserve">, al § 5.1.7 del Apéndice </w:t>
      </w:r>
      <w:r w:rsidRPr="00AD15F5">
        <w:rPr>
          <w:b/>
          <w:bCs/>
          <w:i/>
          <w:iCs/>
          <w:lang w:val="es-ES_tradnl"/>
        </w:rPr>
        <w:t>30A</w:t>
      </w:r>
      <w:r w:rsidRPr="00AD15F5">
        <w:rPr>
          <w:i/>
          <w:iCs/>
          <w:lang w:val="es-ES_tradnl"/>
        </w:rPr>
        <w:t xml:space="preserve"> o al § 8.1 del Apéndice </w:t>
      </w:r>
      <w:r w:rsidRPr="00AD15F5">
        <w:rPr>
          <w:b/>
          <w:bCs/>
          <w:i/>
          <w:iCs/>
          <w:lang w:val="es-ES_tradnl"/>
        </w:rPr>
        <w:t>30B</w:t>
      </w:r>
      <w:r w:rsidRPr="00AD15F5">
        <w:rPr>
          <w:i/>
          <w:iCs/>
          <w:lang w:val="es-ES_tradnl"/>
        </w:rPr>
        <w:t xml:space="preserve">. Además, los derechos y obligaciones internacionales de las administraciones respecto a sus propias asignaciones de frecuencia y las asignaciones de frecuencia de otras administraciones, tales como los derechos al reconocimiento internacional, a reclamar protección contra la interferencia perjudicial y a la suspensión del uso, se derivan de la inscripción de esas asignaciones en el Registro Internacional de Frecuencias (es decir, tras la notificación de la asignación) de conformidad con el </w:t>
      </w:r>
      <w:r>
        <w:rPr>
          <w:i/>
          <w:iCs/>
          <w:lang w:val="es-ES_tradnl"/>
        </w:rPr>
        <w:t>número</w:t>
      </w:r>
      <w:r w:rsidRPr="00AD15F5">
        <w:rPr>
          <w:i/>
          <w:iCs/>
          <w:lang w:val="es-ES_tradnl"/>
        </w:rPr>
        <w:t xml:space="preserve"> </w:t>
      </w:r>
      <w:r w:rsidRPr="00AD15F5">
        <w:rPr>
          <w:b/>
          <w:bCs/>
          <w:i/>
          <w:iCs/>
          <w:lang w:val="es-ES_tradnl"/>
        </w:rPr>
        <w:t>8.1</w:t>
      </w:r>
      <w:r w:rsidRPr="00AD15F5">
        <w:rPr>
          <w:i/>
          <w:iCs/>
          <w:lang w:val="es-ES_tradnl"/>
        </w:rPr>
        <w:t xml:space="preserve"> del Artículo 8 (véanse también las disposiciones de los </w:t>
      </w:r>
      <w:r>
        <w:rPr>
          <w:i/>
          <w:iCs/>
          <w:lang w:val="es-ES_tradnl"/>
        </w:rPr>
        <w:t>n</w:t>
      </w:r>
      <w:r w:rsidRPr="00AD15F5">
        <w:rPr>
          <w:i/>
          <w:iCs/>
          <w:lang w:val="es-ES_tradnl"/>
        </w:rPr>
        <w:t xml:space="preserve">úmeros </w:t>
      </w:r>
      <w:r w:rsidRPr="00AD15F5">
        <w:rPr>
          <w:b/>
          <w:bCs/>
          <w:i/>
          <w:iCs/>
          <w:lang w:val="es-ES_tradnl"/>
        </w:rPr>
        <w:t>11.42</w:t>
      </w:r>
      <w:r w:rsidRPr="00AD15F5">
        <w:rPr>
          <w:i/>
          <w:iCs/>
          <w:lang w:val="es-ES_tradnl"/>
        </w:rPr>
        <w:t xml:space="preserve"> y </w:t>
      </w:r>
      <w:r w:rsidRPr="00AD15F5">
        <w:rPr>
          <w:b/>
          <w:bCs/>
          <w:i/>
          <w:iCs/>
          <w:lang w:val="es-ES_tradnl"/>
        </w:rPr>
        <w:t>11.49</w:t>
      </w:r>
      <w:r w:rsidRPr="00AD15F5">
        <w:rPr>
          <w:i/>
          <w:iCs/>
          <w:lang w:val="es-ES_tradnl"/>
        </w:rPr>
        <w:t>, de los</w:t>
      </w:r>
      <w:r>
        <w:rPr>
          <w:i/>
          <w:iCs/>
          <w:lang w:val="es-ES_tradnl"/>
        </w:rPr>
        <w:t> </w:t>
      </w:r>
      <w:r w:rsidRPr="00AD15F5">
        <w:rPr>
          <w:i/>
          <w:iCs/>
          <w:lang w:val="es-ES_tradnl"/>
        </w:rPr>
        <w:t>§</w:t>
      </w:r>
      <w:r>
        <w:rPr>
          <w:i/>
          <w:iCs/>
          <w:lang w:val="es-ES_tradnl"/>
        </w:rPr>
        <w:t> </w:t>
      </w:r>
      <w:r w:rsidRPr="00AD15F5">
        <w:rPr>
          <w:i/>
          <w:iCs/>
          <w:lang w:val="es-ES_tradnl"/>
        </w:rPr>
        <w:t xml:space="preserve">4.1.20, 4.2.21D y 5.2.10 de los Apéndices </w:t>
      </w:r>
      <w:r w:rsidRPr="00AD15F5">
        <w:rPr>
          <w:b/>
          <w:bCs/>
          <w:i/>
          <w:iCs/>
          <w:lang w:val="es-ES_tradnl"/>
        </w:rPr>
        <w:t>30</w:t>
      </w:r>
      <w:r w:rsidRPr="00AD15F5">
        <w:rPr>
          <w:i/>
          <w:iCs/>
          <w:lang w:val="es-ES_tradnl"/>
        </w:rPr>
        <w:t xml:space="preserve"> y </w:t>
      </w:r>
      <w:r w:rsidRPr="00AD15F5">
        <w:rPr>
          <w:b/>
          <w:bCs/>
          <w:i/>
          <w:iCs/>
          <w:lang w:val="es-ES_tradnl"/>
        </w:rPr>
        <w:t>30A</w:t>
      </w:r>
      <w:r w:rsidRPr="00AD15F5">
        <w:rPr>
          <w:i/>
          <w:iCs/>
          <w:lang w:val="es-ES_tradnl"/>
        </w:rPr>
        <w:t xml:space="preserve"> y del § 8.7 del Apéndice </w:t>
      </w:r>
      <w:r w:rsidRPr="00AD15F5">
        <w:rPr>
          <w:b/>
          <w:bCs/>
          <w:i/>
          <w:iCs/>
          <w:lang w:val="es-ES_tradnl"/>
        </w:rPr>
        <w:t>30B</w:t>
      </w:r>
      <w:r w:rsidRPr="00AD15F5">
        <w:rPr>
          <w:i/>
          <w:iCs/>
          <w:lang w:val="es-ES_tradnl"/>
        </w:rPr>
        <w:t>).</w:t>
      </w:r>
    </w:p>
    <w:p w:rsidR="000D578A" w:rsidRPr="00AD15F5" w:rsidRDefault="000D578A" w:rsidP="007E4ED6">
      <w:pPr>
        <w:jc w:val="left"/>
        <w:rPr>
          <w:i/>
          <w:iCs/>
          <w:lang w:val="es-ES_tradnl"/>
        </w:rPr>
      </w:pPr>
      <w:r w:rsidRPr="00AD15F5">
        <w:rPr>
          <w:i/>
          <w:iCs/>
          <w:lang w:val="es-ES_tradnl"/>
        </w:rPr>
        <w:t xml:space="preserve">Quedó pendiente la cuestión sobre el plazo para proporcionar la información de confirmación para una notificación con fecha de puesta en servicio más de 120 días antes de la fecha de recepción de la notificación, como consecuencia de la aplicación del </w:t>
      </w:r>
      <w:r>
        <w:rPr>
          <w:i/>
          <w:iCs/>
          <w:lang w:val="es-ES_tradnl"/>
        </w:rPr>
        <w:t>número</w:t>
      </w:r>
      <w:r w:rsidRPr="00AD15F5">
        <w:rPr>
          <w:i/>
          <w:iCs/>
          <w:lang w:val="es-ES_tradnl"/>
        </w:rPr>
        <w:t xml:space="preserve"> </w:t>
      </w:r>
      <w:r w:rsidRPr="00AD15F5">
        <w:rPr>
          <w:b/>
          <w:bCs/>
          <w:i/>
          <w:iCs/>
          <w:lang w:val="es-ES_tradnl"/>
        </w:rPr>
        <w:t>11.44.1</w:t>
      </w:r>
      <w:r w:rsidRPr="00AD15F5">
        <w:rPr>
          <w:i/>
          <w:iCs/>
          <w:lang w:val="es-ES_tradnl"/>
        </w:rPr>
        <w:t>. En este caso, el nuevo párrafo 6 de la Reglas de Procedimiento propuesto proporciona un enfoque reglamentario.</w:t>
      </w:r>
    </w:p>
    <w:p w:rsidR="000D578A" w:rsidRPr="00AD15F5" w:rsidRDefault="000D578A" w:rsidP="007E4ED6">
      <w:pPr>
        <w:spacing w:before="240" w:after="120"/>
        <w:jc w:val="left"/>
        <w:rPr>
          <w:i/>
          <w:iCs/>
          <w:lang w:val="es-ES_tradnl"/>
        </w:rPr>
      </w:pPr>
      <w:r w:rsidRPr="00AD15F5">
        <w:rPr>
          <w:i/>
          <w:iCs/>
          <w:lang w:val="es-ES_tradnl"/>
        </w:rPr>
        <w:t>Fecha efectiva de aplicación de esta Regla: 1 de enero de 2014.</w:t>
      </w:r>
    </w:p>
    <w:p w:rsidR="000D578A" w:rsidRPr="00AA5FA9" w:rsidRDefault="000D578A" w:rsidP="00AA5FA9">
      <w:pPr>
        <w:pStyle w:val="Arttitle"/>
        <w:spacing w:before="480"/>
        <w:rPr>
          <w:sz w:val="24"/>
          <w:szCs w:val="24"/>
          <w:lang w:val="es-ES_tradnl"/>
        </w:rPr>
      </w:pPr>
      <w:r w:rsidRPr="00AA5FA9">
        <w:rPr>
          <w:sz w:val="24"/>
          <w:szCs w:val="24"/>
          <w:lang w:val="es-ES_tradnl"/>
        </w:rPr>
        <w:t>Reglas relativas al</w:t>
      </w:r>
      <w:r w:rsidRPr="00AA5FA9">
        <w:rPr>
          <w:sz w:val="24"/>
          <w:szCs w:val="24"/>
          <w:lang w:val="es-ES_tradnl"/>
        </w:rPr>
        <w:br/>
        <w:t>ARTÍCULO 21 del RR</w:t>
      </w:r>
    </w:p>
    <w:p w:rsidR="000D578A" w:rsidRPr="0096197F" w:rsidRDefault="000D578A" w:rsidP="00202089">
      <w:pPr>
        <w:pStyle w:val="Proposal"/>
        <w:rPr>
          <w:b/>
          <w:bCs/>
          <w:sz w:val="24"/>
          <w:szCs w:val="24"/>
          <w:lang w:val="es-ES_tradnl"/>
        </w:rPr>
      </w:pPr>
      <w:r w:rsidRPr="0096197F">
        <w:rPr>
          <w:b/>
          <w:bCs/>
          <w:sz w:val="24"/>
          <w:szCs w:val="24"/>
          <w:lang w:val="es-ES_tradnl"/>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0"/>
      </w:tblGrid>
      <w:tr w:rsidR="000D578A" w:rsidRPr="0096197F" w:rsidTr="00CA1E52">
        <w:tc>
          <w:tcPr>
            <w:tcW w:w="1560" w:type="dxa"/>
            <w:tcBorders>
              <w:top w:val="double" w:sz="4" w:space="0" w:color="auto"/>
              <w:left w:val="double" w:sz="4" w:space="0" w:color="auto"/>
              <w:bottom w:val="double" w:sz="4" w:space="0" w:color="auto"/>
              <w:right w:val="double" w:sz="4" w:space="0" w:color="auto"/>
            </w:tcBorders>
            <w:hideMark/>
          </w:tcPr>
          <w:p w:rsidR="000D578A" w:rsidRPr="0096197F" w:rsidRDefault="000D578A" w:rsidP="00392D88">
            <w:pPr>
              <w:spacing w:before="60"/>
              <w:jc w:val="left"/>
              <w:rPr>
                <w:b/>
                <w:bCs/>
                <w:szCs w:val="24"/>
                <w:lang w:val="es-ES_tradnl" w:eastAsia="zh-CN"/>
              </w:rPr>
            </w:pPr>
            <w:r w:rsidRPr="0096197F">
              <w:rPr>
                <w:b/>
                <w:bCs/>
                <w:szCs w:val="24"/>
                <w:lang w:val="es-ES_tradnl" w:eastAsia="zh-CN"/>
              </w:rPr>
              <w:t>Cuadro 21-2</w:t>
            </w:r>
          </w:p>
        </w:tc>
      </w:tr>
    </w:tbl>
    <w:p w:rsidR="000D578A" w:rsidRPr="00AD15F5" w:rsidRDefault="000D578A" w:rsidP="007E4ED6">
      <w:pPr>
        <w:jc w:val="left"/>
        <w:rPr>
          <w:lang w:val="es-ES_tradnl"/>
        </w:rPr>
      </w:pPr>
      <w:r w:rsidRPr="00AD15F5">
        <w:rPr>
          <w:lang w:val="es-ES_tradnl"/>
        </w:rPr>
        <w:t xml:space="preserve">El Cuadro </w:t>
      </w:r>
      <w:r w:rsidRPr="00AD15F5">
        <w:rPr>
          <w:b/>
          <w:bCs/>
          <w:lang w:val="es-ES_tradnl"/>
        </w:rPr>
        <w:t>21-2</w:t>
      </w:r>
      <w:r w:rsidRPr="00AD15F5">
        <w:rPr>
          <w:lang w:val="es-ES_tradnl"/>
        </w:rPr>
        <w:t xml:space="preserve"> especifica las bandas de frecuencia compartidas con igualdad de derechos entre los servicios espaciales, por un lado, y los servicio fijo y móvil, por otro lado, cuando la estación terrenal está sujeta a los límites de potencia especificados en las disposiciones de los </w:t>
      </w:r>
      <w:r>
        <w:rPr>
          <w:lang w:val="es-ES_tradnl"/>
        </w:rPr>
        <w:t>n</w:t>
      </w:r>
      <w:r w:rsidRPr="00AD15F5">
        <w:rPr>
          <w:lang w:val="es-ES_tradnl"/>
        </w:rPr>
        <w:t>úmeros</w:t>
      </w:r>
      <w:r>
        <w:rPr>
          <w:lang w:val="es-ES_tradnl"/>
        </w:rPr>
        <w:t> </w:t>
      </w:r>
      <w:r w:rsidRPr="00AD15F5">
        <w:rPr>
          <w:b/>
          <w:bCs/>
          <w:lang w:val="es-ES_tradnl"/>
        </w:rPr>
        <w:t>21.2</w:t>
      </w:r>
      <w:r w:rsidRPr="00AD15F5">
        <w:rPr>
          <w:lang w:val="es-ES_tradnl"/>
        </w:rPr>
        <w:t xml:space="preserve"> y </w:t>
      </w:r>
      <w:r w:rsidRPr="00AD15F5">
        <w:rPr>
          <w:b/>
          <w:bCs/>
          <w:lang w:val="es-ES_tradnl"/>
        </w:rPr>
        <w:t>21.5A</w:t>
      </w:r>
      <w:r w:rsidRPr="00AD15F5">
        <w:rPr>
          <w:lang w:val="es-ES_tradnl"/>
        </w:rPr>
        <w:t xml:space="preserve">. Estos límites de potencia se verifican durante el procesamiento de las asignaciones de frecuencia por la Oficina bajo las «demás disposiciones» mencionadas en el </w:t>
      </w:r>
      <w:r>
        <w:rPr>
          <w:lang w:val="es-ES_tradnl"/>
        </w:rPr>
        <w:t>número</w:t>
      </w:r>
      <w:r w:rsidRPr="00AD15F5">
        <w:rPr>
          <w:lang w:val="es-ES_tradnl"/>
        </w:rPr>
        <w:t xml:space="preserve"> </w:t>
      </w:r>
      <w:r w:rsidRPr="00AD15F5">
        <w:rPr>
          <w:b/>
          <w:bCs/>
          <w:lang w:val="es-ES_tradnl"/>
        </w:rPr>
        <w:t>11.31</w:t>
      </w:r>
      <w:r w:rsidRPr="00AD15F5">
        <w:rPr>
          <w:lang w:val="es-ES_tradnl"/>
        </w:rPr>
        <w:t xml:space="preserve"> que son obligatorias de verificar durante el examen reglamentario.</w:t>
      </w:r>
    </w:p>
    <w:p w:rsidR="000D578A" w:rsidRPr="00AD15F5" w:rsidRDefault="000D578A" w:rsidP="007E4ED6">
      <w:pPr>
        <w:jc w:val="left"/>
        <w:rPr>
          <w:lang w:val="es-ES_tradnl"/>
        </w:rPr>
      </w:pPr>
      <w:r w:rsidRPr="00AD15F5">
        <w:rPr>
          <w:lang w:val="es-ES_tradnl"/>
        </w:rPr>
        <w:t>La CMR-12 atribuyó la banda de frecuencias 24,75-25,25 GHz al servicio fijo por satélite en sentido Tierra-espacio en la Región 1. En consecuencia, esta banda est</w:t>
      </w:r>
      <w:r>
        <w:rPr>
          <w:lang w:val="es-ES_tradnl"/>
        </w:rPr>
        <w:t>á</w:t>
      </w:r>
      <w:r w:rsidRPr="00AD15F5">
        <w:rPr>
          <w:lang w:val="es-ES_tradnl"/>
        </w:rPr>
        <w:t xml:space="preserve"> compartida con igualdad de </w:t>
      </w:r>
      <w:r w:rsidRPr="00AD15F5">
        <w:rPr>
          <w:lang w:val="es-ES_tradnl"/>
        </w:rPr>
        <w:lastRenderedPageBreak/>
        <w:t xml:space="preserve">derechos entre el servicio fijo por satélite (Tierra-espacio) y el servicio fijo; sin embargo, esta situación no aparece reflejada en el Cuadro </w:t>
      </w:r>
      <w:r w:rsidRPr="00AD15F5">
        <w:rPr>
          <w:b/>
          <w:bCs/>
          <w:lang w:val="es-ES_tradnl"/>
        </w:rPr>
        <w:t>21-2</w:t>
      </w:r>
      <w:r w:rsidRPr="00AD15F5">
        <w:rPr>
          <w:lang w:val="es-ES_tradnl"/>
        </w:rPr>
        <w:t xml:space="preserve">. Reconociendo la necesidad de emplear un método coherente para la protección del servicio fijo por satélite en las </w:t>
      </w:r>
      <w:r>
        <w:rPr>
          <w:lang w:val="es-ES_tradnl"/>
        </w:rPr>
        <w:t>R</w:t>
      </w:r>
      <w:r w:rsidRPr="00AD15F5">
        <w:rPr>
          <w:lang w:val="es-ES_tradnl"/>
        </w:rPr>
        <w:t xml:space="preserve">egiones 1 y 3, la Junta decidió que los límites de potencia especificados en los </w:t>
      </w:r>
      <w:r>
        <w:rPr>
          <w:lang w:val="es-ES_tradnl"/>
        </w:rPr>
        <w:t>n</w:t>
      </w:r>
      <w:r w:rsidRPr="00AD15F5">
        <w:rPr>
          <w:lang w:val="es-ES_tradnl"/>
        </w:rPr>
        <w:t xml:space="preserve">úmeros </w:t>
      </w:r>
      <w:r w:rsidRPr="00AD15F5">
        <w:rPr>
          <w:b/>
          <w:bCs/>
          <w:lang w:val="es-ES_tradnl"/>
        </w:rPr>
        <w:t>21.3</w:t>
      </w:r>
      <w:r w:rsidRPr="00AD15F5">
        <w:rPr>
          <w:lang w:val="es-ES_tradnl"/>
        </w:rPr>
        <w:t xml:space="preserve"> y </w:t>
      </w:r>
      <w:r w:rsidRPr="00AD15F5">
        <w:rPr>
          <w:b/>
          <w:bCs/>
          <w:lang w:val="es-ES_tradnl"/>
        </w:rPr>
        <w:t>21.5</w:t>
      </w:r>
      <w:r w:rsidRPr="00AD15F5">
        <w:rPr>
          <w:lang w:val="es-ES_tradnl"/>
        </w:rPr>
        <w:t xml:space="preserve"> se apliquen a las asignaciones de frecuencia del servicio fijo en la banda 24,75-25,25 GHz en la </w:t>
      </w:r>
      <w:r>
        <w:rPr>
          <w:lang w:val="es-ES_tradnl"/>
        </w:rPr>
        <w:t>Región 1.</w:t>
      </w:r>
    </w:p>
    <w:p w:rsidR="000D578A" w:rsidRPr="00AD15F5" w:rsidRDefault="000D578A" w:rsidP="007E4ED6">
      <w:pPr>
        <w:jc w:val="left"/>
        <w:rPr>
          <w:lang w:val="es-ES_tradnl"/>
        </w:rPr>
      </w:pPr>
      <w:r w:rsidRPr="00AD15F5">
        <w:rPr>
          <w:lang w:val="es-ES_tradnl"/>
        </w:rPr>
        <w:t xml:space="preserve">En consecuencia, en la </w:t>
      </w:r>
      <w:r>
        <w:rPr>
          <w:lang w:val="es-ES_tradnl"/>
        </w:rPr>
        <w:t>c</w:t>
      </w:r>
      <w:r w:rsidRPr="00AD15F5">
        <w:rPr>
          <w:lang w:val="es-ES_tradnl"/>
        </w:rPr>
        <w:t xml:space="preserve">olumna 1 del Cuadro </w:t>
      </w:r>
      <w:r w:rsidRPr="00AD15F5">
        <w:rPr>
          <w:b/>
          <w:bCs/>
          <w:lang w:val="es-ES_tradnl"/>
        </w:rPr>
        <w:t>21-2</w:t>
      </w:r>
      <w:r w:rsidRPr="00AD15F5">
        <w:rPr>
          <w:lang w:val="es-ES_tradnl"/>
        </w:rPr>
        <w:t xml:space="preserve"> del Artículo </w:t>
      </w:r>
      <w:r w:rsidRPr="00AD15F5">
        <w:rPr>
          <w:b/>
          <w:bCs/>
          <w:lang w:val="es-ES_tradnl"/>
        </w:rPr>
        <w:t>21</w:t>
      </w:r>
      <w:r w:rsidRPr="00AD15F5">
        <w:rPr>
          <w:lang w:val="es-ES_tradnl"/>
        </w:rPr>
        <w:t xml:space="preserve">, en la banda de frecuencias 24,75-25,25 GHz también se incluye la Región 1 junto con la Región 3 para permitir a la Oficina que lleve a cabo el examen con arreglo al </w:t>
      </w:r>
      <w:r>
        <w:rPr>
          <w:lang w:val="es-ES_tradnl"/>
        </w:rPr>
        <w:t>número</w:t>
      </w:r>
      <w:r w:rsidRPr="00AD15F5">
        <w:rPr>
          <w:lang w:val="es-ES_tradnl"/>
        </w:rPr>
        <w:t xml:space="preserve"> </w:t>
      </w:r>
      <w:r w:rsidRPr="00AD15F5">
        <w:rPr>
          <w:b/>
          <w:bCs/>
          <w:lang w:val="es-ES_tradnl"/>
        </w:rPr>
        <w:t>11.31</w:t>
      </w:r>
      <w:r w:rsidRPr="00AD15F5">
        <w:rPr>
          <w:lang w:val="es-ES_tradnl"/>
        </w:rPr>
        <w:t xml:space="preserve"> especificado anteriormente.</w:t>
      </w:r>
    </w:p>
    <w:p w:rsidR="000D578A" w:rsidRPr="00AD15F5" w:rsidRDefault="000D578A" w:rsidP="00766841">
      <w:pPr>
        <w:jc w:val="left"/>
        <w:rPr>
          <w:i/>
          <w:iCs/>
          <w:lang w:val="es-ES_tradnl"/>
        </w:rPr>
      </w:pPr>
      <w:r w:rsidRPr="00AD15F5">
        <w:rPr>
          <w:b/>
          <w:bCs/>
          <w:i/>
          <w:iCs/>
          <w:lang w:val="es-ES_tradnl"/>
        </w:rPr>
        <w:t>Motivos</w:t>
      </w:r>
      <w:r w:rsidRPr="00AD15F5">
        <w:rPr>
          <w:i/>
          <w:iCs/>
          <w:lang w:val="es-ES_tradnl"/>
        </w:rPr>
        <w:t xml:space="preserve">: </w:t>
      </w:r>
      <w:proofErr w:type="spellStart"/>
      <w:r w:rsidRPr="00AD15F5">
        <w:rPr>
          <w:i/>
          <w:iCs/>
          <w:lang w:val="es-ES_tradnl"/>
        </w:rPr>
        <w:t>autoexplicativo</w:t>
      </w:r>
      <w:proofErr w:type="spellEnd"/>
      <w:r>
        <w:rPr>
          <w:i/>
          <w:iCs/>
          <w:lang w:val="es-ES_tradnl"/>
        </w:rPr>
        <w:t>.</w:t>
      </w:r>
    </w:p>
    <w:p w:rsidR="000D578A" w:rsidRPr="00AD15F5" w:rsidRDefault="000D578A" w:rsidP="007E4ED6">
      <w:pPr>
        <w:jc w:val="left"/>
        <w:rPr>
          <w:i/>
          <w:iCs/>
          <w:lang w:val="es-ES_tradnl"/>
        </w:rPr>
      </w:pPr>
      <w:r w:rsidRPr="00AD15F5">
        <w:rPr>
          <w:i/>
          <w:iCs/>
          <w:lang w:val="es-ES_tradnl"/>
        </w:rPr>
        <w:t>Fecha efectiva de aplicación de esta Regla: inmediatamente después de su aprobación.</w:t>
      </w:r>
    </w:p>
    <w:p w:rsidR="000D578A" w:rsidRPr="00AA5FA9" w:rsidRDefault="000D578A" w:rsidP="00AA5FA9">
      <w:pPr>
        <w:pStyle w:val="Arttitle"/>
        <w:spacing w:before="480"/>
        <w:rPr>
          <w:sz w:val="24"/>
          <w:szCs w:val="24"/>
          <w:lang w:val="es-ES_tradnl"/>
        </w:rPr>
      </w:pPr>
      <w:r w:rsidRPr="00AA5FA9">
        <w:rPr>
          <w:sz w:val="24"/>
          <w:szCs w:val="24"/>
          <w:lang w:val="es-ES_tradnl"/>
        </w:rPr>
        <w:t>Reglas relativas a la</w:t>
      </w:r>
      <w:r w:rsidRPr="00AA5FA9">
        <w:rPr>
          <w:sz w:val="24"/>
          <w:szCs w:val="24"/>
          <w:lang w:val="es-ES_tradnl"/>
        </w:rPr>
        <w:br/>
        <w:t>PARTE A1</w:t>
      </w:r>
    </w:p>
    <w:p w:rsidR="000D578A" w:rsidRPr="00AD15F5" w:rsidRDefault="000D578A" w:rsidP="00884E65">
      <w:pPr>
        <w:spacing w:before="360" w:after="120"/>
        <w:jc w:val="center"/>
        <w:rPr>
          <w:b/>
          <w:bCs/>
          <w:lang w:val="es-ES_tradnl"/>
        </w:rPr>
      </w:pPr>
      <w:r w:rsidRPr="00AD15F5">
        <w:rPr>
          <w:b/>
          <w:bCs/>
          <w:lang w:val="es-ES_tradnl"/>
        </w:rPr>
        <w:t xml:space="preserve">Reglas relativas al APÉNDICE 30 </w:t>
      </w:r>
      <w:r>
        <w:rPr>
          <w:b/>
          <w:bCs/>
          <w:lang w:val="es-ES_tradnl"/>
        </w:rPr>
        <w:t>d</w:t>
      </w:r>
      <w:r w:rsidRPr="00AD15F5">
        <w:rPr>
          <w:b/>
          <w:bCs/>
          <w:lang w:val="es-ES_tradnl"/>
        </w:rPr>
        <w:t>el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t>Art. 5</w:t>
            </w:r>
          </w:p>
        </w:tc>
      </w:tr>
    </w:tbl>
    <w:p w:rsidR="000D578A" w:rsidRPr="00AD15F5" w:rsidRDefault="000D578A" w:rsidP="00392D88">
      <w:pPr>
        <w:spacing w:before="480"/>
        <w:jc w:val="center"/>
        <w:rPr>
          <w:b/>
          <w:bCs/>
          <w:lang w:val="es-ES_tradnl"/>
        </w:rPr>
      </w:pPr>
      <w:r w:rsidRPr="00AD15F5">
        <w:rPr>
          <w:b/>
          <w:bCs/>
          <w:lang w:val="es-ES_tradnl"/>
        </w:rPr>
        <w:t>Notificación, examen e inscripción</w:t>
      </w:r>
    </w:p>
    <w:p w:rsidR="000D578A" w:rsidRPr="008E774A" w:rsidRDefault="000D578A" w:rsidP="008E774A">
      <w:pPr>
        <w:pStyle w:val="Proposal"/>
        <w:rPr>
          <w:b/>
          <w:bCs/>
          <w:sz w:val="24"/>
          <w:szCs w:val="24"/>
        </w:rPr>
      </w:pPr>
      <w:r w:rsidRPr="008E774A">
        <w:rPr>
          <w:b/>
          <w:bCs/>
          <w:sz w:val="24"/>
          <w:szCs w:val="24"/>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t>5.1.3</w:t>
            </w:r>
          </w:p>
        </w:tc>
      </w:tr>
    </w:tbl>
    <w:p w:rsidR="000D578A" w:rsidRPr="00AD15F5" w:rsidRDefault="000D578A" w:rsidP="007E4ED6">
      <w:pPr>
        <w:jc w:val="left"/>
        <w:rPr>
          <w:lang w:val="es-ES_tradnl"/>
        </w:rPr>
      </w:pPr>
      <w:r w:rsidRPr="00AD15F5">
        <w:rPr>
          <w:lang w:val="es-ES_tradnl"/>
        </w:rPr>
        <w:t xml:space="preserve">Véanse las Reglas de Procedimiento relativas al </w:t>
      </w:r>
      <w:r>
        <w:rPr>
          <w:lang w:val="es-ES_tradnl"/>
        </w:rPr>
        <w:t>número</w:t>
      </w:r>
      <w:r w:rsidRPr="00AD15F5">
        <w:rPr>
          <w:lang w:val="es-ES_tradnl"/>
        </w:rPr>
        <w:t xml:space="preserve"> </w:t>
      </w:r>
      <w:r w:rsidRPr="00AD15F5">
        <w:rPr>
          <w:b/>
          <w:bCs/>
          <w:lang w:val="es-ES_tradnl"/>
        </w:rPr>
        <w:t>11.44B</w:t>
      </w:r>
      <w:r w:rsidRPr="00AD15F5">
        <w:rPr>
          <w:lang w:val="es-ES_tradnl"/>
        </w:rPr>
        <w:t>.</w:t>
      </w:r>
    </w:p>
    <w:p w:rsidR="000D578A" w:rsidRPr="00AD15F5" w:rsidRDefault="000D578A" w:rsidP="00392D88">
      <w:pPr>
        <w:spacing w:before="480" w:after="120"/>
        <w:jc w:val="center"/>
        <w:rPr>
          <w:b/>
          <w:bCs/>
          <w:lang w:val="es-ES_tradnl"/>
        </w:rPr>
      </w:pPr>
      <w:r w:rsidRPr="00AD15F5">
        <w:rPr>
          <w:b/>
          <w:bCs/>
          <w:lang w:val="es-ES_tradnl"/>
        </w:rPr>
        <w:t>Regla</w:t>
      </w:r>
      <w:r>
        <w:rPr>
          <w:b/>
          <w:bCs/>
          <w:lang w:val="es-ES_tradnl"/>
        </w:rPr>
        <w:t>s</w:t>
      </w:r>
      <w:r w:rsidRPr="00AD15F5">
        <w:rPr>
          <w:b/>
          <w:bCs/>
          <w:lang w:val="es-ES_tradnl"/>
        </w:rPr>
        <w:t xml:space="preserve"> relativas al AP</w:t>
      </w:r>
      <w:r>
        <w:rPr>
          <w:b/>
          <w:bCs/>
          <w:lang w:val="es-ES_tradnl"/>
        </w:rPr>
        <w:t>É</w:t>
      </w:r>
      <w:r w:rsidRPr="00AD15F5">
        <w:rPr>
          <w:b/>
          <w:bCs/>
          <w:lang w:val="es-ES_tradnl"/>
        </w:rPr>
        <w:t>NDICE 30A del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t>Art. 5</w:t>
            </w:r>
          </w:p>
        </w:tc>
      </w:tr>
    </w:tbl>
    <w:p w:rsidR="000D578A" w:rsidRPr="00AD15F5" w:rsidRDefault="000D578A" w:rsidP="00392D88">
      <w:pPr>
        <w:spacing w:before="480"/>
        <w:jc w:val="center"/>
        <w:rPr>
          <w:b/>
          <w:bCs/>
          <w:lang w:val="es-ES_tradnl"/>
        </w:rPr>
      </w:pPr>
      <w:r w:rsidRPr="00AD15F5">
        <w:rPr>
          <w:b/>
          <w:bCs/>
          <w:lang w:val="es-ES_tradnl"/>
        </w:rPr>
        <w:t>Notificación, examen e inscripción</w:t>
      </w:r>
    </w:p>
    <w:p w:rsidR="000D578A" w:rsidRPr="008E774A" w:rsidRDefault="000D578A" w:rsidP="008E774A">
      <w:pPr>
        <w:pStyle w:val="Proposal"/>
        <w:rPr>
          <w:b/>
          <w:bCs/>
          <w:sz w:val="24"/>
          <w:szCs w:val="24"/>
        </w:rPr>
      </w:pPr>
      <w:r w:rsidRPr="008E774A">
        <w:rPr>
          <w:b/>
          <w:bCs/>
          <w:sz w:val="24"/>
          <w:szCs w:val="24"/>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t>5.1.7</w:t>
            </w:r>
          </w:p>
        </w:tc>
      </w:tr>
    </w:tbl>
    <w:p w:rsidR="000D578A" w:rsidRPr="00AD15F5" w:rsidRDefault="000D578A" w:rsidP="007E4ED6">
      <w:pPr>
        <w:jc w:val="left"/>
        <w:rPr>
          <w:lang w:val="es-ES_tradnl"/>
        </w:rPr>
      </w:pPr>
      <w:r w:rsidRPr="00AD15F5">
        <w:rPr>
          <w:lang w:val="es-ES_tradnl"/>
        </w:rPr>
        <w:t xml:space="preserve">Véanse las Reglas de Procedimiento relativas al </w:t>
      </w:r>
      <w:r>
        <w:rPr>
          <w:lang w:val="es-ES_tradnl"/>
        </w:rPr>
        <w:t>número</w:t>
      </w:r>
      <w:r w:rsidRPr="00AD15F5">
        <w:rPr>
          <w:lang w:val="es-ES_tradnl"/>
        </w:rPr>
        <w:t xml:space="preserve"> </w:t>
      </w:r>
      <w:r w:rsidRPr="00AD15F5">
        <w:rPr>
          <w:b/>
          <w:bCs/>
          <w:lang w:val="es-ES_tradnl"/>
        </w:rPr>
        <w:t>11.44B</w:t>
      </w:r>
      <w:r>
        <w:rPr>
          <w:b/>
          <w:bCs/>
          <w:lang w:val="es-ES_tradnl"/>
        </w:rPr>
        <w:t>.</w:t>
      </w:r>
    </w:p>
    <w:p w:rsidR="000D578A" w:rsidRPr="00AD15F5" w:rsidRDefault="000D578A" w:rsidP="00392D88">
      <w:pPr>
        <w:spacing w:before="480"/>
        <w:jc w:val="center"/>
        <w:rPr>
          <w:b/>
          <w:bCs/>
          <w:lang w:val="es-ES_tradnl"/>
        </w:rPr>
      </w:pPr>
      <w:r w:rsidRPr="00AD15F5">
        <w:rPr>
          <w:b/>
          <w:bCs/>
          <w:lang w:val="es-ES_tradnl"/>
        </w:rPr>
        <w:t xml:space="preserve">Reglas relativas al </w:t>
      </w:r>
      <w:r>
        <w:rPr>
          <w:b/>
          <w:bCs/>
          <w:lang w:val="es-ES_tradnl"/>
        </w:rPr>
        <w:t>A</w:t>
      </w:r>
      <w:r w:rsidRPr="00AD15F5">
        <w:rPr>
          <w:b/>
          <w:bCs/>
          <w:lang w:val="es-ES_tradnl"/>
        </w:rPr>
        <w:t>P</w:t>
      </w:r>
      <w:r>
        <w:rPr>
          <w:b/>
          <w:bCs/>
          <w:lang w:val="es-ES_tradnl"/>
        </w:rPr>
        <w:t>É</w:t>
      </w:r>
      <w:r w:rsidRPr="00AD15F5">
        <w:rPr>
          <w:b/>
          <w:bCs/>
          <w:lang w:val="es-ES_tradnl"/>
        </w:rPr>
        <w:t>NDICE 30B del RR</w:t>
      </w:r>
    </w:p>
    <w:p w:rsidR="000D578A" w:rsidRPr="008E774A" w:rsidRDefault="000D578A" w:rsidP="008E774A">
      <w:pPr>
        <w:pStyle w:val="Proposal"/>
        <w:rPr>
          <w:b/>
          <w:bCs/>
          <w:sz w:val="24"/>
          <w:szCs w:val="24"/>
        </w:rPr>
      </w:pPr>
      <w:r w:rsidRPr="008E774A">
        <w:rPr>
          <w:b/>
          <w:bCs/>
          <w:sz w:val="24"/>
          <w:szCs w:val="24"/>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t>8.1</w:t>
            </w:r>
          </w:p>
        </w:tc>
      </w:tr>
    </w:tbl>
    <w:p w:rsidR="00D10C84" w:rsidRDefault="000D578A" w:rsidP="007E4ED6">
      <w:pPr>
        <w:spacing w:after="120"/>
        <w:jc w:val="left"/>
        <w:rPr>
          <w:lang w:val="es-ES_tradnl"/>
        </w:rPr>
      </w:pPr>
      <w:r w:rsidRPr="00AD15F5">
        <w:rPr>
          <w:lang w:val="es-ES_tradnl"/>
        </w:rPr>
        <w:t xml:space="preserve">Véanse las Reglas de Procedimiento relativas al </w:t>
      </w:r>
      <w:r>
        <w:rPr>
          <w:lang w:val="es-ES_tradnl"/>
        </w:rPr>
        <w:t>número</w:t>
      </w:r>
      <w:r w:rsidRPr="00AD15F5">
        <w:rPr>
          <w:lang w:val="es-ES_tradnl"/>
        </w:rPr>
        <w:t xml:space="preserve"> </w:t>
      </w:r>
      <w:r w:rsidRPr="00AD15F5">
        <w:rPr>
          <w:b/>
          <w:bCs/>
          <w:lang w:val="es-ES_tradnl"/>
        </w:rPr>
        <w:t>11.44B</w:t>
      </w:r>
      <w:r>
        <w:rPr>
          <w:lang w:val="es-ES_tradnl"/>
        </w:rPr>
        <w:t>.</w:t>
      </w:r>
    </w:p>
    <w:p w:rsidR="000D578A" w:rsidRPr="00AD15F5" w:rsidRDefault="00D10C84" w:rsidP="00D10C84">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tblGrid>
      <w:tr w:rsidR="000D578A" w:rsidRPr="008E774A" w:rsidTr="00392D88">
        <w:trPr>
          <w:trHeight w:val="20"/>
        </w:trPr>
        <w:tc>
          <w:tcPr>
            <w:tcW w:w="1242" w:type="dxa"/>
          </w:tcPr>
          <w:p w:rsidR="000D578A" w:rsidRPr="008E774A" w:rsidRDefault="000D578A" w:rsidP="00392D88">
            <w:pPr>
              <w:spacing w:before="60"/>
              <w:jc w:val="left"/>
              <w:rPr>
                <w:rFonts w:ascii="Calibri" w:hAnsi="Calibri" w:cs="Calibri"/>
                <w:b/>
                <w:bCs/>
                <w:szCs w:val="24"/>
                <w:lang w:val="ru-RU" w:eastAsia="zh-CN"/>
              </w:rPr>
            </w:pPr>
            <w:r w:rsidRPr="008E774A">
              <w:rPr>
                <w:rFonts w:ascii="Calibri" w:hAnsi="Calibri" w:cs="Calibri"/>
                <w:b/>
                <w:bCs/>
                <w:szCs w:val="24"/>
                <w:lang w:val="ru-RU" w:eastAsia="zh-CN"/>
              </w:rPr>
              <w:lastRenderedPageBreak/>
              <w:t>Anexo 3 y Anexo 4</w:t>
            </w:r>
          </w:p>
        </w:tc>
      </w:tr>
    </w:tbl>
    <w:p w:rsidR="000D578A" w:rsidRPr="008E774A" w:rsidRDefault="000D578A" w:rsidP="008E774A">
      <w:pPr>
        <w:pStyle w:val="Proposal"/>
        <w:rPr>
          <w:b/>
          <w:bCs/>
          <w:sz w:val="24"/>
          <w:szCs w:val="24"/>
        </w:rPr>
      </w:pPr>
      <w:r w:rsidRPr="008E774A">
        <w:rPr>
          <w:b/>
          <w:bCs/>
          <w:sz w:val="24"/>
          <w:szCs w:val="24"/>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93"/>
      </w:tblGrid>
      <w:tr w:rsidR="000D578A" w:rsidRPr="00884E65" w:rsidTr="009B57EE">
        <w:trPr>
          <w:trHeight w:val="20"/>
        </w:trPr>
        <w:tc>
          <w:tcPr>
            <w:tcW w:w="2093" w:type="dxa"/>
          </w:tcPr>
          <w:p w:rsidR="000D578A" w:rsidRPr="008E774A" w:rsidRDefault="000D578A" w:rsidP="008E774A">
            <w:pPr>
              <w:spacing w:before="60"/>
              <w:rPr>
                <w:rFonts w:ascii="Calibri" w:hAnsi="Calibri" w:cs="Calibri"/>
                <w:b/>
                <w:bCs/>
                <w:szCs w:val="24"/>
                <w:lang w:val="ru-RU" w:eastAsia="zh-CN"/>
              </w:rPr>
            </w:pPr>
            <w:r w:rsidRPr="00884E65">
              <w:rPr>
                <w:rFonts w:ascii="Calibri" w:hAnsi="Calibri" w:cs="Calibri"/>
                <w:b/>
                <w:bCs/>
                <w:szCs w:val="24"/>
                <w:lang w:val="ru-RU" w:eastAsia="zh-CN"/>
              </w:rPr>
              <w:t>§ 2.2 del Anexo 4</w:t>
            </w:r>
          </w:p>
        </w:tc>
      </w:tr>
    </w:tbl>
    <w:p w:rsidR="000D578A" w:rsidRPr="00AD15F5" w:rsidRDefault="000D578A" w:rsidP="007E4ED6">
      <w:pPr>
        <w:jc w:val="left"/>
        <w:rPr>
          <w:lang w:val="es-ES_tradnl"/>
        </w:rPr>
      </w:pPr>
      <w:r w:rsidRPr="00AD15F5">
        <w:rPr>
          <w:lang w:val="es-ES_tradnl"/>
        </w:rPr>
        <w:t>1</w:t>
      </w:r>
      <w:r w:rsidRPr="00AD15F5">
        <w:rPr>
          <w:lang w:val="es-ES_tradnl"/>
        </w:rPr>
        <w:tab/>
        <w:t xml:space="preserve">Para proteger adecuadamente las redes existentes en toda su zona de servicio, la CMR-07 introdujo el examen a lo largo de toda la zona de servicio con arreglo al § 2.2 del Anexo 4 al Apéndice </w:t>
      </w:r>
      <w:r w:rsidRPr="00AD15F5">
        <w:rPr>
          <w:b/>
          <w:bCs/>
          <w:lang w:val="es-ES_tradnl"/>
        </w:rPr>
        <w:t>30B</w:t>
      </w:r>
      <w:r w:rsidRPr="00AD15F5">
        <w:rPr>
          <w:lang w:val="es-ES_tradnl"/>
        </w:rPr>
        <w:t>.</w:t>
      </w:r>
    </w:p>
    <w:p w:rsidR="000D578A" w:rsidRPr="00AD15F5" w:rsidRDefault="000D578A" w:rsidP="007E4ED6">
      <w:pPr>
        <w:jc w:val="left"/>
        <w:rPr>
          <w:lang w:val="es-ES_tradnl"/>
        </w:rPr>
      </w:pPr>
      <w:r w:rsidRPr="00AD15F5">
        <w:rPr>
          <w:lang w:val="es-ES_tradnl"/>
        </w:rPr>
        <w:t>2</w:t>
      </w:r>
      <w:r w:rsidRPr="00AD15F5">
        <w:rPr>
          <w:lang w:val="es-ES_tradnl"/>
        </w:rPr>
        <w:tab/>
        <w:t xml:space="preserve">Como indica la nota 19 del § 2.2 del Anexo 4 al Apéndice </w:t>
      </w:r>
      <w:r w:rsidRPr="00AD15F5">
        <w:rPr>
          <w:b/>
          <w:bCs/>
          <w:lang w:val="es-ES_tradnl"/>
        </w:rPr>
        <w:t>30B</w:t>
      </w:r>
      <w:r w:rsidRPr="00AD15F5">
        <w:rPr>
          <w:lang w:val="es-ES_tradnl"/>
        </w:rPr>
        <w:t>, los valores de referencia en la zona de servicio se interpolan a partir de los valores de referencia en los puntos de prueba. Para calcular los valores interpolados en los puntos de la retícula</w:t>
      </w:r>
      <w:r w:rsidRPr="007E4ED6">
        <w:rPr>
          <w:rStyle w:val="FootnoteReference"/>
          <w:position w:val="0"/>
          <w:sz w:val="24"/>
          <w:szCs w:val="24"/>
          <w:vertAlign w:val="superscript"/>
          <w:lang w:val="es-ES_tradnl"/>
        </w:rPr>
        <w:footnoteReference w:id="1"/>
      </w:r>
      <w:r w:rsidRPr="00AD15F5">
        <w:rPr>
          <w:lang w:val="es-ES_tradnl"/>
        </w:rPr>
        <w:t xml:space="preserve"> dentro de la zona de servicio se utilizará la siguiente formula y condición de interpolación:</w:t>
      </w:r>
    </w:p>
    <w:p w:rsidR="000D578A" w:rsidRPr="00AD15F5" w:rsidRDefault="000D578A" w:rsidP="00E46D36">
      <w:pPr>
        <w:tabs>
          <w:tab w:val="clear" w:pos="1191"/>
          <w:tab w:val="clear" w:pos="1588"/>
          <w:tab w:val="clear" w:pos="1985"/>
          <w:tab w:val="center" w:pos="4820"/>
          <w:tab w:val="right" w:pos="9639"/>
        </w:tabs>
        <w:spacing w:before="120" w:line="240" w:lineRule="auto"/>
        <w:jc w:val="left"/>
        <w:rPr>
          <w:rFonts w:eastAsia="SimSun"/>
          <w:szCs w:val="20"/>
          <w:lang w:val="es-ES_tradnl"/>
        </w:rPr>
      </w:pPr>
      <w:r w:rsidRPr="00AD15F5">
        <w:rPr>
          <w:rFonts w:eastAsia="SimSun"/>
          <w:szCs w:val="20"/>
          <w:lang w:val="es-ES_tradnl"/>
        </w:rPr>
        <w:tab/>
      </w:r>
      <w:r w:rsidRPr="00AD15F5">
        <w:rPr>
          <w:rFonts w:eastAsia="SimSun"/>
          <w:szCs w:val="20"/>
          <w:lang w:val="es-ES_tradnl"/>
        </w:rPr>
        <w:tab/>
      </w:r>
      <w:r w:rsidRPr="00AD15F5">
        <w:rPr>
          <w:rFonts w:eastAsia="SimSun"/>
          <w:position w:val="-42"/>
          <w:szCs w:val="20"/>
          <w:lang w:val="es-ES_tradnl"/>
        </w:rPr>
        <w:object w:dxaOrig="1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80.75pt" o:ole="">
            <v:imagedata r:id="rId10" o:title=""/>
          </v:shape>
          <o:OLEObject Type="Embed" ProgID="Equation.3" ShapeID="_x0000_i1025" DrawAspect="Content" ObjectID="_1440918136" r:id="rId11"/>
        </w:object>
      </w:r>
      <w:r w:rsidRPr="00AD15F5">
        <w:rPr>
          <w:rFonts w:eastAsia="SimSun"/>
          <w:szCs w:val="20"/>
          <w:lang w:val="es-ES_tradnl"/>
        </w:rPr>
        <w:tab/>
        <w:t>(1)</w:t>
      </w:r>
    </w:p>
    <w:p w:rsidR="000D578A" w:rsidRPr="00AD15F5" w:rsidRDefault="000D578A" w:rsidP="00766841">
      <w:pPr>
        <w:ind w:firstLine="240"/>
        <w:jc w:val="left"/>
        <w:rPr>
          <w:lang w:val="es-ES_tradnl"/>
        </w:rPr>
      </w:pPr>
      <w:proofErr w:type="gramStart"/>
      <w:r w:rsidRPr="00AD15F5">
        <w:rPr>
          <w:lang w:val="es-ES_tradnl"/>
        </w:rPr>
        <w:t>siendo</w:t>
      </w:r>
      <w:proofErr w:type="gramEnd"/>
      <w:r w:rsidRPr="00AD15F5">
        <w:rPr>
          <w:lang w:val="es-ES_tradnl"/>
        </w:rPr>
        <w:t>:</w:t>
      </w:r>
    </w:p>
    <w:p w:rsidR="000D578A" w:rsidRPr="00AD15F5" w:rsidRDefault="000D578A" w:rsidP="00766841">
      <w:pPr>
        <w:tabs>
          <w:tab w:val="clear" w:pos="794"/>
          <w:tab w:val="clear" w:pos="1191"/>
          <w:tab w:val="clear" w:pos="1588"/>
        </w:tabs>
        <w:ind w:left="2608" w:hanging="851"/>
        <w:jc w:val="left"/>
        <w:rPr>
          <w:lang w:val="es-ES_tradnl"/>
        </w:rPr>
      </w:pPr>
      <w:r w:rsidRPr="00AD15F5">
        <w:rPr>
          <w:rFonts w:eastAsia="SimSun"/>
          <w:i/>
          <w:iCs/>
          <w:szCs w:val="20"/>
          <w:lang w:val="es-ES_tradnl"/>
        </w:rPr>
        <w:t>Th</w:t>
      </w:r>
      <w:r w:rsidRPr="00AD15F5">
        <w:rPr>
          <w:rFonts w:eastAsia="SimSun"/>
          <w:szCs w:val="20"/>
          <w:lang w:val="es-ES_tradnl"/>
        </w:rPr>
        <w:t>:</w:t>
      </w:r>
      <w:r>
        <w:rPr>
          <w:rFonts w:eastAsia="SimSun"/>
          <w:szCs w:val="20"/>
          <w:lang w:val="es-ES_tradnl"/>
        </w:rPr>
        <w:tab/>
      </w:r>
      <w:r>
        <w:rPr>
          <w:lang w:val="es-ES_tradnl"/>
        </w:rPr>
        <w:t>e</w:t>
      </w:r>
      <w:r w:rsidRPr="00AD15F5">
        <w:rPr>
          <w:lang w:val="es-ES_tradnl"/>
        </w:rPr>
        <w:t>l número del punto de prueba h de la zona de servicio del enlace descendente deseado;</w:t>
      </w:r>
    </w:p>
    <w:p w:rsidR="000D578A" w:rsidRPr="00AD15F5" w:rsidRDefault="000D578A" w:rsidP="00766841">
      <w:pPr>
        <w:tabs>
          <w:tab w:val="clear" w:pos="794"/>
          <w:tab w:val="clear" w:pos="1191"/>
          <w:tab w:val="clear" w:pos="1588"/>
        </w:tabs>
        <w:ind w:left="2608" w:hanging="851"/>
        <w:jc w:val="left"/>
        <w:rPr>
          <w:lang w:val="es-ES_tradnl"/>
        </w:rPr>
      </w:pPr>
      <w:proofErr w:type="spellStart"/>
      <w:r w:rsidRPr="00AD15F5">
        <w:rPr>
          <w:rFonts w:eastAsia="SimSun"/>
          <w:i/>
          <w:iCs/>
          <w:szCs w:val="20"/>
          <w:lang w:val="es-ES_tradnl"/>
        </w:rPr>
        <w:t>Eg</w:t>
      </w:r>
      <w:proofErr w:type="spellEnd"/>
      <w:r w:rsidRPr="00AD15F5">
        <w:rPr>
          <w:rFonts w:eastAsia="SimSun"/>
          <w:szCs w:val="20"/>
          <w:lang w:val="es-ES_tradnl"/>
        </w:rPr>
        <w:t>:</w:t>
      </w:r>
      <w:r>
        <w:rPr>
          <w:rFonts w:eastAsia="SimSun"/>
          <w:szCs w:val="20"/>
          <w:lang w:val="es-ES_tradnl"/>
        </w:rPr>
        <w:tab/>
      </w:r>
      <w:r>
        <w:rPr>
          <w:lang w:val="es-ES_tradnl"/>
        </w:rPr>
        <w:t>e</w:t>
      </w:r>
      <w:r w:rsidRPr="00AD15F5">
        <w:rPr>
          <w:lang w:val="es-ES_tradnl"/>
        </w:rPr>
        <w:t xml:space="preserve">l número del punto g de la retícula de los puntos de prueba en la zona de servicio </w:t>
      </w:r>
      <w:r>
        <w:rPr>
          <w:lang w:val="es-ES_tradnl"/>
        </w:rPr>
        <w:t>d</w:t>
      </w:r>
      <w:r w:rsidRPr="00AD15F5">
        <w:rPr>
          <w:lang w:val="es-ES_tradnl"/>
        </w:rPr>
        <w:t>el enlace descendente deseado;</w:t>
      </w:r>
    </w:p>
    <w:p w:rsidR="000D578A" w:rsidRPr="00AD15F5" w:rsidRDefault="000D578A" w:rsidP="00766841">
      <w:pPr>
        <w:tabs>
          <w:tab w:val="clear" w:pos="794"/>
          <w:tab w:val="clear" w:pos="1191"/>
          <w:tab w:val="clear" w:pos="1588"/>
        </w:tabs>
        <w:ind w:left="2608" w:hanging="851"/>
        <w:jc w:val="left"/>
        <w:rPr>
          <w:lang w:val="es-ES_tradnl"/>
        </w:rPr>
      </w:pPr>
      <w:proofErr w:type="spellStart"/>
      <w:r w:rsidRPr="00AD15F5">
        <w:rPr>
          <w:rFonts w:eastAsia="SimSun"/>
          <w:i/>
          <w:iCs/>
          <w:szCs w:val="20"/>
          <w:lang w:val="es-ES_tradnl"/>
        </w:rPr>
        <w:t>Nt</w:t>
      </w:r>
      <w:proofErr w:type="spellEnd"/>
      <w:r w:rsidRPr="00AD15F5">
        <w:rPr>
          <w:rFonts w:eastAsia="SimSun"/>
          <w:szCs w:val="20"/>
          <w:lang w:val="es-ES_tradnl"/>
        </w:rPr>
        <w:t>:</w:t>
      </w:r>
      <w:r>
        <w:rPr>
          <w:rFonts w:eastAsia="SimSun"/>
          <w:szCs w:val="20"/>
          <w:lang w:val="es-ES_tradnl"/>
        </w:rPr>
        <w:tab/>
      </w:r>
      <w:r>
        <w:rPr>
          <w:lang w:val="es-ES_tradnl"/>
        </w:rPr>
        <w:t>e</w:t>
      </w:r>
      <w:r w:rsidRPr="00AD15F5">
        <w:rPr>
          <w:lang w:val="es-ES_tradnl"/>
        </w:rPr>
        <w:t>l número total de puntos de prueba;</w:t>
      </w:r>
    </w:p>
    <w:p w:rsidR="000D578A" w:rsidRPr="00AD15F5" w:rsidRDefault="000D578A" w:rsidP="00766841">
      <w:pPr>
        <w:tabs>
          <w:tab w:val="clear" w:pos="794"/>
          <w:tab w:val="clear" w:pos="1191"/>
          <w:tab w:val="clear" w:pos="1588"/>
        </w:tabs>
        <w:ind w:left="2608" w:hanging="851"/>
        <w:jc w:val="left"/>
        <w:rPr>
          <w:lang w:val="es-ES_tradnl"/>
        </w:rPr>
      </w:pPr>
      <w:proofErr w:type="spellStart"/>
      <w:proofErr w:type="gramStart"/>
      <w:r w:rsidRPr="00AD15F5">
        <w:rPr>
          <w:rFonts w:eastAsia="SimSun"/>
          <w:i/>
          <w:iCs/>
          <w:szCs w:val="20"/>
          <w:lang w:val="es-ES_tradnl"/>
        </w:rPr>
        <w:t>d</w:t>
      </w:r>
      <w:r w:rsidRPr="00AD15F5">
        <w:rPr>
          <w:rFonts w:eastAsia="SimSun"/>
          <w:i/>
          <w:iCs/>
          <w:szCs w:val="20"/>
          <w:vertAlign w:val="subscript"/>
          <w:lang w:val="es-ES_tradnl"/>
        </w:rPr>
        <w:t>Th</w:t>
      </w:r>
      <w:proofErr w:type="spellEnd"/>
      <w:proofErr w:type="gramEnd"/>
      <w:r w:rsidRPr="00AD15F5">
        <w:rPr>
          <w:rFonts w:eastAsia="SimSun"/>
          <w:szCs w:val="20"/>
          <w:lang w:val="es-ES_tradnl"/>
        </w:rPr>
        <w:t>:</w:t>
      </w:r>
      <w:r>
        <w:rPr>
          <w:rFonts w:eastAsia="SimSun"/>
          <w:szCs w:val="20"/>
          <w:lang w:val="es-ES_tradnl"/>
        </w:rPr>
        <w:tab/>
      </w:r>
      <w:r>
        <w:rPr>
          <w:lang w:val="es-ES_tradnl"/>
        </w:rPr>
        <w:t>l</w:t>
      </w:r>
      <w:r w:rsidRPr="00AD15F5">
        <w:rPr>
          <w:lang w:val="es-ES_tradnl"/>
        </w:rPr>
        <w:t xml:space="preserve">a distancia entre el punto de prueba </w:t>
      </w:r>
      <w:r w:rsidRPr="00AD15F5">
        <w:rPr>
          <w:i/>
          <w:iCs/>
          <w:lang w:val="es-ES_tradnl"/>
        </w:rPr>
        <w:t>Th</w:t>
      </w:r>
      <w:r w:rsidRPr="00AD15F5">
        <w:rPr>
          <w:lang w:val="es-ES_tradnl"/>
        </w:rPr>
        <w:t xml:space="preserve"> y e</w:t>
      </w:r>
      <w:r>
        <w:rPr>
          <w:lang w:val="es-ES_tradnl"/>
        </w:rPr>
        <w:t>l</w:t>
      </w:r>
      <w:r w:rsidRPr="00AD15F5">
        <w:rPr>
          <w:lang w:val="es-ES_tradnl"/>
        </w:rPr>
        <w:t xml:space="preserve"> punto de la retícula </w:t>
      </w:r>
      <w:proofErr w:type="spellStart"/>
      <w:r w:rsidRPr="00AD15F5">
        <w:rPr>
          <w:i/>
          <w:iCs/>
          <w:lang w:val="es-ES_tradnl"/>
        </w:rPr>
        <w:t>Eg</w:t>
      </w:r>
      <w:proofErr w:type="spellEnd"/>
      <w:r w:rsidRPr="00AD15F5">
        <w:rPr>
          <w:lang w:val="es-ES_tradnl"/>
        </w:rPr>
        <w:t>;</w:t>
      </w:r>
    </w:p>
    <w:p w:rsidR="000D578A" w:rsidRPr="00AD15F5" w:rsidRDefault="000D578A" w:rsidP="00766841">
      <w:pPr>
        <w:tabs>
          <w:tab w:val="clear" w:pos="794"/>
          <w:tab w:val="clear" w:pos="1191"/>
          <w:tab w:val="clear" w:pos="1588"/>
        </w:tabs>
        <w:ind w:left="2608" w:hanging="851"/>
        <w:jc w:val="left"/>
        <w:rPr>
          <w:lang w:val="es-ES_tradnl"/>
        </w:rPr>
      </w:pP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AD15F5">
        <w:rPr>
          <w:rFonts w:eastAsia="SimSun"/>
          <w:szCs w:val="20"/>
          <w:lang w:val="es-ES_tradnl"/>
        </w:rPr>
        <w:t>:</w:t>
      </w:r>
      <w:r>
        <w:rPr>
          <w:lang w:val="es-ES_tradnl"/>
        </w:rPr>
        <w:tab/>
        <w:t>e</w:t>
      </w:r>
      <w:r w:rsidRPr="00AD15F5">
        <w:rPr>
          <w:lang w:val="es-ES_tradnl"/>
        </w:rPr>
        <w:t xml:space="preserve">l valor de referencia de </w:t>
      </w:r>
      <w:r w:rsidRPr="0096197F">
        <w:rPr>
          <w:i/>
          <w:iCs/>
          <w:lang w:val="es-ES_tradnl"/>
        </w:rPr>
        <w:t>C/I</w:t>
      </w:r>
      <w:r w:rsidRPr="00AD15F5">
        <w:rPr>
          <w:lang w:val="es-ES_tradnl"/>
        </w:rPr>
        <w:t xml:space="preserve"> procedente de una sola fuente en el punto de prueba </w:t>
      </w:r>
      <w:r w:rsidRPr="007E4ED6">
        <w:rPr>
          <w:i/>
          <w:iCs/>
          <w:lang w:val="es-ES_tradnl"/>
        </w:rPr>
        <w:t>Th</w:t>
      </w:r>
      <w:r w:rsidRPr="00AD15F5">
        <w:rPr>
          <w:lang w:val="es-ES_tradnl"/>
        </w:rPr>
        <w:t>;</w:t>
      </w:r>
    </w:p>
    <w:p w:rsidR="000D578A" w:rsidRPr="00AD15F5" w:rsidRDefault="000D578A" w:rsidP="00FE443A">
      <w:pPr>
        <w:tabs>
          <w:tab w:val="clear" w:pos="794"/>
          <w:tab w:val="clear" w:pos="1191"/>
          <w:tab w:val="clear" w:pos="1588"/>
        </w:tabs>
        <w:ind w:left="2608" w:hanging="851"/>
        <w:jc w:val="left"/>
        <w:rPr>
          <w:lang w:val="es-ES_tradnl"/>
        </w:rPr>
      </w:pPr>
      <w:proofErr w:type="spellStart"/>
      <w:r w:rsidRPr="00AD15F5">
        <w:rPr>
          <w:rFonts w:eastAsia="SimSun"/>
          <w:i/>
          <w:iCs/>
          <w:szCs w:val="20"/>
          <w:lang w:val="es-ES_tradnl"/>
        </w:rPr>
        <w:t>V</w:t>
      </w:r>
      <w:r w:rsidRPr="00AD15F5">
        <w:rPr>
          <w:rFonts w:eastAsia="SimSun"/>
          <w:i/>
          <w:iCs/>
          <w:szCs w:val="20"/>
          <w:vertAlign w:val="subscript"/>
          <w:lang w:val="es-ES_tradnl"/>
        </w:rPr>
        <w:t>Eg</w:t>
      </w:r>
      <w:proofErr w:type="spellEnd"/>
      <w:r w:rsidR="00FE443A" w:rsidRPr="00AD15F5">
        <w:rPr>
          <w:rFonts w:eastAsia="SimSun"/>
          <w:szCs w:val="20"/>
          <w:lang w:val="es-ES_tradnl"/>
        </w:rPr>
        <w:t>:</w:t>
      </w:r>
      <w:r>
        <w:rPr>
          <w:lang w:val="es-ES_tradnl"/>
        </w:rPr>
        <w:tab/>
        <w:t>e</w:t>
      </w:r>
      <w:r w:rsidRPr="00AD15F5">
        <w:rPr>
          <w:lang w:val="es-ES_tradnl"/>
        </w:rPr>
        <w:t xml:space="preserve">l valor de referencia </w:t>
      </w:r>
      <w:r w:rsidRPr="0096197F">
        <w:rPr>
          <w:i/>
          <w:iCs/>
          <w:lang w:val="es-ES_tradnl"/>
        </w:rPr>
        <w:t>C/I</w:t>
      </w:r>
      <w:r w:rsidRPr="00AD15F5">
        <w:rPr>
          <w:lang w:val="es-ES_tradnl"/>
        </w:rPr>
        <w:t xml:space="preserve"> (dB) procedente de una sola fuente interpolado en el punto de la retícula </w:t>
      </w:r>
      <w:proofErr w:type="spellStart"/>
      <w:r w:rsidRPr="00AD15F5">
        <w:rPr>
          <w:i/>
          <w:iCs/>
          <w:lang w:val="es-ES_tradnl"/>
        </w:rPr>
        <w:t>Eg</w:t>
      </w:r>
      <w:proofErr w:type="spellEnd"/>
      <w:r w:rsidRPr="00AD15F5">
        <w:rPr>
          <w:lang w:val="es-ES_tradnl"/>
        </w:rPr>
        <w:t>.</w:t>
      </w:r>
    </w:p>
    <w:p w:rsidR="000D578A" w:rsidRPr="00AD15F5" w:rsidRDefault="000D578A" w:rsidP="00766841">
      <w:pPr>
        <w:tabs>
          <w:tab w:val="clear" w:pos="794"/>
          <w:tab w:val="clear" w:pos="1191"/>
          <w:tab w:val="clear" w:pos="1588"/>
        </w:tabs>
        <w:ind w:left="918" w:hanging="680"/>
        <w:jc w:val="left"/>
        <w:rPr>
          <w:lang w:val="es-ES_tradnl"/>
        </w:rPr>
      </w:pPr>
      <w:r w:rsidRPr="00AD15F5">
        <w:rPr>
          <w:lang w:val="es-ES_tradnl"/>
        </w:rPr>
        <w:tab/>
        <w:t xml:space="preserve">Si el valor </w:t>
      </w:r>
      <w:r w:rsidRPr="00AD15F5">
        <w:rPr>
          <w:rFonts w:eastAsia="SimSun"/>
          <w:i/>
          <w:iCs/>
          <w:szCs w:val="20"/>
          <w:lang w:val="es-ES_tradnl"/>
        </w:rPr>
        <w:t>(</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AD15F5">
        <w:rPr>
          <w:rFonts w:eastAsia="SimSun"/>
          <w:i/>
          <w:iCs/>
          <w:szCs w:val="20"/>
          <w:lang w:val="es-ES_tradnl"/>
        </w:rPr>
        <w:t xml:space="preserve"> </w:t>
      </w:r>
      <w:proofErr w:type="gramStart"/>
      <w:r w:rsidRPr="00AD15F5">
        <w:rPr>
          <w:rFonts w:eastAsia="SimSun"/>
          <w:i/>
          <w:iCs/>
          <w:szCs w:val="20"/>
          <w:lang w:val="es-ES_tradnl"/>
        </w:rPr>
        <w:t>–(</w:t>
      </w:r>
      <w:proofErr w:type="gramEnd"/>
      <w:r w:rsidRPr="00AD15F5">
        <w:rPr>
          <w:rFonts w:eastAsia="SimSun"/>
          <w:i/>
          <w:iCs/>
          <w:szCs w:val="20"/>
          <w:lang w:val="es-ES_tradnl"/>
        </w:rPr>
        <w:t>(C/N)</w:t>
      </w:r>
      <w:proofErr w:type="spellStart"/>
      <w:r w:rsidRPr="00AD15F5">
        <w:rPr>
          <w:rFonts w:eastAsia="SimSun"/>
          <w:i/>
          <w:iCs/>
          <w:szCs w:val="20"/>
          <w:vertAlign w:val="subscript"/>
          <w:lang w:val="es-ES_tradnl"/>
        </w:rPr>
        <w:t>d,Th</w:t>
      </w:r>
      <w:proofErr w:type="spellEnd"/>
      <w:r w:rsidRPr="00AD15F5">
        <w:rPr>
          <w:rFonts w:eastAsia="SimSun"/>
          <w:i/>
          <w:iCs/>
          <w:szCs w:val="20"/>
          <w:lang w:val="es-ES_tradnl"/>
        </w:rPr>
        <w:t xml:space="preserve"> – (C/N)</w:t>
      </w:r>
      <w:proofErr w:type="spellStart"/>
      <w:r w:rsidRPr="00AD15F5">
        <w:rPr>
          <w:rFonts w:eastAsia="SimSun"/>
          <w:i/>
          <w:iCs/>
          <w:szCs w:val="20"/>
          <w:vertAlign w:val="subscript"/>
          <w:lang w:val="es-ES_tradnl"/>
        </w:rPr>
        <w:t>d,</w:t>
      </w:r>
      <w:r w:rsidRPr="00AD15F5">
        <w:rPr>
          <w:rFonts w:eastAsia="SimSun"/>
          <w:i/>
          <w:iCs/>
          <w:szCs w:val="20"/>
          <w:vertAlign w:val="subscript"/>
          <w:lang w:val="es-ES_tradnl" w:eastAsia="zh-CN"/>
        </w:rPr>
        <w:t>E</w:t>
      </w:r>
      <w:r w:rsidRPr="00AD15F5">
        <w:rPr>
          <w:rFonts w:eastAsia="SimSun"/>
          <w:i/>
          <w:iCs/>
          <w:szCs w:val="20"/>
          <w:vertAlign w:val="subscript"/>
          <w:lang w:val="es-ES_tradnl"/>
        </w:rPr>
        <w:t>g</w:t>
      </w:r>
      <w:proofErr w:type="spellEnd"/>
      <w:r w:rsidRPr="00AD15F5">
        <w:rPr>
          <w:rFonts w:eastAsia="SimSun"/>
          <w:i/>
          <w:iCs/>
          <w:szCs w:val="20"/>
          <w:lang w:val="es-ES_tradnl"/>
        </w:rPr>
        <w:t>))</w:t>
      </w:r>
      <w:r w:rsidRPr="00AD15F5">
        <w:rPr>
          <w:lang w:val="es-ES_tradnl"/>
        </w:rPr>
        <w:t xml:space="preserve"> es inferior a </w:t>
      </w:r>
      <w:proofErr w:type="spellStart"/>
      <w:r w:rsidRPr="00AD15F5">
        <w:rPr>
          <w:i/>
          <w:iCs/>
          <w:lang w:val="es-ES_tradnl"/>
        </w:rPr>
        <w:t>R</w:t>
      </w:r>
      <w:r w:rsidRPr="00AD15F5">
        <w:rPr>
          <w:rFonts w:eastAsia="SimSun"/>
          <w:i/>
          <w:iCs/>
          <w:szCs w:val="20"/>
          <w:vertAlign w:val="subscript"/>
          <w:lang w:val="es-ES_tradnl"/>
        </w:rPr>
        <w:t>Th</w:t>
      </w:r>
      <w:proofErr w:type="spellEnd"/>
      <w:r w:rsidRPr="00AD15F5">
        <w:rPr>
          <w:lang w:val="es-ES_tradnl"/>
        </w:rPr>
        <w:t xml:space="preserve"> </w:t>
      </w:r>
      <w:r w:rsidRPr="00AD15F5">
        <w:rPr>
          <w:rFonts w:eastAsia="SimSun"/>
          <w:i/>
          <w:iCs/>
          <w:szCs w:val="20"/>
          <w:lang w:val="es-ES_tradnl"/>
        </w:rPr>
        <w:t>(</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AD15F5">
        <w:rPr>
          <w:rFonts w:eastAsia="SimSun"/>
          <w:i/>
          <w:iCs/>
          <w:szCs w:val="20"/>
          <w:lang w:val="es-ES_tradnl"/>
        </w:rPr>
        <w:t xml:space="preserve"> –((C/N)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d,Th</w:t>
      </w:r>
      <w:proofErr w:type="spellEnd"/>
      <w:r w:rsidRPr="00AD15F5">
        <w:rPr>
          <w:rFonts w:eastAsia="SimSun"/>
          <w:i/>
          <w:iCs/>
          <w:szCs w:val="20"/>
          <w:lang w:val="es-ES_tradnl"/>
        </w:rPr>
        <w:t xml:space="preserve"> – (C/N)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w:t>
      </w:r>
      <w:r w:rsidRPr="00AD15F5">
        <w:rPr>
          <w:rFonts w:eastAsia="SimSun"/>
          <w:i/>
          <w:iCs/>
          <w:szCs w:val="20"/>
          <w:vertAlign w:val="subscript"/>
          <w:lang w:val="es-ES_tradnl" w:eastAsia="zh-CN"/>
        </w:rPr>
        <w:t>E</w:t>
      </w:r>
      <w:r w:rsidRPr="00AD15F5">
        <w:rPr>
          <w:rFonts w:eastAsia="SimSun"/>
          <w:i/>
          <w:iCs/>
          <w:szCs w:val="20"/>
          <w:vertAlign w:val="subscript"/>
          <w:lang w:val="es-ES_tradnl"/>
        </w:rPr>
        <w:t>g</w:t>
      </w:r>
      <w:proofErr w:type="spellEnd"/>
      <w:r w:rsidRPr="00AD15F5">
        <w:rPr>
          <w:rFonts w:eastAsia="SimSun"/>
          <w:i/>
          <w:iCs/>
          <w:szCs w:val="20"/>
          <w:lang w:val="es-ES_tradnl"/>
        </w:rPr>
        <w:t>))</w:t>
      </w:r>
      <w:r w:rsidRPr="00AD15F5">
        <w:rPr>
          <w:lang w:val="es-ES_tradnl"/>
        </w:rPr>
        <w:t xml:space="preserve"> , en (1) deberá utilizarse en vez de </w:t>
      </w:r>
      <w:proofErr w:type="spellStart"/>
      <w:r w:rsidRPr="00AD15F5">
        <w:rPr>
          <w:i/>
          <w:iCs/>
          <w:lang w:val="es-ES_tradnl"/>
        </w:rPr>
        <w:t>R</w:t>
      </w:r>
      <w:r w:rsidRPr="00AD15F5">
        <w:rPr>
          <w:rFonts w:eastAsia="SimSun"/>
          <w:i/>
          <w:iCs/>
          <w:szCs w:val="20"/>
          <w:vertAlign w:val="subscript"/>
          <w:lang w:val="es-ES_tradnl"/>
        </w:rPr>
        <w:t>Th</w:t>
      </w:r>
      <w:proofErr w:type="spellEnd"/>
      <w:r>
        <w:rPr>
          <w:lang w:val="es-ES_tradnl"/>
        </w:rPr>
        <w:t>,</w:t>
      </w:r>
    </w:p>
    <w:p w:rsidR="000D578A" w:rsidRPr="00AD15F5" w:rsidRDefault="000D578A" w:rsidP="00766841">
      <w:pPr>
        <w:ind w:firstLine="240"/>
        <w:jc w:val="left"/>
        <w:rPr>
          <w:lang w:val="es-ES_tradnl"/>
        </w:rPr>
      </w:pPr>
      <w:proofErr w:type="gramStart"/>
      <w:r w:rsidRPr="00AD15F5">
        <w:rPr>
          <w:lang w:val="es-ES_tradnl"/>
        </w:rPr>
        <w:t>siendo</w:t>
      </w:r>
      <w:proofErr w:type="gramEnd"/>
      <w:r w:rsidRPr="00AD15F5">
        <w:rPr>
          <w:lang w:val="es-ES_tradnl"/>
        </w:rPr>
        <w:t>:</w:t>
      </w:r>
    </w:p>
    <w:p w:rsidR="000D578A" w:rsidRPr="00AD15F5" w:rsidRDefault="000D578A" w:rsidP="00766841">
      <w:pPr>
        <w:tabs>
          <w:tab w:val="clear" w:pos="794"/>
          <w:tab w:val="clear" w:pos="1191"/>
          <w:tab w:val="clear" w:pos="1588"/>
        </w:tabs>
        <w:ind w:left="2608" w:hanging="851"/>
        <w:jc w:val="left"/>
        <w:rPr>
          <w:lang w:val="es-ES_tradnl"/>
        </w:rPr>
      </w:pPr>
      <w:r w:rsidRPr="00AD15F5">
        <w:rPr>
          <w:rFonts w:eastAsia="SimSun"/>
          <w:i/>
          <w:iCs/>
          <w:szCs w:val="20"/>
          <w:lang w:val="es-ES_tradnl"/>
        </w:rPr>
        <w:t>(C/N</w:t>
      </w:r>
      <w:proofErr w:type="gramStart"/>
      <w:r w:rsidRPr="00AD15F5">
        <w:rPr>
          <w:rFonts w:eastAsia="SimSun"/>
          <w:i/>
          <w:iCs/>
          <w:szCs w:val="20"/>
          <w:lang w:val="es-ES_tradnl"/>
        </w:rPr>
        <w:t>)</w:t>
      </w:r>
      <w:proofErr w:type="spellStart"/>
      <w:r w:rsidRPr="00AD15F5">
        <w:rPr>
          <w:rFonts w:eastAsia="SimSun"/>
          <w:i/>
          <w:iCs/>
          <w:szCs w:val="20"/>
          <w:vertAlign w:val="subscript"/>
          <w:lang w:val="es-ES_tradnl"/>
        </w:rPr>
        <w:t>d,Th</w:t>
      </w:r>
      <w:proofErr w:type="spellEnd"/>
      <w:proofErr w:type="gramEnd"/>
      <w:r w:rsidRPr="00AD15F5">
        <w:rPr>
          <w:rFonts w:eastAsia="SimSun"/>
          <w:szCs w:val="20"/>
          <w:lang w:val="es-ES_tradnl"/>
        </w:rPr>
        <w:t>:</w:t>
      </w:r>
      <w:r>
        <w:rPr>
          <w:lang w:val="es-ES_tradnl"/>
        </w:rPr>
        <w:tab/>
        <w:t>e</w:t>
      </w:r>
      <w:r w:rsidRPr="00AD15F5">
        <w:rPr>
          <w:lang w:val="es-ES_tradnl"/>
        </w:rPr>
        <w:t xml:space="preserve">l valor de </w:t>
      </w:r>
      <w:r w:rsidRPr="00AD15F5">
        <w:rPr>
          <w:i/>
          <w:iCs/>
          <w:lang w:val="es-ES_tradnl"/>
        </w:rPr>
        <w:t>C/N</w:t>
      </w:r>
      <w:r w:rsidRPr="00AD15F5">
        <w:rPr>
          <w:lang w:val="es-ES_tradnl"/>
        </w:rPr>
        <w:t xml:space="preserve"> del enlace descendente en el punto de prueba </w:t>
      </w:r>
      <w:r w:rsidRPr="00AD15F5">
        <w:rPr>
          <w:i/>
          <w:iCs/>
          <w:lang w:val="es-ES_tradnl"/>
        </w:rPr>
        <w:t>Th</w:t>
      </w:r>
      <w:r w:rsidRPr="00AD15F5">
        <w:rPr>
          <w:lang w:val="es-ES_tradnl"/>
        </w:rPr>
        <w:t>;</w:t>
      </w:r>
    </w:p>
    <w:p w:rsidR="000D578A" w:rsidRPr="00AD15F5" w:rsidRDefault="000D578A" w:rsidP="00766841">
      <w:pPr>
        <w:tabs>
          <w:tab w:val="clear" w:pos="794"/>
          <w:tab w:val="clear" w:pos="1191"/>
          <w:tab w:val="clear" w:pos="1588"/>
        </w:tabs>
        <w:ind w:left="2608" w:hanging="851"/>
        <w:jc w:val="left"/>
        <w:rPr>
          <w:lang w:val="es-ES_tradnl"/>
        </w:rPr>
      </w:pPr>
      <w:r w:rsidRPr="00AD15F5">
        <w:rPr>
          <w:rFonts w:eastAsia="SimSun"/>
          <w:i/>
          <w:iCs/>
          <w:szCs w:val="20"/>
          <w:lang w:val="es-ES_tradnl"/>
        </w:rPr>
        <w:t>(C/N</w:t>
      </w:r>
      <w:proofErr w:type="gramStart"/>
      <w:r w:rsidRPr="00AD15F5">
        <w:rPr>
          <w:rFonts w:eastAsia="SimSun"/>
          <w:i/>
          <w:iCs/>
          <w:szCs w:val="20"/>
          <w:lang w:val="es-ES_tradnl"/>
        </w:rPr>
        <w:t>)</w:t>
      </w:r>
      <w:proofErr w:type="spellStart"/>
      <w:r w:rsidRPr="00AD15F5">
        <w:rPr>
          <w:rFonts w:eastAsia="SimSun"/>
          <w:i/>
          <w:iCs/>
          <w:szCs w:val="20"/>
          <w:vertAlign w:val="subscript"/>
          <w:lang w:val="es-ES_tradnl"/>
        </w:rPr>
        <w:t>d</w:t>
      </w:r>
      <w:r w:rsidRPr="00AD15F5">
        <w:rPr>
          <w:rFonts w:eastAsia="SimSun"/>
          <w:i/>
          <w:iCs/>
          <w:szCs w:val="20"/>
          <w:vertAlign w:val="subscript"/>
          <w:lang w:val="es-ES_tradnl" w:eastAsia="zh-CN"/>
        </w:rPr>
        <w:t>,Eg</w:t>
      </w:r>
      <w:proofErr w:type="spellEnd"/>
      <w:proofErr w:type="gramEnd"/>
      <w:r w:rsidRPr="00AD15F5">
        <w:rPr>
          <w:rFonts w:eastAsia="SimSun"/>
          <w:szCs w:val="20"/>
          <w:lang w:val="es-ES_tradnl"/>
        </w:rPr>
        <w:t>:</w:t>
      </w:r>
      <w:r>
        <w:rPr>
          <w:lang w:val="es-ES_tradnl"/>
        </w:rPr>
        <w:tab/>
        <w:t>e</w:t>
      </w:r>
      <w:r w:rsidRPr="00AD15F5">
        <w:rPr>
          <w:lang w:val="es-ES_tradnl"/>
        </w:rPr>
        <w:t xml:space="preserve">l valor de </w:t>
      </w:r>
      <w:r w:rsidRPr="00AD15F5">
        <w:rPr>
          <w:i/>
          <w:iCs/>
          <w:lang w:val="es-ES_tradnl"/>
        </w:rPr>
        <w:t>C/N</w:t>
      </w:r>
      <w:r w:rsidRPr="00AD15F5">
        <w:rPr>
          <w:lang w:val="es-ES_tradnl"/>
        </w:rPr>
        <w:t xml:space="preserve"> del enlace descendente en el punto de la retícula </w:t>
      </w:r>
      <w:proofErr w:type="spellStart"/>
      <w:r w:rsidRPr="00AD15F5">
        <w:rPr>
          <w:i/>
          <w:iCs/>
          <w:lang w:val="es-ES_tradnl"/>
        </w:rPr>
        <w:t>Eg</w:t>
      </w:r>
      <w:proofErr w:type="spellEnd"/>
      <w:r w:rsidRPr="00AD15F5">
        <w:rPr>
          <w:lang w:val="es-ES_tradnl"/>
        </w:rPr>
        <w:t>.</w:t>
      </w:r>
    </w:p>
    <w:p w:rsidR="000D578A" w:rsidRPr="00AD15F5" w:rsidRDefault="000D578A" w:rsidP="00D769F6">
      <w:pPr>
        <w:jc w:val="left"/>
        <w:rPr>
          <w:lang w:val="es-ES_tradnl"/>
        </w:rPr>
      </w:pPr>
      <w:r w:rsidRPr="00AD15F5">
        <w:rPr>
          <w:lang w:val="es-ES_tradnl"/>
        </w:rPr>
        <w:t>3</w:t>
      </w:r>
      <w:r w:rsidRPr="00AD15F5">
        <w:rPr>
          <w:lang w:val="es-ES_tradnl"/>
        </w:rPr>
        <w:tab/>
        <w:t xml:space="preserve">Si el valor </w:t>
      </w:r>
      <w:proofErr w:type="spellStart"/>
      <w:r w:rsidRPr="00AD15F5">
        <w:rPr>
          <w:rFonts w:eastAsia="SimSun"/>
          <w:i/>
          <w:iCs/>
          <w:szCs w:val="20"/>
          <w:lang w:val="es-ES_tradnl"/>
        </w:rPr>
        <w:t>V</w:t>
      </w:r>
      <w:r w:rsidRPr="00AD15F5">
        <w:rPr>
          <w:rFonts w:eastAsia="SimSun"/>
          <w:i/>
          <w:iCs/>
          <w:szCs w:val="20"/>
          <w:vertAlign w:val="subscript"/>
          <w:lang w:val="es-ES_tradnl"/>
        </w:rPr>
        <w:t>Eg</w:t>
      </w:r>
      <w:proofErr w:type="spellEnd"/>
      <w:r w:rsidRPr="00AD15F5">
        <w:rPr>
          <w:lang w:val="es-ES_tradnl"/>
        </w:rPr>
        <w:t xml:space="preserve"> interpolado es superior a </w:t>
      </w:r>
      <w:r w:rsidRPr="00AD15F5">
        <w:rPr>
          <w:rFonts w:eastAsia="SimSun"/>
          <w:szCs w:val="20"/>
          <w:lang w:val="es-ES_tradnl"/>
        </w:rPr>
        <w:t>(</w:t>
      </w:r>
      <w:r w:rsidRPr="00AD15F5">
        <w:rPr>
          <w:rFonts w:eastAsia="SimSun"/>
          <w:i/>
          <w:iCs/>
          <w:szCs w:val="20"/>
          <w:lang w:val="es-ES_tradnl"/>
        </w:rPr>
        <w:t>C</w:t>
      </w:r>
      <w:r w:rsidRPr="00AD15F5">
        <w:rPr>
          <w:rFonts w:eastAsia="SimSun"/>
          <w:szCs w:val="20"/>
          <w:lang w:val="es-ES_tradnl"/>
        </w:rPr>
        <w:t>/</w:t>
      </w:r>
      <w:r w:rsidRPr="00AD15F5">
        <w:rPr>
          <w:rFonts w:eastAsia="SimSun"/>
          <w:i/>
          <w:iCs/>
          <w:szCs w:val="20"/>
          <w:lang w:val="es-ES_tradnl"/>
        </w:rPr>
        <w:t>N</w:t>
      </w:r>
      <w:proofErr w:type="gramStart"/>
      <w:r w:rsidRPr="00AD15F5">
        <w:rPr>
          <w:rFonts w:eastAsia="SimSun"/>
          <w:szCs w:val="20"/>
          <w:lang w:val="es-ES_tradnl"/>
        </w:rPr>
        <w:t>)</w:t>
      </w:r>
      <w:r w:rsidRPr="00AD15F5">
        <w:rPr>
          <w:rFonts w:eastAsia="SimSun"/>
          <w:i/>
          <w:iCs/>
          <w:szCs w:val="20"/>
          <w:vertAlign w:val="subscript"/>
          <w:lang w:val="es-ES_tradnl"/>
        </w:rPr>
        <w:t>d</w:t>
      </w:r>
      <w:proofErr w:type="gramEnd"/>
      <w:r w:rsidRPr="00AD15F5">
        <w:rPr>
          <w:rFonts w:eastAsia="SimSun"/>
          <w:i/>
          <w:iCs/>
          <w:szCs w:val="20"/>
          <w:vertAlign w:val="subscript"/>
          <w:lang w:val="es-ES_tradnl" w:eastAsia="zh-CN"/>
        </w:rPr>
        <w:t xml:space="preserve">, </w:t>
      </w:r>
      <w:proofErr w:type="spellStart"/>
      <w:r w:rsidRPr="00AD15F5">
        <w:rPr>
          <w:rFonts w:eastAsia="SimSun"/>
          <w:i/>
          <w:iCs/>
          <w:szCs w:val="20"/>
          <w:vertAlign w:val="subscript"/>
          <w:lang w:val="es-ES_tradnl" w:eastAsia="zh-CN"/>
        </w:rPr>
        <w:t>Eg</w:t>
      </w:r>
      <w:proofErr w:type="spellEnd"/>
      <w:r w:rsidRPr="00AD15F5">
        <w:rPr>
          <w:rFonts w:eastAsia="SimSun"/>
          <w:szCs w:val="20"/>
          <w:lang w:val="es-ES_tradnl"/>
        </w:rPr>
        <w:t xml:space="preserve"> +11</w:t>
      </w:r>
      <w:r>
        <w:rPr>
          <w:rFonts w:eastAsia="SimSun"/>
          <w:szCs w:val="20"/>
          <w:lang w:val="es-ES_tradnl"/>
        </w:rPr>
        <w:t>,65 dB</w:t>
      </w:r>
      <w:r w:rsidRPr="00AD15F5">
        <w:rPr>
          <w:rFonts w:eastAsia="SimSun"/>
          <w:szCs w:val="20"/>
          <w:lang w:val="es-ES_tradnl"/>
        </w:rPr>
        <w:t>, (</w:t>
      </w:r>
      <w:r w:rsidRPr="00AD15F5">
        <w:rPr>
          <w:rFonts w:eastAsia="SimSun"/>
          <w:i/>
          <w:iCs/>
          <w:szCs w:val="20"/>
          <w:lang w:val="es-ES_tradnl"/>
        </w:rPr>
        <w:t>C</w:t>
      </w:r>
      <w:r w:rsidRPr="00AD15F5">
        <w:rPr>
          <w:rFonts w:eastAsia="SimSun"/>
          <w:szCs w:val="20"/>
          <w:lang w:val="es-ES_tradnl"/>
        </w:rPr>
        <w:t>/</w:t>
      </w:r>
      <w:r w:rsidRPr="00AD15F5">
        <w:rPr>
          <w:rFonts w:eastAsia="SimSun"/>
          <w:i/>
          <w:iCs/>
          <w:szCs w:val="20"/>
          <w:lang w:val="es-ES_tradnl"/>
        </w:rPr>
        <w:t>N</w:t>
      </w:r>
      <w:r w:rsidRPr="00AD15F5">
        <w:rPr>
          <w:rFonts w:eastAsia="SimSun"/>
          <w:szCs w:val="20"/>
          <w:lang w:val="es-ES_tradnl"/>
        </w:rPr>
        <w:t>)</w:t>
      </w:r>
      <w:r w:rsidRPr="00AD15F5">
        <w:rPr>
          <w:rFonts w:eastAsia="SimSun"/>
          <w:i/>
          <w:iCs/>
          <w:szCs w:val="20"/>
          <w:vertAlign w:val="subscript"/>
          <w:lang w:val="es-ES_tradnl"/>
        </w:rPr>
        <w:t>d</w:t>
      </w:r>
      <w:r w:rsidRPr="00AD15F5">
        <w:rPr>
          <w:rFonts w:eastAsia="SimSun"/>
          <w:i/>
          <w:iCs/>
          <w:szCs w:val="20"/>
          <w:vertAlign w:val="subscript"/>
          <w:lang w:val="es-ES_tradnl" w:eastAsia="zh-CN"/>
        </w:rPr>
        <w:t xml:space="preserve">, </w:t>
      </w:r>
      <w:proofErr w:type="spellStart"/>
      <w:r w:rsidRPr="00AD15F5">
        <w:rPr>
          <w:rFonts w:eastAsia="SimSun"/>
          <w:i/>
          <w:iCs/>
          <w:szCs w:val="20"/>
          <w:vertAlign w:val="subscript"/>
          <w:lang w:val="es-ES_tradnl" w:eastAsia="zh-CN"/>
        </w:rPr>
        <w:t>Eg</w:t>
      </w:r>
      <w:proofErr w:type="spellEnd"/>
      <w:r w:rsidRPr="00AD15F5">
        <w:rPr>
          <w:rFonts w:eastAsia="SimSun"/>
          <w:szCs w:val="20"/>
          <w:lang w:val="es-ES_tradnl"/>
        </w:rPr>
        <w:t xml:space="preserve"> +11</w:t>
      </w:r>
      <w:r>
        <w:rPr>
          <w:rFonts w:eastAsia="SimSun"/>
          <w:szCs w:val="20"/>
          <w:lang w:val="es-ES_tradnl"/>
        </w:rPr>
        <w:t>,</w:t>
      </w:r>
      <w:r w:rsidRPr="00AD15F5">
        <w:rPr>
          <w:rFonts w:eastAsia="SimSun"/>
          <w:szCs w:val="20"/>
          <w:lang w:val="es-ES_tradnl"/>
        </w:rPr>
        <w:t>65 dB</w:t>
      </w:r>
      <w:r>
        <w:rPr>
          <w:rFonts w:eastAsia="SimSun"/>
          <w:szCs w:val="20"/>
          <w:lang w:val="es-ES_tradnl"/>
        </w:rPr>
        <w:t>,</w:t>
      </w:r>
      <w:r w:rsidRPr="00AD15F5">
        <w:rPr>
          <w:rFonts w:eastAsia="SimSun"/>
          <w:szCs w:val="20"/>
          <w:lang w:val="es-ES_tradnl"/>
        </w:rPr>
        <w:t xml:space="preserve"> d</w:t>
      </w:r>
      <w:r w:rsidRPr="00AD15F5">
        <w:rPr>
          <w:lang w:val="es-ES_tradnl"/>
        </w:rPr>
        <w:t xml:space="preserve">eberá utilizarse este último como valor de referencia para el punto de la retícula </w:t>
      </w:r>
      <w:proofErr w:type="spellStart"/>
      <w:r w:rsidRPr="00AD15F5">
        <w:rPr>
          <w:i/>
          <w:iCs/>
          <w:lang w:val="es-ES_tradnl"/>
        </w:rPr>
        <w:t>Eg</w:t>
      </w:r>
      <w:proofErr w:type="spellEnd"/>
      <w:r w:rsidRPr="00AD15F5">
        <w:rPr>
          <w:lang w:val="es-ES_tradnl"/>
        </w:rPr>
        <w:t>. De no ser así, el valor interpolado es el valor de referencia.</w:t>
      </w:r>
    </w:p>
    <w:p w:rsidR="000D578A" w:rsidRPr="00AD15F5" w:rsidRDefault="000D578A" w:rsidP="00D769F6">
      <w:pPr>
        <w:jc w:val="left"/>
        <w:rPr>
          <w:i/>
          <w:iCs/>
          <w:lang w:val="es-ES_tradnl"/>
        </w:rPr>
      </w:pPr>
      <w:r w:rsidRPr="00AD15F5">
        <w:rPr>
          <w:b/>
          <w:bCs/>
          <w:i/>
          <w:iCs/>
          <w:lang w:val="es-ES_tradnl"/>
        </w:rPr>
        <w:lastRenderedPageBreak/>
        <w:t>Motivos</w:t>
      </w:r>
      <w:r w:rsidRPr="00AD15F5">
        <w:rPr>
          <w:i/>
          <w:iCs/>
          <w:lang w:val="es-ES_tradnl"/>
        </w:rPr>
        <w:t xml:space="preserve">: </w:t>
      </w:r>
      <w:r>
        <w:rPr>
          <w:i/>
          <w:iCs/>
          <w:lang w:val="es-ES_tradnl"/>
        </w:rPr>
        <w:t>e</w:t>
      </w:r>
      <w:r w:rsidRPr="00AD15F5">
        <w:rPr>
          <w:i/>
          <w:iCs/>
          <w:lang w:val="es-ES_tradnl"/>
        </w:rPr>
        <w:t xml:space="preserve">l método para calcular el valor de referencia en la zona de servicio mencionado en la nota 19 </w:t>
      </w:r>
      <w:r>
        <w:rPr>
          <w:i/>
          <w:iCs/>
          <w:lang w:val="es-ES_tradnl"/>
        </w:rPr>
        <w:t>d</w:t>
      </w:r>
      <w:r w:rsidRPr="00AD15F5">
        <w:rPr>
          <w:i/>
          <w:iCs/>
          <w:lang w:val="es-ES_tradnl"/>
        </w:rPr>
        <w:t xml:space="preserve">el § 2.2 del Anexo </w:t>
      </w:r>
      <w:r w:rsidRPr="00D769F6">
        <w:rPr>
          <w:i/>
          <w:iCs/>
          <w:lang w:val="es-ES_tradnl"/>
        </w:rPr>
        <w:t>4</w:t>
      </w:r>
      <w:r w:rsidRPr="00AD15F5">
        <w:rPr>
          <w:i/>
          <w:iCs/>
          <w:lang w:val="es-ES_tradnl"/>
        </w:rPr>
        <w:t xml:space="preserve"> al Apéndice </w:t>
      </w:r>
      <w:r w:rsidRPr="00AD15F5">
        <w:rPr>
          <w:b/>
          <w:bCs/>
          <w:i/>
          <w:iCs/>
          <w:lang w:val="es-ES_tradnl"/>
        </w:rPr>
        <w:t>30B</w:t>
      </w:r>
      <w:r w:rsidRPr="00AD15F5">
        <w:rPr>
          <w:i/>
          <w:iCs/>
          <w:lang w:val="es-ES_tradnl"/>
        </w:rPr>
        <w:t xml:space="preserve"> se comunicó a los Miembros en el Anexo a la Carta Circular CR/302 de 19 de mayo de 2009. Este método incluye la formula (1) del párrafo 2 y la regla del párrafo 3 anteriores. El método se ha utilizado en las presentaciones del Apéndice </w:t>
      </w:r>
      <w:r w:rsidRPr="00AD15F5">
        <w:rPr>
          <w:b/>
          <w:bCs/>
          <w:i/>
          <w:iCs/>
          <w:lang w:val="es-ES_tradnl"/>
        </w:rPr>
        <w:t>30B</w:t>
      </w:r>
      <w:r w:rsidRPr="00AD15F5">
        <w:rPr>
          <w:i/>
          <w:iCs/>
          <w:lang w:val="es-ES_tradnl"/>
        </w:rPr>
        <w:t xml:space="preserve"> desde el primer examen, de conformidad con el Apéndice </w:t>
      </w:r>
      <w:r w:rsidRPr="00AD15F5">
        <w:rPr>
          <w:b/>
          <w:bCs/>
          <w:i/>
          <w:iCs/>
          <w:lang w:val="es-ES_tradnl"/>
        </w:rPr>
        <w:t>30B</w:t>
      </w:r>
      <w:r w:rsidRPr="00AD15F5">
        <w:rPr>
          <w:i/>
          <w:iCs/>
          <w:lang w:val="es-ES_tradnl"/>
        </w:rPr>
        <w:t xml:space="preserve"> (CMR-07) revisado.</w:t>
      </w:r>
    </w:p>
    <w:p w:rsidR="000D578A" w:rsidRPr="00AD15F5" w:rsidRDefault="000D578A" w:rsidP="00D769F6">
      <w:pPr>
        <w:jc w:val="left"/>
        <w:rPr>
          <w:i/>
          <w:iCs/>
          <w:lang w:val="es-ES_tradnl"/>
        </w:rPr>
      </w:pPr>
      <w:r w:rsidRPr="00AD15F5">
        <w:rPr>
          <w:i/>
          <w:iCs/>
          <w:lang w:val="es-ES_tradnl"/>
        </w:rPr>
        <w:t>Al aplicar el método, la Oficina observó que el examen a lo largo de la zona de servicio puede dar lugar a una sobreprotección de las redes con zonas de baja ganancia de la antena del satélite en el interior de la zona de servicio sin ningún punto de prueba ubicado en las proximidades. La Oficina comunicó este problema a la CMR-12 y ésta la encarg</w:t>
      </w:r>
      <w:r>
        <w:rPr>
          <w:i/>
          <w:iCs/>
          <w:lang w:val="es-ES_tradnl"/>
        </w:rPr>
        <w:t>ó</w:t>
      </w:r>
      <w:r w:rsidRPr="00AD15F5">
        <w:rPr>
          <w:i/>
          <w:iCs/>
          <w:lang w:val="es-ES_tradnl"/>
        </w:rPr>
        <w:t xml:space="preserve"> que elaborase una Regla de Procedimiento para resolver el tema (véanse los Documentos 526 y 554 de la CMR-12).</w:t>
      </w:r>
    </w:p>
    <w:p w:rsidR="000D578A" w:rsidRPr="00AD15F5" w:rsidRDefault="000D578A" w:rsidP="00D769F6">
      <w:pPr>
        <w:jc w:val="left"/>
        <w:rPr>
          <w:i/>
          <w:iCs/>
          <w:lang w:val="es-ES_tradnl"/>
        </w:rPr>
      </w:pPr>
      <w:r w:rsidRPr="00AD15F5">
        <w:rPr>
          <w:i/>
          <w:iCs/>
          <w:lang w:val="es-ES_tradnl"/>
        </w:rPr>
        <w:t>Siguiendo instrucciones de la CMR-12, la Oficina soli</w:t>
      </w:r>
      <w:r>
        <w:rPr>
          <w:i/>
          <w:iCs/>
          <w:lang w:val="es-ES_tradnl"/>
        </w:rPr>
        <w:t>ci</w:t>
      </w:r>
      <w:r w:rsidRPr="00AD15F5">
        <w:rPr>
          <w:i/>
          <w:iCs/>
          <w:lang w:val="es-ES_tradnl"/>
        </w:rPr>
        <w:t xml:space="preserve">tó la asesoría del Grupo de </w:t>
      </w:r>
      <w:r>
        <w:rPr>
          <w:i/>
          <w:iCs/>
          <w:lang w:val="es-ES_tradnl"/>
        </w:rPr>
        <w:t>T</w:t>
      </w:r>
      <w:r w:rsidRPr="00AD15F5">
        <w:rPr>
          <w:i/>
          <w:iCs/>
          <w:lang w:val="es-ES_tradnl"/>
        </w:rPr>
        <w:t>rabajo 4A sobre una posible solución de este problema. El citado Grupo de Trabajo discutió el tema y determinó la siguiente nueva condición adicional a la fórmula:</w:t>
      </w:r>
    </w:p>
    <w:p w:rsidR="000D578A" w:rsidRPr="00AD15F5" w:rsidRDefault="000D578A" w:rsidP="00884E65">
      <w:pPr>
        <w:tabs>
          <w:tab w:val="clear" w:pos="794"/>
          <w:tab w:val="clear" w:pos="1191"/>
          <w:tab w:val="clear" w:pos="1588"/>
        </w:tabs>
        <w:ind w:left="918" w:hanging="680"/>
        <w:jc w:val="left"/>
        <w:rPr>
          <w:lang w:val="es-ES_tradnl"/>
        </w:rPr>
      </w:pPr>
      <w:r>
        <w:rPr>
          <w:lang w:val="es-ES_tradnl"/>
        </w:rPr>
        <w:tab/>
      </w:r>
      <w:r w:rsidRPr="00AD15F5">
        <w:rPr>
          <w:lang w:val="es-ES_tradnl"/>
        </w:rPr>
        <w:t xml:space="preserve">Si el valor </w:t>
      </w:r>
      <w:r w:rsidRPr="00AD15F5">
        <w:rPr>
          <w:rFonts w:eastAsia="SimSun"/>
          <w:i/>
          <w:iCs/>
          <w:szCs w:val="20"/>
          <w:lang w:val="es-ES_tradnl"/>
        </w:rPr>
        <w:t>(</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AD15F5">
        <w:rPr>
          <w:rFonts w:eastAsia="SimSun"/>
          <w:i/>
          <w:iCs/>
          <w:szCs w:val="20"/>
          <w:lang w:val="es-ES_tradnl"/>
        </w:rPr>
        <w:t xml:space="preserve"> </w:t>
      </w:r>
      <w:proofErr w:type="gramStart"/>
      <w:r w:rsidRPr="00AD15F5">
        <w:rPr>
          <w:rFonts w:eastAsia="SimSun"/>
          <w:i/>
          <w:iCs/>
          <w:szCs w:val="20"/>
          <w:lang w:val="es-ES_tradnl"/>
        </w:rPr>
        <w:t>–(</w:t>
      </w:r>
      <w:proofErr w:type="gramEnd"/>
      <w:r w:rsidRPr="00AD15F5">
        <w:rPr>
          <w:rFonts w:eastAsia="SimSun"/>
          <w:i/>
          <w:iCs/>
          <w:szCs w:val="20"/>
          <w:lang w:val="es-ES_tradnl"/>
        </w:rPr>
        <w:t>(C/N)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d,Th</w:t>
      </w:r>
      <w:proofErr w:type="spellEnd"/>
      <w:r w:rsidRPr="00AD15F5">
        <w:rPr>
          <w:rFonts w:eastAsia="SimSun"/>
          <w:i/>
          <w:iCs/>
          <w:szCs w:val="20"/>
          <w:lang w:val="es-ES_tradnl"/>
        </w:rPr>
        <w:t xml:space="preserve"> – (C/N)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w:t>
      </w:r>
      <w:r w:rsidRPr="00AD15F5">
        <w:rPr>
          <w:rFonts w:eastAsia="SimSun"/>
          <w:i/>
          <w:iCs/>
          <w:szCs w:val="20"/>
          <w:vertAlign w:val="subscript"/>
          <w:lang w:val="es-ES_tradnl" w:eastAsia="zh-CN"/>
        </w:rPr>
        <w:t>E</w:t>
      </w:r>
      <w:r w:rsidRPr="00AD15F5">
        <w:rPr>
          <w:rFonts w:eastAsia="SimSun"/>
          <w:i/>
          <w:iCs/>
          <w:szCs w:val="20"/>
          <w:vertAlign w:val="subscript"/>
          <w:lang w:val="es-ES_tradnl"/>
        </w:rPr>
        <w:t>g</w:t>
      </w:r>
      <w:proofErr w:type="spellEnd"/>
      <w:r w:rsidRPr="00AD15F5">
        <w:rPr>
          <w:rFonts w:eastAsia="SimSun"/>
          <w:i/>
          <w:iCs/>
          <w:szCs w:val="20"/>
          <w:lang w:val="es-ES_tradnl"/>
        </w:rPr>
        <w:t>))</w:t>
      </w:r>
      <w:r w:rsidRPr="00AD15F5">
        <w:rPr>
          <w:lang w:val="es-ES_tradnl"/>
        </w:rPr>
        <w:t xml:space="preserve"> e</w:t>
      </w:r>
      <w:r>
        <w:rPr>
          <w:lang w:val="es-ES_tradnl"/>
        </w:rPr>
        <w:t>s</w:t>
      </w:r>
      <w:r w:rsidRPr="00AD15F5">
        <w:rPr>
          <w:lang w:val="es-ES_tradnl"/>
        </w:rPr>
        <w:t xml:space="preserve"> inferior a </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AD15F5">
        <w:rPr>
          <w:rFonts w:eastAsia="SimSun"/>
          <w:szCs w:val="20"/>
          <w:lang w:val="es-ES_tradnl" w:eastAsia="zh-CN"/>
        </w:rPr>
        <w:t xml:space="preserve">, </w:t>
      </w:r>
      <w:r w:rsidRPr="00AD15F5">
        <w:rPr>
          <w:lang w:val="es-ES_tradnl"/>
        </w:rPr>
        <w:t xml:space="preserve">en (1) deberá utilizarse </w:t>
      </w:r>
      <w:r>
        <w:rPr>
          <w:lang w:val="es-ES_tradnl"/>
        </w:rPr>
        <w:br/>
      </w:r>
      <w:r w:rsidRPr="00AD15F5">
        <w:rPr>
          <w:rFonts w:eastAsia="SimSun"/>
          <w:i/>
          <w:iCs/>
          <w:szCs w:val="20"/>
          <w:lang w:val="es-ES_tradnl"/>
        </w:rPr>
        <w:t>(</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Pr>
          <w:rFonts w:eastAsia="SimSun"/>
          <w:i/>
          <w:iCs/>
          <w:szCs w:val="20"/>
          <w:lang w:val="es-ES_tradnl"/>
        </w:rPr>
        <w:t xml:space="preserve"> </w:t>
      </w:r>
      <w:r w:rsidRPr="00AD15F5">
        <w:rPr>
          <w:rFonts w:eastAsia="SimSun"/>
          <w:i/>
          <w:iCs/>
          <w:szCs w:val="20"/>
          <w:lang w:val="es-ES_tradnl"/>
        </w:rPr>
        <w:t>–((C/N)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d,Th</w:t>
      </w:r>
      <w:proofErr w:type="spellEnd"/>
      <w:r w:rsidRPr="00AD15F5">
        <w:rPr>
          <w:rFonts w:eastAsia="SimSun"/>
          <w:i/>
          <w:iCs/>
          <w:szCs w:val="20"/>
          <w:lang w:val="es-ES_tradnl"/>
        </w:rPr>
        <w:t xml:space="preserve"> – (C/N)</w:t>
      </w:r>
      <w:r w:rsidRPr="00AD15F5">
        <w:rPr>
          <w:rFonts w:eastAsia="SimSun"/>
          <w:i/>
          <w:iCs/>
          <w:szCs w:val="20"/>
          <w:vertAlign w:val="subscript"/>
          <w:lang w:val="es-ES_tradnl"/>
        </w:rPr>
        <w:t xml:space="preserve"> </w:t>
      </w:r>
      <w:proofErr w:type="spellStart"/>
      <w:r w:rsidRPr="00AD15F5">
        <w:rPr>
          <w:rFonts w:eastAsia="SimSun"/>
          <w:i/>
          <w:iCs/>
          <w:szCs w:val="20"/>
          <w:vertAlign w:val="subscript"/>
          <w:lang w:val="es-ES_tradnl"/>
        </w:rPr>
        <w:t>d,</w:t>
      </w:r>
      <w:r w:rsidRPr="00AD15F5">
        <w:rPr>
          <w:rFonts w:eastAsia="SimSun"/>
          <w:i/>
          <w:iCs/>
          <w:szCs w:val="20"/>
          <w:vertAlign w:val="subscript"/>
          <w:lang w:val="es-ES_tradnl" w:eastAsia="zh-CN"/>
        </w:rPr>
        <w:t>E</w:t>
      </w:r>
      <w:r w:rsidRPr="00AD15F5">
        <w:rPr>
          <w:rFonts w:eastAsia="SimSun"/>
          <w:i/>
          <w:iCs/>
          <w:szCs w:val="20"/>
          <w:vertAlign w:val="subscript"/>
          <w:lang w:val="es-ES_tradnl"/>
        </w:rPr>
        <w:t>g</w:t>
      </w:r>
      <w:proofErr w:type="spellEnd"/>
      <w:r w:rsidRPr="00AD15F5">
        <w:rPr>
          <w:rFonts w:eastAsia="SimSun"/>
          <w:i/>
          <w:iCs/>
          <w:szCs w:val="20"/>
          <w:lang w:val="es-ES_tradnl"/>
        </w:rPr>
        <w:t>))</w:t>
      </w:r>
      <w:r>
        <w:rPr>
          <w:rFonts w:eastAsia="SimSun"/>
          <w:i/>
          <w:iCs/>
          <w:szCs w:val="20"/>
          <w:lang w:val="es-ES_tradnl"/>
        </w:rPr>
        <w:t xml:space="preserve"> </w:t>
      </w:r>
      <w:r w:rsidRPr="00AD15F5">
        <w:rPr>
          <w:lang w:val="es-ES_tradnl"/>
        </w:rPr>
        <w:t xml:space="preserve">en vez de </w:t>
      </w:r>
      <w:proofErr w:type="spellStart"/>
      <w:r w:rsidRPr="00AD15F5">
        <w:rPr>
          <w:rFonts w:eastAsia="SimSun"/>
          <w:i/>
          <w:iCs/>
          <w:szCs w:val="20"/>
          <w:lang w:val="es-ES_tradnl"/>
        </w:rPr>
        <w:t>R</w:t>
      </w:r>
      <w:r w:rsidRPr="00AD15F5">
        <w:rPr>
          <w:rFonts w:eastAsia="SimSun"/>
          <w:i/>
          <w:iCs/>
          <w:szCs w:val="20"/>
          <w:vertAlign w:val="subscript"/>
          <w:lang w:val="es-ES_tradnl"/>
        </w:rPr>
        <w:t>Th</w:t>
      </w:r>
      <w:proofErr w:type="spellEnd"/>
      <w:r w:rsidRPr="00D769F6">
        <w:rPr>
          <w:lang w:val="es-ES_tradnl"/>
        </w:rPr>
        <w:t>,</w:t>
      </w:r>
    </w:p>
    <w:p w:rsidR="000D578A" w:rsidRPr="00D769F6" w:rsidRDefault="000D578A" w:rsidP="00D769F6">
      <w:pPr>
        <w:jc w:val="left"/>
        <w:rPr>
          <w:i/>
          <w:iCs/>
          <w:lang w:val="es-ES_tradnl"/>
        </w:rPr>
      </w:pPr>
      <w:proofErr w:type="gramStart"/>
      <w:r w:rsidRPr="00D769F6">
        <w:rPr>
          <w:i/>
          <w:iCs/>
          <w:lang w:val="es-ES_tradnl"/>
        </w:rPr>
        <w:t>para</w:t>
      </w:r>
      <w:proofErr w:type="gramEnd"/>
      <w:r w:rsidRPr="00D769F6">
        <w:rPr>
          <w:i/>
          <w:iCs/>
          <w:lang w:val="es-ES_tradnl"/>
        </w:rPr>
        <w:t xml:space="preserve"> solucionar el problema de la sobreprotección en zonas con baja ganancia de la antena del satélite en el examen con arreglo al § 2.2 </w:t>
      </w:r>
      <w:r>
        <w:rPr>
          <w:i/>
          <w:iCs/>
          <w:lang w:val="es-ES_tradnl"/>
        </w:rPr>
        <w:t>d</w:t>
      </w:r>
      <w:r w:rsidRPr="00D769F6">
        <w:rPr>
          <w:i/>
          <w:iCs/>
          <w:lang w:val="es-ES_tradnl"/>
        </w:rPr>
        <w:t xml:space="preserve">el Anexo 4 al Apéndice </w:t>
      </w:r>
      <w:r w:rsidRPr="00D769F6">
        <w:rPr>
          <w:b/>
          <w:bCs/>
          <w:i/>
          <w:iCs/>
          <w:lang w:val="es-ES_tradnl"/>
        </w:rPr>
        <w:t>30B</w:t>
      </w:r>
      <w:r w:rsidRPr="00D769F6">
        <w:rPr>
          <w:i/>
          <w:iCs/>
          <w:lang w:val="es-ES_tradnl"/>
        </w:rPr>
        <w:t>.</w:t>
      </w:r>
    </w:p>
    <w:p w:rsidR="000D578A" w:rsidRPr="008E774A" w:rsidRDefault="000D578A" w:rsidP="00766841">
      <w:pPr>
        <w:jc w:val="left"/>
        <w:rPr>
          <w:i/>
          <w:iCs/>
          <w:lang w:val="es-ES_tradnl"/>
        </w:rPr>
      </w:pPr>
      <w:r w:rsidRPr="008E774A">
        <w:rPr>
          <w:i/>
          <w:iCs/>
          <w:lang w:val="es-ES_tradnl"/>
        </w:rPr>
        <w:t>Fecha efectiva de aplicación de esta Regla: 1 de enero de 2014.</w:t>
      </w:r>
    </w:p>
    <w:p w:rsidR="000D578A" w:rsidRPr="00E030DE" w:rsidRDefault="000D578A" w:rsidP="00E030DE">
      <w:pPr>
        <w:pStyle w:val="Arttitle"/>
        <w:spacing w:before="480"/>
        <w:rPr>
          <w:sz w:val="24"/>
          <w:szCs w:val="24"/>
          <w:lang w:val="es-ES_tradnl"/>
        </w:rPr>
      </w:pPr>
      <w:r w:rsidRPr="00E030DE">
        <w:rPr>
          <w:sz w:val="24"/>
          <w:szCs w:val="24"/>
          <w:lang w:val="es-ES_tradnl"/>
        </w:rPr>
        <w:t>Reglas relativas a la</w:t>
      </w:r>
      <w:r w:rsidRPr="00E030DE">
        <w:rPr>
          <w:sz w:val="24"/>
          <w:szCs w:val="24"/>
          <w:lang w:val="es-ES_tradnl"/>
        </w:rPr>
        <w:br/>
        <w:t>PARTE A10</w:t>
      </w:r>
    </w:p>
    <w:p w:rsidR="000D578A" w:rsidRPr="00AD15F5" w:rsidRDefault="000D578A" w:rsidP="00392D88">
      <w:pPr>
        <w:spacing w:before="480"/>
        <w:jc w:val="center"/>
        <w:rPr>
          <w:b/>
          <w:bCs/>
          <w:lang w:val="es-ES_tradnl"/>
        </w:rPr>
      </w:pPr>
      <w:r w:rsidRPr="00AD15F5">
        <w:rPr>
          <w:b/>
          <w:bCs/>
          <w:lang w:val="es-ES_tradnl"/>
        </w:rPr>
        <w:t>Reglas relativas al Acuerdo Regional sobre la planificación del servicio</w:t>
      </w:r>
      <w:r w:rsidRPr="00AD15F5">
        <w:rPr>
          <w:b/>
          <w:bCs/>
          <w:lang w:val="es-ES_tradnl"/>
        </w:rPr>
        <w:br/>
        <w:t>de radiodifusión digital terrenal en partes de las Regiones 1 y 3, en</w:t>
      </w:r>
      <w:r w:rsidRPr="00AD15F5">
        <w:rPr>
          <w:b/>
          <w:bCs/>
          <w:lang w:val="es-ES_tradnl"/>
        </w:rPr>
        <w:br/>
        <w:t>las bandas de frecuencia 174-230 MHz y 470-862 MHz</w:t>
      </w:r>
      <w:r>
        <w:rPr>
          <w:b/>
          <w:bCs/>
          <w:lang w:val="es-ES_tradnl"/>
        </w:rPr>
        <w:br/>
      </w:r>
      <w:r w:rsidRPr="00AD15F5">
        <w:rPr>
          <w:b/>
          <w:bCs/>
          <w:lang w:val="es-ES_tradnl"/>
        </w:rPr>
        <w:t>(Ginebra, 2006) (GE06)</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0D578A" w:rsidRPr="00884E65" w:rsidTr="009024A8">
        <w:trPr>
          <w:trHeight w:val="20"/>
        </w:trPr>
        <w:tc>
          <w:tcPr>
            <w:tcW w:w="1809" w:type="dxa"/>
          </w:tcPr>
          <w:p w:rsidR="000D578A" w:rsidRPr="008E774A" w:rsidRDefault="000D578A" w:rsidP="00392D88">
            <w:pPr>
              <w:spacing w:before="60"/>
              <w:jc w:val="left"/>
              <w:rPr>
                <w:rFonts w:ascii="Calibri" w:hAnsi="Calibri" w:cs="Calibri"/>
                <w:b/>
                <w:bCs/>
                <w:szCs w:val="24"/>
                <w:lang w:val="ru-RU" w:eastAsia="zh-CN"/>
              </w:rPr>
            </w:pPr>
            <w:r w:rsidRPr="00884E65">
              <w:rPr>
                <w:rFonts w:ascii="Calibri" w:hAnsi="Calibri" w:cs="Calibri"/>
                <w:b/>
                <w:bCs/>
                <w:szCs w:val="24"/>
                <w:lang w:val="ru-RU" w:eastAsia="zh-CN"/>
              </w:rPr>
              <w:t>Anexo 2</w:t>
            </w:r>
          </w:p>
        </w:tc>
      </w:tr>
    </w:tbl>
    <w:p w:rsidR="000D578A" w:rsidRPr="00AD15F5" w:rsidRDefault="000D578A" w:rsidP="00392D88">
      <w:pPr>
        <w:spacing w:before="480" w:after="120"/>
        <w:jc w:val="center"/>
        <w:rPr>
          <w:b/>
          <w:bCs/>
          <w:lang w:val="es-ES_tradnl"/>
        </w:rPr>
      </w:pPr>
      <w:r w:rsidRPr="00AD15F5">
        <w:rPr>
          <w:b/>
          <w:bCs/>
          <w:lang w:val="es-ES_tradnl"/>
        </w:rPr>
        <w:t>Elementos y criterios técnicos utilizados en la elaboración del Plan</w:t>
      </w:r>
      <w:r w:rsidRPr="00AD15F5">
        <w:rPr>
          <w:b/>
          <w:bCs/>
          <w:lang w:val="es-ES_tradnl"/>
        </w:rPr>
        <w:br/>
        <w:t>y la aplicación del Acuerdo</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tblGrid>
      <w:tr w:rsidR="000D578A" w:rsidRPr="00392D88" w:rsidTr="009B57EE">
        <w:trPr>
          <w:trHeight w:val="20"/>
        </w:trPr>
        <w:tc>
          <w:tcPr>
            <w:tcW w:w="1951" w:type="dxa"/>
          </w:tcPr>
          <w:p w:rsidR="000D578A" w:rsidRPr="00392D88" w:rsidRDefault="000D578A" w:rsidP="00392D88">
            <w:pPr>
              <w:spacing w:before="60"/>
              <w:jc w:val="left"/>
              <w:rPr>
                <w:rFonts w:ascii="Calibri" w:hAnsi="Calibri" w:cs="Calibri"/>
                <w:b/>
                <w:bCs/>
                <w:szCs w:val="24"/>
                <w:lang w:val="es-ES_tradnl" w:eastAsia="zh-CN"/>
              </w:rPr>
            </w:pPr>
            <w:r w:rsidRPr="00392D88">
              <w:rPr>
                <w:rFonts w:ascii="Calibri" w:hAnsi="Calibri" w:cs="Calibri"/>
                <w:b/>
                <w:bCs/>
                <w:szCs w:val="24"/>
                <w:lang w:val="es-ES_tradnl" w:eastAsia="zh-CN"/>
              </w:rPr>
              <w:t>Apéndice 2.1</w:t>
            </w:r>
            <w:r>
              <w:rPr>
                <w:rFonts w:ascii="Calibri" w:hAnsi="Calibri" w:cs="Calibri"/>
                <w:b/>
                <w:bCs/>
                <w:szCs w:val="24"/>
                <w:lang w:val="es-ES_tradnl" w:eastAsia="zh-CN"/>
              </w:rPr>
              <w:br/>
            </w:r>
            <w:r w:rsidRPr="00392D88">
              <w:rPr>
                <w:rFonts w:ascii="Calibri" w:hAnsi="Calibri" w:cs="Calibri"/>
                <w:b/>
                <w:bCs/>
                <w:szCs w:val="24"/>
                <w:lang w:val="es-ES_tradnl" w:eastAsia="zh-CN"/>
              </w:rPr>
              <w:t>Sección A2.1.8.1</w:t>
            </w:r>
          </w:p>
        </w:tc>
      </w:tr>
    </w:tbl>
    <w:p w:rsidR="000D578A" w:rsidRPr="00392D88" w:rsidRDefault="000D578A" w:rsidP="008E774A">
      <w:pPr>
        <w:pStyle w:val="Proposal"/>
        <w:rPr>
          <w:b/>
          <w:bCs/>
          <w:sz w:val="24"/>
          <w:szCs w:val="24"/>
          <w:lang w:val="es-ES_tradnl"/>
        </w:rPr>
      </w:pPr>
      <w:r w:rsidRPr="00392D88">
        <w:rPr>
          <w:b/>
          <w:bCs/>
          <w:sz w:val="24"/>
          <w:szCs w:val="24"/>
          <w:lang w:val="es-ES_tradnl"/>
        </w:rPr>
        <w:t>ADD</w:t>
      </w:r>
    </w:p>
    <w:p w:rsidR="000D578A" w:rsidRPr="00AD15F5" w:rsidRDefault="000D578A" w:rsidP="00D769F6">
      <w:pPr>
        <w:jc w:val="left"/>
        <w:rPr>
          <w:lang w:val="es-ES_tradnl"/>
        </w:rPr>
      </w:pPr>
      <w:r w:rsidRPr="00AD15F5">
        <w:rPr>
          <w:lang w:val="es-ES_tradnl"/>
        </w:rPr>
        <w:t xml:space="preserve">Esta Sección se refiere al factor de interpolación de trayecto mixto </w:t>
      </w:r>
      <w:r w:rsidRPr="00AD15F5">
        <w:rPr>
          <w:i/>
          <w:iCs/>
          <w:lang w:val="es-ES_tradnl"/>
        </w:rPr>
        <w:t>A</w:t>
      </w:r>
      <w:r w:rsidRPr="00AD15F5">
        <w:rPr>
          <w:lang w:val="es-ES_tradnl"/>
        </w:rPr>
        <w:t xml:space="preserve"> utilizado para calcular la intensidad de campo en zonas de propagación múltiple con cruce de trayectos. El factor de interpolación </w:t>
      </w:r>
      <w:r w:rsidRPr="00AD15F5">
        <w:rPr>
          <w:i/>
          <w:iCs/>
          <w:lang w:val="es-ES_tradnl"/>
        </w:rPr>
        <w:t>A</w:t>
      </w:r>
      <w:r w:rsidRPr="00AD15F5">
        <w:rPr>
          <w:lang w:val="es-ES_tradnl"/>
        </w:rPr>
        <w:t xml:space="preserve"> es función del factor de interpolación básico </w:t>
      </w:r>
      <w:r w:rsidRPr="00AD15F5">
        <w:rPr>
          <w:i/>
          <w:iCs/>
          <w:lang w:val="es-ES_tradnl"/>
        </w:rPr>
        <w:t>A</w:t>
      </w:r>
      <w:r w:rsidRPr="00AD15F5">
        <w:rPr>
          <w:rFonts w:eastAsia="SimSun"/>
          <w:i/>
          <w:iCs/>
          <w:szCs w:val="24"/>
          <w:vertAlign w:val="subscript"/>
          <w:lang w:val="es-ES_tradnl" w:eastAsia="zh-CN"/>
        </w:rPr>
        <w:t>0</w:t>
      </w:r>
      <w:r w:rsidRPr="00AD15F5">
        <w:rPr>
          <w:lang w:val="es-ES_tradnl"/>
        </w:rPr>
        <w:t xml:space="preserve"> cuyo valor se determina a partir de la curva de la Figura A.2.1-2. Ello puede dar lugar a diferentes interpretaciones de los valores de </w:t>
      </w:r>
      <w:r w:rsidRPr="00AD15F5">
        <w:rPr>
          <w:i/>
          <w:iCs/>
          <w:lang w:val="es-ES_tradnl"/>
        </w:rPr>
        <w:t>A</w:t>
      </w:r>
      <w:r w:rsidRPr="00AD15F5">
        <w:rPr>
          <w:rFonts w:eastAsia="SimSun"/>
          <w:i/>
          <w:iCs/>
          <w:szCs w:val="24"/>
          <w:vertAlign w:val="subscript"/>
          <w:lang w:val="es-ES_tradnl" w:eastAsia="zh-CN"/>
        </w:rPr>
        <w:t>0</w:t>
      </w:r>
      <w:r w:rsidRPr="00AD15F5">
        <w:rPr>
          <w:lang w:val="es-ES_tradnl"/>
        </w:rPr>
        <w:t>. Esta situación podría desembocar en distintos valores de intensidad de campo calculados para zonas de propagación múltiple con cruce de trayectos y, por tanto, listas diferentes de administraciones potencialmente afectadas por las modificaciones propuestas a los Planes. Por consiguiente, la Junta lleg</w:t>
      </w:r>
      <w:r>
        <w:rPr>
          <w:lang w:val="es-ES_tradnl"/>
        </w:rPr>
        <w:t>ó</w:t>
      </w:r>
      <w:r w:rsidRPr="00AD15F5">
        <w:rPr>
          <w:lang w:val="es-ES_tradnl"/>
        </w:rPr>
        <w:t xml:space="preserve"> a la conclusión de que el factor de interpolación básico </w:t>
      </w:r>
      <w:r w:rsidRPr="00AD15F5">
        <w:rPr>
          <w:rFonts w:eastAsia="SimSun"/>
          <w:i/>
          <w:iCs/>
          <w:szCs w:val="24"/>
          <w:lang w:val="es-ES_tradnl" w:eastAsia="zh-CN"/>
        </w:rPr>
        <w:t>A</w:t>
      </w:r>
      <w:r w:rsidRPr="00AD15F5">
        <w:rPr>
          <w:rFonts w:eastAsia="SimSun"/>
          <w:i/>
          <w:iCs/>
          <w:szCs w:val="24"/>
          <w:vertAlign w:val="subscript"/>
          <w:lang w:val="es-ES_tradnl" w:eastAsia="zh-CN"/>
        </w:rPr>
        <w:t xml:space="preserve">0 </w:t>
      </w:r>
      <w:r w:rsidRPr="00AD15F5">
        <w:rPr>
          <w:rFonts w:eastAsia="SimSun"/>
          <w:i/>
          <w:iCs/>
          <w:szCs w:val="24"/>
          <w:lang w:val="es-ES_tradnl" w:eastAsia="zh-CN"/>
        </w:rPr>
        <w:t>(</w:t>
      </w:r>
      <w:proofErr w:type="spellStart"/>
      <w:r w:rsidRPr="00AD15F5">
        <w:rPr>
          <w:rFonts w:eastAsia="SimSun"/>
          <w:i/>
          <w:iCs/>
          <w:szCs w:val="24"/>
          <w:lang w:val="es-ES_tradnl" w:eastAsia="zh-CN"/>
        </w:rPr>
        <w:t>F</w:t>
      </w:r>
      <w:r w:rsidRPr="00AD15F5">
        <w:rPr>
          <w:rFonts w:eastAsia="SimSun"/>
          <w:i/>
          <w:iCs/>
          <w:szCs w:val="24"/>
          <w:vertAlign w:val="subscript"/>
          <w:lang w:val="es-ES_tradnl" w:eastAsia="zh-CN"/>
        </w:rPr>
        <w:t>s</w:t>
      </w:r>
      <w:proofErr w:type="spellEnd"/>
      <w:r w:rsidRPr="00AD15F5">
        <w:rPr>
          <w:rFonts w:eastAsia="SimSun"/>
          <w:i/>
          <w:iCs/>
          <w:szCs w:val="24"/>
          <w:lang w:val="es-ES_tradnl" w:eastAsia="zh-CN"/>
        </w:rPr>
        <w:t>)</w:t>
      </w:r>
      <w:r w:rsidRPr="00AD15F5">
        <w:rPr>
          <w:lang w:val="es-ES_tradnl"/>
        </w:rPr>
        <w:t xml:space="preserve"> indicado en la Figura A.2.1-2 deberá calcularse empleando la siguiente formula:</w:t>
      </w:r>
    </w:p>
    <w:p w:rsidR="000D578A" w:rsidRPr="00AD15F5" w:rsidRDefault="000D578A" w:rsidP="00900579">
      <w:pPr>
        <w:jc w:val="center"/>
        <w:rPr>
          <w:lang w:val="es-ES_tradnl"/>
        </w:rPr>
      </w:pPr>
      <w:r w:rsidRPr="00AD15F5">
        <w:rPr>
          <w:position w:val="-12"/>
          <w:szCs w:val="20"/>
          <w:lang w:val="es-ES_tradnl"/>
        </w:rPr>
        <w:object w:dxaOrig="2220" w:dyaOrig="405">
          <v:shape id="_x0000_i1026" type="#_x0000_t75" style="width:110.8pt;height:20.05pt" o:ole="">
            <v:imagedata r:id="rId12" o:title=""/>
          </v:shape>
          <o:OLEObject Type="Embed" ProgID="Equation.3" ShapeID="_x0000_i1026" DrawAspect="Content" ObjectID="_1440918137" r:id="rId13"/>
        </w:object>
      </w:r>
    </w:p>
    <w:p w:rsidR="000D578A" w:rsidRPr="00AD15F5" w:rsidRDefault="000D578A" w:rsidP="00D769F6">
      <w:pPr>
        <w:jc w:val="left"/>
        <w:rPr>
          <w:lang w:val="es-ES_tradnl"/>
        </w:rPr>
      </w:pPr>
      <w:r w:rsidRPr="00AD15F5">
        <w:rPr>
          <w:lang w:val="es-ES_tradnl"/>
        </w:rPr>
        <w:lastRenderedPageBreak/>
        <w:t>La aplicación de esta fórmula es coherente con el método adoptado por la CRR-06, recomenda</w:t>
      </w:r>
      <w:r>
        <w:rPr>
          <w:lang w:val="es-ES_tradnl"/>
        </w:rPr>
        <w:t>do en la Recomendación UIT-R P.</w:t>
      </w:r>
      <w:r w:rsidRPr="00AD15F5">
        <w:rPr>
          <w:lang w:val="es-ES_tradnl"/>
        </w:rPr>
        <w:t xml:space="preserve">1546 y actualmente utilizado por la Oficina en la aplicación </w:t>
      </w:r>
      <w:r>
        <w:rPr>
          <w:lang w:val="es-ES_tradnl"/>
        </w:rPr>
        <w:t>d</w:t>
      </w:r>
      <w:r w:rsidRPr="00AD15F5">
        <w:rPr>
          <w:lang w:val="es-ES_tradnl"/>
        </w:rPr>
        <w:t>el Acuerdo GE06.</w:t>
      </w:r>
    </w:p>
    <w:p w:rsidR="000D578A" w:rsidRPr="00AD15F5" w:rsidRDefault="000D578A" w:rsidP="00D769F6">
      <w:pPr>
        <w:jc w:val="left"/>
        <w:rPr>
          <w:i/>
          <w:iCs/>
          <w:lang w:val="es-ES_tradnl"/>
        </w:rPr>
      </w:pPr>
      <w:r w:rsidRPr="00AD15F5">
        <w:rPr>
          <w:b/>
          <w:bCs/>
          <w:i/>
          <w:iCs/>
          <w:lang w:val="es-ES_tradnl"/>
        </w:rPr>
        <w:t>Motivos</w:t>
      </w:r>
      <w:r w:rsidRPr="00AD15F5">
        <w:rPr>
          <w:i/>
          <w:iCs/>
          <w:lang w:val="es-ES_tradnl"/>
        </w:rPr>
        <w:t xml:space="preserve">: aclarar cómo se determinó el factor de interpolación básico </w:t>
      </w:r>
      <w:r w:rsidRPr="00AD15F5">
        <w:rPr>
          <w:rFonts w:eastAsia="SimSun"/>
          <w:i/>
          <w:iCs/>
          <w:szCs w:val="24"/>
          <w:lang w:val="es-ES_tradnl" w:eastAsia="zh-CN"/>
        </w:rPr>
        <w:t>A</w:t>
      </w:r>
      <w:r w:rsidRPr="00AD15F5">
        <w:rPr>
          <w:rFonts w:eastAsia="SimSun"/>
          <w:i/>
          <w:iCs/>
          <w:szCs w:val="24"/>
          <w:vertAlign w:val="subscript"/>
          <w:lang w:val="es-ES_tradnl" w:eastAsia="zh-CN"/>
        </w:rPr>
        <w:t xml:space="preserve">0 </w:t>
      </w:r>
      <w:r w:rsidRPr="00AD15F5">
        <w:rPr>
          <w:rFonts w:eastAsia="SimSun"/>
          <w:i/>
          <w:iCs/>
          <w:szCs w:val="24"/>
          <w:lang w:val="es-ES_tradnl" w:eastAsia="zh-CN"/>
        </w:rPr>
        <w:t>(</w:t>
      </w:r>
      <w:proofErr w:type="spellStart"/>
      <w:r w:rsidRPr="00AD15F5">
        <w:rPr>
          <w:rFonts w:eastAsia="SimSun"/>
          <w:i/>
          <w:iCs/>
          <w:szCs w:val="24"/>
          <w:lang w:val="es-ES_tradnl" w:eastAsia="zh-CN"/>
        </w:rPr>
        <w:t>F</w:t>
      </w:r>
      <w:r w:rsidRPr="00AD15F5">
        <w:rPr>
          <w:rFonts w:eastAsia="SimSun"/>
          <w:i/>
          <w:iCs/>
          <w:szCs w:val="24"/>
          <w:vertAlign w:val="subscript"/>
          <w:lang w:val="es-ES_tradnl" w:eastAsia="zh-CN"/>
        </w:rPr>
        <w:t>s</w:t>
      </w:r>
      <w:proofErr w:type="spellEnd"/>
      <w:r w:rsidRPr="00AD15F5">
        <w:rPr>
          <w:rFonts w:eastAsia="SimSun"/>
          <w:i/>
          <w:iCs/>
          <w:szCs w:val="24"/>
          <w:lang w:val="es-ES_tradnl" w:eastAsia="zh-CN"/>
        </w:rPr>
        <w:t>)</w:t>
      </w:r>
      <w:r w:rsidRPr="00AD15F5">
        <w:rPr>
          <w:i/>
          <w:iCs/>
          <w:lang w:val="es-ES_tradnl"/>
        </w:rPr>
        <w:t xml:space="preserve"> durante la CRR-06 que ahora se emplea en la aplicación del Acuerdo GE06.</w:t>
      </w:r>
    </w:p>
    <w:p w:rsidR="000D578A" w:rsidRPr="00AD15F5" w:rsidRDefault="000D578A" w:rsidP="00D769F6">
      <w:pPr>
        <w:spacing w:after="240"/>
        <w:jc w:val="left"/>
        <w:rPr>
          <w:i/>
          <w:iCs/>
          <w:lang w:val="es-ES_tradnl"/>
        </w:rPr>
      </w:pPr>
      <w:r w:rsidRPr="00AD15F5">
        <w:rPr>
          <w:i/>
          <w:iCs/>
          <w:lang w:val="es-ES_tradnl"/>
        </w:rPr>
        <w:t xml:space="preserve">El punto A.2.1.8.1 especifica la forma de evaluar el factor de interpolación de trayecto mixto A utilizado para calcular la intensidad de campo en las zonas de propagación múltiple con cruce de trayectos. El método se basa en la determinación del factor de interpolación básico </w:t>
      </w:r>
      <w:r w:rsidRPr="00AD15F5">
        <w:rPr>
          <w:rFonts w:eastAsia="SimSun"/>
          <w:i/>
          <w:iCs/>
          <w:szCs w:val="24"/>
          <w:lang w:val="es-ES_tradnl" w:eastAsia="zh-CN"/>
        </w:rPr>
        <w:t>A</w:t>
      </w:r>
      <w:r w:rsidRPr="00AD15F5">
        <w:rPr>
          <w:rFonts w:eastAsia="SimSun"/>
          <w:i/>
          <w:iCs/>
          <w:szCs w:val="24"/>
          <w:vertAlign w:val="subscript"/>
          <w:lang w:val="es-ES_tradnl" w:eastAsia="zh-CN"/>
        </w:rPr>
        <w:t xml:space="preserve">0 </w:t>
      </w:r>
      <w:r w:rsidRPr="00AD15F5">
        <w:rPr>
          <w:rFonts w:eastAsia="SimSun"/>
          <w:i/>
          <w:iCs/>
          <w:szCs w:val="24"/>
          <w:lang w:val="es-ES_tradnl" w:eastAsia="zh-CN"/>
        </w:rPr>
        <w:t>(</w:t>
      </w:r>
      <w:proofErr w:type="spellStart"/>
      <w:r w:rsidRPr="00AD15F5">
        <w:rPr>
          <w:rFonts w:eastAsia="SimSun"/>
          <w:i/>
          <w:iCs/>
          <w:szCs w:val="24"/>
          <w:lang w:val="es-ES_tradnl" w:eastAsia="zh-CN"/>
        </w:rPr>
        <w:t>F</w:t>
      </w:r>
      <w:r w:rsidRPr="00AD15F5">
        <w:rPr>
          <w:rFonts w:eastAsia="SimSun"/>
          <w:i/>
          <w:iCs/>
          <w:szCs w:val="24"/>
          <w:vertAlign w:val="subscript"/>
          <w:lang w:val="es-ES_tradnl" w:eastAsia="zh-CN"/>
        </w:rPr>
        <w:t>s</w:t>
      </w:r>
      <w:proofErr w:type="spellEnd"/>
      <w:r w:rsidRPr="00AD15F5">
        <w:rPr>
          <w:rFonts w:eastAsia="SimSun"/>
          <w:i/>
          <w:iCs/>
          <w:szCs w:val="24"/>
          <w:lang w:val="es-ES_tradnl" w:eastAsia="zh-CN"/>
        </w:rPr>
        <w:t>)</w:t>
      </w:r>
      <w:r w:rsidRPr="00AD15F5">
        <w:rPr>
          <w:i/>
          <w:iCs/>
          <w:lang w:val="es-ES_tradnl"/>
        </w:rPr>
        <w:t xml:space="preserve"> que es función de la fracción de</w:t>
      </w:r>
      <w:r>
        <w:rPr>
          <w:i/>
          <w:iCs/>
          <w:lang w:val="es-ES_tradnl"/>
        </w:rPr>
        <w:t>l</w:t>
      </w:r>
      <w:r w:rsidRPr="00AD15F5">
        <w:rPr>
          <w:i/>
          <w:iCs/>
          <w:lang w:val="es-ES_tradnl"/>
        </w:rPr>
        <w:t xml:space="preserve"> trayecto sobre el mar F</w:t>
      </w:r>
      <w:r w:rsidRPr="00AD15F5">
        <w:rPr>
          <w:rFonts w:eastAsia="SimSun"/>
          <w:i/>
          <w:iCs/>
          <w:szCs w:val="24"/>
          <w:vertAlign w:val="subscript"/>
          <w:lang w:val="es-ES_tradnl" w:eastAsia="zh-CN"/>
        </w:rPr>
        <w:t>s</w:t>
      </w:r>
      <w:r w:rsidRPr="00AD15F5">
        <w:rPr>
          <w:i/>
          <w:iCs/>
          <w:lang w:val="es-ES_tradnl"/>
        </w:rPr>
        <w:t xml:space="preserve">. Este factor de interpolación básico no aparece como una ecuación ni como valores tabulados que deben interpolarse sino que exige al usuario realizar una estimación de dicho valor utilizando la Figura A.2.1-2, lo que puede dar lugar a diferentes interpretaciones de los valores de </w:t>
      </w:r>
      <w:r w:rsidRPr="00AD15F5">
        <w:rPr>
          <w:rFonts w:eastAsia="SimSun"/>
          <w:i/>
          <w:iCs/>
          <w:szCs w:val="24"/>
          <w:lang w:val="es-ES_tradnl" w:eastAsia="zh-CN"/>
        </w:rPr>
        <w:t>A</w:t>
      </w:r>
      <w:r w:rsidRPr="00AD15F5">
        <w:rPr>
          <w:rFonts w:eastAsia="SimSun"/>
          <w:i/>
          <w:iCs/>
          <w:szCs w:val="24"/>
          <w:vertAlign w:val="subscript"/>
          <w:lang w:val="es-ES_tradnl" w:eastAsia="zh-CN"/>
        </w:rPr>
        <w:t xml:space="preserve">0 </w:t>
      </w:r>
      <w:r w:rsidRPr="00AD15F5">
        <w:rPr>
          <w:rFonts w:eastAsia="SimSun"/>
          <w:i/>
          <w:iCs/>
          <w:szCs w:val="24"/>
          <w:lang w:val="es-ES_tradnl" w:eastAsia="zh-CN"/>
        </w:rPr>
        <w:t>(</w:t>
      </w:r>
      <w:proofErr w:type="spellStart"/>
      <w:r w:rsidRPr="00AD15F5">
        <w:rPr>
          <w:rFonts w:eastAsia="SimSun"/>
          <w:i/>
          <w:iCs/>
          <w:szCs w:val="24"/>
          <w:lang w:val="es-ES_tradnl" w:eastAsia="zh-CN"/>
        </w:rPr>
        <w:t>F</w:t>
      </w:r>
      <w:r w:rsidRPr="00AD15F5">
        <w:rPr>
          <w:rFonts w:eastAsia="SimSun"/>
          <w:i/>
          <w:iCs/>
          <w:szCs w:val="24"/>
          <w:vertAlign w:val="subscript"/>
          <w:lang w:val="es-ES_tradnl" w:eastAsia="zh-CN"/>
        </w:rPr>
        <w:t>s</w:t>
      </w:r>
      <w:proofErr w:type="spellEnd"/>
      <w:r w:rsidRPr="00AD15F5">
        <w:rPr>
          <w:rFonts w:eastAsia="SimSun"/>
          <w:i/>
          <w:iCs/>
          <w:szCs w:val="24"/>
          <w:lang w:val="es-ES_tradnl" w:eastAsia="zh-CN"/>
        </w:rPr>
        <w:t>)</w:t>
      </w:r>
      <w:r w:rsidRPr="00AD15F5">
        <w:rPr>
          <w:i/>
          <w:iCs/>
          <w:lang w:val="es-ES_tradnl"/>
        </w:rPr>
        <w:t>.</w:t>
      </w:r>
    </w:p>
    <w:p w:rsidR="000D578A" w:rsidRPr="00AD15F5" w:rsidRDefault="000D578A" w:rsidP="00AA5FA9">
      <w:pPr>
        <w:tabs>
          <w:tab w:val="clear" w:pos="794"/>
          <w:tab w:val="clear" w:pos="1191"/>
          <w:tab w:val="clear" w:pos="1588"/>
          <w:tab w:val="clear" w:pos="1985"/>
          <w:tab w:val="right" w:pos="1871"/>
          <w:tab w:val="left" w:pos="2041"/>
        </w:tabs>
        <w:spacing w:before="360" w:line="240" w:lineRule="auto"/>
        <w:ind w:left="2041" w:hanging="2041"/>
        <w:jc w:val="center"/>
        <w:textAlignment w:val="auto"/>
        <w:rPr>
          <w:szCs w:val="20"/>
          <w:lang w:val="es-ES_tradnl"/>
        </w:rPr>
      </w:pPr>
      <w:r w:rsidRPr="00AD15F5">
        <w:rPr>
          <w:szCs w:val="20"/>
          <w:lang w:val="es-ES_tradnl"/>
        </w:rPr>
        <w:object w:dxaOrig="6282" w:dyaOrig="7673">
          <v:shape id="_x0000_i1027" type="#_x0000_t75" style="width:314.3pt;height:385.05pt" o:ole="">
            <v:imagedata r:id="rId14" o:title=""/>
          </v:shape>
          <o:OLEObject Type="Embed" ProgID="CorelDRAW.Graphic.14" ShapeID="_x0000_i1027" DrawAspect="Content" ObjectID="_1440918138" r:id="rId15"/>
        </w:object>
      </w:r>
    </w:p>
    <w:p w:rsidR="000D578A" w:rsidRPr="00AD15F5" w:rsidRDefault="000D578A" w:rsidP="00202089">
      <w:pPr>
        <w:jc w:val="left"/>
        <w:rPr>
          <w:rFonts w:eastAsia="SimSun"/>
          <w:i/>
          <w:iCs/>
          <w:lang w:val="es-ES_tradnl" w:eastAsia="zh-CN"/>
        </w:rPr>
      </w:pPr>
      <w:r w:rsidRPr="00AD15F5">
        <w:rPr>
          <w:rFonts w:eastAsia="SimSun"/>
          <w:i/>
          <w:iCs/>
          <w:lang w:val="es-ES_tradnl" w:eastAsia="zh-CN"/>
        </w:rPr>
        <w:t>El cambio propuesto es coherente con las últimas versiones de la Recomendación UIT-R P.1546.</w:t>
      </w:r>
    </w:p>
    <w:p w:rsidR="000D578A" w:rsidRPr="00AD15F5" w:rsidRDefault="000D578A" w:rsidP="00202089">
      <w:pPr>
        <w:jc w:val="left"/>
        <w:rPr>
          <w:rFonts w:eastAsia="SimSun"/>
          <w:i/>
          <w:iCs/>
          <w:lang w:val="es-ES_tradnl" w:eastAsia="zh-CN"/>
        </w:rPr>
      </w:pPr>
      <w:r w:rsidRPr="00AD15F5">
        <w:rPr>
          <w:rFonts w:eastAsia="SimSun"/>
          <w:bCs/>
          <w:i/>
          <w:iCs/>
          <w:lang w:val="es-ES_tradnl" w:eastAsia="zh-CN"/>
        </w:rPr>
        <w:t>Fecha efectiva de aplicación de esta Regla: inmediatamente después de su aprobación.</w:t>
      </w:r>
    </w:p>
    <w:p w:rsidR="000D578A" w:rsidRPr="00AD15F5" w:rsidRDefault="000D578A" w:rsidP="0032202E">
      <w:pPr>
        <w:pStyle w:val="Reasons"/>
        <w:rPr>
          <w:lang w:val="es-ES_tradnl"/>
        </w:rPr>
      </w:pPr>
    </w:p>
    <w:p w:rsidR="005C5C2C" w:rsidRPr="00E46867" w:rsidRDefault="000D578A" w:rsidP="00D10C84">
      <w:pPr>
        <w:jc w:val="center"/>
        <w:rPr>
          <w:lang w:val="es-ES_tradnl"/>
        </w:rPr>
      </w:pPr>
      <w:r w:rsidRPr="00AD15F5">
        <w:rPr>
          <w:lang w:val="es-ES_tradnl"/>
        </w:rPr>
        <w:t>______________</w:t>
      </w:r>
    </w:p>
    <w:sectPr w:rsidR="005C5C2C" w:rsidRPr="00E46867"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44" w:rsidRDefault="00FD3544">
      <w:r>
        <w:separator/>
      </w:r>
    </w:p>
  </w:endnote>
  <w:endnote w:type="continuationSeparator" w:id="0">
    <w:p w:rsidR="00FD3544" w:rsidRDefault="00F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44" w:rsidRDefault="00FD3544">
      <w:r>
        <w:t>____________________</w:t>
      </w:r>
    </w:p>
  </w:footnote>
  <w:footnote w:type="continuationSeparator" w:id="0">
    <w:p w:rsidR="00FD3544" w:rsidRDefault="00FD3544">
      <w:r>
        <w:continuationSeparator/>
      </w:r>
    </w:p>
  </w:footnote>
  <w:footnote w:id="1">
    <w:p w:rsidR="000D578A" w:rsidRPr="0096197F" w:rsidRDefault="000D578A" w:rsidP="00D769F6">
      <w:pPr>
        <w:pStyle w:val="FootnoteText"/>
        <w:jc w:val="left"/>
        <w:rPr>
          <w:sz w:val="24"/>
          <w:szCs w:val="24"/>
          <w:lang w:val="es-ES_tradnl"/>
        </w:rPr>
      </w:pPr>
      <w:r w:rsidRPr="0096197F">
        <w:rPr>
          <w:rStyle w:val="FootnoteReference"/>
          <w:position w:val="0"/>
          <w:sz w:val="24"/>
          <w:szCs w:val="24"/>
          <w:vertAlign w:val="superscript"/>
        </w:rPr>
        <w:footnoteRef/>
      </w:r>
      <w:r w:rsidRPr="0096197F">
        <w:rPr>
          <w:sz w:val="24"/>
          <w:szCs w:val="24"/>
          <w:lang w:val="es-ES_tradnl"/>
        </w:rPr>
        <w:tab/>
        <w:t>La zona de servicio se cubre regularmente por una retícula de puntos de manera que la distancia media entre puntos se fija a un valor proporcional al tamaño de la zona, con un máximo de 600 km y un mínimo de 100 km. Para garantizar una buena cobertura de zonas con forma irregular, también se añaden puntos en el borde de la zona de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39888165"/>
      <w:docPartObj>
        <w:docPartGallery w:val="Page Numbers (Top of Page)"/>
        <w:docPartUnique/>
      </w:docPartObj>
    </w:sdtPr>
    <w:sdtEndPr>
      <w:rPr>
        <w:noProof/>
      </w:rPr>
    </w:sdtEndPr>
    <w:sdtContent>
      <w:p w:rsidR="00E915AF" w:rsidRPr="00E46867" w:rsidRDefault="00E46867" w:rsidP="00E46867">
        <w:pPr>
          <w:pStyle w:val="Header"/>
          <w:jc w:val="center"/>
          <w:rPr>
            <w:sz w:val="18"/>
            <w:szCs w:val="18"/>
          </w:rPr>
        </w:pPr>
        <w:r w:rsidRPr="00E46867">
          <w:rPr>
            <w:sz w:val="18"/>
            <w:szCs w:val="18"/>
          </w:rPr>
          <w:fldChar w:fldCharType="begin"/>
        </w:r>
        <w:r w:rsidRPr="00E46867">
          <w:rPr>
            <w:sz w:val="18"/>
            <w:szCs w:val="18"/>
          </w:rPr>
          <w:instrText xml:space="preserve"> PAGE   \* MERGEFORMAT </w:instrText>
        </w:r>
        <w:r w:rsidRPr="00E46867">
          <w:rPr>
            <w:sz w:val="18"/>
            <w:szCs w:val="18"/>
          </w:rPr>
          <w:fldChar w:fldCharType="separate"/>
        </w:r>
        <w:r w:rsidR="00D958DA">
          <w:rPr>
            <w:noProof/>
            <w:sz w:val="18"/>
            <w:szCs w:val="18"/>
          </w:rPr>
          <w:t>8</w:t>
        </w:r>
        <w:r w:rsidRPr="00E4686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19018534"/>
      <w:docPartObj>
        <w:docPartGallery w:val="Page Numbers (Top of Page)"/>
        <w:docPartUnique/>
      </w:docPartObj>
    </w:sdtPr>
    <w:sdtEndPr>
      <w:rPr>
        <w:noProof/>
      </w:rPr>
    </w:sdtEndPr>
    <w:sdtContent>
      <w:p w:rsidR="00E915AF" w:rsidRPr="00E46867" w:rsidRDefault="00E46867" w:rsidP="00E46867">
        <w:pPr>
          <w:pStyle w:val="Header"/>
          <w:jc w:val="center"/>
          <w:rPr>
            <w:sz w:val="18"/>
            <w:szCs w:val="18"/>
          </w:rPr>
        </w:pPr>
        <w:r w:rsidRPr="00E46867">
          <w:rPr>
            <w:sz w:val="18"/>
            <w:szCs w:val="18"/>
          </w:rPr>
          <w:fldChar w:fldCharType="begin"/>
        </w:r>
        <w:r w:rsidRPr="00E46867">
          <w:rPr>
            <w:sz w:val="18"/>
            <w:szCs w:val="18"/>
          </w:rPr>
          <w:instrText xml:space="preserve"> PAGE   \* MERGEFORMAT </w:instrText>
        </w:r>
        <w:r w:rsidRPr="00E46867">
          <w:rPr>
            <w:sz w:val="18"/>
            <w:szCs w:val="18"/>
          </w:rPr>
          <w:fldChar w:fldCharType="separate"/>
        </w:r>
        <w:r w:rsidR="00D958DA">
          <w:rPr>
            <w:noProof/>
            <w:sz w:val="18"/>
            <w:szCs w:val="18"/>
          </w:rPr>
          <w:t>9</w:t>
        </w:r>
        <w:r w:rsidRPr="00E4686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5C2C"/>
    <w:rsid w:val="00006A31"/>
    <w:rsid w:val="00006C82"/>
    <w:rsid w:val="00010E30"/>
    <w:rsid w:val="00015C76"/>
    <w:rsid w:val="00025043"/>
    <w:rsid w:val="00026CF8"/>
    <w:rsid w:val="00030BD7"/>
    <w:rsid w:val="00031E64"/>
    <w:rsid w:val="00034340"/>
    <w:rsid w:val="00035CB3"/>
    <w:rsid w:val="00045A8D"/>
    <w:rsid w:val="0005167A"/>
    <w:rsid w:val="00054E5D"/>
    <w:rsid w:val="000608FB"/>
    <w:rsid w:val="00070258"/>
    <w:rsid w:val="0007323C"/>
    <w:rsid w:val="00086D03"/>
    <w:rsid w:val="000A096A"/>
    <w:rsid w:val="000A375E"/>
    <w:rsid w:val="000A7051"/>
    <w:rsid w:val="000B0432"/>
    <w:rsid w:val="000B0AF6"/>
    <w:rsid w:val="000B0E9B"/>
    <w:rsid w:val="000B2CAE"/>
    <w:rsid w:val="000C03C7"/>
    <w:rsid w:val="000C2AD0"/>
    <w:rsid w:val="000D578A"/>
    <w:rsid w:val="000E3DEE"/>
    <w:rsid w:val="00100B72"/>
    <w:rsid w:val="00101F7D"/>
    <w:rsid w:val="001034FA"/>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C701C"/>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2F7600"/>
    <w:rsid w:val="00316935"/>
    <w:rsid w:val="0032521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484"/>
    <w:rsid w:val="003D4A69"/>
    <w:rsid w:val="003E504F"/>
    <w:rsid w:val="003E706A"/>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5C2C"/>
    <w:rsid w:val="005D3669"/>
    <w:rsid w:val="005E5EB3"/>
    <w:rsid w:val="005F3CB6"/>
    <w:rsid w:val="005F657C"/>
    <w:rsid w:val="00602D53"/>
    <w:rsid w:val="006047E5"/>
    <w:rsid w:val="0064371D"/>
    <w:rsid w:val="00650543"/>
    <w:rsid w:val="00650B2A"/>
    <w:rsid w:val="00651777"/>
    <w:rsid w:val="006550F8"/>
    <w:rsid w:val="006829F3"/>
    <w:rsid w:val="0069024A"/>
    <w:rsid w:val="006A518B"/>
    <w:rsid w:val="006A6864"/>
    <w:rsid w:val="006B0590"/>
    <w:rsid w:val="006B49DA"/>
    <w:rsid w:val="006C53F8"/>
    <w:rsid w:val="006C7CDE"/>
    <w:rsid w:val="007234B1"/>
    <w:rsid w:val="00723D08"/>
    <w:rsid w:val="00725FDA"/>
    <w:rsid w:val="00727816"/>
    <w:rsid w:val="00730B9A"/>
    <w:rsid w:val="00750CFA"/>
    <w:rsid w:val="007553DA"/>
    <w:rsid w:val="00766841"/>
    <w:rsid w:val="00775DB8"/>
    <w:rsid w:val="00782354"/>
    <w:rsid w:val="0079209C"/>
    <w:rsid w:val="007921A7"/>
    <w:rsid w:val="007B1382"/>
    <w:rsid w:val="007B3DB1"/>
    <w:rsid w:val="007B5333"/>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DA4"/>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7CD"/>
    <w:rsid w:val="0098013E"/>
    <w:rsid w:val="00981B54"/>
    <w:rsid w:val="009842C3"/>
    <w:rsid w:val="00995EBA"/>
    <w:rsid w:val="009A009A"/>
    <w:rsid w:val="009A2483"/>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A5FA9"/>
    <w:rsid w:val="00AC0C22"/>
    <w:rsid w:val="00AC3896"/>
    <w:rsid w:val="00AC7B64"/>
    <w:rsid w:val="00AD2CF2"/>
    <w:rsid w:val="00AE2D88"/>
    <w:rsid w:val="00AE6F6F"/>
    <w:rsid w:val="00AF3325"/>
    <w:rsid w:val="00AF34D9"/>
    <w:rsid w:val="00AF70DA"/>
    <w:rsid w:val="00B019D3"/>
    <w:rsid w:val="00B23732"/>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7BD"/>
    <w:rsid w:val="00D10BA0"/>
    <w:rsid w:val="00D10C84"/>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58DA"/>
    <w:rsid w:val="00DA2FE0"/>
    <w:rsid w:val="00DA4037"/>
    <w:rsid w:val="00DE66A5"/>
    <w:rsid w:val="00DF2B50"/>
    <w:rsid w:val="00E01059"/>
    <w:rsid w:val="00E030DE"/>
    <w:rsid w:val="00E04C86"/>
    <w:rsid w:val="00E17344"/>
    <w:rsid w:val="00E20F30"/>
    <w:rsid w:val="00E2189C"/>
    <w:rsid w:val="00E25BB1"/>
    <w:rsid w:val="00E27BBA"/>
    <w:rsid w:val="00E30E3F"/>
    <w:rsid w:val="00E35E8F"/>
    <w:rsid w:val="00E428AB"/>
    <w:rsid w:val="00E438E8"/>
    <w:rsid w:val="00E453A3"/>
    <w:rsid w:val="00E46867"/>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1A67"/>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D3544"/>
    <w:rsid w:val="00FE0818"/>
    <w:rsid w:val="00FE443A"/>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0005-E567-4724-83CD-320667D0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9</Pages>
  <Words>3013</Words>
  <Characters>17180</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20153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Panoussopoulos, Sonia</cp:lastModifiedBy>
  <cp:revision>2</cp:revision>
  <cp:lastPrinted>2013-09-16T09:17:00Z</cp:lastPrinted>
  <dcterms:created xsi:type="dcterms:W3CDTF">2013-09-17T08:15:00Z</dcterms:created>
  <dcterms:modified xsi:type="dcterms:W3CDTF">2013-09-17T08:15:00Z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