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9E6F99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9745F1" w:rsidP="009745F1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766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4119BD" w:rsidP="009745F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29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9745F1">
              <w:rPr>
                <w:rFonts w:hint="cs"/>
                <w:rtl/>
                <w:lang w:bidi="ar-SY"/>
              </w:rPr>
              <w:t>فبراير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456E4A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AE1D8A">
              <w:rPr>
                <w:b/>
                <w:bCs/>
                <w:spacing w:val="8"/>
                <w:rtl/>
              </w:rPr>
              <w:t>إلى إدارات الدول الأعضاء في الاتحاد وأعضاء قطاع الاتصالات الراديوية</w:t>
            </w:r>
            <w:r w:rsidRPr="00AE1D8A">
              <w:rPr>
                <w:rFonts w:hint="cs"/>
                <w:b/>
                <w:bCs/>
                <w:spacing w:val="8"/>
                <w:rtl/>
              </w:rPr>
              <w:t xml:space="preserve"> و</w:t>
            </w:r>
            <w:r w:rsidRPr="00AE1D8A">
              <w:rPr>
                <w:b/>
                <w:bCs/>
                <w:spacing w:val="8"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9745F1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9745F1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DD2943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DD2943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62DCD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562DCD">
              <w:rPr>
                <w:rFonts w:hint="cs"/>
                <w:b/>
                <w:bCs/>
                <w:rtl/>
                <w:lang w:bidi="ar-EG"/>
              </w:rPr>
              <w:t xml:space="preserve"> (الخدمة الإذاعية)</w:t>
            </w:r>
          </w:p>
          <w:p w:rsidR="005C771D" w:rsidRPr="008D3F8E" w:rsidRDefault="005C771D" w:rsidP="00DD2943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562DCD">
              <w:rPr>
                <w:rFonts w:hint="cs"/>
                <w:b/>
                <w:bCs/>
                <w:rtl/>
                <w:lang w:bidi="ar-EG"/>
              </w:rPr>
              <w:t xml:space="preserve">اقتراح اعتماد مشروعي توصيتين جديدتين لقطاع الاتصالات الراديوية ومشروع مراجعة توصية واحدة لقطاع الاتصالات الراديوية والموافقة عليها في نفس الوقت بالمراسلة وفقاً للفقرة </w:t>
            </w:r>
            <w:r w:rsidR="00562DCD">
              <w:rPr>
                <w:b/>
                <w:bCs/>
                <w:lang w:bidi="ar-EG"/>
              </w:rPr>
              <w:t>4.2.6.A2</w:t>
            </w:r>
            <w:r w:rsidR="00562DCD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562DCD">
              <w:rPr>
                <w:b/>
                <w:bCs/>
                <w:lang w:bidi="ar-EG"/>
              </w:rPr>
              <w:t>ITU</w:t>
            </w:r>
            <w:r w:rsidR="00562DCD">
              <w:rPr>
                <w:b/>
                <w:bCs/>
                <w:lang w:bidi="ar-EG"/>
              </w:rPr>
              <w:noBreakHyphen/>
              <w:t>R 1</w:t>
            </w:r>
            <w:r w:rsidR="00562DCD">
              <w:rPr>
                <w:b/>
                <w:bCs/>
                <w:lang w:bidi="ar-EG"/>
              </w:rPr>
              <w:noBreakHyphen/>
              <w:t>7</w:t>
            </w:r>
            <w:r w:rsidR="00562DCD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 نفس الوقت عن طريق المراسلة)</w:t>
            </w:r>
          </w:p>
          <w:p w:rsidR="003403A3" w:rsidRPr="00E96F8D" w:rsidRDefault="005C771D" w:rsidP="00DD2943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="00562DCD">
              <w:rPr>
                <w:rFonts w:hint="cs"/>
                <w:b/>
                <w:bCs/>
                <w:rtl/>
                <w:lang w:bidi="ar-EG"/>
              </w:rPr>
              <w:t>اقتراح إلغاء توصية واحدة لقطاع الاتصالات الراديوية</w:t>
            </w:r>
          </w:p>
        </w:tc>
      </w:tr>
    </w:tbl>
    <w:p w:rsidR="005C771D" w:rsidRDefault="005C771D" w:rsidP="009E6F99">
      <w:pPr>
        <w:spacing w:before="600"/>
        <w:rPr>
          <w:rtl/>
        </w:rPr>
      </w:pPr>
      <w:r>
        <w:rPr>
          <w:rFonts w:hint="cs"/>
          <w:rtl/>
        </w:rPr>
        <w:t>ت</w:t>
      </w:r>
      <w:r w:rsidR="009E6F99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5C771D" w:rsidRDefault="00562DCD" w:rsidP="009E6F99">
      <w:pPr>
        <w:rPr>
          <w:rtl/>
          <w:lang w:bidi="ar-EG"/>
        </w:rPr>
      </w:pPr>
      <w:r>
        <w:rPr>
          <w:rFonts w:hint="cs"/>
          <w:rtl/>
        </w:rPr>
        <w:t>قررت ل</w:t>
      </w:r>
      <w:r w:rsidR="009E6F99">
        <w:rPr>
          <w:rFonts w:hint="cs"/>
          <w:rtl/>
        </w:rPr>
        <w:t>‍</w:t>
      </w:r>
      <w:r>
        <w:rPr>
          <w:rFonts w:hint="cs"/>
          <w:rtl/>
        </w:rPr>
        <w:t xml:space="preserve">جنة الدراسات </w:t>
      </w:r>
      <w:r>
        <w:t>6</w:t>
      </w:r>
      <w:r>
        <w:rPr>
          <w:rFonts w:hint="cs"/>
          <w:rtl/>
          <w:lang w:bidi="ar-EG"/>
        </w:rPr>
        <w:t xml:space="preserve"> للاتصالات الراديوية في اجتماعها 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منعقد يوم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أن تلتمس اعتماد مشروعي توصيتين جديدتين ومشروع مراجعة توصية واحدة لقطاع الاتصالات الراديوية عن طريق 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مراسلة (الفقرة </w:t>
      </w:r>
      <w:r>
        <w:rPr>
          <w:lang w:bidi="ar-EG"/>
        </w:rPr>
        <w:t>2.</w:t>
      </w:r>
      <w:r w:rsidR="009E6F99">
        <w:rPr>
          <w:lang w:bidi="ar-EG"/>
        </w:rPr>
        <w:t>6</w:t>
      </w:r>
      <w:r>
        <w:rPr>
          <w:lang w:bidi="ar-EG"/>
        </w:rPr>
        <w:t>.A2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ITU</w:t>
      </w:r>
      <w:r>
        <w:rPr>
          <w:lang w:bidi="ar-EG"/>
        </w:rPr>
        <w:noBreakHyphen/>
        <w:t>R 1</w:t>
      </w:r>
      <w:r>
        <w:rPr>
          <w:lang w:bidi="ar-EG"/>
        </w:rPr>
        <w:noBreakHyphen/>
        <w:t>7</w:t>
      </w:r>
      <w:r>
        <w:rPr>
          <w:rFonts w:hint="cs"/>
          <w:rtl/>
          <w:lang w:bidi="ar-EG"/>
        </w:rPr>
        <w:t>) وقررت كذلك تطبيق إجراء الاعتماد وال</w:t>
      </w:r>
      <w:r w:rsidR="00E861B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في نفس الوقت عن طريق 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مراسلة </w:t>
      </w:r>
      <w:r>
        <w:rPr>
          <w:lang w:bidi="ar-EG"/>
        </w:rPr>
        <w:t>(PSAA)</w:t>
      </w:r>
      <w:r>
        <w:rPr>
          <w:rFonts w:hint="cs"/>
          <w:rtl/>
          <w:lang w:bidi="ar-EG"/>
        </w:rPr>
        <w:t xml:space="preserve"> (الفقرة </w:t>
      </w:r>
      <w:r>
        <w:rPr>
          <w:lang w:bidi="ar-EG"/>
        </w:rPr>
        <w:t>4.2.6.A2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ITU</w:t>
      </w:r>
      <w:r>
        <w:rPr>
          <w:lang w:bidi="ar-EG"/>
        </w:rPr>
        <w:noBreakHyphen/>
        <w:t>R 1</w:t>
      </w:r>
      <w:r>
        <w:rPr>
          <w:lang w:bidi="ar-EG"/>
        </w:rPr>
        <w:noBreakHyphen/>
        <w:t>7</w:t>
      </w:r>
      <w:r>
        <w:rPr>
          <w:rFonts w:hint="cs"/>
          <w:rtl/>
          <w:lang w:bidi="ar-EG"/>
        </w:rPr>
        <w:t>). ويرد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ملحق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 w:rsidR="00D45AAA">
        <w:rPr>
          <w:rFonts w:hint="cs"/>
          <w:rtl/>
          <w:lang w:bidi="ar-EG"/>
        </w:rPr>
        <w:t xml:space="preserve"> عناوين وملخصات مشاريع التوصيات. ويرجى من أي دولة عضو تعترض على اعتماد مشروع توصية أن ت</w:t>
      </w:r>
      <w:r w:rsidR="009E6F99">
        <w:rPr>
          <w:rFonts w:hint="cs"/>
          <w:rtl/>
          <w:lang w:bidi="ar-EG"/>
        </w:rPr>
        <w:t>‍</w:t>
      </w:r>
      <w:r w:rsidR="00D45AAA">
        <w:rPr>
          <w:rFonts w:hint="cs"/>
          <w:rtl/>
          <w:lang w:bidi="ar-EG"/>
        </w:rPr>
        <w:t>خبر ال</w:t>
      </w:r>
      <w:r w:rsidR="009E6F99">
        <w:rPr>
          <w:rFonts w:hint="cs"/>
          <w:rtl/>
          <w:lang w:bidi="ar-EG"/>
        </w:rPr>
        <w:t>‍</w:t>
      </w:r>
      <w:r w:rsidR="00D45AAA">
        <w:rPr>
          <w:rFonts w:hint="cs"/>
          <w:rtl/>
          <w:lang w:bidi="ar-EG"/>
        </w:rPr>
        <w:t>مدير ورئيس ل</w:t>
      </w:r>
      <w:r w:rsidR="009E6F99">
        <w:rPr>
          <w:rFonts w:hint="cs"/>
          <w:rtl/>
          <w:lang w:bidi="ar-EG"/>
        </w:rPr>
        <w:t>‍</w:t>
      </w:r>
      <w:r w:rsidR="00D45AAA">
        <w:rPr>
          <w:rFonts w:hint="cs"/>
          <w:rtl/>
          <w:lang w:bidi="ar-EG"/>
        </w:rPr>
        <w:t>جنة الدراسات بأسباب اعتراضها.</w:t>
      </w:r>
    </w:p>
    <w:p w:rsidR="00D45AAA" w:rsidRDefault="00D45AAA" w:rsidP="004119BD">
      <w:pPr>
        <w:rPr>
          <w:rtl/>
          <w:lang w:bidi="ar-EG"/>
        </w:rPr>
      </w:pPr>
      <w:r>
        <w:rPr>
          <w:rFonts w:hint="cs"/>
          <w:rtl/>
          <w:lang w:bidi="ar-EG"/>
        </w:rPr>
        <w:t>وت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متد فترة النظر 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مدة شهرين تنتهي في </w:t>
      </w:r>
      <w:r w:rsidR="004119BD">
        <w:rPr>
          <w:u w:val="single"/>
          <w:lang w:bidi="ar-EG"/>
        </w:rPr>
        <w:t>29</w:t>
      </w:r>
      <w:r w:rsidRPr="00D45AAA">
        <w:rPr>
          <w:rFonts w:hint="cs"/>
          <w:u w:val="single"/>
          <w:rtl/>
          <w:lang w:bidi="ar-EG"/>
        </w:rPr>
        <w:t xml:space="preserve"> أبريل </w:t>
      </w:r>
      <w:r w:rsidRPr="00D45AAA">
        <w:rPr>
          <w:u w:val="single"/>
          <w:lang w:bidi="ar-EG"/>
        </w:rPr>
        <w:t>2016</w:t>
      </w:r>
      <w:r>
        <w:rPr>
          <w:rFonts w:hint="cs"/>
          <w:rtl/>
          <w:lang w:bidi="ar-EG"/>
        </w:rPr>
        <w:t>. وإذا ل</w:t>
      </w:r>
      <w:r w:rsidR="00EF217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 ترد أي اعتراضات من الدول الأعضاء خلال هذه الفترة فإن</w:t>
      </w:r>
      <w:r w:rsidR="009E6F9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مشاريع التوصيات تعتبر قد اعتمدتها 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جنة الدراسات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>. وعلاوةً على ذلك، ول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 كان قد تم اتباع إجراء الاعتماد وال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في</w:t>
      </w:r>
      <w:r w:rsidR="009E6F9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نفس الوقت عن طريق 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مراسلة، فإن مشاريع التوصيات ستعتبر أيضاً ب</w:t>
      </w:r>
      <w:r w:rsidR="00A1782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حكم ال</w:t>
      </w:r>
      <w:r w:rsidR="00A17821">
        <w:rPr>
          <w:rFonts w:hint="cs"/>
          <w:rtl/>
          <w:lang w:bidi="ar-EG"/>
        </w:rPr>
        <w:t>‍</w:t>
      </w:r>
      <w:r w:rsidR="001547FB">
        <w:rPr>
          <w:rFonts w:hint="cs"/>
          <w:rtl/>
          <w:lang w:bidi="ar-EG"/>
        </w:rPr>
        <w:t>موافَق</w:t>
      </w:r>
      <w:r>
        <w:rPr>
          <w:rFonts w:hint="cs"/>
          <w:rtl/>
          <w:lang w:bidi="ar-EG"/>
        </w:rPr>
        <w:t xml:space="preserve"> عليها.</w:t>
      </w:r>
    </w:p>
    <w:p w:rsidR="00710234" w:rsidRDefault="00710234" w:rsidP="0071023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وإضافةً إلى ذلك، اقترحت ل‍جنة الدراسات إلغاء التوصية ال‍مبينة في ال‍ملحق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. ويرجى من أي دولة عضو تعترض على إلغاء توصية أن ت‍خبر ال‍مدير ورئيس ل‍جنة الدراسات بأسباب اعتراضها.</w:t>
      </w:r>
    </w:p>
    <w:p w:rsidR="006F2F91" w:rsidRDefault="006F2F91" w:rsidP="004119B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وت‍متد فترة النظر ل‍مدة شهرين تنتهي في </w:t>
      </w:r>
      <w:r w:rsidR="004119BD">
        <w:rPr>
          <w:u w:val="single"/>
          <w:lang w:bidi="ar-EG"/>
        </w:rPr>
        <w:t>29</w:t>
      </w:r>
      <w:bookmarkStart w:id="0" w:name="_GoBack"/>
      <w:bookmarkEnd w:id="0"/>
      <w:r w:rsidRPr="00D45AAA">
        <w:rPr>
          <w:rFonts w:hint="cs"/>
          <w:u w:val="single"/>
          <w:rtl/>
          <w:lang w:bidi="ar-EG"/>
        </w:rPr>
        <w:t xml:space="preserve"> أبريل </w:t>
      </w:r>
      <w:r w:rsidRPr="00D45AAA">
        <w:rPr>
          <w:u w:val="single"/>
          <w:lang w:bidi="ar-EG"/>
        </w:rPr>
        <w:t>2016</w:t>
      </w:r>
      <w:r>
        <w:rPr>
          <w:rFonts w:hint="cs"/>
          <w:rtl/>
          <w:lang w:bidi="ar-EG"/>
        </w:rPr>
        <w:t xml:space="preserve">. وإذا ل‍م ترد أي اعتراضات من الدول الأعضاء خلال هذه الفترة </w:t>
      </w:r>
      <w:r w:rsidR="00A12235">
        <w:rPr>
          <w:rFonts w:hint="cs"/>
          <w:rtl/>
          <w:lang w:bidi="ar-EG"/>
        </w:rPr>
        <w:t xml:space="preserve">على الإلغاء، </w:t>
      </w:r>
      <w:r>
        <w:rPr>
          <w:rFonts w:hint="cs"/>
          <w:rtl/>
          <w:lang w:bidi="ar-EG"/>
        </w:rPr>
        <w:t>فإن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التوصية ستعتبر في حكم ال</w:t>
      </w:r>
      <w:r w:rsidR="00F27F3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ملغية.</w:t>
      </w:r>
    </w:p>
    <w:p w:rsidR="00B12391" w:rsidRDefault="00B12391" w:rsidP="007D42BD">
      <w:pPr>
        <w:rPr>
          <w:rtl/>
          <w:lang w:bidi="ar-EG"/>
        </w:rPr>
      </w:pPr>
      <w:r>
        <w:rPr>
          <w:rFonts w:hint="cs"/>
          <w:rtl/>
          <w:lang w:bidi="ar-EG"/>
        </w:rPr>
        <w:t>وبعد 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مهلة 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محددة أعلاه، ستعلن نتائج </w:t>
      </w:r>
      <w:r w:rsidR="007D42BD">
        <w:rPr>
          <w:rFonts w:hint="cs"/>
          <w:rtl/>
          <w:lang w:bidi="ar-EG"/>
        </w:rPr>
        <w:t>الإجراءات ال‍مذكورة أعلاه</w:t>
      </w:r>
      <w:r>
        <w:rPr>
          <w:rFonts w:hint="cs"/>
          <w:rtl/>
          <w:lang w:bidi="ar-EG"/>
        </w:rPr>
        <w:t xml:space="preserve"> </w:t>
      </w:r>
      <w:r w:rsidR="005A2093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>رسالة إدارية معممة وستنشر التوصيات التي ت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 ال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عليها في</w:t>
      </w:r>
      <w:r w:rsidR="009E6F9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أقرب وقت م</w:t>
      </w:r>
      <w:r w:rsidR="009E6F9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مكن (انظر </w:t>
      </w:r>
      <w:hyperlink r:id="rId8" w:history="1">
        <w:r w:rsidR="008673D8" w:rsidRPr="008673D8">
          <w:rPr>
            <w:rStyle w:val="Hyperlink"/>
            <w:lang w:bidi="ar-EG"/>
          </w:rPr>
          <w:t>http://www.itu.int/pub/R-REC</w:t>
        </w:r>
      </w:hyperlink>
      <w:r>
        <w:rPr>
          <w:rFonts w:hint="cs"/>
          <w:rtl/>
          <w:lang w:bidi="ar-EG"/>
        </w:rPr>
        <w:t>).</w:t>
      </w:r>
    </w:p>
    <w:p w:rsidR="005C771D" w:rsidRDefault="00890C2F" w:rsidP="00943C5A">
      <w:pPr>
        <w:pStyle w:val="Tablelegend"/>
        <w:pageBreakBefore/>
      </w:pPr>
      <w:r>
        <w:rPr>
          <w:rFonts w:hint="cs"/>
          <w:rtl/>
        </w:rPr>
        <w:lastRenderedPageBreak/>
        <w:t>ويرجى من أي منظمة عضو في الات</w:t>
      </w:r>
      <w:r w:rsidR="00416ACB">
        <w:rPr>
          <w:rFonts w:hint="cs"/>
          <w:rtl/>
        </w:rPr>
        <w:t>‍</w:t>
      </w:r>
      <w:r>
        <w:rPr>
          <w:rFonts w:hint="cs"/>
          <w:rtl/>
        </w:rPr>
        <w:t>حاد تعلم بوجود براءة اختراع لديها أو لدى غيرها تغطي كلياً أو جزئياً عناصر مشاريع التوصيات ال</w:t>
      </w:r>
      <w:r w:rsidR="00416ACB">
        <w:rPr>
          <w:rFonts w:hint="cs"/>
          <w:rtl/>
        </w:rPr>
        <w:t>‍</w:t>
      </w:r>
      <w:r>
        <w:rPr>
          <w:rFonts w:hint="cs"/>
          <w:rtl/>
        </w:rPr>
        <w:t>مذكورة في هذه الرسالة أن تبلغ الأمانة بهذه ال</w:t>
      </w:r>
      <w:r w:rsidR="00416ACB">
        <w:rPr>
          <w:rFonts w:hint="cs"/>
          <w:rtl/>
        </w:rPr>
        <w:t>‍</w:t>
      </w:r>
      <w:r>
        <w:rPr>
          <w:rFonts w:hint="cs"/>
          <w:rtl/>
        </w:rPr>
        <w:t>معلومات بأسرع ما ي</w:t>
      </w:r>
      <w:r w:rsidR="00416ACB">
        <w:rPr>
          <w:rFonts w:hint="cs"/>
          <w:rtl/>
        </w:rPr>
        <w:t>‍</w:t>
      </w:r>
      <w:r>
        <w:rPr>
          <w:rFonts w:hint="cs"/>
          <w:rtl/>
        </w:rPr>
        <w:t>مكن. وي</w:t>
      </w:r>
      <w:r w:rsidR="00416ACB">
        <w:rPr>
          <w:rFonts w:hint="cs"/>
          <w:rtl/>
        </w:rPr>
        <w:t>‍</w:t>
      </w:r>
      <w:r>
        <w:rPr>
          <w:rFonts w:hint="cs"/>
          <w:rtl/>
        </w:rPr>
        <w:t>مكن الاطلاع على السياسة ال</w:t>
      </w:r>
      <w:r w:rsidR="00416ACB">
        <w:rPr>
          <w:rFonts w:hint="cs"/>
          <w:rtl/>
        </w:rPr>
        <w:t>‍</w:t>
      </w:r>
      <w:r>
        <w:rPr>
          <w:rFonts w:hint="cs"/>
          <w:rtl/>
        </w:rPr>
        <w:t>مشتركة للبراءات</w:t>
      </w:r>
      <w:r w:rsidR="00943C5A">
        <w:rPr>
          <w:rFonts w:hint="eastAsia"/>
          <w:rtl/>
        </w:rPr>
        <w:t> </w:t>
      </w:r>
      <w:r>
        <w:t>"ITU</w:t>
      </w:r>
      <w:r>
        <w:noBreakHyphen/>
        <w:t>T/ITU</w:t>
      </w:r>
      <w:r>
        <w:noBreakHyphen/>
        <w:t>R/ISO/IEC"</w:t>
      </w:r>
      <w:r>
        <w:rPr>
          <w:rFonts w:hint="cs"/>
          <w:rtl/>
        </w:rPr>
        <w:t xml:space="preserve"> في ال</w:t>
      </w:r>
      <w:r w:rsidR="00416ACB">
        <w:rPr>
          <w:rFonts w:hint="cs"/>
          <w:rtl/>
        </w:rPr>
        <w:t>‍</w:t>
      </w:r>
      <w:r>
        <w:rPr>
          <w:rFonts w:hint="cs"/>
          <w:rtl/>
        </w:rPr>
        <w:t xml:space="preserve">موقع الإلكتروني: </w:t>
      </w:r>
      <w:hyperlink r:id="rId9" w:history="1">
        <w:r w:rsidRPr="00890C2F">
          <w:rPr>
            <w:rStyle w:val="Hyperlink"/>
          </w:rPr>
          <w:t>http://www.itu.int/en/ITU-T/ipr/Pages/policy.aspx</w:t>
        </w:r>
      </w:hyperlink>
      <w:r>
        <w:rPr>
          <w:rFonts w:hint="cs"/>
          <w:rtl/>
        </w:rPr>
        <w:t>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2A6F22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604689" w:rsidRDefault="00600141" w:rsidP="00600141">
      <w:pPr>
        <w:spacing w:before="600"/>
        <w:jc w:val="left"/>
        <w:rPr>
          <w:rtl/>
          <w:lang w:bidi="ar-EG"/>
        </w:rPr>
      </w:pPr>
      <w:r w:rsidRPr="00600141">
        <w:rPr>
          <w:rFonts w:hint="cs"/>
          <w:b/>
          <w:bCs/>
          <w:rtl/>
        </w:rPr>
        <w:t xml:space="preserve">الملحق </w:t>
      </w:r>
      <w:r w:rsidRPr="00600141">
        <w:rPr>
          <w:b/>
          <w:bCs/>
        </w:rPr>
        <w:t>1</w:t>
      </w:r>
      <w:r w:rsidRPr="00600141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ab/>
        <w:t>عناوين وملخصات مشاريع التوصيات</w:t>
      </w:r>
    </w:p>
    <w:p w:rsidR="00600141" w:rsidRDefault="00600141" w:rsidP="00600141">
      <w:pPr>
        <w:jc w:val="left"/>
        <w:rPr>
          <w:rtl/>
          <w:lang w:bidi="ar-EG"/>
        </w:rPr>
      </w:pPr>
      <w:r w:rsidRPr="00600141">
        <w:rPr>
          <w:rFonts w:hint="cs"/>
          <w:b/>
          <w:bCs/>
          <w:rtl/>
          <w:lang w:bidi="ar-EG"/>
        </w:rPr>
        <w:t xml:space="preserve">الملحق </w:t>
      </w:r>
      <w:r w:rsidRPr="00600141">
        <w:rPr>
          <w:b/>
          <w:bCs/>
          <w:lang w:bidi="ar-EG"/>
        </w:rPr>
        <w:t>2</w:t>
      </w:r>
      <w:r w:rsidRPr="00600141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ab/>
        <w:t>التوصية ال</w:t>
      </w:r>
      <w:r w:rsidR="001A5AA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مقترح إلغاؤها</w:t>
      </w:r>
    </w:p>
    <w:p w:rsidR="00600141" w:rsidRDefault="00600141" w:rsidP="00EE4878">
      <w:pPr>
        <w:spacing w:before="600"/>
        <w:jc w:val="left"/>
        <w:rPr>
          <w:rtl/>
          <w:lang w:bidi="ar-EG"/>
        </w:rPr>
      </w:pPr>
      <w:r w:rsidRPr="00600141">
        <w:rPr>
          <w:rFonts w:hint="cs"/>
          <w:b/>
          <w:bCs/>
          <w:rtl/>
          <w:lang w:bidi="ar-EG"/>
        </w:rPr>
        <w:t>الوثائق:</w:t>
      </w:r>
      <w:r>
        <w:rPr>
          <w:rFonts w:hint="cs"/>
          <w:rtl/>
          <w:lang w:bidi="ar-EG"/>
        </w:rPr>
        <w:t xml:space="preserve"> الوثائق </w:t>
      </w:r>
      <w:hyperlink r:id="rId10" w:history="1">
        <w:r w:rsidR="00BD17E1" w:rsidRPr="00BD17E1">
          <w:rPr>
            <w:rStyle w:val="Hyperlink"/>
            <w:lang w:bidi="ar-EG"/>
          </w:rPr>
          <w:t>6/12</w:t>
        </w:r>
      </w:hyperlink>
      <w:r>
        <w:rPr>
          <w:rFonts w:hint="cs"/>
          <w:rtl/>
          <w:lang w:bidi="ar-EG"/>
        </w:rPr>
        <w:t xml:space="preserve"> و</w:t>
      </w:r>
      <w:hyperlink r:id="rId11" w:history="1">
        <w:r w:rsidR="00BD17E1" w:rsidRPr="00BD17E1">
          <w:rPr>
            <w:rStyle w:val="Hyperlink"/>
            <w:lang w:bidi="ar-EG"/>
          </w:rPr>
          <w:t>6/24</w:t>
        </w:r>
      </w:hyperlink>
      <w:r w:rsidR="00BD17E1" w:rsidRPr="00BD17E1">
        <w:rPr>
          <w:lang w:bidi="ar-EG"/>
        </w:rPr>
        <w:t xml:space="preserve"> </w:t>
      </w:r>
      <w:r w:rsidRPr="00600141">
        <w:rPr>
          <w:lang w:bidi="ar-EG"/>
        </w:rPr>
        <w:t>(Rev.1)</w:t>
      </w:r>
      <w:r>
        <w:rPr>
          <w:rFonts w:hint="cs"/>
          <w:rtl/>
          <w:lang w:bidi="ar-EG"/>
        </w:rPr>
        <w:t xml:space="preserve"> و</w:t>
      </w:r>
      <w:hyperlink r:id="rId12" w:history="1">
        <w:r w:rsidR="00EE4878" w:rsidRPr="00EE4878">
          <w:rPr>
            <w:rStyle w:val="Hyperlink"/>
            <w:lang w:bidi="ar-EG"/>
          </w:rPr>
          <w:t>6/33</w:t>
        </w:r>
      </w:hyperlink>
      <w:r w:rsidR="00EE4878" w:rsidRPr="00EE4878">
        <w:rPr>
          <w:lang w:bidi="ar-EG"/>
        </w:rPr>
        <w:t xml:space="preserve"> </w:t>
      </w:r>
      <w:r w:rsidRPr="00600141">
        <w:rPr>
          <w:lang w:bidi="ar-EG"/>
        </w:rPr>
        <w:t>(Rev.1)</w:t>
      </w:r>
    </w:p>
    <w:p w:rsidR="00600141" w:rsidRDefault="00600141" w:rsidP="00600141">
      <w:pPr>
        <w:jc w:val="left"/>
        <w:rPr>
          <w:rtl/>
          <w:lang w:bidi="ar-EG"/>
        </w:rPr>
      </w:pPr>
      <w:r>
        <w:rPr>
          <w:rFonts w:hint="cs"/>
          <w:rtl/>
          <w:lang w:bidi="ar-EG"/>
        </w:rPr>
        <w:t xml:space="preserve">وتتاح هذه الوثائق في نسق إلكتروني في: </w:t>
      </w:r>
      <w:hyperlink r:id="rId13" w:history="1">
        <w:r w:rsidRPr="00600141">
          <w:rPr>
            <w:rStyle w:val="Hyperlink"/>
            <w:lang w:bidi="ar-EG"/>
          </w:rPr>
          <w:t>http://www.itu.int/md/R15-SG06-C/en</w:t>
        </w:r>
      </w:hyperlink>
    </w:p>
    <w:p w:rsidR="005C771D" w:rsidRPr="00E45690" w:rsidRDefault="005C771D" w:rsidP="00E90536">
      <w:pPr>
        <w:tabs>
          <w:tab w:val="clear" w:pos="794"/>
          <w:tab w:val="left" w:pos="283"/>
        </w:tabs>
        <w:spacing w:before="4680" w:after="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5C771D" w:rsidRPr="006D2E62" w:rsidRDefault="005C771D" w:rsidP="006D2E6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6D2E62">
        <w:rPr>
          <w:rFonts w:hint="cs"/>
          <w:sz w:val="16"/>
          <w:szCs w:val="22"/>
          <w:rtl/>
          <w:lang w:bidi="ar-EG"/>
        </w:rPr>
        <w:t>-</w:t>
      </w:r>
      <w:r w:rsidRPr="006D2E62">
        <w:rPr>
          <w:rFonts w:hint="cs"/>
          <w:sz w:val="16"/>
          <w:szCs w:val="22"/>
          <w:rtl/>
          <w:lang w:bidi="ar-EG"/>
        </w:rPr>
        <w:tab/>
      </w:r>
      <w:r w:rsidRPr="006D2E62">
        <w:rPr>
          <w:sz w:val="16"/>
          <w:szCs w:val="22"/>
          <w:rtl/>
          <w:lang w:bidi="ar-EG"/>
        </w:rPr>
        <w:t>إدارات الدول الأعضاء</w:t>
      </w:r>
      <w:r w:rsidRPr="006D2E62">
        <w:rPr>
          <w:rFonts w:hint="cs"/>
          <w:sz w:val="16"/>
          <w:szCs w:val="22"/>
          <w:rtl/>
          <w:lang w:bidi="ar-EG"/>
        </w:rPr>
        <w:t xml:space="preserve"> في الات</w:t>
      </w:r>
      <w:r w:rsidR="002A6F22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rFonts w:hint="cs"/>
          <w:sz w:val="16"/>
          <w:szCs w:val="22"/>
          <w:rtl/>
          <w:lang w:bidi="ar-EG"/>
        </w:rPr>
        <w:t>حاد</w:t>
      </w:r>
      <w:r w:rsidRPr="006D2E62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6D2E62">
        <w:rPr>
          <w:rFonts w:hint="cs"/>
          <w:sz w:val="16"/>
          <w:szCs w:val="22"/>
          <w:rtl/>
          <w:lang w:bidi="ar-EG"/>
        </w:rPr>
        <w:t xml:space="preserve"> ال</w:t>
      </w:r>
      <w:r w:rsidR="002A6F22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rFonts w:hint="cs"/>
          <w:sz w:val="16"/>
          <w:szCs w:val="22"/>
          <w:rtl/>
          <w:lang w:bidi="ar-EG"/>
        </w:rPr>
        <w:t>مشاركون في أعمال ل</w:t>
      </w:r>
      <w:r w:rsidR="002A6F22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rFonts w:hint="cs"/>
          <w:sz w:val="16"/>
          <w:szCs w:val="22"/>
          <w:rtl/>
          <w:lang w:bidi="ar-EG"/>
        </w:rPr>
        <w:t xml:space="preserve">جنة الدراسات </w:t>
      </w:r>
      <w:r w:rsidR="006D2E62" w:rsidRPr="006D2E62">
        <w:rPr>
          <w:sz w:val="16"/>
          <w:szCs w:val="22"/>
          <w:lang w:val="fr-CH"/>
        </w:rPr>
        <w:t>6</w:t>
      </w:r>
      <w:r w:rsidRPr="006D2E62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5C771D" w:rsidRPr="006D2E62" w:rsidRDefault="005C771D" w:rsidP="006D2E6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6D2E62">
        <w:rPr>
          <w:sz w:val="16"/>
          <w:szCs w:val="22"/>
          <w:rtl/>
          <w:lang w:bidi="ar-EG"/>
        </w:rPr>
        <w:t>-</w:t>
      </w:r>
      <w:r w:rsidRPr="006D2E62">
        <w:rPr>
          <w:sz w:val="16"/>
          <w:szCs w:val="22"/>
          <w:rtl/>
          <w:lang w:bidi="ar-EG"/>
        </w:rPr>
        <w:tab/>
        <w:t>ال</w:t>
      </w:r>
      <w:r w:rsidR="001D6464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sz w:val="16"/>
          <w:szCs w:val="22"/>
          <w:rtl/>
          <w:lang w:bidi="ar-EG"/>
        </w:rPr>
        <w:t>منتسبون إلى قطاع الاتصالات الراديوية المشاركون في أعمال ل</w:t>
      </w:r>
      <w:r w:rsidR="001D6464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sz w:val="16"/>
          <w:szCs w:val="22"/>
          <w:rtl/>
          <w:lang w:bidi="ar-EG"/>
        </w:rPr>
        <w:t xml:space="preserve">جنة الدراسات </w:t>
      </w:r>
      <w:r w:rsidR="006D2E62" w:rsidRPr="006D2E62">
        <w:rPr>
          <w:sz w:val="16"/>
          <w:szCs w:val="22"/>
        </w:rPr>
        <w:t>6</w:t>
      </w:r>
      <w:r w:rsidRPr="006D2E62">
        <w:rPr>
          <w:sz w:val="16"/>
          <w:szCs w:val="22"/>
          <w:rtl/>
          <w:lang w:bidi="ar-EG"/>
        </w:rPr>
        <w:t xml:space="preserve"> للاتصالات الراديوية</w:t>
      </w:r>
    </w:p>
    <w:p w:rsidR="005C771D" w:rsidRPr="006D2E62" w:rsidRDefault="005C771D" w:rsidP="002A6F2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6D2E62">
        <w:rPr>
          <w:rFonts w:hint="cs"/>
          <w:sz w:val="16"/>
          <w:szCs w:val="22"/>
          <w:rtl/>
          <w:lang w:bidi="ar-EG"/>
        </w:rPr>
        <w:t>-</w:t>
      </w:r>
      <w:r w:rsidRPr="006D2E62">
        <w:rPr>
          <w:rFonts w:hint="cs"/>
          <w:sz w:val="16"/>
          <w:szCs w:val="22"/>
          <w:rtl/>
          <w:lang w:bidi="ar-EG"/>
        </w:rPr>
        <w:tab/>
      </w:r>
      <w:r w:rsidRPr="006D2E62">
        <w:rPr>
          <w:rFonts w:hint="cs"/>
          <w:sz w:val="16"/>
          <w:szCs w:val="22"/>
          <w:rtl/>
        </w:rPr>
        <w:t>الهيئات الأكادي</w:t>
      </w:r>
      <w:r w:rsidR="001D6464">
        <w:rPr>
          <w:rFonts w:hint="cs"/>
          <w:sz w:val="16"/>
          <w:szCs w:val="22"/>
          <w:rtl/>
        </w:rPr>
        <w:t>‍</w:t>
      </w:r>
      <w:r w:rsidRPr="006D2E62">
        <w:rPr>
          <w:rFonts w:hint="cs"/>
          <w:sz w:val="16"/>
          <w:szCs w:val="22"/>
          <w:rtl/>
        </w:rPr>
        <w:t>مية ال</w:t>
      </w:r>
      <w:r w:rsidR="001D6464">
        <w:rPr>
          <w:rFonts w:hint="cs"/>
          <w:sz w:val="16"/>
          <w:szCs w:val="22"/>
          <w:rtl/>
        </w:rPr>
        <w:t>‍</w:t>
      </w:r>
      <w:r w:rsidRPr="006D2E62">
        <w:rPr>
          <w:rFonts w:hint="cs"/>
          <w:sz w:val="16"/>
          <w:szCs w:val="22"/>
          <w:rtl/>
        </w:rPr>
        <w:t xml:space="preserve">منضمة إلى </w:t>
      </w:r>
      <w:r w:rsidR="002A6F22">
        <w:rPr>
          <w:rFonts w:hint="cs"/>
          <w:sz w:val="16"/>
          <w:szCs w:val="22"/>
          <w:rtl/>
        </w:rPr>
        <w:t>الات‍حاد</w:t>
      </w:r>
    </w:p>
    <w:p w:rsidR="005C771D" w:rsidRPr="006D2E62" w:rsidRDefault="005C771D" w:rsidP="00462D08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6D2E62">
        <w:rPr>
          <w:sz w:val="16"/>
          <w:szCs w:val="22"/>
          <w:rtl/>
          <w:lang w:bidi="ar-EG"/>
        </w:rPr>
        <w:t>-</w:t>
      </w:r>
      <w:r w:rsidRPr="006D2E62">
        <w:rPr>
          <w:sz w:val="16"/>
          <w:szCs w:val="22"/>
          <w:rtl/>
          <w:lang w:bidi="ar-EG"/>
        </w:rPr>
        <w:tab/>
        <w:t>رؤساء ل</w:t>
      </w:r>
      <w:r w:rsidR="002A6F22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sz w:val="16"/>
          <w:szCs w:val="22"/>
          <w:rtl/>
          <w:lang w:bidi="ar-EG"/>
        </w:rPr>
        <w:t>جان دراسات الاتصالات الراديوية ونوابهم</w:t>
      </w:r>
    </w:p>
    <w:p w:rsidR="005C771D" w:rsidRPr="006D2E62" w:rsidRDefault="005C771D" w:rsidP="005C771D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6D2E62">
        <w:rPr>
          <w:sz w:val="16"/>
          <w:szCs w:val="22"/>
          <w:rtl/>
          <w:lang w:bidi="ar-EG"/>
        </w:rPr>
        <w:t>-</w:t>
      </w:r>
      <w:r w:rsidRPr="006D2E62">
        <w:rPr>
          <w:sz w:val="16"/>
          <w:szCs w:val="22"/>
          <w:rtl/>
          <w:lang w:bidi="ar-EG"/>
        </w:rPr>
        <w:tab/>
        <w:t>رئيس الاجتماع التحضيري للمؤت</w:t>
      </w:r>
      <w:r w:rsidR="001D6464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sz w:val="16"/>
          <w:szCs w:val="22"/>
          <w:rtl/>
          <w:lang w:bidi="ar-EG"/>
        </w:rPr>
        <w:t>مر ونوابه</w:t>
      </w:r>
    </w:p>
    <w:p w:rsidR="005C771D" w:rsidRPr="006D2E62" w:rsidRDefault="005C771D" w:rsidP="005C771D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6D2E62">
        <w:rPr>
          <w:sz w:val="16"/>
          <w:szCs w:val="22"/>
          <w:rtl/>
          <w:lang w:bidi="ar-EG"/>
        </w:rPr>
        <w:t>-</w:t>
      </w:r>
      <w:r w:rsidRPr="006D2E62">
        <w:rPr>
          <w:sz w:val="16"/>
          <w:szCs w:val="22"/>
          <w:rtl/>
          <w:lang w:bidi="ar-EG"/>
        </w:rPr>
        <w:tab/>
        <w:t>أعضاء ل</w:t>
      </w:r>
      <w:r w:rsidR="001D6464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sz w:val="16"/>
          <w:szCs w:val="22"/>
          <w:rtl/>
          <w:lang w:bidi="ar-EG"/>
        </w:rPr>
        <w:t>جنة لوائح الراديو</w:t>
      </w:r>
    </w:p>
    <w:p w:rsidR="00D404C8" w:rsidRDefault="005C771D" w:rsidP="005C771D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6D2E62">
        <w:rPr>
          <w:sz w:val="16"/>
          <w:szCs w:val="22"/>
          <w:rtl/>
          <w:lang w:bidi="ar-EG"/>
        </w:rPr>
        <w:t>-</w:t>
      </w:r>
      <w:r w:rsidRPr="006D2E62">
        <w:rPr>
          <w:sz w:val="16"/>
          <w:szCs w:val="22"/>
          <w:rtl/>
          <w:lang w:bidi="ar-EG"/>
        </w:rPr>
        <w:tab/>
        <w:t>الأمين العام للات</w:t>
      </w:r>
      <w:r w:rsidR="001D6464">
        <w:rPr>
          <w:rFonts w:hint="cs"/>
          <w:sz w:val="16"/>
          <w:szCs w:val="22"/>
          <w:rtl/>
          <w:lang w:bidi="ar-EG"/>
        </w:rPr>
        <w:t>‍</w:t>
      </w:r>
      <w:r w:rsidRPr="006D2E62">
        <w:rPr>
          <w:sz w:val="16"/>
          <w:szCs w:val="22"/>
          <w:rtl/>
          <w:lang w:bidi="ar-EG"/>
        </w:rPr>
        <w:t>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5C771D" w:rsidRDefault="005C771D" w:rsidP="005C771D">
      <w:pPr>
        <w:pStyle w:val="AnnexNo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</w:t>
      </w:r>
      <w:r w:rsidRPr="008D3F8E">
        <w:rPr>
          <w:rFonts w:hint="cs"/>
          <w:rtl/>
        </w:rPr>
        <w:t>‍</w:t>
      </w:r>
      <w:r w:rsidRPr="008D3F8E">
        <w:rPr>
          <w:rFonts w:hint="eastAsia"/>
          <w:rtl/>
        </w:rPr>
        <w:t>ملحـق</w:t>
      </w:r>
      <w:r w:rsidRPr="008D3F8E">
        <w:rPr>
          <w:rFonts w:hint="cs"/>
          <w:rtl/>
        </w:rPr>
        <w:t xml:space="preserve"> </w:t>
      </w:r>
      <w:r w:rsidRPr="008D3F8E">
        <w:rPr>
          <w:lang w:val="en-GB"/>
        </w:rPr>
        <w:t>1</w:t>
      </w:r>
    </w:p>
    <w:p w:rsidR="005C771D" w:rsidRDefault="00CF594F" w:rsidP="005C771D">
      <w:pPr>
        <w:pStyle w:val="Annextitle"/>
        <w:rPr>
          <w:rtl/>
        </w:rPr>
      </w:pPr>
      <w:r>
        <w:rPr>
          <w:rFonts w:hint="cs"/>
          <w:rtl/>
        </w:rPr>
        <w:t>عناوين وملخصات مشاريع التوصيات</w:t>
      </w:r>
    </w:p>
    <w:p w:rsidR="005C771D" w:rsidRPr="00CF594F" w:rsidRDefault="00D404C8" w:rsidP="0023531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CF594F">
        <w:rPr>
          <w:rFonts w:hint="cs"/>
          <w:u w:val="single"/>
          <w:rtl/>
        </w:rPr>
        <w:t>مشروع التوصية ال</w:t>
      </w:r>
      <w:r w:rsidR="00B51A00">
        <w:rPr>
          <w:rFonts w:hint="cs"/>
          <w:u w:val="single"/>
          <w:rtl/>
        </w:rPr>
        <w:t>‍</w:t>
      </w:r>
      <w:r w:rsidRPr="00CF594F">
        <w:rPr>
          <w:rFonts w:hint="cs"/>
          <w:u w:val="single"/>
          <w:rtl/>
        </w:rPr>
        <w:t xml:space="preserve">جديدة </w:t>
      </w:r>
      <w:r w:rsidR="00CF594F" w:rsidRPr="00CF594F">
        <w:rPr>
          <w:u w:val="single"/>
        </w:rPr>
        <w:t>ITU-R</w:t>
      </w:r>
      <w:r w:rsidR="00235317">
        <w:rPr>
          <w:u w:val="single"/>
        </w:rPr>
        <w:t> </w:t>
      </w:r>
      <w:r w:rsidR="00CF594F" w:rsidRPr="00CF594F">
        <w:rPr>
          <w:u w:val="single"/>
        </w:rPr>
        <w:t>BS.[ADM-DEFs]</w:t>
      </w:r>
      <w:r w:rsidR="005C771D" w:rsidRPr="00CF594F">
        <w:rPr>
          <w:rFonts w:hint="cs"/>
          <w:rtl/>
          <w:lang w:bidi="ar-EG"/>
        </w:rPr>
        <w:tab/>
        <w:t xml:space="preserve">الوثيقة </w:t>
      </w:r>
      <w:r w:rsidR="00253F33" w:rsidRPr="00253F33">
        <w:rPr>
          <w:lang w:bidi="ar-EG"/>
        </w:rPr>
        <w:t>6/12</w:t>
      </w:r>
    </w:p>
    <w:p w:rsidR="005C771D" w:rsidRPr="00CF594F" w:rsidRDefault="00CF594F" w:rsidP="005C771D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تعاريف مشتركة لنموذج تعريف الصوت </w:t>
      </w:r>
      <w:r>
        <w:rPr>
          <w:lang w:bidi="ar-EG"/>
        </w:rPr>
        <w:t>(ADM)</w:t>
      </w:r>
    </w:p>
    <w:p w:rsidR="005C771D" w:rsidRDefault="007D42BD" w:rsidP="007A0D6D">
      <w:pPr>
        <w:rPr>
          <w:rtl/>
          <w:lang w:bidi="ar-EG"/>
        </w:rPr>
      </w:pPr>
      <w:r>
        <w:rPr>
          <w:rFonts w:hint="cs"/>
          <w:rtl/>
          <w:lang w:bidi="ar-EG"/>
        </w:rPr>
        <w:t>يوضح</w:t>
      </w:r>
      <w:r w:rsidR="00253F33">
        <w:rPr>
          <w:rFonts w:hint="cs"/>
          <w:rtl/>
          <w:lang w:bidi="ar-EG"/>
        </w:rPr>
        <w:t xml:space="preserve"> مشروع هذه التوصية الجديدة مجموعة من التعاريف</w:t>
      </w:r>
      <w:r w:rsidR="00684713">
        <w:rPr>
          <w:rFonts w:hint="cs"/>
          <w:rtl/>
          <w:lang w:bidi="ar-EG"/>
        </w:rPr>
        <w:t xml:space="preserve"> المشتركة</w:t>
      </w:r>
      <w:r w:rsidR="00253F33">
        <w:rPr>
          <w:rFonts w:hint="cs"/>
          <w:rtl/>
          <w:lang w:bidi="ar-EG"/>
        </w:rPr>
        <w:t xml:space="preserve"> من أجل القنوات الصوتية والتشكيلات التي تستعمل نموذج تعريف الصوت (التوصية </w:t>
      </w:r>
      <w:r w:rsidR="00253F33" w:rsidRPr="00253F33">
        <w:rPr>
          <w:lang w:bidi="ar-EG"/>
        </w:rPr>
        <w:t>ITU-R</w:t>
      </w:r>
      <w:r w:rsidR="00702E78">
        <w:rPr>
          <w:lang w:bidi="ar-EG"/>
        </w:rPr>
        <w:t> </w:t>
      </w:r>
      <w:r w:rsidR="00253F33" w:rsidRPr="00253F33">
        <w:rPr>
          <w:lang w:bidi="ar-EG"/>
        </w:rPr>
        <w:t>BS.2076</w:t>
      </w:r>
      <w:r w:rsidR="00253F33">
        <w:rPr>
          <w:rFonts w:hint="cs"/>
          <w:rtl/>
          <w:lang w:bidi="ar-EG"/>
        </w:rPr>
        <w:t>). وتشمل تشكيلات القنوات التشكيلات الموضحة في التوصيتين</w:t>
      </w:r>
      <w:r w:rsidR="007A0D6D">
        <w:rPr>
          <w:rFonts w:hint="eastAsia"/>
          <w:rtl/>
          <w:lang w:bidi="ar-EG"/>
        </w:rPr>
        <w:t> </w:t>
      </w:r>
      <w:r w:rsidR="00253F33" w:rsidRPr="00253F33">
        <w:rPr>
          <w:lang w:bidi="ar-EG"/>
        </w:rPr>
        <w:t>ITU-R</w:t>
      </w:r>
      <w:r w:rsidR="00235317">
        <w:rPr>
          <w:lang w:bidi="ar-EG"/>
        </w:rPr>
        <w:t> </w:t>
      </w:r>
      <w:r w:rsidR="00253F33" w:rsidRPr="00253F33">
        <w:rPr>
          <w:lang w:bidi="ar-EG"/>
        </w:rPr>
        <w:t>BS.2051</w:t>
      </w:r>
      <w:r w:rsidR="00253F33">
        <w:rPr>
          <w:rFonts w:hint="cs"/>
          <w:rtl/>
          <w:lang w:bidi="ar-EG"/>
        </w:rPr>
        <w:t xml:space="preserve"> (الأنظمة الصوتية المتقدمة من أجل إنتاج البرامج) و</w:t>
      </w:r>
      <w:r w:rsidR="00253F33" w:rsidRPr="00253F33">
        <w:rPr>
          <w:lang w:bidi="ar-EG"/>
        </w:rPr>
        <w:t>ITU-R</w:t>
      </w:r>
      <w:r w:rsidR="00235317">
        <w:rPr>
          <w:lang w:bidi="ar-EG"/>
        </w:rPr>
        <w:t> </w:t>
      </w:r>
      <w:r w:rsidR="00253F33" w:rsidRPr="00253F33">
        <w:rPr>
          <w:lang w:bidi="ar-EG"/>
        </w:rPr>
        <w:t>BS.775</w:t>
      </w:r>
      <w:r w:rsidR="00253F33">
        <w:rPr>
          <w:rFonts w:hint="cs"/>
          <w:rtl/>
          <w:lang w:bidi="ar-EG"/>
        </w:rPr>
        <w:t xml:space="preserve"> (النظام </w:t>
      </w:r>
      <w:r>
        <w:rPr>
          <w:rFonts w:hint="cs"/>
          <w:rtl/>
          <w:lang w:bidi="ar-EG"/>
        </w:rPr>
        <w:t>مجسم الصوت</w:t>
      </w:r>
      <w:r w:rsidR="00253F33">
        <w:rPr>
          <w:rFonts w:hint="cs"/>
          <w:rtl/>
          <w:lang w:bidi="ar-EG"/>
        </w:rPr>
        <w:t xml:space="preserve"> متعدد القنوات مع صورة مصاحبة أو</w:t>
      </w:r>
      <w:r w:rsidR="00684713">
        <w:rPr>
          <w:rFonts w:hint="eastAsia"/>
          <w:rtl/>
          <w:lang w:bidi="ar-EG"/>
        </w:rPr>
        <w:t> </w:t>
      </w:r>
      <w:r w:rsidR="00253F33">
        <w:rPr>
          <w:rFonts w:hint="cs"/>
          <w:rtl/>
          <w:lang w:bidi="ar-EG"/>
        </w:rPr>
        <w:t>بدونها).</w:t>
      </w:r>
    </w:p>
    <w:p w:rsidR="00253F33" w:rsidRPr="00CF594F" w:rsidRDefault="00253F33" w:rsidP="0023531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CF594F">
        <w:rPr>
          <w:rFonts w:hint="cs"/>
          <w:u w:val="single"/>
          <w:rtl/>
        </w:rPr>
        <w:t>مشروع التوصية ال</w:t>
      </w:r>
      <w:r w:rsidR="00B51A00">
        <w:rPr>
          <w:rFonts w:hint="cs"/>
          <w:u w:val="single"/>
          <w:rtl/>
        </w:rPr>
        <w:t>‍</w:t>
      </w:r>
      <w:r w:rsidRPr="00CF594F">
        <w:rPr>
          <w:rFonts w:hint="cs"/>
          <w:u w:val="single"/>
          <w:rtl/>
        </w:rPr>
        <w:t>جديدة</w:t>
      </w:r>
      <w:r>
        <w:rPr>
          <w:rFonts w:hint="cs"/>
          <w:u w:val="single"/>
          <w:rtl/>
        </w:rPr>
        <w:t xml:space="preserve"> </w:t>
      </w:r>
      <w:r w:rsidRPr="00253F33">
        <w:rPr>
          <w:u w:val="single"/>
        </w:rPr>
        <w:t>ITU-R</w:t>
      </w:r>
      <w:r w:rsidR="00235317">
        <w:rPr>
          <w:u w:val="single"/>
        </w:rPr>
        <w:t> </w:t>
      </w:r>
      <w:r w:rsidRPr="00253F33">
        <w:rPr>
          <w:u w:val="single"/>
        </w:rPr>
        <w:t>BT.[EVP]</w:t>
      </w:r>
      <w:r w:rsidRPr="00CF594F">
        <w:rPr>
          <w:rFonts w:hint="cs"/>
          <w:rtl/>
          <w:lang w:bidi="ar-EG"/>
        </w:rPr>
        <w:tab/>
        <w:t xml:space="preserve">الوثيقة </w:t>
      </w:r>
      <w:r w:rsidRPr="00CF594F">
        <w:rPr>
          <w:lang w:bidi="ar-EG"/>
        </w:rPr>
        <w:t>6/33(Rev.1)</w:t>
      </w:r>
    </w:p>
    <w:p w:rsidR="00253F33" w:rsidRPr="00CF594F" w:rsidRDefault="00253F33" w:rsidP="00253F33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التقييم الذاتي لجودة الفيديو باستعمال بروتوكول مشاهدة الخبراء </w:t>
      </w:r>
      <w:r>
        <w:rPr>
          <w:lang w:bidi="ar-EG"/>
        </w:rPr>
        <w:t>(EVP)</w:t>
      </w:r>
    </w:p>
    <w:p w:rsidR="00253F33" w:rsidRDefault="007D42BD" w:rsidP="00235317">
      <w:pPr>
        <w:rPr>
          <w:rtl/>
          <w:lang w:bidi="ar-EG"/>
        </w:rPr>
      </w:pPr>
      <w:r>
        <w:rPr>
          <w:rFonts w:hint="cs"/>
          <w:rtl/>
          <w:lang w:bidi="ar-EG"/>
        </w:rPr>
        <w:t>يصف</w:t>
      </w:r>
      <w:r w:rsidR="00C93C13">
        <w:rPr>
          <w:rFonts w:hint="cs"/>
          <w:rtl/>
          <w:lang w:bidi="ar-EG"/>
        </w:rPr>
        <w:t xml:space="preserve"> مشروع هذه التوصية الجديدة طريقة للتقييم الذاتي لجودة الفيديو للصور المتحركة باستعمال البروتوكول</w:t>
      </w:r>
      <w:r w:rsidR="00235317">
        <w:rPr>
          <w:rFonts w:hint="eastAsia"/>
          <w:rtl/>
          <w:lang w:bidi="ar-EG"/>
        </w:rPr>
        <w:t> </w:t>
      </w:r>
      <w:r w:rsidR="00C93C13">
        <w:rPr>
          <w:lang w:bidi="ar-EG"/>
        </w:rPr>
        <w:t>EVP</w:t>
      </w:r>
      <w:r w:rsidR="00C93C13">
        <w:rPr>
          <w:rFonts w:hint="cs"/>
          <w:rtl/>
          <w:lang w:bidi="ar-EG"/>
        </w:rPr>
        <w:t>، بمشاركة عدد منخفض من المشاهدين يتم اختيارهم جميعاً من بين الخبراء العاملين في مجال معالجة الفيديو ذي الصلة.</w:t>
      </w:r>
    </w:p>
    <w:p w:rsidR="00C93C13" w:rsidRDefault="00C26E6D" w:rsidP="007D42BD">
      <w:pPr>
        <w:rPr>
          <w:spacing w:val="-2"/>
          <w:rtl/>
          <w:lang w:bidi="ar-EG"/>
        </w:rPr>
      </w:pPr>
      <w:r w:rsidRPr="00C26E6D">
        <w:rPr>
          <w:rFonts w:hint="cs"/>
          <w:spacing w:val="-2"/>
          <w:rtl/>
          <w:lang w:bidi="ar-EG"/>
        </w:rPr>
        <w:t xml:space="preserve">ويحتاج البروتوكول </w:t>
      </w:r>
      <w:r w:rsidRPr="00C26E6D">
        <w:rPr>
          <w:spacing w:val="-2"/>
          <w:lang w:bidi="ar-EG"/>
        </w:rPr>
        <w:t>EVP</w:t>
      </w:r>
      <w:r w:rsidRPr="00C26E6D">
        <w:rPr>
          <w:rFonts w:hint="cs"/>
          <w:spacing w:val="-2"/>
          <w:rtl/>
          <w:lang w:bidi="ar-EG"/>
        </w:rPr>
        <w:t xml:space="preserve"> إلى وقت أقل من التقييم الذاتي الرسمي ويمكن تنفيذه في بيئة "غير رسمية" في غياب أي تشويش خارجي مرئي ومسموع. ويعني ذلك أنه يمكن تنفيذه حتى في ح</w:t>
      </w:r>
      <w:r w:rsidR="00235317">
        <w:rPr>
          <w:rFonts w:hint="cs"/>
          <w:spacing w:val="-2"/>
          <w:rtl/>
          <w:lang w:bidi="ar-EG"/>
        </w:rPr>
        <w:t xml:space="preserve">الة عدم توفر معمل اختبار </w:t>
      </w:r>
      <w:r w:rsidR="007D42BD">
        <w:rPr>
          <w:rFonts w:hint="cs"/>
          <w:spacing w:val="-2"/>
          <w:rtl/>
          <w:lang w:bidi="ar-EG"/>
        </w:rPr>
        <w:t>بافتراض</w:t>
      </w:r>
      <w:r w:rsidRPr="00C26E6D">
        <w:rPr>
          <w:rFonts w:hint="cs"/>
          <w:spacing w:val="-2"/>
          <w:rtl/>
          <w:lang w:bidi="ar-EG"/>
        </w:rPr>
        <w:t xml:space="preserve"> تطبيق شروط الإضاءة المحيطة والمشاهدة (نوع شاشة العرض، زاوية ومسافة المشاهدة) حسبما تبين الطريقة. وقد أثبت</w:t>
      </w:r>
      <w:r w:rsidR="007D42BD">
        <w:rPr>
          <w:rFonts w:hint="cs"/>
          <w:spacing w:val="-2"/>
          <w:rtl/>
          <w:lang w:bidi="ar-EG"/>
        </w:rPr>
        <w:t xml:space="preserve"> استعمال</w:t>
      </w:r>
      <w:r w:rsidRPr="00C26E6D">
        <w:rPr>
          <w:rFonts w:hint="cs"/>
          <w:spacing w:val="-2"/>
          <w:rtl/>
          <w:lang w:bidi="ar-EG"/>
        </w:rPr>
        <w:t xml:space="preserve"> البروتوكول </w:t>
      </w:r>
      <w:r w:rsidRPr="00C26E6D">
        <w:rPr>
          <w:spacing w:val="-2"/>
          <w:lang w:bidi="ar-EG"/>
        </w:rPr>
        <w:t>EVP</w:t>
      </w:r>
      <w:r w:rsidRPr="00C26E6D">
        <w:rPr>
          <w:rFonts w:hint="cs"/>
          <w:spacing w:val="-2"/>
          <w:rtl/>
          <w:lang w:bidi="ar-EG"/>
        </w:rPr>
        <w:t xml:space="preserve"> </w:t>
      </w:r>
      <w:r w:rsidR="007D42BD">
        <w:rPr>
          <w:rFonts w:hint="cs"/>
          <w:spacing w:val="-2"/>
          <w:rtl/>
          <w:lang w:bidi="ar-EG"/>
        </w:rPr>
        <w:t>أنه يسمح بتوفير</w:t>
      </w:r>
      <w:r w:rsidRPr="00C26E6D">
        <w:rPr>
          <w:rFonts w:hint="cs"/>
          <w:spacing w:val="-2"/>
          <w:rtl/>
          <w:lang w:bidi="ar-EG"/>
        </w:rPr>
        <w:t xml:space="preserve"> نتائج مقبولة.</w:t>
      </w:r>
    </w:p>
    <w:p w:rsidR="00B36243" w:rsidRPr="00CF594F" w:rsidRDefault="00B36243" w:rsidP="0023531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CF594F">
        <w:rPr>
          <w:rFonts w:hint="cs"/>
          <w:u w:val="single"/>
          <w:rtl/>
        </w:rPr>
        <w:t xml:space="preserve">مشروع </w:t>
      </w:r>
      <w:r w:rsidR="00235317">
        <w:rPr>
          <w:rFonts w:hint="cs"/>
          <w:u w:val="single"/>
          <w:rtl/>
        </w:rPr>
        <w:t>مراجعة التوصية</w:t>
      </w:r>
      <w:r>
        <w:rPr>
          <w:rFonts w:hint="cs"/>
          <w:u w:val="single"/>
          <w:rtl/>
        </w:rPr>
        <w:t xml:space="preserve"> </w:t>
      </w:r>
      <w:r w:rsidRPr="00B36243">
        <w:rPr>
          <w:u w:val="single"/>
        </w:rPr>
        <w:t>ITU-R</w:t>
      </w:r>
      <w:r w:rsidR="00235317">
        <w:rPr>
          <w:u w:val="single"/>
        </w:rPr>
        <w:t> </w:t>
      </w:r>
      <w:r w:rsidRPr="00B36243">
        <w:rPr>
          <w:u w:val="single"/>
        </w:rPr>
        <w:t>BT.1206-2</w:t>
      </w:r>
      <w:r w:rsidRPr="00CF594F">
        <w:rPr>
          <w:rFonts w:hint="cs"/>
          <w:rtl/>
          <w:lang w:bidi="ar-EG"/>
        </w:rPr>
        <w:tab/>
        <w:t xml:space="preserve">الوثيقة </w:t>
      </w:r>
      <w:r w:rsidRPr="00B36243">
        <w:rPr>
          <w:lang w:bidi="ar-EG"/>
        </w:rPr>
        <w:t>6/24(Rev.1)</w:t>
      </w:r>
    </w:p>
    <w:p w:rsidR="00B36243" w:rsidRPr="00CF594F" w:rsidRDefault="00B36243" w:rsidP="00B36243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أقنعة حدود الطيف للإذاعة التلفزيونية الرقمية للأرض</w:t>
      </w:r>
    </w:p>
    <w:p w:rsidR="00B36243" w:rsidRDefault="00B36243" w:rsidP="005F418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تشمل المراجعة إضافة أقنعة حدود الطيف في النظام </w:t>
      </w:r>
      <w:r w:rsidR="008C36D4">
        <w:rPr>
          <w:lang w:bidi="ar-EG"/>
        </w:rPr>
        <w:t>(DVB</w:t>
      </w:r>
      <w:r w:rsidR="008C36D4">
        <w:rPr>
          <w:lang w:bidi="ar-EG"/>
        </w:rPr>
        <w:noBreakHyphen/>
        <w:t>T) </w:t>
      </w:r>
      <w:r>
        <w:rPr>
          <w:lang w:bidi="ar-EG"/>
        </w:rPr>
        <w:t>B</w:t>
      </w:r>
      <w:r>
        <w:rPr>
          <w:rFonts w:hint="cs"/>
          <w:rtl/>
          <w:lang w:bidi="ar-EG"/>
        </w:rPr>
        <w:t xml:space="preserve"> لترتيب القنوات </w:t>
      </w:r>
      <w:r>
        <w:rPr>
          <w:lang w:bidi="ar-EG"/>
        </w:rPr>
        <w:t>MHz 6</w:t>
      </w:r>
      <w:r>
        <w:rPr>
          <w:rFonts w:hint="cs"/>
          <w:rtl/>
          <w:lang w:bidi="ar-EG"/>
        </w:rPr>
        <w:t xml:space="preserve"> في ال</w:t>
      </w:r>
      <w:r w:rsidR="00665CD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ملحق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. وتتفق القيم مع قناع سيتم استكماله خارجياً من أقنعة القنوات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8</w:t>
      </w:r>
      <w:r>
        <w:rPr>
          <w:rFonts w:hint="cs"/>
          <w:rtl/>
          <w:lang w:bidi="ar-EG"/>
        </w:rPr>
        <w:t xml:space="preserve"> بالنسبة للإذاعة التلفزيونية الرقمية للأرض </w:t>
      </w:r>
      <w:r>
        <w:rPr>
          <w:lang w:bidi="ar-EG"/>
        </w:rPr>
        <w:t>(DVB</w:t>
      </w:r>
      <w:r>
        <w:rPr>
          <w:lang w:bidi="ar-EG"/>
        </w:rPr>
        <w:noBreakHyphen/>
        <w:t>T)</w:t>
      </w:r>
      <w:r>
        <w:rPr>
          <w:rFonts w:hint="cs"/>
          <w:rtl/>
          <w:lang w:bidi="ar-EG"/>
        </w:rPr>
        <w:t>. والأقنعة</w:t>
      </w:r>
      <w:r w:rsidR="00235317">
        <w:rPr>
          <w:rFonts w:hint="cs"/>
          <w:rtl/>
          <w:lang w:bidi="ar-EG"/>
        </w:rPr>
        <w:t xml:space="preserve"> هي تلك التي تستعملها جامعة فال</w:t>
      </w:r>
      <w:r>
        <w:rPr>
          <w:rFonts w:hint="cs"/>
          <w:rtl/>
          <w:lang w:bidi="ar-EG"/>
        </w:rPr>
        <w:t xml:space="preserve">نسيا التقنية في دراساتها لتخطيط الترددات والشبكات واستمثال شبكات الإذاعة </w:t>
      </w:r>
      <w:r>
        <w:rPr>
          <w:lang w:bidi="ar-EG"/>
        </w:rPr>
        <w:t>DVB</w:t>
      </w:r>
      <w:r>
        <w:rPr>
          <w:lang w:bidi="ar-EG"/>
        </w:rPr>
        <w:noBreakHyphen/>
        <w:t>T2</w:t>
      </w:r>
      <w:r>
        <w:rPr>
          <w:rFonts w:hint="cs"/>
          <w:rtl/>
          <w:lang w:bidi="ar-EG"/>
        </w:rPr>
        <w:t xml:space="preserve"> في</w:t>
      </w:r>
      <w:r w:rsidR="005F418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كولومبيا.</w:t>
      </w:r>
    </w:p>
    <w:p w:rsidR="005C771D" w:rsidRPr="00CF594F" w:rsidRDefault="005C771D" w:rsidP="00D05831">
      <w:pPr>
        <w:pStyle w:val="AnnexNo"/>
        <w:pageBreakBefore/>
        <w:spacing w:after="0"/>
        <w:rPr>
          <w:rtl/>
        </w:rPr>
      </w:pPr>
      <w:r w:rsidRPr="00CF594F">
        <w:rPr>
          <w:rFonts w:hint="cs"/>
          <w:rtl/>
        </w:rPr>
        <w:lastRenderedPageBreak/>
        <w:t xml:space="preserve">ال‍ملحـق </w:t>
      </w:r>
      <w:r w:rsidRPr="00CF594F">
        <w:rPr>
          <w:lang w:val="en-GB" w:bidi="ar-SA"/>
        </w:rPr>
        <w:t>2</w:t>
      </w:r>
    </w:p>
    <w:p w:rsidR="005C771D" w:rsidRPr="00CF594F" w:rsidRDefault="005C771D" w:rsidP="00D05831">
      <w:pPr>
        <w:spacing w:before="0"/>
        <w:jc w:val="center"/>
        <w:rPr>
          <w:rtl/>
        </w:rPr>
      </w:pPr>
      <w:r w:rsidRPr="00CF594F">
        <w:rPr>
          <w:rFonts w:hint="cs"/>
          <w:rtl/>
        </w:rPr>
        <w:t>(ال</w:t>
      </w:r>
      <w:r w:rsidR="00B51A00">
        <w:rPr>
          <w:rFonts w:hint="cs"/>
          <w:rtl/>
        </w:rPr>
        <w:t>‍</w:t>
      </w:r>
      <w:r w:rsidRPr="00CF594F">
        <w:rPr>
          <w:rFonts w:hint="cs"/>
          <w:rtl/>
        </w:rPr>
        <w:t xml:space="preserve">مصدر: الوثيقة </w:t>
      </w:r>
      <w:r w:rsidR="00D05831">
        <w:t>6/29</w:t>
      </w:r>
      <w:r w:rsidR="00D05831">
        <w:rPr>
          <w:rFonts w:hint="cs"/>
          <w:rtl/>
        </w:rPr>
        <w:t>)</w:t>
      </w:r>
    </w:p>
    <w:p w:rsidR="005C771D" w:rsidRDefault="00D05831" w:rsidP="005C771D">
      <w:pPr>
        <w:pStyle w:val="Annextitle"/>
        <w:spacing w:before="240"/>
        <w:rPr>
          <w:rtl/>
        </w:rPr>
      </w:pPr>
      <w:r>
        <w:rPr>
          <w:rFonts w:hint="cs"/>
          <w:rtl/>
        </w:rPr>
        <w:t>التوصية المقترح إلغاؤها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7938"/>
      </w:tblGrid>
      <w:tr w:rsidR="00D05831" w:rsidRPr="00D05831" w:rsidTr="00D05831">
        <w:tc>
          <w:tcPr>
            <w:tcW w:w="1691" w:type="dxa"/>
          </w:tcPr>
          <w:p w:rsidR="00D05831" w:rsidRPr="00D05831" w:rsidRDefault="00D05831" w:rsidP="00BF53C1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D05831">
              <w:rPr>
                <w:rFonts w:hint="cs"/>
                <w:b/>
                <w:bCs/>
                <w:sz w:val="20"/>
                <w:szCs w:val="26"/>
                <w:rtl/>
              </w:rPr>
              <w:t>توصية</w:t>
            </w:r>
            <w:r w:rsidR="00B51A00">
              <w:rPr>
                <w:rFonts w:hint="cs"/>
                <w:b/>
                <w:bCs/>
                <w:sz w:val="20"/>
                <w:szCs w:val="26"/>
                <w:rtl/>
              </w:rPr>
              <w:t xml:space="preserve"> قطاع الاتصالات الراديوية</w:t>
            </w:r>
            <w:r w:rsidRPr="00D05831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="00B51A00">
              <w:rPr>
                <w:b/>
                <w:bCs/>
                <w:sz w:val="20"/>
                <w:szCs w:val="26"/>
              </w:rPr>
              <w:t>(</w:t>
            </w:r>
            <w:r w:rsidRPr="00D05831">
              <w:rPr>
                <w:b/>
                <w:bCs/>
                <w:sz w:val="20"/>
                <w:szCs w:val="26"/>
              </w:rPr>
              <w:t>ITU-R</w:t>
            </w:r>
            <w:r w:rsidR="00B51A00"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7938" w:type="dxa"/>
          </w:tcPr>
          <w:p w:rsidR="00D05831" w:rsidRPr="00D05831" w:rsidRDefault="00D05831" w:rsidP="00BF53C1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D05831">
              <w:rPr>
                <w:rFonts w:hint="cs"/>
                <w:b/>
                <w:bCs/>
                <w:sz w:val="20"/>
                <w:szCs w:val="26"/>
                <w:rtl/>
              </w:rPr>
              <w:t>العنوان</w:t>
            </w:r>
          </w:p>
        </w:tc>
      </w:tr>
      <w:tr w:rsidR="00D05831" w:rsidRPr="00D05831" w:rsidTr="00D05831">
        <w:tc>
          <w:tcPr>
            <w:tcW w:w="1691" w:type="dxa"/>
          </w:tcPr>
          <w:p w:rsidR="00D05831" w:rsidRPr="00D05831" w:rsidRDefault="00D05831" w:rsidP="00BF53C1">
            <w:pPr>
              <w:spacing w:before="60" w:after="60" w:line="30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BT.1384-2</w:t>
            </w:r>
          </w:p>
        </w:tc>
        <w:tc>
          <w:tcPr>
            <w:tcW w:w="7938" w:type="dxa"/>
          </w:tcPr>
          <w:p w:rsidR="00D05831" w:rsidRPr="00D05831" w:rsidRDefault="00D05831" w:rsidP="00BF53C1">
            <w:pPr>
              <w:spacing w:before="60" w:after="60" w:line="30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معلمات للتبادل الدولي للتسجيلات الصوتية متعددة القنوات المصحوبة بصورة أو بدونها</w:t>
            </w:r>
          </w:p>
        </w:tc>
      </w:tr>
    </w:tbl>
    <w:p w:rsidR="005C771D" w:rsidRPr="008D3F8E" w:rsidRDefault="005C771D" w:rsidP="005C771D">
      <w:pPr>
        <w:spacing w:before="600"/>
        <w:jc w:val="center"/>
        <w:rPr>
          <w:rtl/>
        </w:rPr>
      </w:pPr>
      <w:r w:rsidRPr="00CF594F">
        <w:rPr>
          <w:rtl/>
        </w:rPr>
        <w:t>___________</w:t>
      </w:r>
    </w:p>
    <w:sectPr w:rsidR="005C771D" w:rsidRPr="008D3F8E" w:rsidSect="007E6E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F1" w:rsidRDefault="009745F1" w:rsidP="00F36590">
      <w:pPr>
        <w:spacing w:before="0" w:line="240" w:lineRule="auto"/>
      </w:pPr>
      <w:r>
        <w:separator/>
      </w:r>
    </w:p>
  </w:endnote>
  <w:endnote w:type="continuationSeparator" w:id="0">
    <w:p w:rsidR="009745F1" w:rsidRDefault="009745F1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C6" w:rsidRDefault="00AD1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423C5B" w:rsidRDefault="007E6E52" w:rsidP="00423C5B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A50696">
        <w:rPr>
          <w:rStyle w:val="Hyperlink"/>
          <w:rFonts w:hAnsi="Calibri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F1" w:rsidRDefault="009745F1" w:rsidP="00F36590">
      <w:pPr>
        <w:spacing w:before="0" w:line="240" w:lineRule="auto"/>
      </w:pPr>
      <w:r>
        <w:separator/>
      </w:r>
    </w:p>
  </w:footnote>
  <w:footnote w:type="continuationSeparator" w:id="0">
    <w:p w:rsidR="009745F1" w:rsidRDefault="009745F1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C6" w:rsidRDefault="00AD1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4119BD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F1"/>
    <w:rsid w:val="00083A9A"/>
    <w:rsid w:val="00090574"/>
    <w:rsid w:val="000A1106"/>
    <w:rsid w:val="000B73F4"/>
    <w:rsid w:val="001547FB"/>
    <w:rsid w:val="00185E59"/>
    <w:rsid w:val="001A5AA7"/>
    <w:rsid w:val="001D1D7B"/>
    <w:rsid w:val="001D6464"/>
    <w:rsid w:val="0023283D"/>
    <w:rsid w:val="00235317"/>
    <w:rsid w:val="00241274"/>
    <w:rsid w:val="00253F33"/>
    <w:rsid w:val="00254BEE"/>
    <w:rsid w:val="00256189"/>
    <w:rsid w:val="00274D41"/>
    <w:rsid w:val="002978F4"/>
    <w:rsid w:val="002A6F22"/>
    <w:rsid w:val="002B028D"/>
    <w:rsid w:val="002E6541"/>
    <w:rsid w:val="00321084"/>
    <w:rsid w:val="00335CE7"/>
    <w:rsid w:val="003403A3"/>
    <w:rsid w:val="00341FFF"/>
    <w:rsid w:val="00357185"/>
    <w:rsid w:val="003A7AF0"/>
    <w:rsid w:val="003B65BD"/>
    <w:rsid w:val="0040525C"/>
    <w:rsid w:val="004119BD"/>
    <w:rsid w:val="00416ACB"/>
    <w:rsid w:val="00423C5B"/>
    <w:rsid w:val="0042686F"/>
    <w:rsid w:val="00443869"/>
    <w:rsid w:val="00456E4A"/>
    <w:rsid w:val="00462D08"/>
    <w:rsid w:val="00485E78"/>
    <w:rsid w:val="004B2ED5"/>
    <w:rsid w:val="004C6CD2"/>
    <w:rsid w:val="004D704B"/>
    <w:rsid w:val="0055516A"/>
    <w:rsid w:val="00562DCD"/>
    <w:rsid w:val="005A2093"/>
    <w:rsid w:val="005C771D"/>
    <w:rsid w:val="005F418C"/>
    <w:rsid w:val="005F4897"/>
    <w:rsid w:val="00600141"/>
    <w:rsid w:val="00604689"/>
    <w:rsid w:val="00616E88"/>
    <w:rsid w:val="00665CD5"/>
    <w:rsid w:val="00684713"/>
    <w:rsid w:val="006D2E62"/>
    <w:rsid w:val="006E1CFD"/>
    <w:rsid w:val="006F2F91"/>
    <w:rsid w:val="006F63F7"/>
    <w:rsid w:val="00702E78"/>
    <w:rsid w:val="00706D7A"/>
    <w:rsid w:val="00710234"/>
    <w:rsid w:val="00714C7B"/>
    <w:rsid w:val="00733D09"/>
    <w:rsid w:val="00795DED"/>
    <w:rsid w:val="007A0D6D"/>
    <w:rsid w:val="007D42BD"/>
    <w:rsid w:val="007E6E52"/>
    <w:rsid w:val="007F3ECD"/>
    <w:rsid w:val="008235CD"/>
    <w:rsid w:val="008513CB"/>
    <w:rsid w:val="008673D8"/>
    <w:rsid w:val="00885AAA"/>
    <w:rsid w:val="00890C2F"/>
    <w:rsid w:val="008B1046"/>
    <w:rsid w:val="008C36D4"/>
    <w:rsid w:val="00911478"/>
    <w:rsid w:val="00943C5A"/>
    <w:rsid w:val="00951EBA"/>
    <w:rsid w:val="009745F1"/>
    <w:rsid w:val="00982B28"/>
    <w:rsid w:val="009E6F99"/>
    <w:rsid w:val="009F4919"/>
    <w:rsid w:val="00A0706D"/>
    <w:rsid w:val="00A12235"/>
    <w:rsid w:val="00A17821"/>
    <w:rsid w:val="00A842C9"/>
    <w:rsid w:val="00A97F94"/>
    <w:rsid w:val="00AB7CE2"/>
    <w:rsid w:val="00AD1AC6"/>
    <w:rsid w:val="00AE1D8A"/>
    <w:rsid w:val="00B11105"/>
    <w:rsid w:val="00B12391"/>
    <w:rsid w:val="00B15F96"/>
    <w:rsid w:val="00B36243"/>
    <w:rsid w:val="00B51A00"/>
    <w:rsid w:val="00B5527F"/>
    <w:rsid w:val="00BD17E1"/>
    <w:rsid w:val="00BF53C1"/>
    <w:rsid w:val="00C26E6D"/>
    <w:rsid w:val="00C674FE"/>
    <w:rsid w:val="00C75633"/>
    <w:rsid w:val="00C84F0C"/>
    <w:rsid w:val="00C93C13"/>
    <w:rsid w:val="00CB3E2E"/>
    <w:rsid w:val="00CE2EE1"/>
    <w:rsid w:val="00CF3FFD"/>
    <w:rsid w:val="00CF594F"/>
    <w:rsid w:val="00CF7F1A"/>
    <w:rsid w:val="00D05831"/>
    <w:rsid w:val="00D404C8"/>
    <w:rsid w:val="00D45AAA"/>
    <w:rsid w:val="00D77D0F"/>
    <w:rsid w:val="00DA1CF0"/>
    <w:rsid w:val="00DC24B4"/>
    <w:rsid w:val="00DD2943"/>
    <w:rsid w:val="00DF16DC"/>
    <w:rsid w:val="00E02604"/>
    <w:rsid w:val="00E12E10"/>
    <w:rsid w:val="00E3407A"/>
    <w:rsid w:val="00E45211"/>
    <w:rsid w:val="00E64F8E"/>
    <w:rsid w:val="00E861BD"/>
    <w:rsid w:val="00E90536"/>
    <w:rsid w:val="00E96F8D"/>
    <w:rsid w:val="00EC65F0"/>
    <w:rsid w:val="00EE4878"/>
    <w:rsid w:val="00EF2171"/>
    <w:rsid w:val="00F27F32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B851158-A4BC-4B6B-9ED0-72A34A37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A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6-C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33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2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md/R15-SG06-C-0012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9940-14C5-447C-886C-1ECB08BF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4</cp:revision>
  <cp:lastPrinted>2016-02-29T09:45:00Z</cp:lastPrinted>
  <dcterms:created xsi:type="dcterms:W3CDTF">2016-02-25T13:18:00Z</dcterms:created>
  <dcterms:modified xsi:type="dcterms:W3CDTF">2016-02-29T09:45:00Z</dcterms:modified>
</cp:coreProperties>
</file>